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Look w:val="00A0"/>
      </w:tblPr>
      <w:tblGrid>
        <w:gridCol w:w="9288"/>
      </w:tblGrid>
      <w:tr w:rsidR="00964452" w:rsidRPr="00377F6E" w:rsidTr="009C5F11">
        <w:trPr>
          <w:trHeight w:val="2880"/>
          <w:jc w:val="center"/>
        </w:trPr>
        <w:tc>
          <w:tcPr>
            <w:tcW w:w="5000" w:type="pct"/>
          </w:tcPr>
          <w:p w:rsidR="00964452" w:rsidRPr="00AC5929" w:rsidRDefault="00964452" w:rsidP="009C5F11">
            <w:pPr>
              <w:pStyle w:val="NoSpacing"/>
              <w:tabs>
                <w:tab w:val="left" w:pos="6655"/>
              </w:tabs>
              <w:jc w:val="center"/>
              <w:rPr>
                <w:rFonts w:ascii="Cambria" w:hAnsi="Cambria"/>
                <w:caps/>
                <w:szCs w:val="24"/>
                <w:lang w:val="nl-NL"/>
              </w:rPr>
            </w:pPr>
            <w:r>
              <w:rPr>
                <w:rFonts w:ascii="Cambria" w:hAnsi="Cambria"/>
                <w:caps/>
                <w:szCs w:val="24"/>
                <w:lang w:val="nl-NL"/>
              </w:rPr>
              <w:t>Erasmus University</w:t>
            </w:r>
            <w:r w:rsidRPr="00AC5929">
              <w:rPr>
                <w:rFonts w:ascii="Cambria" w:hAnsi="Cambria"/>
                <w:caps/>
                <w:szCs w:val="24"/>
                <w:lang w:val="nl-NL"/>
              </w:rPr>
              <w:t xml:space="preserve"> Rotterdam</w:t>
            </w:r>
          </w:p>
        </w:tc>
      </w:tr>
      <w:tr w:rsidR="00964452" w:rsidRPr="00FA4B2E" w:rsidTr="009C5F11">
        <w:trPr>
          <w:trHeight w:val="1440"/>
          <w:jc w:val="center"/>
        </w:trPr>
        <w:tc>
          <w:tcPr>
            <w:tcW w:w="5000" w:type="pct"/>
            <w:tcBorders>
              <w:bottom w:val="single" w:sz="4" w:space="0" w:color="4F81BD"/>
            </w:tcBorders>
            <w:vAlign w:val="center"/>
          </w:tcPr>
          <w:p w:rsidR="00964452" w:rsidRPr="00FA4B2E" w:rsidRDefault="00964452" w:rsidP="009C5F11">
            <w:pPr>
              <w:pStyle w:val="NoSpacing"/>
              <w:jc w:val="center"/>
              <w:rPr>
                <w:rFonts w:ascii="Cambria" w:hAnsi="Cambria"/>
                <w:sz w:val="80"/>
                <w:szCs w:val="80"/>
                <w:lang w:val="nl-NL"/>
              </w:rPr>
            </w:pPr>
            <w:r w:rsidRPr="00FA4B2E">
              <w:rPr>
                <w:rFonts w:ascii="Cambria" w:hAnsi="Cambria"/>
                <w:sz w:val="80"/>
                <w:szCs w:val="80"/>
              </w:rPr>
              <w:t>Developing countries´ export quality</w:t>
            </w:r>
          </w:p>
        </w:tc>
      </w:tr>
      <w:tr w:rsidR="00964452" w:rsidRPr="00FA4B2E" w:rsidTr="009C5F11">
        <w:trPr>
          <w:trHeight w:val="720"/>
          <w:jc w:val="center"/>
        </w:trPr>
        <w:tc>
          <w:tcPr>
            <w:tcW w:w="5000" w:type="pct"/>
            <w:tcBorders>
              <w:top w:val="single" w:sz="4" w:space="0" w:color="4F81BD"/>
            </w:tcBorders>
            <w:vAlign w:val="center"/>
          </w:tcPr>
          <w:p w:rsidR="00964452" w:rsidRPr="00FA4B2E" w:rsidRDefault="00964452" w:rsidP="009C5F11">
            <w:pPr>
              <w:pStyle w:val="NoSpacing"/>
              <w:jc w:val="center"/>
              <w:rPr>
                <w:rFonts w:ascii="Cambria" w:hAnsi="Cambria"/>
                <w:sz w:val="44"/>
                <w:szCs w:val="44"/>
                <w:lang w:val="nl-NL"/>
              </w:rPr>
            </w:pPr>
          </w:p>
        </w:tc>
      </w:tr>
      <w:tr w:rsidR="00964452" w:rsidRPr="00377F6E" w:rsidTr="009C5F11">
        <w:trPr>
          <w:trHeight w:val="360"/>
          <w:jc w:val="center"/>
        </w:trPr>
        <w:tc>
          <w:tcPr>
            <w:tcW w:w="5000" w:type="pct"/>
            <w:vAlign w:val="center"/>
          </w:tcPr>
          <w:p w:rsidR="00964452" w:rsidRPr="00AC5929" w:rsidRDefault="00964452" w:rsidP="009C5F11">
            <w:pPr>
              <w:pStyle w:val="NoSpacing"/>
              <w:jc w:val="center"/>
              <w:rPr>
                <w:szCs w:val="24"/>
                <w:lang w:val="nl-NL"/>
              </w:rPr>
            </w:pPr>
          </w:p>
        </w:tc>
      </w:tr>
      <w:tr w:rsidR="00964452" w:rsidTr="009C5F11">
        <w:trPr>
          <w:trHeight w:val="360"/>
          <w:jc w:val="center"/>
        </w:trPr>
        <w:tc>
          <w:tcPr>
            <w:tcW w:w="5000" w:type="pct"/>
            <w:vAlign w:val="center"/>
          </w:tcPr>
          <w:p w:rsidR="00964452" w:rsidRPr="00AC5929" w:rsidRDefault="00964452" w:rsidP="009C5F11">
            <w:pPr>
              <w:pStyle w:val="NoSpacing"/>
              <w:jc w:val="center"/>
              <w:rPr>
                <w:b/>
                <w:bCs/>
                <w:szCs w:val="24"/>
              </w:rPr>
            </w:pPr>
            <w:r w:rsidRPr="00AC5929">
              <w:rPr>
                <w:b/>
                <w:bCs/>
                <w:szCs w:val="24"/>
                <w:lang w:val="en-US"/>
              </w:rPr>
              <w:t>EvelineNoordhoek</w:t>
            </w:r>
          </w:p>
        </w:tc>
      </w:tr>
      <w:tr w:rsidR="00964452" w:rsidTr="009C5F11">
        <w:trPr>
          <w:trHeight w:val="360"/>
          <w:jc w:val="center"/>
        </w:trPr>
        <w:tc>
          <w:tcPr>
            <w:tcW w:w="5000" w:type="pct"/>
            <w:vAlign w:val="center"/>
          </w:tcPr>
          <w:p w:rsidR="00964452" w:rsidRPr="00AC5929" w:rsidRDefault="00964452" w:rsidP="009C5F11">
            <w:pPr>
              <w:pStyle w:val="NoSpacing"/>
              <w:jc w:val="center"/>
              <w:rPr>
                <w:b/>
                <w:bCs/>
                <w:szCs w:val="24"/>
                <w:lang w:val="en-US"/>
              </w:rPr>
            </w:pPr>
          </w:p>
          <w:p w:rsidR="00964452" w:rsidRPr="00AC5929" w:rsidRDefault="00964452" w:rsidP="0052622E">
            <w:pPr>
              <w:pStyle w:val="NoSpacing"/>
              <w:jc w:val="center"/>
              <w:rPr>
                <w:b/>
                <w:bCs/>
                <w:szCs w:val="24"/>
              </w:rPr>
            </w:pPr>
            <w:r w:rsidRPr="00AC5929">
              <w:rPr>
                <w:b/>
                <w:bCs/>
                <w:szCs w:val="24"/>
                <w:lang w:val="en-US"/>
              </w:rPr>
              <w:t>Master</w:t>
            </w:r>
            <w:r>
              <w:rPr>
                <w:b/>
                <w:bCs/>
                <w:szCs w:val="24"/>
                <w:lang w:val="en-US"/>
              </w:rPr>
              <w:t>’s T</w:t>
            </w:r>
            <w:r w:rsidRPr="00AC5929">
              <w:rPr>
                <w:b/>
                <w:bCs/>
                <w:szCs w:val="24"/>
                <w:lang w:val="en-US"/>
              </w:rPr>
              <w:t xml:space="preserve">hesis </w:t>
            </w:r>
            <w:r>
              <w:rPr>
                <w:b/>
                <w:bCs/>
                <w:szCs w:val="24"/>
                <w:lang w:val="en-US"/>
              </w:rPr>
              <w:t>International Economics</w:t>
            </w:r>
          </w:p>
        </w:tc>
      </w:tr>
    </w:tbl>
    <w:p w:rsidR="00964452" w:rsidRDefault="00964452" w:rsidP="00D5650A"/>
    <w:p w:rsidR="00964452" w:rsidRDefault="00964452" w:rsidP="00D5650A">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7" o:spid="_x0000_s1026" type="#_x0000_t75" style="position:absolute;margin-left:68.8pt;margin-top:15.8pt;width:240pt;height:85.2pt;z-index:-251658240;visibility:visible">
            <v:imagedata r:id="rId7" o:title=""/>
          </v:shape>
        </w:pict>
      </w:r>
    </w:p>
    <w:p w:rsidR="00964452" w:rsidRPr="00FA2C92" w:rsidRDefault="00964452" w:rsidP="00D5650A">
      <w:pPr>
        <w:rPr>
          <w:lang w:val="en-US"/>
        </w:rPr>
      </w:pPr>
    </w:p>
    <w:p w:rsidR="00964452" w:rsidRDefault="00964452" w:rsidP="00D5650A">
      <w:pPr>
        <w:spacing w:line="360" w:lineRule="auto"/>
        <w:rPr>
          <w:rFonts w:ascii="Cambria" w:hAnsi="Cambria"/>
          <w:b/>
          <w:sz w:val="32"/>
          <w:szCs w:val="32"/>
          <w:lang w:val="en-US"/>
        </w:rPr>
      </w:pPr>
    </w:p>
    <w:p w:rsidR="00964452" w:rsidRDefault="00964452" w:rsidP="00D5650A">
      <w:pPr>
        <w:spacing w:line="360" w:lineRule="auto"/>
        <w:rPr>
          <w:rFonts w:ascii="Cambria" w:hAnsi="Cambria"/>
          <w:b/>
          <w:sz w:val="32"/>
          <w:szCs w:val="32"/>
          <w:lang w:val="en-US"/>
        </w:rPr>
      </w:pPr>
    </w:p>
    <w:p w:rsidR="00964452" w:rsidRDefault="00964452" w:rsidP="00D5650A">
      <w:pPr>
        <w:spacing w:line="360" w:lineRule="auto"/>
        <w:rPr>
          <w:rFonts w:ascii="Cambria" w:hAnsi="Cambria"/>
          <w:b/>
          <w:sz w:val="32"/>
          <w:szCs w:val="32"/>
          <w:lang w:val="en-US"/>
        </w:rPr>
      </w:pPr>
    </w:p>
    <w:p w:rsidR="00964452" w:rsidRPr="00240E33" w:rsidRDefault="00964452" w:rsidP="00D5650A">
      <w:pPr>
        <w:pStyle w:val="NoSpacing"/>
        <w:spacing w:line="276" w:lineRule="auto"/>
        <w:rPr>
          <w:lang w:val="en-US"/>
        </w:rPr>
      </w:pPr>
      <w:r w:rsidRPr="00240E33">
        <w:rPr>
          <w:lang w:val="en-US"/>
        </w:rPr>
        <w:t>ERASMUS UNIVERSITY ROTTERDAM</w:t>
      </w:r>
    </w:p>
    <w:p w:rsidR="00964452" w:rsidRPr="009B7492" w:rsidRDefault="00964452" w:rsidP="00D5650A">
      <w:pPr>
        <w:pStyle w:val="NoSpacing"/>
        <w:spacing w:line="276" w:lineRule="auto"/>
      </w:pPr>
      <w:r w:rsidRPr="009B7492">
        <w:t>Erasmus School of Economics</w:t>
      </w:r>
    </w:p>
    <w:p w:rsidR="00964452" w:rsidRDefault="00964452" w:rsidP="00D5650A">
      <w:pPr>
        <w:pStyle w:val="NoSpacing"/>
        <w:spacing w:line="276" w:lineRule="auto"/>
        <w:rPr>
          <w:lang w:val="en-US"/>
        </w:rPr>
      </w:pPr>
      <w:r>
        <w:rPr>
          <w:lang w:val="en-US"/>
        </w:rPr>
        <w:t xml:space="preserve">International Economics </w:t>
      </w:r>
    </w:p>
    <w:p w:rsidR="00964452" w:rsidRDefault="00964452" w:rsidP="00D5650A">
      <w:pPr>
        <w:pStyle w:val="NoSpacing"/>
        <w:rPr>
          <w:lang w:val="en-US"/>
        </w:rPr>
      </w:pPr>
    </w:p>
    <w:p w:rsidR="00964452" w:rsidRDefault="00964452" w:rsidP="00D5650A">
      <w:pPr>
        <w:pStyle w:val="NoSpacing"/>
        <w:rPr>
          <w:lang w:val="en-US"/>
        </w:rPr>
      </w:pPr>
      <w:r>
        <w:rPr>
          <w:lang w:val="en-US"/>
        </w:rPr>
        <w:t>Supervisor: Dr. A. Pelkmans-Balaoing</w:t>
      </w:r>
    </w:p>
    <w:p w:rsidR="00964452" w:rsidRDefault="00964452" w:rsidP="00D5650A">
      <w:pPr>
        <w:pStyle w:val="NoSpacing"/>
        <w:rPr>
          <w:lang w:val="en-US"/>
        </w:rPr>
      </w:pPr>
    </w:p>
    <w:p w:rsidR="00964452" w:rsidRPr="00240E33" w:rsidRDefault="00964452" w:rsidP="00D5650A">
      <w:pPr>
        <w:pStyle w:val="NoSpacing"/>
        <w:spacing w:line="276" w:lineRule="auto"/>
        <w:rPr>
          <w:lang w:val="en-US"/>
        </w:rPr>
      </w:pPr>
      <w:r w:rsidRPr="00240E33">
        <w:rPr>
          <w:lang w:val="en-US"/>
        </w:rPr>
        <w:t>EvelineNoordhoek</w:t>
      </w:r>
    </w:p>
    <w:p w:rsidR="00964452" w:rsidRPr="00240E33" w:rsidRDefault="00964452" w:rsidP="00D5650A">
      <w:pPr>
        <w:pStyle w:val="NoSpacing"/>
        <w:spacing w:line="276" w:lineRule="auto"/>
        <w:rPr>
          <w:lang w:val="en-US"/>
        </w:rPr>
      </w:pPr>
      <w:r w:rsidRPr="00240E33">
        <w:rPr>
          <w:lang w:val="en-US"/>
        </w:rPr>
        <w:t>Student number: 300348en</w:t>
      </w:r>
    </w:p>
    <w:p w:rsidR="00964452" w:rsidRPr="00240E33" w:rsidRDefault="00964452" w:rsidP="00D5650A">
      <w:pPr>
        <w:pStyle w:val="NoSpacing"/>
        <w:spacing w:line="276" w:lineRule="auto"/>
        <w:rPr>
          <w:lang w:val="en-US"/>
        </w:rPr>
      </w:pPr>
      <w:r w:rsidRPr="00240E33">
        <w:rPr>
          <w:lang w:val="en-US"/>
        </w:rPr>
        <w:t>evelinenoordhoek@hotmail.com</w:t>
      </w:r>
    </w:p>
    <w:p w:rsidR="00964452" w:rsidRDefault="00964452" w:rsidP="00D5650A">
      <w:pPr>
        <w:pStyle w:val="NoSpacing"/>
        <w:spacing w:line="276" w:lineRule="auto"/>
        <w:rPr>
          <w:lang w:val="en-US"/>
        </w:rPr>
      </w:pPr>
      <w:r>
        <w:rPr>
          <w:lang w:val="en-US"/>
        </w:rPr>
        <w:t>Kamperland</w:t>
      </w:r>
      <w:r w:rsidRPr="0052622E">
        <w:rPr>
          <w:lang w:val="en-US"/>
        </w:rPr>
        <w:t>, July 26, 2011</w:t>
      </w:r>
    </w:p>
    <w:p w:rsidR="00964452" w:rsidRDefault="00964452" w:rsidP="00D5650A">
      <w:pPr>
        <w:pStyle w:val="NoSpacing"/>
        <w:rPr>
          <w:lang w:val="en-US"/>
        </w:rPr>
      </w:pPr>
    </w:p>
    <w:p w:rsidR="00964452" w:rsidRPr="00E1603C" w:rsidRDefault="00964452" w:rsidP="00D5650A">
      <w:pPr>
        <w:spacing w:line="360" w:lineRule="auto"/>
        <w:rPr>
          <w:rFonts w:ascii="Cambria" w:hAnsi="Cambria"/>
          <w:b/>
          <w:sz w:val="32"/>
          <w:szCs w:val="32"/>
          <w:lang w:val="en-US"/>
        </w:rPr>
      </w:pPr>
      <w:r w:rsidRPr="00E1603C">
        <w:rPr>
          <w:rFonts w:ascii="Cambria" w:hAnsi="Cambria"/>
          <w:b/>
          <w:sz w:val="32"/>
          <w:szCs w:val="32"/>
          <w:lang w:val="en-US"/>
        </w:rPr>
        <w:br w:type="page"/>
        <w:t>Abstract</w:t>
      </w:r>
    </w:p>
    <w:p w:rsidR="00964452" w:rsidRPr="00AF2DD7" w:rsidRDefault="00964452" w:rsidP="00D5650A">
      <w:pPr>
        <w:spacing w:line="360" w:lineRule="auto"/>
        <w:rPr>
          <w:rFonts w:ascii="Cambria" w:hAnsi="Cambria"/>
          <w:b/>
          <w:sz w:val="32"/>
          <w:szCs w:val="32"/>
          <w:lang w:val="en-US"/>
        </w:rPr>
      </w:pPr>
      <w:r>
        <w:t>The productivity of  a country’s export basket can be seen as the quality of a country’s exports. The composition of a country’s export basket is of special interest to developing countries, since it affects economic growth. Poor countries could develop their exports to a higher level of productivity by producing and exportinghigh-income products. This shift, however, requires certain economic elements. Developing countries in South and East Asia generally export higher income products than Sub-Saharan African countries. Most emerging economies are diversifying their production range in terms of productivity levels, whereas other low-income countries keep focussing on low-income goods.</w:t>
      </w:r>
    </w:p>
    <w:p w:rsidR="00964452" w:rsidRDefault="00964452" w:rsidP="00D5650A">
      <w:pPr>
        <w:pStyle w:val="Heading1"/>
        <w:spacing w:line="360" w:lineRule="auto"/>
        <w:rPr>
          <w:noProof/>
        </w:rPr>
      </w:pPr>
      <w:r w:rsidRPr="00D15FE0">
        <w:rPr>
          <w:lang w:val="en-US"/>
        </w:rPr>
        <w:br w:type="page"/>
      </w:r>
      <w:bookmarkStart w:id="0" w:name="_Toc286694340"/>
      <w:bookmarkStart w:id="1" w:name="_Toc299481745"/>
      <w:bookmarkStart w:id="2" w:name="_Toc299481781"/>
      <w:bookmarkStart w:id="3" w:name="_Toc299481875"/>
      <w:r>
        <w:t>Contents</w:t>
      </w:r>
      <w:bookmarkEnd w:id="0"/>
      <w:bookmarkEnd w:id="1"/>
      <w:bookmarkEnd w:id="2"/>
      <w:bookmarkEnd w:id="3"/>
      <w:r>
        <w:fldChar w:fldCharType="begin"/>
      </w:r>
      <w:r>
        <w:instrText xml:space="preserve"> TOC \o "1-3" \h \z \u </w:instrText>
      </w:r>
      <w:r>
        <w:fldChar w:fldCharType="separate"/>
      </w:r>
    </w:p>
    <w:p w:rsidR="00964452" w:rsidRDefault="00964452">
      <w:pPr>
        <w:pStyle w:val="TOC1"/>
        <w:rPr>
          <w:rFonts w:ascii="Calibri" w:hAnsi="Calibri"/>
          <w:b w:val="0"/>
          <w:sz w:val="22"/>
          <w:szCs w:val="22"/>
          <w:lang w:val="nl-NL" w:eastAsia="nl-NL"/>
        </w:rPr>
      </w:pPr>
      <w:hyperlink w:anchor="_Toc299481876" w:history="1">
        <w:r w:rsidRPr="005348F3">
          <w:rPr>
            <w:rStyle w:val="Hyperlink"/>
          </w:rPr>
          <w:t>1.</w:t>
        </w:r>
        <w:r>
          <w:rPr>
            <w:rFonts w:ascii="Calibri" w:hAnsi="Calibri"/>
            <w:b w:val="0"/>
            <w:sz w:val="22"/>
            <w:szCs w:val="22"/>
            <w:lang w:val="nl-NL" w:eastAsia="nl-NL"/>
          </w:rPr>
          <w:tab/>
        </w:r>
        <w:r w:rsidRPr="005348F3">
          <w:rPr>
            <w:rStyle w:val="Hyperlink"/>
          </w:rPr>
          <w:t>Introduction</w:t>
        </w:r>
        <w:r>
          <w:rPr>
            <w:webHidden/>
          </w:rPr>
          <w:tab/>
        </w:r>
        <w:r>
          <w:rPr>
            <w:webHidden/>
          </w:rPr>
          <w:fldChar w:fldCharType="begin"/>
        </w:r>
        <w:r>
          <w:rPr>
            <w:webHidden/>
          </w:rPr>
          <w:instrText xml:space="preserve"> PAGEREF _Toc299481876 \h </w:instrText>
        </w:r>
        <w:r>
          <w:rPr>
            <w:webHidden/>
          </w:rPr>
          <w:fldChar w:fldCharType="separate"/>
        </w:r>
        <w:r>
          <w:rPr>
            <w:webHidden/>
          </w:rPr>
          <w:t>2</w:t>
        </w:r>
        <w:r>
          <w:rPr>
            <w:webHidden/>
          </w:rPr>
          <w:fldChar w:fldCharType="end"/>
        </w:r>
      </w:hyperlink>
    </w:p>
    <w:p w:rsidR="00964452" w:rsidRDefault="00964452">
      <w:pPr>
        <w:pStyle w:val="TOC1"/>
        <w:rPr>
          <w:rFonts w:ascii="Calibri" w:hAnsi="Calibri"/>
          <w:b w:val="0"/>
          <w:sz w:val="22"/>
          <w:szCs w:val="22"/>
          <w:lang w:val="nl-NL" w:eastAsia="nl-NL"/>
        </w:rPr>
      </w:pPr>
      <w:hyperlink w:anchor="_Toc299481877" w:history="1">
        <w:r w:rsidRPr="005348F3">
          <w:rPr>
            <w:rStyle w:val="Hyperlink"/>
          </w:rPr>
          <w:t>2.</w:t>
        </w:r>
        <w:r>
          <w:rPr>
            <w:rFonts w:ascii="Calibri" w:hAnsi="Calibri"/>
            <w:b w:val="0"/>
            <w:sz w:val="22"/>
            <w:szCs w:val="22"/>
            <w:lang w:val="nl-NL" w:eastAsia="nl-NL"/>
          </w:rPr>
          <w:tab/>
        </w:r>
        <w:r w:rsidRPr="005348F3">
          <w:rPr>
            <w:rStyle w:val="Hyperlink"/>
          </w:rPr>
          <w:t>Difficulties to improve countries’ productivity levels of exports</w:t>
        </w:r>
        <w:r>
          <w:rPr>
            <w:webHidden/>
          </w:rPr>
          <w:tab/>
        </w:r>
        <w:r>
          <w:rPr>
            <w:webHidden/>
          </w:rPr>
          <w:fldChar w:fldCharType="begin"/>
        </w:r>
        <w:r>
          <w:rPr>
            <w:webHidden/>
          </w:rPr>
          <w:instrText xml:space="preserve"> PAGEREF _Toc299481877 \h </w:instrText>
        </w:r>
        <w:r>
          <w:rPr>
            <w:webHidden/>
          </w:rPr>
          <w:fldChar w:fldCharType="separate"/>
        </w:r>
        <w:r>
          <w:rPr>
            <w:webHidden/>
          </w:rPr>
          <w:t>2</w:t>
        </w:r>
        <w:r>
          <w:rPr>
            <w:webHidden/>
          </w:rPr>
          <w:fldChar w:fldCharType="end"/>
        </w:r>
      </w:hyperlink>
    </w:p>
    <w:p w:rsidR="00964452" w:rsidRDefault="00964452">
      <w:pPr>
        <w:pStyle w:val="TOC2"/>
        <w:rPr>
          <w:rFonts w:ascii="Calibri" w:hAnsi="Calibri"/>
          <w:sz w:val="22"/>
          <w:szCs w:val="22"/>
          <w:lang w:val="nl-NL" w:eastAsia="nl-NL"/>
        </w:rPr>
      </w:pPr>
      <w:hyperlink w:anchor="_Toc299481878" w:history="1">
        <w:r w:rsidRPr="005348F3">
          <w:rPr>
            <w:rStyle w:val="Hyperlink"/>
          </w:rPr>
          <w:t>Cost discovery</w:t>
        </w:r>
        <w:r>
          <w:rPr>
            <w:webHidden/>
          </w:rPr>
          <w:tab/>
        </w:r>
        <w:r>
          <w:rPr>
            <w:webHidden/>
          </w:rPr>
          <w:fldChar w:fldCharType="begin"/>
        </w:r>
        <w:r>
          <w:rPr>
            <w:webHidden/>
          </w:rPr>
          <w:instrText xml:space="preserve"> PAGEREF _Toc299481878 \h </w:instrText>
        </w:r>
        <w:r>
          <w:rPr>
            <w:webHidden/>
          </w:rPr>
          <w:fldChar w:fldCharType="separate"/>
        </w:r>
        <w:r>
          <w:rPr>
            <w:webHidden/>
          </w:rPr>
          <w:t>2</w:t>
        </w:r>
        <w:r>
          <w:rPr>
            <w:webHidden/>
          </w:rPr>
          <w:fldChar w:fldCharType="end"/>
        </w:r>
      </w:hyperlink>
    </w:p>
    <w:p w:rsidR="00964452" w:rsidRDefault="00964452">
      <w:pPr>
        <w:pStyle w:val="TOC3"/>
        <w:tabs>
          <w:tab w:val="right" w:leader="dot" w:pos="9062"/>
        </w:tabs>
        <w:rPr>
          <w:rFonts w:ascii="Calibri" w:hAnsi="Calibri"/>
          <w:noProof/>
          <w:sz w:val="22"/>
          <w:szCs w:val="22"/>
          <w:lang w:val="nl-NL" w:eastAsia="nl-NL"/>
        </w:rPr>
      </w:pPr>
      <w:hyperlink w:anchor="_Toc299481879" w:history="1">
        <w:r w:rsidRPr="005348F3">
          <w:rPr>
            <w:rStyle w:val="Hyperlink"/>
            <w:noProof/>
          </w:rPr>
          <w:t>Cost discovery process</w:t>
        </w:r>
        <w:r>
          <w:rPr>
            <w:noProof/>
            <w:webHidden/>
          </w:rPr>
          <w:tab/>
        </w:r>
        <w:r>
          <w:rPr>
            <w:noProof/>
            <w:webHidden/>
          </w:rPr>
          <w:fldChar w:fldCharType="begin"/>
        </w:r>
        <w:r>
          <w:rPr>
            <w:noProof/>
            <w:webHidden/>
          </w:rPr>
          <w:instrText xml:space="preserve"> PAGEREF _Toc299481879 \h </w:instrText>
        </w:r>
        <w:r>
          <w:rPr>
            <w:noProof/>
          </w:rPr>
        </w:r>
        <w:r>
          <w:rPr>
            <w:noProof/>
            <w:webHidden/>
          </w:rPr>
          <w:fldChar w:fldCharType="separate"/>
        </w:r>
        <w:r>
          <w:rPr>
            <w:noProof/>
            <w:webHidden/>
          </w:rPr>
          <w:t>2</w:t>
        </w:r>
        <w:r>
          <w:rPr>
            <w:noProof/>
            <w:webHidden/>
          </w:rPr>
          <w:fldChar w:fldCharType="end"/>
        </w:r>
      </w:hyperlink>
    </w:p>
    <w:p w:rsidR="00964452" w:rsidRDefault="00964452">
      <w:pPr>
        <w:pStyle w:val="TOC3"/>
        <w:tabs>
          <w:tab w:val="right" w:leader="dot" w:pos="9062"/>
        </w:tabs>
        <w:rPr>
          <w:rFonts w:ascii="Calibri" w:hAnsi="Calibri"/>
          <w:noProof/>
          <w:sz w:val="22"/>
          <w:szCs w:val="22"/>
          <w:lang w:val="nl-NL" w:eastAsia="nl-NL"/>
        </w:rPr>
      </w:pPr>
      <w:hyperlink w:anchor="_Toc299481880" w:history="1">
        <w:r w:rsidRPr="005348F3">
          <w:rPr>
            <w:rStyle w:val="Hyperlink"/>
            <w:noProof/>
          </w:rPr>
          <w:t>Cost discovery externalities</w:t>
        </w:r>
        <w:r>
          <w:rPr>
            <w:noProof/>
            <w:webHidden/>
          </w:rPr>
          <w:tab/>
        </w:r>
        <w:r>
          <w:rPr>
            <w:noProof/>
            <w:webHidden/>
          </w:rPr>
          <w:fldChar w:fldCharType="begin"/>
        </w:r>
        <w:r>
          <w:rPr>
            <w:noProof/>
            <w:webHidden/>
          </w:rPr>
          <w:instrText xml:space="preserve"> PAGEREF _Toc299481880 \h </w:instrText>
        </w:r>
        <w:r>
          <w:rPr>
            <w:noProof/>
          </w:rPr>
        </w:r>
        <w:r>
          <w:rPr>
            <w:noProof/>
            <w:webHidden/>
          </w:rPr>
          <w:fldChar w:fldCharType="separate"/>
        </w:r>
        <w:r>
          <w:rPr>
            <w:noProof/>
            <w:webHidden/>
          </w:rPr>
          <w:t>2</w:t>
        </w:r>
        <w:r>
          <w:rPr>
            <w:noProof/>
            <w:webHidden/>
          </w:rPr>
          <w:fldChar w:fldCharType="end"/>
        </w:r>
      </w:hyperlink>
    </w:p>
    <w:p w:rsidR="00964452" w:rsidRDefault="00964452">
      <w:pPr>
        <w:pStyle w:val="TOC2"/>
        <w:rPr>
          <w:rFonts w:ascii="Calibri" w:hAnsi="Calibri"/>
          <w:sz w:val="22"/>
          <w:szCs w:val="22"/>
          <w:lang w:val="nl-NL" w:eastAsia="nl-NL"/>
        </w:rPr>
      </w:pPr>
      <w:hyperlink w:anchor="_Toc299481881" w:history="1">
        <w:r w:rsidRPr="005348F3">
          <w:rPr>
            <w:rStyle w:val="Hyperlink"/>
          </w:rPr>
          <w:t>Size of manufacturing sector</w:t>
        </w:r>
        <w:r>
          <w:rPr>
            <w:webHidden/>
          </w:rPr>
          <w:tab/>
        </w:r>
        <w:r>
          <w:rPr>
            <w:webHidden/>
          </w:rPr>
          <w:fldChar w:fldCharType="begin"/>
        </w:r>
        <w:r>
          <w:rPr>
            <w:webHidden/>
          </w:rPr>
          <w:instrText xml:space="preserve"> PAGEREF _Toc299481881 \h </w:instrText>
        </w:r>
        <w:r>
          <w:rPr>
            <w:webHidden/>
          </w:rPr>
          <w:fldChar w:fldCharType="separate"/>
        </w:r>
        <w:r>
          <w:rPr>
            <w:webHidden/>
          </w:rPr>
          <w:t>2</w:t>
        </w:r>
        <w:r>
          <w:rPr>
            <w:webHidden/>
          </w:rPr>
          <w:fldChar w:fldCharType="end"/>
        </w:r>
      </w:hyperlink>
    </w:p>
    <w:p w:rsidR="00964452" w:rsidRDefault="00964452">
      <w:pPr>
        <w:pStyle w:val="TOC2"/>
        <w:rPr>
          <w:rFonts w:ascii="Calibri" w:hAnsi="Calibri"/>
          <w:sz w:val="22"/>
          <w:szCs w:val="22"/>
          <w:lang w:val="nl-NL" w:eastAsia="nl-NL"/>
        </w:rPr>
      </w:pPr>
      <w:hyperlink w:anchor="_Toc299481882" w:history="1">
        <w:r w:rsidRPr="005348F3">
          <w:rPr>
            <w:rStyle w:val="Hyperlink"/>
          </w:rPr>
          <w:t>Level of diversification of export products</w:t>
        </w:r>
        <w:r>
          <w:rPr>
            <w:webHidden/>
          </w:rPr>
          <w:tab/>
        </w:r>
        <w:r>
          <w:rPr>
            <w:webHidden/>
          </w:rPr>
          <w:fldChar w:fldCharType="begin"/>
        </w:r>
        <w:r>
          <w:rPr>
            <w:webHidden/>
          </w:rPr>
          <w:instrText xml:space="preserve"> PAGEREF _Toc299481882 \h </w:instrText>
        </w:r>
        <w:r>
          <w:rPr>
            <w:webHidden/>
          </w:rPr>
          <w:fldChar w:fldCharType="separate"/>
        </w:r>
        <w:r>
          <w:rPr>
            <w:webHidden/>
          </w:rPr>
          <w:t>2</w:t>
        </w:r>
        <w:r>
          <w:rPr>
            <w:webHidden/>
          </w:rPr>
          <w:fldChar w:fldCharType="end"/>
        </w:r>
      </w:hyperlink>
    </w:p>
    <w:p w:rsidR="00964452" w:rsidRDefault="00964452">
      <w:pPr>
        <w:pStyle w:val="TOC1"/>
        <w:rPr>
          <w:rFonts w:ascii="Calibri" w:hAnsi="Calibri"/>
          <w:b w:val="0"/>
          <w:sz w:val="22"/>
          <w:szCs w:val="22"/>
          <w:lang w:val="nl-NL" w:eastAsia="nl-NL"/>
        </w:rPr>
      </w:pPr>
      <w:hyperlink w:anchor="_Toc299481883" w:history="1">
        <w:r w:rsidRPr="005348F3">
          <w:rPr>
            <w:rStyle w:val="Hyperlink"/>
          </w:rPr>
          <w:t>3.</w:t>
        </w:r>
        <w:r>
          <w:rPr>
            <w:rFonts w:ascii="Calibri" w:hAnsi="Calibri"/>
            <w:b w:val="0"/>
            <w:sz w:val="22"/>
            <w:szCs w:val="22"/>
            <w:lang w:val="nl-NL" w:eastAsia="nl-NL"/>
          </w:rPr>
          <w:tab/>
        </w:r>
        <w:r w:rsidRPr="005348F3">
          <w:rPr>
            <w:rStyle w:val="Hyperlink"/>
          </w:rPr>
          <w:t>Measuring productivity levels of products and of specialisation patterns</w:t>
        </w:r>
        <w:r>
          <w:rPr>
            <w:webHidden/>
          </w:rPr>
          <w:tab/>
        </w:r>
        <w:r>
          <w:rPr>
            <w:webHidden/>
          </w:rPr>
          <w:fldChar w:fldCharType="begin"/>
        </w:r>
        <w:r>
          <w:rPr>
            <w:webHidden/>
          </w:rPr>
          <w:instrText xml:space="preserve"> PAGEREF _Toc299481883 \h </w:instrText>
        </w:r>
        <w:r>
          <w:rPr>
            <w:webHidden/>
          </w:rPr>
          <w:fldChar w:fldCharType="separate"/>
        </w:r>
        <w:r>
          <w:rPr>
            <w:webHidden/>
          </w:rPr>
          <w:t>2</w:t>
        </w:r>
        <w:r>
          <w:rPr>
            <w:webHidden/>
          </w:rPr>
          <w:fldChar w:fldCharType="end"/>
        </w:r>
      </w:hyperlink>
    </w:p>
    <w:p w:rsidR="00964452" w:rsidRDefault="00964452">
      <w:pPr>
        <w:pStyle w:val="TOC2"/>
        <w:rPr>
          <w:rFonts w:ascii="Calibri" w:hAnsi="Calibri"/>
          <w:sz w:val="22"/>
          <w:szCs w:val="22"/>
          <w:lang w:val="nl-NL" w:eastAsia="nl-NL"/>
        </w:rPr>
      </w:pPr>
      <w:hyperlink w:anchor="_Toc299481884" w:history="1">
        <w:r w:rsidRPr="005348F3">
          <w:rPr>
            <w:rStyle w:val="Hyperlink"/>
          </w:rPr>
          <w:t>Method</w:t>
        </w:r>
        <w:r>
          <w:rPr>
            <w:webHidden/>
          </w:rPr>
          <w:tab/>
        </w:r>
        <w:r>
          <w:rPr>
            <w:webHidden/>
          </w:rPr>
          <w:fldChar w:fldCharType="begin"/>
        </w:r>
        <w:r>
          <w:rPr>
            <w:webHidden/>
          </w:rPr>
          <w:instrText xml:space="preserve"> PAGEREF _Toc299481884 \h </w:instrText>
        </w:r>
        <w:r>
          <w:rPr>
            <w:webHidden/>
          </w:rPr>
          <w:fldChar w:fldCharType="separate"/>
        </w:r>
        <w:r>
          <w:rPr>
            <w:webHidden/>
          </w:rPr>
          <w:t>2</w:t>
        </w:r>
        <w:r>
          <w:rPr>
            <w:webHidden/>
          </w:rPr>
          <w:fldChar w:fldCharType="end"/>
        </w:r>
      </w:hyperlink>
    </w:p>
    <w:p w:rsidR="00964452" w:rsidRDefault="00964452">
      <w:pPr>
        <w:pStyle w:val="TOC3"/>
        <w:tabs>
          <w:tab w:val="right" w:leader="dot" w:pos="9062"/>
        </w:tabs>
        <w:rPr>
          <w:rFonts w:ascii="Calibri" w:hAnsi="Calibri"/>
          <w:noProof/>
          <w:sz w:val="22"/>
          <w:szCs w:val="22"/>
          <w:lang w:val="nl-NL" w:eastAsia="nl-NL"/>
        </w:rPr>
      </w:pPr>
      <w:hyperlink w:anchor="_Toc299481885" w:history="1">
        <w:r w:rsidRPr="005348F3">
          <w:rPr>
            <w:rStyle w:val="Hyperlink"/>
            <w:noProof/>
          </w:rPr>
          <w:t>Introducing PRODY and EXPY</w:t>
        </w:r>
        <w:r>
          <w:rPr>
            <w:noProof/>
            <w:webHidden/>
          </w:rPr>
          <w:tab/>
        </w:r>
        <w:r>
          <w:rPr>
            <w:noProof/>
            <w:webHidden/>
          </w:rPr>
          <w:fldChar w:fldCharType="begin"/>
        </w:r>
        <w:r>
          <w:rPr>
            <w:noProof/>
            <w:webHidden/>
          </w:rPr>
          <w:instrText xml:space="preserve"> PAGEREF _Toc299481885 \h </w:instrText>
        </w:r>
        <w:r>
          <w:rPr>
            <w:noProof/>
          </w:rPr>
        </w:r>
        <w:r>
          <w:rPr>
            <w:noProof/>
            <w:webHidden/>
          </w:rPr>
          <w:fldChar w:fldCharType="separate"/>
        </w:r>
        <w:r>
          <w:rPr>
            <w:noProof/>
            <w:webHidden/>
          </w:rPr>
          <w:t>2</w:t>
        </w:r>
        <w:r>
          <w:rPr>
            <w:noProof/>
            <w:webHidden/>
          </w:rPr>
          <w:fldChar w:fldCharType="end"/>
        </w:r>
      </w:hyperlink>
    </w:p>
    <w:p w:rsidR="00964452" w:rsidRDefault="00964452">
      <w:pPr>
        <w:pStyle w:val="TOC3"/>
        <w:tabs>
          <w:tab w:val="right" w:leader="dot" w:pos="9062"/>
        </w:tabs>
        <w:rPr>
          <w:rFonts w:ascii="Calibri" w:hAnsi="Calibri"/>
          <w:noProof/>
          <w:sz w:val="22"/>
          <w:szCs w:val="22"/>
          <w:lang w:val="nl-NL" w:eastAsia="nl-NL"/>
        </w:rPr>
      </w:pPr>
      <w:hyperlink w:anchor="_Toc299481886" w:history="1">
        <w:r w:rsidRPr="005348F3">
          <w:rPr>
            <w:rStyle w:val="Hyperlink"/>
            <w:noProof/>
          </w:rPr>
          <w:t>Data sources of the research</w:t>
        </w:r>
        <w:r>
          <w:rPr>
            <w:noProof/>
            <w:webHidden/>
          </w:rPr>
          <w:tab/>
        </w:r>
        <w:r>
          <w:rPr>
            <w:noProof/>
            <w:webHidden/>
          </w:rPr>
          <w:fldChar w:fldCharType="begin"/>
        </w:r>
        <w:r>
          <w:rPr>
            <w:noProof/>
            <w:webHidden/>
          </w:rPr>
          <w:instrText xml:space="preserve"> PAGEREF _Toc299481886 \h </w:instrText>
        </w:r>
        <w:r>
          <w:rPr>
            <w:noProof/>
          </w:rPr>
        </w:r>
        <w:r>
          <w:rPr>
            <w:noProof/>
            <w:webHidden/>
          </w:rPr>
          <w:fldChar w:fldCharType="separate"/>
        </w:r>
        <w:r>
          <w:rPr>
            <w:noProof/>
            <w:webHidden/>
          </w:rPr>
          <w:t>2</w:t>
        </w:r>
        <w:r>
          <w:rPr>
            <w:noProof/>
            <w:webHidden/>
          </w:rPr>
          <w:fldChar w:fldCharType="end"/>
        </w:r>
      </w:hyperlink>
    </w:p>
    <w:p w:rsidR="00964452" w:rsidRDefault="00964452">
      <w:pPr>
        <w:pStyle w:val="TOC2"/>
        <w:rPr>
          <w:rFonts w:ascii="Calibri" w:hAnsi="Calibri"/>
          <w:sz w:val="22"/>
          <w:szCs w:val="22"/>
          <w:lang w:val="nl-NL" w:eastAsia="nl-NL"/>
        </w:rPr>
      </w:pPr>
      <w:hyperlink w:anchor="_Toc299481887" w:history="1">
        <w:r w:rsidRPr="005348F3">
          <w:rPr>
            <w:rStyle w:val="Hyperlink"/>
          </w:rPr>
          <w:t>Productivity levels of products</w:t>
        </w:r>
        <w:r>
          <w:rPr>
            <w:webHidden/>
          </w:rPr>
          <w:tab/>
        </w:r>
        <w:r>
          <w:rPr>
            <w:webHidden/>
          </w:rPr>
          <w:fldChar w:fldCharType="begin"/>
        </w:r>
        <w:r>
          <w:rPr>
            <w:webHidden/>
          </w:rPr>
          <w:instrText xml:space="preserve"> PAGEREF _Toc299481887 \h </w:instrText>
        </w:r>
        <w:r>
          <w:rPr>
            <w:webHidden/>
          </w:rPr>
          <w:fldChar w:fldCharType="separate"/>
        </w:r>
        <w:r>
          <w:rPr>
            <w:webHidden/>
          </w:rPr>
          <w:t>2</w:t>
        </w:r>
        <w:r>
          <w:rPr>
            <w:webHidden/>
          </w:rPr>
          <w:fldChar w:fldCharType="end"/>
        </w:r>
      </w:hyperlink>
    </w:p>
    <w:p w:rsidR="00964452" w:rsidRDefault="00964452">
      <w:pPr>
        <w:pStyle w:val="TOC3"/>
        <w:tabs>
          <w:tab w:val="right" w:leader="dot" w:pos="9062"/>
        </w:tabs>
        <w:rPr>
          <w:rFonts w:ascii="Calibri" w:hAnsi="Calibri"/>
          <w:noProof/>
          <w:sz w:val="22"/>
          <w:szCs w:val="22"/>
          <w:lang w:val="nl-NL" w:eastAsia="nl-NL"/>
        </w:rPr>
      </w:pPr>
      <w:hyperlink w:anchor="_Toc299481888" w:history="1">
        <w:r w:rsidRPr="005348F3">
          <w:rPr>
            <w:rStyle w:val="Hyperlink"/>
            <w:noProof/>
          </w:rPr>
          <w:t>Variation in PRODY</w:t>
        </w:r>
        <w:r>
          <w:rPr>
            <w:noProof/>
            <w:webHidden/>
          </w:rPr>
          <w:tab/>
        </w:r>
        <w:r>
          <w:rPr>
            <w:noProof/>
            <w:webHidden/>
          </w:rPr>
          <w:fldChar w:fldCharType="begin"/>
        </w:r>
        <w:r>
          <w:rPr>
            <w:noProof/>
            <w:webHidden/>
          </w:rPr>
          <w:instrText xml:space="preserve"> PAGEREF _Toc299481888 \h </w:instrText>
        </w:r>
        <w:r>
          <w:rPr>
            <w:noProof/>
          </w:rPr>
        </w:r>
        <w:r>
          <w:rPr>
            <w:noProof/>
            <w:webHidden/>
          </w:rPr>
          <w:fldChar w:fldCharType="separate"/>
        </w:r>
        <w:r>
          <w:rPr>
            <w:noProof/>
            <w:webHidden/>
          </w:rPr>
          <w:t>2</w:t>
        </w:r>
        <w:r>
          <w:rPr>
            <w:noProof/>
            <w:webHidden/>
          </w:rPr>
          <w:fldChar w:fldCharType="end"/>
        </w:r>
      </w:hyperlink>
    </w:p>
    <w:p w:rsidR="00964452" w:rsidRDefault="00964452">
      <w:pPr>
        <w:pStyle w:val="TOC3"/>
        <w:tabs>
          <w:tab w:val="right" w:leader="dot" w:pos="9062"/>
        </w:tabs>
        <w:rPr>
          <w:rFonts w:ascii="Calibri" w:hAnsi="Calibri"/>
          <w:noProof/>
          <w:sz w:val="22"/>
          <w:szCs w:val="22"/>
          <w:lang w:val="nl-NL" w:eastAsia="nl-NL"/>
        </w:rPr>
      </w:pPr>
      <w:hyperlink w:anchor="_Toc299481889" w:history="1">
        <w:r w:rsidRPr="005348F3">
          <w:rPr>
            <w:rStyle w:val="Hyperlink"/>
            <w:noProof/>
            <w:lang w:eastAsia="nl-NL"/>
          </w:rPr>
          <w:t>Products having the smallest and largest PRODY’s</w:t>
        </w:r>
        <w:r>
          <w:rPr>
            <w:noProof/>
            <w:webHidden/>
          </w:rPr>
          <w:tab/>
        </w:r>
        <w:r>
          <w:rPr>
            <w:noProof/>
            <w:webHidden/>
          </w:rPr>
          <w:fldChar w:fldCharType="begin"/>
        </w:r>
        <w:r>
          <w:rPr>
            <w:noProof/>
            <w:webHidden/>
          </w:rPr>
          <w:instrText xml:space="preserve"> PAGEREF _Toc299481889 \h </w:instrText>
        </w:r>
        <w:r>
          <w:rPr>
            <w:noProof/>
          </w:rPr>
        </w:r>
        <w:r>
          <w:rPr>
            <w:noProof/>
            <w:webHidden/>
          </w:rPr>
          <w:fldChar w:fldCharType="separate"/>
        </w:r>
        <w:r>
          <w:rPr>
            <w:noProof/>
            <w:webHidden/>
          </w:rPr>
          <w:t>2</w:t>
        </w:r>
        <w:r>
          <w:rPr>
            <w:noProof/>
            <w:webHidden/>
          </w:rPr>
          <w:fldChar w:fldCharType="end"/>
        </w:r>
      </w:hyperlink>
    </w:p>
    <w:p w:rsidR="00964452" w:rsidRDefault="00964452">
      <w:pPr>
        <w:pStyle w:val="TOC1"/>
        <w:rPr>
          <w:rFonts w:ascii="Calibri" w:hAnsi="Calibri"/>
          <w:b w:val="0"/>
          <w:sz w:val="22"/>
          <w:szCs w:val="22"/>
          <w:lang w:val="nl-NL" w:eastAsia="nl-NL"/>
        </w:rPr>
      </w:pPr>
      <w:hyperlink w:anchor="_Toc299481890" w:history="1">
        <w:r w:rsidRPr="005348F3">
          <w:rPr>
            <w:rStyle w:val="Hyperlink"/>
          </w:rPr>
          <w:t>4.</w:t>
        </w:r>
        <w:r>
          <w:rPr>
            <w:rFonts w:ascii="Calibri" w:hAnsi="Calibri"/>
            <w:b w:val="0"/>
            <w:sz w:val="22"/>
            <w:szCs w:val="22"/>
            <w:lang w:val="nl-NL" w:eastAsia="nl-NL"/>
          </w:rPr>
          <w:tab/>
        </w:r>
        <w:r w:rsidRPr="005348F3">
          <w:rPr>
            <w:rStyle w:val="Hyperlink"/>
          </w:rPr>
          <w:t>Productivity levels of specialisation patterns</w:t>
        </w:r>
        <w:r>
          <w:rPr>
            <w:webHidden/>
          </w:rPr>
          <w:tab/>
        </w:r>
        <w:r>
          <w:rPr>
            <w:webHidden/>
          </w:rPr>
          <w:fldChar w:fldCharType="begin"/>
        </w:r>
        <w:r>
          <w:rPr>
            <w:webHidden/>
          </w:rPr>
          <w:instrText xml:space="preserve"> PAGEREF _Toc299481890 \h </w:instrText>
        </w:r>
        <w:r>
          <w:rPr>
            <w:webHidden/>
          </w:rPr>
          <w:fldChar w:fldCharType="separate"/>
        </w:r>
        <w:r>
          <w:rPr>
            <w:webHidden/>
          </w:rPr>
          <w:t>2</w:t>
        </w:r>
        <w:r>
          <w:rPr>
            <w:webHidden/>
          </w:rPr>
          <w:fldChar w:fldCharType="end"/>
        </w:r>
      </w:hyperlink>
    </w:p>
    <w:p w:rsidR="00964452" w:rsidRDefault="00964452">
      <w:pPr>
        <w:pStyle w:val="TOC2"/>
        <w:rPr>
          <w:rFonts w:ascii="Calibri" w:hAnsi="Calibri"/>
          <w:sz w:val="22"/>
          <w:szCs w:val="22"/>
          <w:lang w:val="nl-NL" w:eastAsia="nl-NL"/>
        </w:rPr>
      </w:pPr>
      <w:hyperlink w:anchor="_Toc299481891" w:history="1">
        <w:r w:rsidRPr="005348F3">
          <w:rPr>
            <w:rStyle w:val="Hyperlink"/>
          </w:rPr>
          <w:t>Variation in EXPY</w:t>
        </w:r>
        <w:r>
          <w:rPr>
            <w:webHidden/>
          </w:rPr>
          <w:tab/>
        </w:r>
        <w:r>
          <w:rPr>
            <w:webHidden/>
          </w:rPr>
          <w:fldChar w:fldCharType="begin"/>
        </w:r>
        <w:r>
          <w:rPr>
            <w:webHidden/>
          </w:rPr>
          <w:instrText xml:space="preserve"> PAGEREF _Toc299481891 \h </w:instrText>
        </w:r>
        <w:r>
          <w:rPr>
            <w:webHidden/>
          </w:rPr>
          <w:fldChar w:fldCharType="separate"/>
        </w:r>
        <w:r>
          <w:rPr>
            <w:webHidden/>
          </w:rPr>
          <w:t>2</w:t>
        </w:r>
        <w:r>
          <w:rPr>
            <w:webHidden/>
          </w:rPr>
          <w:fldChar w:fldCharType="end"/>
        </w:r>
      </w:hyperlink>
    </w:p>
    <w:p w:rsidR="00964452" w:rsidRDefault="00964452">
      <w:pPr>
        <w:pStyle w:val="TOC2"/>
        <w:rPr>
          <w:rFonts w:ascii="Calibri" w:hAnsi="Calibri"/>
          <w:sz w:val="22"/>
          <w:szCs w:val="22"/>
          <w:lang w:val="nl-NL" w:eastAsia="nl-NL"/>
        </w:rPr>
      </w:pPr>
      <w:hyperlink w:anchor="_Toc299481892" w:history="1">
        <w:r w:rsidRPr="005348F3">
          <w:rPr>
            <w:rStyle w:val="Hyperlink"/>
          </w:rPr>
          <w:t>Mean EXPY</w:t>
        </w:r>
        <w:r>
          <w:rPr>
            <w:webHidden/>
          </w:rPr>
          <w:tab/>
        </w:r>
        <w:r>
          <w:rPr>
            <w:webHidden/>
          </w:rPr>
          <w:fldChar w:fldCharType="begin"/>
        </w:r>
        <w:r>
          <w:rPr>
            <w:webHidden/>
          </w:rPr>
          <w:instrText xml:space="preserve"> PAGEREF _Toc299481892 \h </w:instrText>
        </w:r>
        <w:r>
          <w:rPr>
            <w:webHidden/>
          </w:rPr>
          <w:fldChar w:fldCharType="separate"/>
        </w:r>
        <w:r>
          <w:rPr>
            <w:webHidden/>
          </w:rPr>
          <w:t>2</w:t>
        </w:r>
        <w:r>
          <w:rPr>
            <w:webHidden/>
          </w:rPr>
          <w:fldChar w:fldCharType="end"/>
        </w:r>
      </w:hyperlink>
    </w:p>
    <w:p w:rsidR="00964452" w:rsidRDefault="00964452">
      <w:pPr>
        <w:pStyle w:val="TOC2"/>
        <w:rPr>
          <w:rFonts w:ascii="Calibri" w:hAnsi="Calibri"/>
          <w:sz w:val="22"/>
          <w:szCs w:val="22"/>
          <w:lang w:val="nl-NL" w:eastAsia="nl-NL"/>
        </w:rPr>
      </w:pPr>
      <w:hyperlink w:anchor="_Toc299481893" w:history="1">
        <w:r w:rsidRPr="005348F3">
          <w:rPr>
            <w:rStyle w:val="Hyperlink"/>
          </w:rPr>
          <w:t>Countries having the smallest EXPY’s</w:t>
        </w:r>
        <w:r>
          <w:rPr>
            <w:webHidden/>
          </w:rPr>
          <w:tab/>
        </w:r>
        <w:r>
          <w:rPr>
            <w:webHidden/>
          </w:rPr>
          <w:fldChar w:fldCharType="begin"/>
        </w:r>
        <w:r>
          <w:rPr>
            <w:webHidden/>
          </w:rPr>
          <w:instrText xml:space="preserve"> PAGEREF _Toc299481893 \h </w:instrText>
        </w:r>
        <w:r>
          <w:rPr>
            <w:webHidden/>
          </w:rPr>
          <w:fldChar w:fldCharType="separate"/>
        </w:r>
        <w:r>
          <w:rPr>
            <w:webHidden/>
          </w:rPr>
          <w:t>2</w:t>
        </w:r>
        <w:r>
          <w:rPr>
            <w:webHidden/>
          </w:rPr>
          <w:fldChar w:fldCharType="end"/>
        </w:r>
      </w:hyperlink>
    </w:p>
    <w:p w:rsidR="00964452" w:rsidRDefault="00964452">
      <w:pPr>
        <w:pStyle w:val="TOC2"/>
        <w:rPr>
          <w:rFonts w:ascii="Calibri" w:hAnsi="Calibri"/>
          <w:sz w:val="22"/>
          <w:szCs w:val="22"/>
          <w:lang w:val="nl-NL" w:eastAsia="nl-NL"/>
        </w:rPr>
      </w:pPr>
      <w:hyperlink w:anchor="_Toc299481894" w:history="1">
        <w:r w:rsidRPr="005348F3">
          <w:rPr>
            <w:rStyle w:val="Hyperlink"/>
          </w:rPr>
          <w:t>Countries having the lowest EXPY growth rates</w:t>
        </w:r>
        <w:r>
          <w:rPr>
            <w:webHidden/>
          </w:rPr>
          <w:tab/>
        </w:r>
        <w:r>
          <w:rPr>
            <w:webHidden/>
          </w:rPr>
          <w:fldChar w:fldCharType="begin"/>
        </w:r>
        <w:r>
          <w:rPr>
            <w:webHidden/>
          </w:rPr>
          <w:instrText xml:space="preserve"> PAGEREF _Toc299481894 \h </w:instrText>
        </w:r>
        <w:r>
          <w:rPr>
            <w:webHidden/>
          </w:rPr>
          <w:fldChar w:fldCharType="separate"/>
        </w:r>
        <w:r>
          <w:rPr>
            <w:webHidden/>
          </w:rPr>
          <w:t>2</w:t>
        </w:r>
        <w:r>
          <w:rPr>
            <w:webHidden/>
          </w:rPr>
          <w:fldChar w:fldCharType="end"/>
        </w:r>
      </w:hyperlink>
    </w:p>
    <w:p w:rsidR="00964452" w:rsidRDefault="00964452">
      <w:pPr>
        <w:pStyle w:val="TOC2"/>
        <w:rPr>
          <w:rFonts w:ascii="Calibri" w:hAnsi="Calibri"/>
          <w:sz w:val="22"/>
          <w:szCs w:val="22"/>
          <w:lang w:val="nl-NL" w:eastAsia="nl-NL"/>
        </w:rPr>
      </w:pPr>
      <w:hyperlink w:anchor="_Toc299481895" w:history="1">
        <w:r w:rsidRPr="005348F3">
          <w:rPr>
            <w:rStyle w:val="Hyperlink"/>
          </w:rPr>
          <w:t>Countries having the largest EXPY’s</w:t>
        </w:r>
        <w:r>
          <w:rPr>
            <w:webHidden/>
          </w:rPr>
          <w:tab/>
        </w:r>
        <w:r>
          <w:rPr>
            <w:webHidden/>
          </w:rPr>
          <w:fldChar w:fldCharType="begin"/>
        </w:r>
        <w:r>
          <w:rPr>
            <w:webHidden/>
          </w:rPr>
          <w:instrText xml:space="preserve"> PAGEREF _Toc299481895 \h </w:instrText>
        </w:r>
        <w:r>
          <w:rPr>
            <w:webHidden/>
          </w:rPr>
          <w:fldChar w:fldCharType="separate"/>
        </w:r>
        <w:r>
          <w:rPr>
            <w:webHidden/>
          </w:rPr>
          <w:t>2</w:t>
        </w:r>
        <w:r>
          <w:rPr>
            <w:webHidden/>
          </w:rPr>
          <w:fldChar w:fldCharType="end"/>
        </w:r>
      </w:hyperlink>
    </w:p>
    <w:p w:rsidR="00964452" w:rsidRDefault="00964452">
      <w:pPr>
        <w:pStyle w:val="TOC2"/>
        <w:rPr>
          <w:rFonts w:ascii="Calibri" w:hAnsi="Calibri"/>
          <w:sz w:val="22"/>
          <w:szCs w:val="22"/>
          <w:lang w:val="nl-NL" w:eastAsia="nl-NL"/>
        </w:rPr>
      </w:pPr>
      <w:hyperlink w:anchor="_Toc299481896" w:history="1">
        <w:r w:rsidRPr="005348F3">
          <w:rPr>
            <w:rStyle w:val="Hyperlink"/>
          </w:rPr>
          <w:t>Countries having the highest EXPY growth rates</w:t>
        </w:r>
        <w:r>
          <w:rPr>
            <w:webHidden/>
          </w:rPr>
          <w:tab/>
        </w:r>
        <w:r>
          <w:rPr>
            <w:webHidden/>
          </w:rPr>
          <w:fldChar w:fldCharType="begin"/>
        </w:r>
        <w:r>
          <w:rPr>
            <w:webHidden/>
          </w:rPr>
          <w:instrText xml:space="preserve"> PAGEREF _Toc299481896 \h </w:instrText>
        </w:r>
        <w:r>
          <w:rPr>
            <w:webHidden/>
          </w:rPr>
          <w:fldChar w:fldCharType="separate"/>
        </w:r>
        <w:r>
          <w:rPr>
            <w:webHidden/>
          </w:rPr>
          <w:t>2</w:t>
        </w:r>
        <w:r>
          <w:rPr>
            <w:webHidden/>
          </w:rPr>
          <w:fldChar w:fldCharType="end"/>
        </w:r>
      </w:hyperlink>
    </w:p>
    <w:p w:rsidR="00964452" w:rsidRDefault="00964452">
      <w:pPr>
        <w:pStyle w:val="TOC1"/>
        <w:rPr>
          <w:rFonts w:ascii="Calibri" w:hAnsi="Calibri"/>
          <w:b w:val="0"/>
          <w:sz w:val="22"/>
          <w:szCs w:val="22"/>
          <w:lang w:val="nl-NL" w:eastAsia="nl-NL"/>
        </w:rPr>
      </w:pPr>
      <w:hyperlink w:anchor="_Toc299481897" w:history="1">
        <w:r w:rsidRPr="005348F3">
          <w:rPr>
            <w:rStyle w:val="Hyperlink"/>
          </w:rPr>
          <w:t>5.</w:t>
        </w:r>
        <w:r>
          <w:rPr>
            <w:rFonts w:ascii="Calibri" w:hAnsi="Calibri"/>
            <w:b w:val="0"/>
            <w:sz w:val="22"/>
            <w:szCs w:val="22"/>
            <w:lang w:val="nl-NL" w:eastAsia="nl-NL"/>
          </w:rPr>
          <w:tab/>
        </w:r>
        <w:r w:rsidRPr="005348F3">
          <w:rPr>
            <w:rStyle w:val="Hyperlink"/>
          </w:rPr>
          <w:t>Sub-Saharan African and South and East Asian export productivity levels</w:t>
        </w:r>
        <w:r>
          <w:rPr>
            <w:webHidden/>
          </w:rPr>
          <w:tab/>
        </w:r>
        <w:r>
          <w:rPr>
            <w:webHidden/>
          </w:rPr>
          <w:fldChar w:fldCharType="begin"/>
        </w:r>
        <w:r>
          <w:rPr>
            <w:webHidden/>
          </w:rPr>
          <w:instrText xml:space="preserve"> PAGEREF _Toc299481897 \h </w:instrText>
        </w:r>
        <w:r>
          <w:rPr>
            <w:webHidden/>
          </w:rPr>
          <w:fldChar w:fldCharType="separate"/>
        </w:r>
        <w:r>
          <w:rPr>
            <w:webHidden/>
          </w:rPr>
          <w:t>2</w:t>
        </w:r>
        <w:r>
          <w:rPr>
            <w:webHidden/>
          </w:rPr>
          <w:fldChar w:fldCharType="end"/>
        </w:r>
      </w:hyperlink>
    </w:p>
    <w:p w:rsidR="00964452" w:rsidRDefault="00964452">
      <w:pPr>
        <w:pStyle w:val="TOC2"/>
        <w:rPr>
          <w:rFonts w:ascii="Calibri" w:hAnsi="Calibri"/>
          <w:sz w:val="22"/>
          <w:szCs w:val="22"/>
          <w:lang w:val="nl-NL" w:eastAsia="nl-NL"/>
        </w:rPr>
      </w:pPr>
      <w:hyperlink w:anchor="_Toc299481898" w:history="1">
        <w:r w:rsidRPr="005348F3">
          <w:rPr>
            <w:rStyle w:val="Hyperlink"/>
          </w:rPr>
          <w:t>Method</w:t>
        </w:r>
        <w:r>
          <w:rPr>
            <w:webHidden/>
          </w:rPr>
          <w:tab/>
        </w:r>
        <w:r>
          <w:rPr>
            <w:webHidden/>
          </w:rPr>
          <w:fldChar w:fldCharType="begin"/>
        </w:r>
        <w:r>
          <w:rPr>
            <w:webHidden/>
          </w:rPr>
          <w:instrText xml:space="preserve"> PAGEREF _Toc299481898 \h </w:instrText>
        </w:r>
        <w:r>
          <w:rPr>
            <w:webHidden/>
          </w:rPr>
          <w:fldChar w:fldCharType="separate"/>
        </w:r>
        <w:r>
          <w:rPr>
            <w:webHidden/>
          </w:rPr>
          <w:t>2</w:t>
        </w:r>
        <w:r>
          <w:rPr>
            <w:webHidden/>
          </w:rPr>
          <w:fldChar w:fldCharType="end"/>
        </w:r>
      </w:hyperlink>
    </w:p>
    <w:p w:rsidR="00964452" w:rsidRDefault="00964452">
      <w:pPr>
        <w:pStyle w:val="TOC2"/>
        <w:rPr>
          <w:rFonts w:ascii="Calibri" w:hAnsi="Calibri"/>
          <w:sz w:val="22"/>
          <w:szCs w:val="22"/>
          <w:lang w:val="nl-NL" w:eastAsia="nl-NL"/>
        </w:rPr>
      </w:pPr>
      <w:hyperlink w:anchor="_Toc299481899" w:history="1">
        <w:r w:rsidRPr="005348F3">
          <w:rPr>
            <w:rStyle w:val="Hyperlink"/>
          </w:rPr>
          <w:t>EXPY growth</w:t>
        </w:r>
        <w:r>
          <w:rPr>
            <w:webHidden/>
          </w:rPr>
          <w:tab/>
        </w:r>
        <w:r>
          <w:rPr>
            <w:webHidden/>
          </w:rPr>
          <w:fldChar w:fldCharType="begin"/>
        </w:r>
        <w:r>
          <w:rPr>
            <w:webHidden/>
          </w:rPr>
          <w:instrText xml:space="preserve"> PAGEREF _Toc299481899 \h </w:instrText>
        </w:r>
        <w:r>
          <w:rPr>
            <w:webHidden/>
          </w:rPr>
          <w:fldChar w:fldCharType="separate"/>
        </w:r>
        <w:r>
          <w:rPr>
            <w:webHidden/>
          </w:rPr>
          <w:t>2</w:t>
        </w:r>
        <w:r>
          <w:rPr>
            <w:webHidden/>
          </w:rPr>
          <w:fldChar w:fldCharType="end"/>
        </w:r>
      </w:hyperlink>
    </w:p>
    <w:p w:rsidR="00964452" w:rsidRDefault="00964452">
      <w:pPr>
        <w:pStyle w:val="TOC2"/>
        <w:rPr>
          <w:rFonts w:ascii="Calibri" w:hAnsi="Calibri"/>
          <w:sz w:val="22"/>
          <w:szCs w:val="22"/>
          <w:lang w:val="nl-NL" w:eastAsia="nl-NL"/>
        </w:rPr>
      </w:pPr>
      <w:hyperlink w:anchor="_Toc299481900" w:history="1">
        <w:r w:rsidRPr="005348F3">
          <w:rPr>
            <w:rStyle w:val="Hyperlink"/>
          </w:rPr>
          <w:t>South Africa versus Gabon</w:t>
        </w:r>
        <w:r>
          <w:rPr>
            <w:webHidden/>
          </w:rPr>
          <w:tab/>
        </w:r>
        <w:r>
          <w:rPr>
            <w:webHidden/>
          </w:rPr>
          <w:fldChar w:fldCharType="begin"/>
        </w:r>
        <w:r>
          <w:rPr>
            <w:webHidden/>
          </w:rPr>
          <w:instrText xml:space="preserve"> PAGEREF _Toc299481900 \h </w:instrText>
        </w:r>
        <w:r>
          <w:rPr>
            <w:webHidden/>
          </w:rPr>
          <w:fldChar w:fldCharType="separate"/>
        </w:r>
        <w:r>
          <w:rPr>
            <w:webHidden/>
          </w:rPr>
          <w:t>2</w:t>
        </w:r>
        <w:r>
          <w:rPr>
            <w:webHidden/>
          </w:rPr>
          <w:fldChar w:fldCharType="end"/>
        </w:r>
      </w:hyperlink>
    </w:p>
    <w:p w:rsidR="00964452" w:rsidRDefault="00964452">
      <w:pPr>
        <w:pStyle w:val="TOC1"/>
        <w:rPr>
          <w:rFonts w:ascii="Calibri" w:hAnsi="Calibri"/>
          <w:b w:val="0"/>
          <w:sz w:val="22"/>
          <w:szCs w:val="22"/>
          <w:lang w:val="nl-NL" w:eastAsia="nl-NL"/>
        </w:rPr>
      </w:pPr>
      <w:hyperlink w:anchor="_Toc299481901" w:history="1">
        <w:r w:rsidRPr="005348F3">
          <w:rPr>
            <w:rStyle w:val="Hyperlink"/>
          </w:rPr>
          <w:t>6.</w:t>
        </w:r>
        <w:r>
          <w:rPr>
            <w:rFonts w:ascii="Calibri" w:hAnsi="Calibri"/>
            <w:b w:val="0"/>
            <w:sz w:val="22"/>
            <w:szCs w:val="22"/>
            <w:lang w:val="nl-NL" w:eastAsia="nl-NL"/>
          </w:rPr>
          <w:tab/>
        </w:r>
        <w:r w:rsidRPr="005348F3">
          <w:rPr>
            <w:rStyle w:val="Hyperlink"/>
          </w:rPr>
          <w:t>Distribution of productivity levels within countries’ specialisation patterns</w:t>
        </w:r>
        <w:r>
          <w:rPr>
            <w:webHidden/>
          </w:rPr>
          <w:tab/>
        </w:r>
        <w:r>
          <w:rPr>
            <w:webHidden/>
          </w:rPr>
          <w:fldChar w:fldCharType="begin"/>
        </w:r>
        <w:r>
          <w:rPr>
            <w:webHidden/>
          </w:rPr>
          <w:instrText xml:space="preserve"> PAGEREF _Toc299481901 \h </w:instrText>
        </w:r>
        <w:r>
          <w:rPr>
            <w:webHidden/>
          </w:rPr>
          <w:fldChar w:fldCharType="separate"/>
        </w:r>
        <w:r>
          <w:rPr>
            <w:webHidden/>
          </w:rPr>
          <w:t>2</w:t>
        </w:r>
        <w:r>
          <w:rPr>
            <w:webHidden/>
          </w:rPr>
          <w:fldChar w:fldCharType="end"/>
        </w:r>
      </w:hyperlink>
    </w:p>
    <w:p w:rsidR="00964452" w:rsidRDefault="00964452">
      <w:pPr>
        <w:pStyle w:val="TOC2"/>
        <w:rPr>
          <w:rFonts w:ascii="Calibri" w:hAnsi="Calibri"/>
          <w:sz w:val="22"/>
          <w:szCs w:val="22"/>
          <w:lang w:val="nl-NL" w:eastAsia="nl-NL"/>
        </w:rPr>
      </w:pPr>
      <w:hyperlink w:anchor="_Toc299481902" w:history="1">
        <w:r w:rsidRPr="005348F3">
          <w:rPr>
            <w:rStyle w:val="Hyperlink"/>
          </w:rPr>
          <w:t>Method</w:t>
        </w:r>
        <w:r>
          <w:rPr>
            <w:webHidden/>
          </w:rPr>
          <w:tab/>
        </w:r>
        <w:r>
          <w:rPr>
            <w:webHidden/>
          </w:rPr>
          <w:fldChar w:fldCharType="begin"/>
        </w:r>
        <w:r>
          <w:rPr>
            <w:webHidden/>
          </w:rPr>
          <w:instrText xml:space="preserve"> PAGEREF _Toc299481902 \h </w:instrText>
        </w:r>
        <w:r>
          <w:rPr>
            <w:webHidden/>
          </w:rPr>
          <w:fldChar w:fldCharType="separate"/>
        </w:r>
        <w:r>
          <w:rPr>
            <w:webHidden/>
          </w:rPr>
          <w:t>2</w:t>
        </w:r>
        <w:r>
          <w:rPr>
            <w:webHidden/>
          </w:rPr>
          <w:fldChar w:fldCharType="end"/>
        </w:r>
      </w:hyperlink>
    </w:p>
    <w:p w:rsidR="00964452" w:rsidRDefault="00964452">
      <w:pPr>
        <w:pStyle w:val="TOC2"/>
        <w:rPr>
          <w:rFonts w:ascii="Calibri" w:hAnsi="Calibri"/>
          <w:sz w:val="22"/>
          <w:szCs w:val="22"/>
          <w:lang w:val="nl-NL" w:eastAsia="nl-NL"/>
        </w:rPr>
      </w:pPr>
      <w:hyperlink w:anchor="_Toc299481903" w:history="1">
        <w:r w:rsidRPr="005348F3">
          <w:rPr>
            <w:rStyle w:val="Hyperlink"/>
          </w:rPr>
          <w:t>Rich countries</w:t>
        </w:r>
        <w:r>
          <w:rPr>
            <w:webHidden/>
          </w:rPr>
          <w:tab/>
        </w:r>
        <w:r>
          <w:rPr>
            <w:webHidden/>
          </w:rPr>
          <w:fldChar w:fldCharType="begin"/>
        </w:r>
        <w:r>
          <w:rPr>
            <w:webHidden/>
          </w:rPr>
          <w:instrText xml:space="preserve"> PAGEREF _Toc299481903 \h </w:instrText>
        </w:r>
        <w:r>
          <w:rPr>
            <w:webHidden/>
          </w:rPr>
          <w:fldChar w:fldCharType="separate"/>
        </w:r>
        <w:r>
          <w:rPr>
            <w:webHidden/>
          </w:rPr>
          <w:t>2</w:t>
        </w:r>
        <w:r>
          <w:rPr>
            <w:webHidden/>
          </w:rPr>
          <w:fldChar w:fldCharType="end"/>
        </w:r>
      </w:hyperlink>
    </w:p>
    <w:p w:rsidR="00964452" w:rsidRDefault="00964452">
      <w:pPr>
        <w:pStyle w:val="TOC2"/>
        <w:rPr>
          <w:rFonts w:ascii="Calibri" w:hAnsi="Calibri"/>
          <w:sz w:val="22"/>
          <w:szCs w:val="22"/>
          <w:lang w:val="nl-NL" w:eastAsia="nl-NL"/>
        </w:rPr>
      </w:pPr>
      <w:hyperlink w:anchor="_Toc299481904" w:history="1">
        <w:r w:rsidRPr="005348F3">
          <w:rPr>
            <w:rStyle w:val="Hyperlink"/>
          </w:rPr>
          <w:t>Emerging countries</w:t>
        </w:r>
        <w:r>
          <w:rPr>
            <w:webHidden/>
          </w:rPr>
          <w:tab/>
        </w:r>
        <w:r>
          <w:rPr>
            <w:webHidden/>
          </w:rPr>
          <w:fldChar w:fldCharType="begin"/>
        </w:r>
        <w:r>
          <w:rPr>
            <w:webHidden/>
          </w:rPr>
          <w:instrText xml:space="preserve"> PAGEREF _Toc299481904 \h </w:instrText>
        </w:r>
        <w:r>
          <w:rPr>
            <w:webHidden/>
          </w:rPr>
          <w:fldChar w:fldCharType="separate"/>
        </w:r>
        <w:r>
          <w:rPr>
            <w:webHidden/>
          </w:rPr>
          <w:t>2</w:t>
        </w:r>
        <w:r>
          <w:rPr>
            <w:webHidden/>
          </w:rPr>
          <w:fldChar w:fldCharType="end"/>
        </w:r>
      </w:hyperlink>
    </w:p>
    <w:p w:rsidR="00964452" w:rsidRDefault="00964452">
      <w:pPr>
        <w:pStyle w:val="TOC2"/>
        <w:rPr>
          <w:rFonts w:ascii="Calibri" w:hAnsi="Calibri"/>
          <w:sz w:val="22"/>
          <w:szCs w:val="22"/>
          <w:lang w:val="nl-NL" w:eastAsia="nl-NL"/>
        </w:rPr>
      </w:pPr>
      <w:hyperlink w:anchor="_Toc299481905" w:history="1">
        <w:r w:rsidRPr="005348F3">
          <w:rPr>
            <w:rStyle w:val="Hyperlink"/>
          </w:rPr>
          <w:t>SSA bottom billion countries</w:t>
        </w:r>
        <w:r>
          <w:rPr>
            <w:webHidden/>
          </w:rPr>
          <w:tab/>
        </w:r>
        <w:r>
          <w:rPr>
            <w:webHidden/>
          </w:rPr>
          <w:fldChar w:fldCharType="begin"/>
        </w:r>
        <w:r>
          <w:rPr>
            <w:webHidden/>
          </w:rPr>
          <w:instrText xml:space="preserve"> PAGEREF _Toc299481905 \h </w:instrText>
        </w:r>
        <w:r>
          <w:rPr>
            <w:webHidden/>
          </w:rPr>
          <w:fldChar w:fldCharType="separate"/>
        </w:r>
        <w:r>
          <w:rPr>
            <w:webHidden/>
          </w:rPr>
          <w:t>2</w:t>
        </w:r>
        <w:r>
          <w:rPr>
            <w:webHidden/>
          </w:rPr>
          <w:fldChar w:fldCharType="end"/>
        </w:r>
      </w:hyperlink>
    </w:p>
    <w:p w:rsidR="00964452" w:rsidRDefault="00964452">
      <w:pPr>
        <w:pStyle w:val="TOC1"/>
        <w:rPr>
          <w:rFonts w:ascii="Calibri" w:hAnsi="Calibri"/>
          <w:b w:val="0"/>
          <w:sz w:val="22"/>
          <w:szCs w:val="22"/>
          <w:lang w:val="nl-NL" w:eastAsia="nl-NL"/>
        </w:rPr>
      </w:pPr>
      <w:hyperlink w:anchor="_Toc299481906" w:history="1">
        <w:r w:rsidRPr="005348F3">
          <w:rPr>
            <w:rStyle w:val="Hyperlink"/>
          </w:rPr>
          <w:t>7.</w:t>
        </w:r>
        <w:r>
          <w:rPr>
            <w:rFonts w:ascii="Calibri" w:hAnsi="Calibri"/>
            <w:b w:val="0"/>
            <w:sz w:val="22"/>
            <w:szCs w:val="22"/>
            <w:lang w:val="nl-NL" w:eastAsia="nl-NL"/>
          </w:rPr>
          <w:tab/>
        </w:r>
        <w:r w:rsidRPr="005348F3">
          <w:rPr>
            <w:rStyle w:val="Hyperlink"/>
          </w:rPr>
          <w:t>Conclusion</w:t>
        </w:r>
        <w:r>
          <w:rPr>
            <w:webHidden/>
          </w:rPr>
          <w:tab/>
        </w:r>
        <w:r>
          <w:rPr>
            <w:webHidden/>
          </w:rPr>
          <w:fldChar w:fldCharType="begin"/>
        </w:r>
        <w:r>
          <w:rPr>
            <w:webHidden/>
          </w:rPr>
          <w:instrText xml:space="preserve"> PAGEREF _Toc299481906 \h </w:instrText>
        </w:r>
        <w:r>
          <w:rPr>
            <w:webHidden/>
          </w:rPr>
          <w:fldChar w:fldCharType="separate"/>
        </w:r>
        <w:r>
          <w:rPr>
            <w:webHidden/>
          </w:rPr>
          <w:t>2</w:t>
        </w:r>
        <w:r>
          <w:rPr>
            <w:webHidden/>
          </w:rPr>
          <w:fldChar w:fldCharType="end"/>
        </w:r>
      </w:hyperlink>
    </w:p>
    <w:p w:rsidR="00964452" w:rsidRDefault="00964452">
      <w:pPr>
        <w:pStyle w:val="TOC1"/>
        <w:rPr>
          <w:rFonts w:ascii="Calibri" w:hAnsi="Calibri"/>
          <w:b w:val="0"/>
          <w:sz w:val="22"/>
          <w:szCs w:val="22"/>
          <w:lang w:val="nl-NL" w:eastAsia="nl-NL"/>
        </w:rPr>
      </w:pPr>
      <w:hyperlink w:anchor="_Toc299481907" w:history="1">
        <w:r w:rsidRPr="005348F3">
          <w:rPr>
            <w:rStyle w:val="Hyperlink"/>
            <w:lang w:val="en-US"/>
          </w:rPr>
          <w:t>References</w:t>
        </w:r>
        <w:r>
          <w:rPr>
            <w:webHidden/>
          </w:rPr>
          <w:tab/>
        </w:r>
        <w:r>
          <w:rPr>
            <w:webHidden/>
          </w:rPr>
          <w:fldChar w:fldCharType="begin"/>
        </w:r>
        <w:r>
          <w:rPr>
            <w:webHidden/>
          </w:rPr>
          <w:instrText xml:space="preserve"> PAGEREF _Toc299481907 \h </w:instrText>
        </w:r>
        <w:r>
          <w:rPr>
            <w:webHidden/>
          </w:rPr>
          <w:fldChar w:fldCharType="separate"/>
        </w:r>
        <w:r>
          <w:rPr>
            <w:webHidden/>
          </w:rPr>
          <w:t>2</w:t>
        </w:r>
        <w:r>
          <w:rPr>
            <w:webHidden/>
          </w:rPr>
          <w:fldChar w:fldCharType="end"/>
        </w:r>
      </w:hyperlink>
    </w:p>
    <w:p w:rsidR="00964452" w:rsidRDefault="00964452">
      <w:pPr>
        <w:pStyle w:val="TOC1"/>
        <w:rPr>
          <w:rFonts w:ascii="Calibri" w:hAnsi="Calibri"/>
          <w:b w:val="0"/>
          <w:sz w:val="22"/>
          <w:szCs w:val="22"/>
          <w:lang w:val="nl-NL" w:eastAsia="nl-NL"/>
        </w:rPr>
      </w:pPr>
      <w:hyperlink w:anchor="_Toc299481908" w:history="1">
        <w:r w:rsidRPr="005348F3">
          <w:rPr>
            <w:rStyle w:val="Hyperlink"/>
          </w:rPr>
          <w:t>Appendix 1</w:t>
        </w:r>
        <w:r>
          <w:rPr>
            <w:webHidden/>
          </w:rPr>
          <w:tab/>
        </w:r>
        <w:r>
          <w:rPr>
            <w:webHidden/>
          </w:rPr>
          <w:fldChar w:fldCharType="begin"/>
        </w:r>
        <w:r>
          <w:rPr>
            <w:webHidden/>
          </w:rPr>
          <w:instrText xml:space="preserve"> PAGEREF _Toc299481908 \h </w:instrText>
        </w:r>
        <w:r>
          <w:rPr>
            <w:webHidden/>
          </w:rPr>
          <w:fldChar w:fldCharType="separate"/>
        </w:r>
        <w:r>
          <w:rPr>
            <w:webHidden/>
          </w:rPr>
          <w:t>2</w:t>
        </w:r>
        <w:r>
          <w:rPr>
            <w:webHidden/>
          </w:rPr>
          <w:fldChar w:fldCharType="end"/>
        </w:r>
      </w:hyperlink>
    </w:p>
    <w:p w:rsidR="00964452" w:rsidRDefault="00964452">
      <w:pPr>
        <w:pStyle w:val="TOC1"/>
        <w:rPr>
          <w:rFonts w:ascii="Calibri" w:hAnsi="Calibri"/>
          <w:b w:val="0"/>
          <w:sz w:val="22"/>
          <w:szCs w:val="22"/>
          <w:lang w:val="nl-NL" w:eastAsia="nl-NL"/>
        </w:rPr>
      </w:pPr>
      <w:hyperlink w:anchor="_Toc299481909" w:history="1">
        <w:r w:rsidRPr="005348F3">
          <w:rPr>
            <w:rStyle w:val="Hyperlink"/>
          </w:rPr>
          <w:t>Appendix 2</w:t>
        </w:r>
        <w:r>
          <w:rPr>
            <w:webHidden/>
          </w:rPr>
          <w:tab/>
        </w:r>
        <w:r>
          <w:rPr>
            <w:webHidden/>
          </w:rPr>
          <w:fldChar w:fldCharType="begin"/>
        </w:r>
        <w:r>
          <w:rPr>
            <w:webHidden/>
          </w:rPr>
          <w:instrText xml:space="preserve"> PAGEREF _Toc299481909 \h </w:instrText>
        </w:r>
        <w:r>
          <w:rPr>
            <w:webHidden/>
          </w:rPr>
          <w:fldChar w:fldCharType="separate"/>
        </w:r>
        <w:r>
          <w:rPr>
            <w:webHidden/>
          </w:rPr>
          <w:t>2</w:t>
        </w:r>
        <w:r>
          <w:rPr>
            <w:webHidden/>
          </w:rPr>
          <w:fldChar w:fldCharType="end"/>
        </w:r>
      </w:hyperlink>
    </w:p>
    <w:p w:rsidR="00964452" w:rsidRDefault="00964452">
      <w:pPr>
        <w:pStyle w:val="TOC1"/>
        <w:rPr>
          <w:rFonts w:ascii="Calibri" w:hAnsi="Calibri"/>
          <w:b w:val="0"/>
          <w:sz w:val="22"/>
          <w:szCs w:val="22"/>
          <w:lang w:val="nl-NL" w:eastAsia="nl-NL"/>
        </w:rPr>
      </w:pPr>
      <w:hyperlink w:anchor="_Toc299481910" w:history="1">
        <w:r w:rsidRPr="005348F3">
          <w:rPr>
            <w:rStyle w:val="Hyperlink"/>
          </w:rPr>
          <w:t>Appendix 3</w:t>
        </w:r>
        <w:r>
          <w:rPr>
            <w:webHidden/>
          </w:rPr>
          <w:tab/>
        </w:r>
        <w:r>
          <w:rPr>
            <w:webHidden/>
          </w:rPr>
          <w:fldChar w:fldCharType="begin"/>
        </w:r>
        <w:r>
          <w:rPr>
            <w:webHidden/>
          </w:rPr>
          <w:instrText xml:space="preserve"> PAGEREF _Toc299481910 \h </w:instrText>
        </w:r>
        <w:r>
          <w:rPr>
            <w:webHidden/>
          </w:rPr>
          <w:fldChar w:fldCharType="separate"/>
        </w:r>
        <w:r>
          <w:rPr>
            <w:webHidden/>
          </w:rPr>
          <w:t>2</w:t>
        </w:r>
        <w:r>
          <w:rPr>
            <w:webHidden/>
          </w:rPr>
          <w:fldChar w:fldCharType="end"/>
        </w:r>
      </w:hyperlink>
    </w:p>
    <w:p w:rsidR="00964452" w:rsidRDefault="00964452">
      <w:pPr>
        <w:pStyle w:val="TOC1"/>
        <w:rPr>
          <w:rFonts w:ascii="Calibri" w:hAnsi="Calibri"/>
          <w:b w:val="0"/>
          <w:sz w:val="22"/>
          <w:szCs w:val="22"/>
          <w:lang w:val="nl-NL" w:eastAsia="nl-NL"/>
        </w:rPr>
      </w:pPr>
      <w:hyperlink w:anchor="_Toc299481911" w:history="1">
        <w:r w:rsidRPr="005348F3">
          <w:rPr>
            <w:rStyle w:val="Hyperlink"/>
          </w:rPr>
          <w:t>Appendix 4</w:t>
        </w:r>
        <w:r>
          <w:rPr>
            <w:webHidden/>
          </w:rPr>
          <w:tab/>
        </w:r>
        <w:r>
          <w:rPr>
            <w:webHidden/>
          </w:rPr>
          <w:fldChar w:fldCharType="begin"/>
        </w:r>
        <w:r>
          <w:rPr>
            <w:webHidden/>
          </w:rPr>
          <w:instrText xml:space="preserve"> PAGEREF _Toc299481911 \h </w:instrText>
        </w:r>
        <w:r>
          <w:rPr>
            <w:webHidden/>
          </w:rPr>
          <w:fldChar w:fldCharType="separate"/>
        </w:r>
        <w:r>
          <w:rPr>
            <w:webHidden/>
          </w:rPr>
          <w:t>2</w:t>
        </w:r>
        <w:r>
          <w:rPr>
            <w:webHidden/>
          </w:rPr>
          <w:fldChar w:fldCharType="end"/>
        </w:r>
      </w:hyperlink>
    </w:p>
    <w:p w:rsidR="00964452" w:rsidRDefault="00964452" w:rsidP="00D5650A">
      <w:r>
        <w:fldChar w:fldCharType="end"/>
      </w:r>
    </w:p>
    <w:p w:rsidR="00964452" w:rsidRDefault="00964452" w:rsidP="00D5650A"/>
    <w:p w:rsidR="00964452" w:rsidRPr="003C31B6" w:rsidRDefault="00964452" w:rsidP="00D5650A">
      <w:pPr>
        <w:spacing w:line="360" w:lineRule="auto"/>
        <w:rPr>
          <w:rFonts w:ascii="Cambria" w:hAnsi="Cambria"/>
          <w:b/>
          <w:sz w:val="32"/>
          <w:szCs w:val="32"/>
          <w:lang w:val="nl-NL"/>
        </w:rPr>
      </w:pPr>
    </w:p>
    <w:p w:rsidR="00964452" w:rsidRPr="00043C58" w:rsidRDefault="00964452" w:rsidP="00D5650A">
      <w:pPr>
        <w:pStyle w:val="Heading1"/>
        <w:numPr>
          <w:ilvl w:val="0"/>
          <w:numId w:val="2"/>
        </w:numPr>
        <w:spacing w:line="360" w:lineRule="auto"/>
      </w:pPr>
      <w:r w:rsidRPr="003C31B6">
        <w:rPr>
          <w:b w:val="0"/>
          <w:lang w:val="nl-NL"/>
        </w:rPr>
        <w:br w:type="page"/>
      </w:r>
      <w:bookmarkStart w:id="4" w:name="_Toc286688934"/>
      <w:bookmarkStart w:id="5" w:name="_Toc299481876"/>
      <w:r w:rsidRPr="00043C58">
        <w:t>Introduction</w:t>
      </w:r>
      <w:bookmarkEnd w:id="4"/>
      <w:bookmarkEnd w:id="5"/>
    </w:p>
    <w:p w:rsidR="00964452" w:rsidRPr="00957C09" w:rsidRDefault="00964452" w:rsidP="00D5650A">
      <w:pPr>
        <w:spacing w:line="360" w:lineRule="auto"/>
      </w:pPr>
      <w:r>
        <w:t>Increasing export activity</w:t>
      </w:r>
      <w:r w:rsidRPr="002937D6">
        <w:t xml:space="preserve"> is important for </w:t>
      </w:r>
      <w:r>
        <w:t xml:space="preserve">sustained </w:t>
      </w:r>
      <w:r w:rsidRPr="002937D6">
        <w:t xml:space="preserve">development, though apart from </w:t>
      </w:r>
      <w:r>
        <w:t>the export volume, it is also the range of goods a country exports that affects economic growth (Hausmann&amp;Rodrik, 2003; Brenton&amp;Newfarmer, 2007).Low-income</w:t>
      </w:r>
      <w:r w:rsidRPr="00275C9E">
        <w:t xml:space="preserve"> countries </w:t>
      </w:r>
      <w:r w:rsidRPr="003837F2">
        <w:t>obviously</w:t>
      </w:r>
      <w:r>
        <w:t>export</w:t>
      </w:r>
      <w:r w:rsidRPr="00275C9E">
        <w:t xml:space="preserve"> different types of products</w:t>
      </w:r>
      <w:r>
        <w:t>, with also different productivity levels,</w:t>
      </w:r>
      <w:r w:rsidRPr="00275C9E">
        <w:t xml:space="preserve"> than </w:t>
      </w:r>
      <w:r>
        <w:t>high-income</w:t>
      </w:r>
      <w:r w:rsidRPr="00275C9E">
        <w:t xml:space="preserve"> countries do</w:t>
      </w:r>
      <w:r>
        <w:t xml:space="preserve">. </w:t>
      </w:r>
    </w:p>
    <w:p w:rsidR="00964452" w:rsidRDefault="00964452" w:rsidP="00D5650A">
      <w:pPr>
        <w:spacing w:line="360" w:lineRule="auto"/>
      </w:pPr>
      <w:r w:rsidRPr="004836A0">
        <w:t>The productivity level of a product is a natural measure of performance, it is “the ratio of outputs to inputs, where larger values of this ratio are associated with better performance” (Coelli</w:t>
      </w:r>
      <w:r w:rsidRPr="006F1F51">
        <w:t>, PrasadaRao, O’Donnell&amp;Battese</w:t>
      </w:r>
      <w:r>
        <w:t>, 2005, p. 1). T</w:t>
      </w:r>
      <w:r w:rsidRPr="004836A0">
        <w:t xml:space="preserve">he productivity levels of products differ; </w:t>
      </w:r>
      <w:r>
        <w:t xml:space="preserve">they yield different levels of profit. </w:t>
      </w:r>
    </w:p>
    <w:p w:rsidR="00964452" w:rsidRDefault="00964452" w:rsidP="00D5650A">
      <w:pPr>
        <w:spacing w:line="360" w:lineRule="auto"/>
        <w:rPr>
          <w:color w:val="FF0000"/>
        </w:rPr>
      </w:pPr>
      <w:r w:rsidRPr="004836A0">
        <w:t xml:space="preserve">It is reasonable to assume that countries export those products which have the highest </w:t>
      </w:r>
      <w:r w:rsidRPr="00A80BAC">
        <w:t xml:space="preserve">productivity of the products </w:t>
      </w:r>
      <w:r>
        <w:t>produced domestically (Hausmann, Hwang &amp;Rodrik</w:t>
      </w:r>
      <w:r w:rsidRPr="00A80BAC">
        <w:t>, 2007).</w:t>
      </w:r>
      <w:r w:rsidRPr="004836A0">
        <w:t xml:space="preserve"> The productivity level of a country’s export basket is thus a measure of the maximum productivity of the products produced in a country. It can be said that the productivity of the products exported is the ‘quality’ of the export basket </w:t>
      </w:r>
      <w:r w:rsidRPr="00A80BAC">
        <w:t xml:space="preserve">(Hausmann et al., 2007). </w:t>
      </w:r>
      <w:r>
        <w:t>Since o</w:t>
      </w:r>
      <w:r w:rsidRPr="00A80BAC">
        <w:t>ne exports in what it is good at</w:t>
      </w:r>
      <w:r>
        <w:t>, a</w:t>
      </w:r>
      <w:r w:rsidRPr="00A80BAC">
        <w:t xml:space="preserve"> country’s export basket is</w:t>
      </w:r>
      <w:r>
        <w:t xml:space="preserve"> therefore </w:t>
      </w:r>
      <w:r w:rsidRPr="004836A0">
        <w:t>equivalent to its specialisation pattern</w:t>
      </w:r>
      <w:r w:rsidRPr="003837F2">
        <w:t>. Naturally, rich</w:t>
      </w:r>
      <w:r w:rsidRPr="004836A0">
        <w:t xml:space="preserve"> countries have a higher productivity level of their export baskets than poor countries have</w:t>
      </w:r>
      <w:r>
        <w:t>, as the</w:t>
      </w:r>
      <w:r w:rsidRPr="004836A0">
        <w:t xml:space="preserve"> quality of </w:t>
      </w:r>
      <w:r>
        <w:t xml:space="preserve">their </w:t>
      </w:r>
      <w:r w:rsidRPr="004836A0">
        <w:t>export baskets is higher</w:t>
      </w:r>
      <w:r>
        <w:t>, that is,</w:t>
      </w:r>
      <w:r w:rsidRPr="004836A0">
        <w:t xml:space="preserve"> a particular unit of investment in exports will lead to higher profits</w:t>
      </w:r>
      <w:r>
        <w:t xml:space="preserve">. </w:t>
      </w:r>
    </w:p>
    <w:p w:rsidR="00964452" w:rsidRPr="0022507A" w:rsidRDefault="00964452" w:rsidP="00D5650A">
      <w:pPr>
        <w:pStyle w:val="NormalWeb"/>
        <w:spacing w:line="360" w:lineRule="auto"/>
        <w:rPr>
          <w:lang w:val="en-US"/>
        </w:rPr>
      </w:pPr>
      <w:r w:rsidRPr="0042759B">
        <w:rPr>
          <w:lang w:val="en-US"/>
        </w:rPr>
        <w:t>Poor countries could develop by exporting higher productive goods.</w:t>
      </w:r>
      <w:r>
        <w:rPr>
          <w:lang w:val="en-US"/>
        </w:rPr>
        <w:t xml:space="preserve"> T</w:t>
      </w:r>
      <w:r w:rsidRPr="0042759B">
        <w:rPr>
          <w:lang w:val="en-US"/>
        </w:rPr>
        <w:t>he</w:t>
      </w:r>
      <w:r>
        <w:rPr>
          <w:lang w:val="en-US"/>
        </w:rPr>
        <w:t xml:space="preserve"> production of higher productivity goodsrequire</w:t>
      </w:r>
      <w:r w:rsidRPr="0042759B">
        <w:rPr>
          <w:lang w:val="en-US"/>
        </w:rPr>
        <w:t xml:space="preserve"> certain implications</w:t>
      </w:r>
      <w:r>
        <w:rPr>
          <w:lang w:val="en-US"/>
        </w:rPr>
        <w:t xml:space="preserve"> though</w:t>
      </w:r>
      <w:r w:rsidRPr="0042759B">
        <w:rPr>
          <w:lang w:val="en-US"/>
        </w:rPr>
        <w:t xml:space="preserve">. It is not easy to </w:t>
      </w:r>
      <w:r>
        <w:rPr>
          <w:lang w:val="en-US"/>
        </w:rPr>
        <w:t xml:space="preserve">produce </w:t>
      </w:r>
      <w:r w:rsidRPr="00AB2DD8">
        <w:rPr>
          <w:lang w:val="en-US"/>
        </w:rPr>
        <w:t>these goods</w:t>
      </w:r>
      <w:r>
        <w:rPr>
          <w:lang w:val="en-US"/>
        </w:rPr>
        <w:t xml:space="preserve"> as </w:t>
      </w:r>
      <w:r w:rsidRPr="0042759B">
        <w:rPr>
          <w:lang w:val="en-US"/>
        </w:rPr>
        <w:t xml:space="preserve">there are certain economic elements that play an important role in the development </w:t>
      </w:r>
      <w:r>
        <w:rPr>
          <w:lang w:val="en-US"/>
        </w:rPr>
        <w:t xml:space="preserve">of these products (e.g.:the position in the product space of the product in which the country has comparative advantage, cost discovery, quality of institutions and infrastructure, size of the manufacturing sector and level of diversification). </w:t>
      </w:r>
    </w:p>
    <w:p w:rsidR="00964452" w:rsidRDefault="00964452" w:rsidP="00D5650A">
      <w:pPr>
        <w:spacing w:line="360" w:lineRule="auto"/>
      </w:pPr>
      <w:r>
        <w:t>International trade can support theshift to higher-income products, as trade increases the market and enables new investments and enhanced technology (Spence, 2007</w:t>
      </w:r>
      <w:r w:rsidRPr="00D71BDE">
        <w:t>). Furthermore, export sectors, like manufacturing, are more productive. Additionally, within sectors, exporters generally are more productive and more capital intensive than non-exporting firms(Hallward-Driemeier, Iarossi&amp;Sokoloff, 2002; Brenton&amp;Newfarmer, 2007).Openness</w:t>
      </w:r>
      <w:r w:rsidRPr="00BB5E15">
        <w:t xml:space="preserve"> to trade has a positive effect on productivity and GDP, as a selection process drives the least productive firms out of the market, since these firms suffer from the larger </w:t>
      </w:r>
      <w:r>
        <w:t xml:space="preserve">foreign </w:t>
      </w:r>
      <w:r w:rsidRPr="00BB5E15">
        <w:t xml:space="preserve">competition in the domestic market and cannot access foreign markets (Mayer </w:t>
      </w:r>
      <w:r>
        <w:t>&amp;</w:t>
      </w:r>
      <w:r w:rsidRPr="00BB5E15">
        <w:t xml:space="preserve">Ottaviano, 2007). The most productive firms, on the other hand, benefit from the access to foreign markets </w:t>
      </w:r>
      <w:r>
        <w:t>and are able to deal with the additional costs of exporting</w:t>
      </w:r>
      <w:r w:rsidRPr="00BB5E15">
        <w:t>.</w:t>
      </w:r>
    </w:p>
    <w:p w:rsidR="00964452" w:rsidRDefault="00964452" w:rsidP="00D5650A">
      <w:pPr>
        <w:spacing w:line="360" w:lineRule="auto"/>
      </w:pPr>
      <w:r>
        <w:t xml:space="preserve">Furthermore, countries differ in their degree of product </w:t>
      </w:r>
      <w:r w:rsidRPr="00957C09">
        <w:t>diversification.</w:t>
      </w:r>
      <w:r>
        <w:t>Fast export growth is related toan increased variety of products produced and exported (Brenton&amp;Newfarmer, 2007) and, at a certain income level, the specialisation</w:t>
      </w:r>
      <w:r w:rsidRPr="004836A0">
        <w:t xml:space="preserve"> in </w:t>
      </w:r>
      <w:r>
        <w:t xml:space="preserve">higher productive </w:t>
      </w:r>
      <w:r w:rsidRPr="004836A0">
        <w:t xml:space="preserve">goods </w:t>
      </w:r>
      <w:r>
        <w:t>leads to a higher level of development (Imbs&amp;Wacziarg, 2003)</w:t>
      </w:r>
      <w:r w:rsidRPr="004836A0">
        <w:t>.</w:t>
      </w:r>
    </w:p>
    <w:p w:rsidR="00964452" w:rsidRDefault="00964452" w:rsidP="00D5650A">
      <w:pPr>
        <w:spacing w:line="360" w:lineRule="auto"/>
      </w:pPr>
      <w:r>
        <w:t xml:space="preserve">What are the differences in productivity levels of exports between developing countries, and between rich countries and developing countries? Why is it so difficult for poor countries to improve the productivity of their export baskets and </w:t>
      </w:r>
      <w:r w:rsidRPr="00F63F7D">
        <w:t>what elements influence such improvements?</w:t>
      </w:r>
      <w:r>
        <w:t xml:space="preserve"> Which developing countries have been able to diversify their export structure and which have not? What are the reasons for these differences? These questions are central in the discussion of this paper. The focus will be on the productivity increase from shifting towards products that have not been produced or exported before in a particular market, and not on increases in productivity </w:t>
      </w:r>
      <w:r w:rsidRPr="009E2544">
        <w:rPr>
          <w:i/>
        </w:rPr>
        <w:t>within</w:t>
      </w:r>
      <w:r>
        <w:t xml:space="preserve"> products by means of for instance quality improvements. </w:t>
      </w:r>
    </w:p>
    <w:p w:rsidR="00964452" w:rsidRDefault="00964452" w:rsidP="00D5650A">
      <w:pPr>
        <w:spacing w:line="360" w:lineRule="auto"/>
      </w:pPr>
      <w:r>
        <w:t>Moreover, special attention will be given to Sub-Saharan Africa and South and East Asia, since the latterconsist of</w:t>
      </w:r>
      <w:r w:rsidRPr="002E7BDB">
        <w:t xml:space="preserve"> developing countries that are developing rapidly and </w:t>
      </w:r>
      <w:r>
        <w:t>of</w:t>
      </w:r>
      <w:r w:rsidRPr="002E7BDB">
        <w:t xml:space="preserve"> countries that are not, </w:t>
      </w:r>
      <w:r>
        <w:t>whereas</w:t>
      </w:r>
      <w:r w:rsidRPr="002E7BDB">
        <w:t xml:space="preserve"> S</w:t>
      </w:r>
      <w:r>
        <w:t>ub-</w:t>
      </w:r>
      <w:r w:rsidRPr="002E7BDB">
        <w:t>S</w:t>
      </w:r>
      <w:r>
        <w:t xml:space="preserve">aharan </w:t>
      </w:r>
      <w:r w:rsidRPr="002E7BDB">
        <w:t>A</w:t>
      </w:r>
      <w:r>
        <w:t>frica</w:t>
      </w:r>
      <w:r w:rsidRPr="002E7BDB">
        <w:t xml:space="preserve"> generally </w:t>
      </w:r>
      <w:r>
        <w:t>consists of</w:t>
      </w:r>
      <w:r w:rsidRPr="002E7BDB">
        <w:t xml:space="preserve"> developing countries</w:t>
      </w:r>
      <w:r>
        <w:t xml:space="preserve"> that have low economic growth rates. Therefore, this paper attempts to give insight</w:t>
      </w:r>
      <w:r w:rsidRPr="002E7BDB">
        <w:t xml:space="preserve"> at differences and similarities</w:t>
      </w:r>
      <w:r>
        <w:t xml:space="preserve"> between these groups of countries</w:t>
      </w:r>
      <w:r w:rsidRPr="002E7BDB">
        <w:t xml:space="preserve"> in terms of </w:t>
      </w:r>
      <w:r>
        <w:t>export productivities.</w:t>
      </w:r>
    </w:p>
    <w:p w:rsidR="00964452" w:rsidRPr="002968D1" w:rsidRDefault="00964452" w:rsidP="00D5650A">
      <w:pPr>
        <w:spacing w:line="360" w:lineRule="auto"/>
      </w:pPr>
      <w:r>
        <w:t>The organisation of this paper is as follows</w:t>
      </w:r>
      <w:r w:rsidRPr="008C2655">
        <w:rPr>
          <w:b/>
        </w:rPr>
        <w:t xml:space="preserve">. </w:t>
      </w:r>
      <w:r>
        <w:t xml:space="preserve">The elements that influence the shift to the production of higher productive products are explained in the second part. The third part describes the differences in productivity levels of a large set of products. Furthermore, the general outcomes in terms of productivity levels of exports of a large number of countries are discussed in part four. Part five focuses on the differences in productivity of the specialisation pattern between developing countries in Sub-Saharan Africa and South and East Asia. The sixth part examines the distribution of the productivity levels of products within countries’ exports. Moreover, the difference in this export structure between rich countries and developing countries are discussed. Finally, a conclusion of the main findings is drawn. </w:t>
      </w:r>
    </w:p>
    <w:p w:rsidR="00964452" w:rsidRDefault="00964452" w:rsidP="00D5650A">
      <w:pPr>
        <w:spacing w:line="360" w:lineRule="auto"/>
        <w:rPr>
          <w:color w:val="FF0000"/>
        </w:rPr>
      </w:pPr>
    </w:p>
    <w:p w:rsidR="00964452" w:rsidRDefault="00964452" w:rsidP="00D5650A">
      <w:pPr>
        <w:pStyle w:val="Heading1"/>
        <w:numPr>
          <w:ilvl w:val="0"/>
          <w:numId w:val="2"/>
        </w:numPr>
        <w:spacing w:line="360" w:lineRule="auto"/>
      </w:pPr>
      <w:bookmarkStart w:id="6" w:name="_Toc299481877"/>
      <w:r>
        <w:t>Difficulties to improve countries’ productivity levels of exports</w:t>
      </w:r>
      <w:bookmarkEnd w:id="6"/>
    </w:p>
    <w:p w:rsidR="00964452" w:rsidRDefault="00964452" w:rsidP="00F8656C">
      <w:pPr>
        <w:spacing w:line="360" w:lineRule="auto"/>
      </w:pPr>
      <w:r>
        <w:t>Why is it so difficult for poor countries to improve the productivity levels of their exports? There are various elementsthat influence the shift to the production and exports of higher productive products</w:t>
      </w:r>
      <w:r w:rsidRPr="00871A47">
        <w:t xml:space="preserve">. </w:t>
      </w:r>
    </w:p>
    <w:p w:rsidR="00964452" w:rsidRDefault="00964452" w:rsidP="00F52E6E">
      <w:pPr>
        <w:spacing w:line="360" w:lineRule="auto"/>
      </w:pPr>
      <w:r>
        <w:t>Good infrastructure</w:t>
      </w:r>
      <w:r>
        <w:rPr>
          <w:rStyle w:val="FootnoteReference"/>
        </w:rPr>
        <w:footnoteReference w:id="2"/>
      </w:r>
      <w:r>
        <w:t xml:space="preserve"> increases productivity through the opportunities of trade expansion and product diversification. However, the development of infrastructure must be in good pace with the overall economic development in order to meet the changing demand. Many developing countries have made investments in infrastructure, however, the quality of infrastructure services is important too. Lack of maintenance and low operating efficiency reduce the positive impact on economic growth. Technological innovation, public-private partnerships, user involvement and commercialisation, which among others encourages competition,are measures to increase efficiency. Because countries differ in their needs for specific infrastructure services, policies must be adapted to the local conditions (World Development Report, 1994).</w:t>
      </w:r>
    </w:p>
    <w:p w:rsidR="00964452" w:rsidRDefault="00964452" w:rsidP="007266A2">
      <w:pPr>
        <w:spacing w:line="360" w:lineRule="auto"/>
      </w:pPr>
      <w:r>
        <w:t>Furthermore, the quality of institutions</w:t>
      </w:r>
      <w:r>
        <w:rPr>
          <w:rStyle w:val="FootnoteReference"/>
        </w:rPr>
        <w:footnoteReference w:id="3"/>
      </w:r>
      <w:r>
        <w:t xml:space="preserve"> explains a significant share of income variation across countries (Gwartney, Holcombe &amp; Lawson, 2004).</w:t>
      </w:r>
      <w:r>
        <w:rPr>
          <w:rStyle w:val="FootnoteReference"/>
        </w:rPr>
        <w:footnoteReference w:id="4"/>
      </w:r>
      <w:r>
        <w:t xml:space="preserve">In addition, institutions define the structure of exchange, as they determine transaction and transformation costs (North, 1990). As a result, poor institutional quality may prevent poor countries to gain from trade (Levchenko, 2004). Improved institutional quality has a positive effect on the productivity of resources and economic growth. Nevertheless, this requires a credible commitment of governments that the policies will not be revised in the future (Gwartney et al., 2004). </w:t>
      </w:r>
    </w:p>
    <w:p w:rsidR="00964452" w:rsidRDefault="00964452" w:rsidP="007266A2">
      <w:pPr>
        <w:spacing w:line="360" w:lineRule="auto"/>
      </w:pPr>
      <w:r w:rsidRPr="00871A47">
        <w:t xml:space="preserve">Several </w:t>
      </w:r>
      <w:r>
        <w:t xml:space="preserve">other </w:t>
      </w:r>
      <w:r w:rsidRPr="00871A47">
        <w:t xml:space="preserve">element are discussed </w:t>
      </w:r>
      <w:r>
        <w:t xml:space="preserve">more thoroughly </w:t>
      </w:r>
      <w:r w:rsidRPr="00871A47">
        <w:t>in this part; density of the product space, the cost discovery process</w:t>
      </w:r>
      <w:r>
        <w:t xml:space="preserve"> (which is also related to institutional quality)</w:t>
      </w:r>
      <w:r w:rsidRPr="00871A47">
        <w:t>, the size of the manufacturing sector and the level of diversification of products.</w:t>
      </w:r>
    </w:p>
    <w:p w:rsidR="00964452" w:rsidRDefault="00964452" w:rsidP="00D5650A">
      <w:pPr>
        <w:spacing w:line="360" w:lineRule="auto"/>
        <w:rPr>
          <w:rFonts w:ascii="Cambria" w:hAnsi="Cambria"/>
          <w:b/>
          <w:bCs/>
          <w:i/>
          <w:iCs/>
          <w:sz w:val="28"/>
          <w:szCs w:val="28"/>
        </w:rPr>
      </w:pPr>
      <w:r w:rsidRPr="003437C2">
        <w:rPr>
          <w:rFonts w:ascii="Cambria" w:hAnsi="Cambria"/>
          <w:b/>
          <w:bCs/>
          <w:i/>
          <w:iCs/>
          <w:sz w:val="28"/>
          <w:szCs w:val="28"/>
        </w:rPr>
        <w:t>Density of</w:t>
      </w:r>
      <w:r>
        <w:rPr>
          <w:rFonts w:ascii="Cambria" w:hAnsi="Cambria"/>
          <w:b/>
          <w:bCs/>
          <w:i/>
          <w:iCs/>
          <w:sz w:val="28"/>
          <w:szCs w:val="28"/>
        </w:rPr>
        <w:t xml:space="preserve"> the</w:t>
      </w:r>
      <w:r w:rsidRPr="003437C2">
        <w:rPr>
          <w:rFonts w:ascii="Cambria" w:hAnsi="Cambria"/>
          <w:b/>
          <w:bCs/>
          <w:i/>
          <w:iCs/>
          <w:sz w:val="28"/>
          <w:szCs w:val="28"/>
        </w:rPr>
        <w:t xml:space="preserve"> product space</w:t>
      </w:r>
    </w:p>
    <w:p w:rsidR="00964452" w:rsidRDefault="00964452" w:rsidP="00D5650A">
      <w:pPr>
        <w:spacing w:line="360" w:lineRule="auto"/>
      </w:pPr>
      <w:r w:rsidRPr="00792192">
        <w:t>Product diversification is important for economic development, because it is not only the</w:t>
      </w:r>
      <w:r w:rsidRPr="00793E6B">
        <w:t xml:space="preserve"> size of the export volume that affects economic growth, </w:t>
      </w:r>
      <w:r>
        <w:t xml:space="preserve">but </w:t>
      </w:r>
      <w:r w:rsidRPr="00793E6B">
        <w:t xml:space="preserve">the range of commodities produced </w:t>
      </w:r>
      <w:r>
        <w:t xml:space="preserve">as well (Hausmann&amp;Rodrik, 2003; Brenton&amp;Newfarmer, 2007). Nevertheless, producing and exporting goods in and to a new market is very different from expanding the already existing production and exports of a good (Hausmann&amp; Klinger, 2006). </w:t>
      </w:r>
      <w:r w:rsidRPr="00793E6B">
        <w:t>The</w:t>
      </w:r>
      <w:r>
        <w:t xml:space="preserve"> production blueprint of higher-</w:t>
      </w:r>
      <w:r w:rsidRPr="00793E6B">
        <w:t xml:space="preserve">income goods could require certain skills and knowhow that are unavailable in the developing country. </w:t>
      </w:r>
    </w:p>
    <w:p w:rsidR="00964452" w:rsidRDefault="00964452" w:rsidP="00D5650A">
      <w:pPr>
        <w:spacing w:line="360" w:lineRule="auto"/>
      </w:pPr>
      <w:r w:rsidRPr="00792192">
        <w:t>Every product needs a specific set of assets,skills, knowhow,intermediate products, public services, infrastructure, etcetera. Nevertheless</w:t>
      </w:r>
      <w:r w:rsidRPr="00482E3A">
        <w:t>, there is heterogeneity in the distance</w:t>
      </w:r>
      <w:r w:rsidRPr="00482E3A">
        <w:rPr>
          <w:rStyle w:val="FootnoteReference"/>
        </w:rPr>
        <w:footnoteReference w:id="5"/>
      </w:r>
      <w:r w:rsidRPr="00482E3A">
        <w:t xml:space="preserve">between </w:t>
      </w:r>
      <w:r w:rsidRPr="00792192">
        <w:t>products; many of the inputs for certain goods can be substituted for other products, whereas some goods</w:t>
      </w:r>
      <w:r>
        <w:t xml:space="preserve"> require very specific inputs and endowments (Hausmann&amp; Klinger, 2006). Managerial skills and research are examples of inputs that can be used for the production and exports of various products. Moreover, when firms produce and export various products they may gain economies of scale in, for example, the promotion and distribution of the various products (Jovanovic&amp; Gilbert, 1993). </w:t>
      </w:r>
    </w:p>
    <w:p w:rsidR="00964452" w:rsidRDefault="00964452" w:rsidP="00D5650A">
      <w:pPr>
        <w:spacing w:line="360" w:lineRule="auto"/>
      </w:pPr>
      <w:r>
        <w:t>Figure 1 illustrates the structure of the product space. Iron and steel products as well as machinery parts are goods that are in the densest part of the product space. Examples of products that are in the deserted part are live animals, castor oil, cocoa beans and copra. When a country has a relative abundant source of the required inputs of a product it can obtain revealed comparative advantage in the good. If several goods needsimilar inputs, the probability that the country has comparative advantage in all of these goods is higher (Hausmann&amp; Klinger, 2006).In addition, when firms, or countries, diversify their production they extend their scope to products whose technologies are related to those of their existing products in order to capture technological spillovers</w:t>
      </w:r>
      <w:r w:rsidRPr="007E485C">
        <w:t xml:space="preserve">(Jovanovic&amp; Gilbert, 1993). </w:t>
      </w:r>
      <w:r>
        <w:t xml:space="preserve">The distance of inputs of products gives information of the opportunities there are in terms of scale economies and product diversification (Paul &amp;Nehring, 2005). </w:t>
      </w:r>
    </w:p>
    <w:p w:rsidR="00964452" w:rsidRDefault="00964452" w:rsidP="00C051AA">
      <w:pPr>
        <w:spacing w:line="240" w:lineRule="auto"/>
        <w:rPr>
          <w:sz w:val="18"/>
          <w:szCs w:val="18"/>
        </w:rPr>
      </w:pPr>
      <w:r>
        <w:rPr>
          <w:sz w:val="18"/>
          <w:szCs w:val="18"/>
        </w:rPr>
        <w:t>Figure 1: Structure of the product space</w:t>
      </w:r>
      <w:r>
        <w:rPr>
          <w:rStyle w:val="FootnoteReference"/>
          <w:sz w:val="18"/>
          <w:szCs w:val="18"/>
        </w:rPr>
        <w:footnoteReference w:id="6"/>
      </w:r>
    </w:p>
    <w:p w:rsidR="00964452" w:rsidRPr="00C051AA" w:rsidRDefault="00964452" w:rsidP="00D5650A">
      <w:pPr>
        <w:spacing w:line="360" w:lineRule="auto"/>
        <w:rPr>
          <w:sz w:val="18"/>
          <w:szCs w:val="18"/>
        </w:rPr>
      </w:pPr>
      <w:r w:rsidRPr="002638B5">
        <w:rPr>
          <w:rFonts w:ascii="Arial" w:hAnsi="Arial" w:cs="Arial"/>
          <w:noProof/>
          <w:color w:val="FFFFFF"/>
          <w:lang w:val="en-US"/>
        </w:rPr>
        <w:pict>
          <v:shape id="Afbeelding 9" o:spid="_x0000_i1025" type="#_x0000_t75" alt="http://www.chidalgo.com/productspace/Resources/justnetwt.png" style="width:290.25pt;height:346.5pt;visibility:visible">
            <v:imagedata r:id="rId8" o:title=""/>
          </v:shape>
        </w:pict>
      </w:r>
    </w:p>
    <w:p w:rsidR="00964452" w:rsidRDefault="00964452" w:rsidP="009B7492">
      <w:pPr>
        <w:pStyle w:val="NoSpacing"/>
        <w:rPr>
          <w:sz w:val="18"/>
          <w:szCs w:val="18"/>
        </w:rPr>
      </w:pPr>
      <w:r w:rsidRPr="00C051AA">
        <w:rPr>
          <w:sz w:val="18"/>
          <w:szCs w:val="18"/>
          <w:lang w:val="en-US"/>
        </w:rPr>
        <w:t xml:space="preserve">Source: </w:t>
      </w:r>
      <w:r w:rsidRPr="00C051AA">
        <w:rPr>
          <w:sz w:val="18"/>
          <w:szCs w:val="18"/>
        </w:rPr>
        <w:t>Hidalgo, Klinger, Barabasi and Hausmann (2007)</w:t>
      </w:r>
    </w:p>
    <w:p w:rsidR="00964452" w:rsidRPr="00F8656C" w:rsidRDefault="00964452" w:rsidP="009B7492">
      <w:pPr>
        <w:pStyle w:val="NoSpacing"/>
        <w:rPr>
          <w:sz w:val="18"/>
          <w:szCs w:val="18"/>
        </w:rPr>
      </w:pPr>
    </w:p>
    <w:p w:rsidR="00964452" w:rsidRDefault="00964452" w:rsidP="005D5691">
      <w:pPr>
        <w:spacing w:line="360" w:lineRule="auto"/>
      </w:pPr>
      <w:r>
        <w:t xml:space="preserve">The difficulty for countries to shift to the production and exports with a </w:t>
      </w:r>
      <w:r w:rsidRPr="00792192">
        <w:t>higher productivity level depends, among other things, on the number of higher-income products that requirecomparableinputsto the product in which the country has its comparative advantage, the cost of shifting and the income level of the new product compared to the income level associated with the country’s current export basket. Furthermore, policies such</w:t>
      </w:r>
      <w:r>
        <w:t xml:space="preserve"> as local price controls can influence the transformation to higher-income products (Hausmann&amp; Klinger, 2006). As a result, the speed of diversification depends on how difficult and how profitable it is for firms to exploit the technological and other similarities between various products (Jovanovic&amp; Gilbert, 1993).  </w:t>
      </w:r>
    </w:p>
    <w:p w:rsidR="00964452" w:rsidRDefault="00964452" w:rsidP="00D5650A">
      <w:pPr>
        <w:spacing w:line="360" w:lineRule="auto"/>
      </w:pPr>
      <w:r w:rsidRPr="005E58CC">
        <w:t xml:space="preserve">Hausmann and Klinger (2006) adopted a measure of the value of the products that are available for a country to export as the distance-weighted value of all the products it could produce. They found </w:t>
      </w:r>
      <w:r w:rsidRPr="00792192">
        <w:t>that the income level of new potential goods has</w:t>
      </w:r>
      <w:r>
        <w:t xml:space="preserve"> a larger effect on the income level of a country’s export basket relative to the number of available upscale products. Furthermore,they concluded that </w:t>
      </w:r>
      <w:r w:rsidRPr="005E58CC">
        <w:t>countries differ widely in their potential for higher export sophistication</w:t>
      </w:r>
      <w:r>
        <w:t xml:space="preserve">. China is in a much denser part of the product space, having many machinery and capital intensive products nearby that are increasingly of higher value, than a country like Ghana, for which the nearest upscale product are farther away. As a result, China is able to transform to the production of higher-income goods at a higher speed. Also India, Indonesia and many eastern European countries have </w:t>
      </w:r>
      <w:r w:rsidRPr="000827A8">
        <w:t>many potential products</w:t>
      </w:r>
      <w:r>
        <w:rPr>
          <w:rStyle w:val="FootnoteReference"/>
        </w:rPr>
        <w:footnoteReference w:id="7"/>
      </w:r>
      <w:r w:rsidRPr="000827A8">
        <w:t xml:space="preserve"> that meet the</w:t>
      </w:r>
      <w:r w:rsidRPr="00792192">
        <w:t xml:space="preserve"> current available capabilities in these countries. On the</w:t>
      </w:r>
      <w:r>
        <w:t xml:space="preserve"> other hand, oil exporters face a large distance between the currently exported and higher-income products; the specific assets these countries have are not very useful for the production of new, higher-income, goods, which makes it more difficult for these countries to improve the income level of their export baskets. </w:t>
      </w:r>
    </w:p>
    <w:p w:rsidR="00964452" w:rsidRDefault="00964452" w:rsidP="00D5650A">
      <w:pPr>
        <w:spacing w:line="360" w:lineRule="auto"/>
      </w:pPr>
      <w:r>
        <w:t xml:space="preserve">That the distanced-weighted value of the products a country could produce is very important for the development of export productivity becomes clear when comparing Korea with Argentina. These countries had similar income levels of their export basket in 1985, and Argentina’s GDP per capita was considerably higher than that of Korea. Nonetheless, Korea’s value of Hausmann and Klinger’s measure </w:t>
      </w:r>
      <w:r w:rsidRPr="008E5622">
        <w:t>of the value of the unoccupied product space was</w:t>
      </w:r>
      <w:r>
        <w:t>60% higher, which made it possible for Korea to increase the income level of its export basket considerably the following fifteen years, whereas Argentina could not.</w:t>
      </w:r>
    </w:p>
    <w:p w:rsidR="00964452" w:rsidRDefault="00964452" w:rsidP="003A0D38">
      <w:pPr>
        <w:pStyle w:val="Heading2"/>
        <w:spacing w:line="360" w:lineRule="auto"/>
      </w:pPr>
      <w:bookmarkStart w:id="7" w:name="_Toc286688936"/>
      <w:bookmarkStart w:id="8" w:name="_Toc299481878"/>
      <w:r w:rsidRPr="00FA3D74">
        <w:t>Cost discovery</w:t>
      </w:r>
      <w:bookmarkEnd w:id="7"/>
      <w:bookmarkEnd w:id="8"/>
    </w:p>
    <w:p w:rsidR="00964452" w:rsidRDefault="00964452" w:rsidP="003A0D38">
      <w:pPr>
        <w:pStyle w:val="Heading3"/>
        <w:spacing w:line="360" w:lineRule="auto"/>
      </w:pPr>
      <w:bookmarkStart w:id="9" w:name="_Toc299481879"/>
      <w:r>
        <w:t>Cost discovery process</w:t>
      </w:r>
      <w:bookmarkEnd w:id="9"/>
    </w:p>
    <w:p w:rsidR="00964452" w:rsidRPr="00604772" w:rsidRDefault="00964452" w:rsidP="00D5650A">
      <w:pPr>
        <w:spacing w:line="360" w:lineRule="auto"/>
        <w:rPr>
          <w:u w:val="single"/>
        </w:rPr>
      </w:pPr>
      <w:r>
        <w:t>Apart from the need for specific capabilities, there are additional difficulties for firms to shift their production and exports to a higher-income product. Even if the</w:t>
      </w:r>
      <w:r w:rsidRPr="00793E6B">
        <w:t xml:space="preserve"> techniques</w:t>
      </w:r>
      <w:r>
        <w:t xml:space="preserve"> and inputs</w:t>
      </w:r>
      <w:r w:rsidRPr="00793E6B">
        <w:t xml:space="preserve"> are present</w:t>
      </w:r>
      <w:r w:rsidRPr="00BB4284">
        <w:t>, the local conditions might require adaptations,</w:t>
      </w:r>
      <w:r w:rsidRPr="00793E6B">
        <w:t xml:space="preserve"> without guarantees for success (Hausmann&amp;Rodrik, 2003). As a result</w:t>
      </w:r>
      <w:r w:rsidRPr="00BB4284">
        <w:t>, the true costs of producing under local conditions are unclear. The cost discovery</w:t>
      </w:r>
      <w:r>
        <w:t xml:space="preserve"> process involves </w:t>
      </w:r>
      <w:r w:rsidRPr="00BB4284">
        <w:t>the search for these true costs of producing and exporting a specific product in a country in which it has not been produced or exported tobefore. The accompanying uncertainties might prevent</w:t>
      </w:r>
      <w:r>
        <w:t>local entrepreneurs from producing and exporting higher-income goods.</w:t>
      </w:r>
    </w:p>
    <w:p w:rsidR="00964452" w:rsidRPr="003F737D" w:rsidRDefault="00964452" w:rsidP="00D5650A">
      <w:pPr>
        <w:spacing w:line="360" w:lineRule="auto"/>
        <w:rPr>
          <w:rFonts w:ascii="Arial" w:hAnsi="Arial" w:cs="Arial"/>
          <w:color w:val="FF0000"/>
          <w:sz w:val="20"/>
          <w:szCs w:val="20"/>
        </w:rPr>
      </w:pPr>
      <w:r w:rsidRPr="00C501A7">
        <w:t xml:space="preserve">The first-mover entrepreneur can capture only a small fraction of the social returns that the discovery generates, however, it is of great social value to learn that the </w:t>
      </w:r>
      <w:r w:rsidRPr="009358ED">
        <w:rPr>
          <w:i/>
        </w:rPr>
        <w:t>local</w:t>
      </w:r>
      <w:r w:rsidRPr="00C501A7">
        <w:t xml:space="preserve"> production</w:t>
      </w:r>
      <w:r>
        <w:t xml:space="preserve"> costs</w:t>
      </w:r>
      <w:r w:rsidRPr="00C501A7">
        <w:t xml:space="preserve">of particular higher income </w:t>
      </w:r>
      <w:r w:rsidRPr="009358ED">
        <w:t>goodsarereasonably low (Hausmann</w:t>
      </w:r>
      <w:r>
        <w:t xml:space="preserve">&amp;Rodrik, 2003). </w:t>
      </w:r>
      <w:r w:rsidRPr="00793E6B">
        <w:t xml:space="preserve">By means of the cost discovery process, the </w:t>
      </w:r>
      <w:r>
        <w:t xml:space="preserve">developing </w:t>
      </w:r>
      <w:r w:rsidRPr="00793E6B">
        <w:t xml:space="preserve">country is able to specialise in </w:t>
      </w:r>
      <w:r>
        <w:t>a higher-productivity</w:t>
      </w:r>
      <w:r w:rsidRPr="00793E6B">
        <w:t xml:space="preserve"> product, and by doing so, it will increase economic growth (Hausmann et al., 2007). The innovator invests in cost discovery anticipating on making a profit when discovering reasonab</w:t>
      </w:r>
      <w:r>
        <w:t>ly low local production costs, h</w:t>
      </w:r>
      <w:r w:rsidRPr="00793E6B">
        <w:t xml:space="preserve">owever, indirectly he invests in the productivity of the entire economy. When he discovers </w:t>
      </w:r>
      <w:r>
        <w:t xml:space="preserve">the possibility to bring </w:t>
      </w:r>
      <w:r w:rsidRPr="00793E6B">
        <w:t>a higher-productiv</w:t>
      </w:r>
      <w:r>
        <w:t>ity</w:t>
      </w:r>
      <w:r w:rsidRPr="00793E6B">
        <w:t xml:space="preserve"> product in the market, the en</w:t>
      </w:r>
      <w:r>
        <w:t>tire economy benefits.</w:t>
      </w:r>
    </w:p>
    <w:p w:rsidR="00964452" w:rsidRDefault="00964452" w:rsidP="00D5650A">
      <w:pPr>
        <w:spacing w:line="360" w:lineRule="auto"/>
      </w:pPr>
      <w:r w:rsidRPr="00B623B9">
        <w:t xml:space="preserve">Information on the costs of exporting depends on the </w:t>
      </w:r>
      <w:r>
        <w:t>number</w:t>
      </w:r>
      <w:r w:rsidRPr="00B623B9">
        <w:t xml:space="preserve"> of exporters of other products in the particular market and on </w:t>
      </w:r>
      <w:r>
        <w:t xml:space="preserve">the </w:t>
      </w:r>
      <w:r w:rsidRPr="00B623B9">
        <w:t>overall experience in ex</w:t>
      </w:r>
      <w:r>
        <w:t>porting the particular product (Brenton, Saborowski&amp; von Uexkull, 2009). However, only truly exporting firms discover all costs, whether there is sufficient demand in the new market and whether the export of the product is</w:t>
      </w:r>
      <w:r w:rsidRPr="00BB4284">
        <w:t xml:space="preserve"> profitable (Albornoz, CalvoPardo, Corcos&amp;Ornelas</w:t>
      </w:r>
      <w:r>
        <w:t>, 2010</w:t>
      </w:r>
      <w:r w:rsidRPr="00BB4284">
        <w:t xml:space="preserve">). In case the </w:t>
      </w:r>
      <w:r>
        <w:t xml:space="preserve">estimated costs are low, firms generally enter the new market on a larger scale and have a relatively low hazard rate. On the other hand, when there is imperfect information about the costs of </w:t>
      </w:r>
      <w:r w:rsidRPr="00E26CBD">
        <w:t>exporting</w:t>
      </w:r>
      <w:r>
        <w:t xml:space="preserve"> a product to a particular market and when there are uncertainties about the demand, exporters sometimes decide to enter on a small scale, as a way to discover the total costs of exporting. If the discovered export costs are too high to be profitable, the firm will then exit the market (Brenton et al., 2009). Nevertheless, this entering on a small scale as a test is not suitable for all firms and products; for example whenthe expected sunk costs are very high.</w:t>
      </w:r>
    </w:p>
    <w:p w:rsidR="00964452" w:rsidRPr="00CF37AE" w:rsidRDefault="00964452" w:rsidP="00D5650A">
      <w:pPr>
        <w:spacing w:line="360" w:lineRule="auto"/>
      </w:pPr>
      <w:r>
        <w:t>Exporting firms that are</w:t>
      </w:r>
      <w:r w:rsidRPr="00CF37AE">
        <w:t xml:space="preserve"> located in developing countries face more difficulties in case of </w:t>
      </w:r>
      <w:r w:rsidRPr="004A077C">
        <w:t xml:space="preserve">absence of good infrastructure in </w:t>
      </w:r>
      <w:r w:rsidRPr="00CF37AE">
        <w:t xml:space="preserve">the developing country. </w:t>
      </w:r>
      <w:r>
        <w:t>Costs of logistics and telecommunications are then higher and constrain the available backbone services. These costs weaken the position of the firms in terms of competition in the export market and affect their profitability. The firms also have to take care of education for essential services that require certain skills and knowhow to be able to expand the production and exports(Brenton&amp;Newfarmer, 2007). Moreover, buyers may hesitate to acquire heterogeneous products from these exporters when there is uncertainty about the delivery of quality (Brenton et al., 2009).</w:t>
      </w:r>
    </w:p>
    <w:p w:rsidR="00964452" w:rsidRDefault="00964452" w:rsidP="00D5650A">
      <w:pPr>
        <w:spacing w:line="360" w:lineRule="auto"/>
      </w:pPr>
      <w:r>
        <w:t xml:space="preserve">Mayer and Ottaviano (2007) called internationalised firms ‘superstars’, as they are rare and since only a small number of firms are responsible for most aggregate exports. Furthermore, they generate higher value added, have more skilled workers, are more profitable and are more productive. </w:t>
      </w:r>
      <w:r w:rsidRPr="00BB5E15">
        <w:t xml:space="preserve">Only the firms that are productive enough to deal with the extra costs of </w:t>
      </w:r>
      <w:r w:rsidRPr="00E26CBD">
        <w:t>exporting</w:t>
      </w:r>
      <w:r w:rsidRPr="00BB5E15">
        <w:t xml:space="preserve"> become exporters. The level of a country’s transformation highly depends on a few large exporting firms, as the top </w:t>
      </w:r>
      <w:r>
        <w:t>5%</w:t>
      </w:r>
      <w:r w:rsidRPr="00BB5E15">
        <w:t xml:space="preserve"> of firms is responsible for more than </w:t>
      </w:r>
      <w:r>
        <w:t>70% of a country’s total exports.</w:t>
      </w:r>
      <w:r w:rsidRPr="00BB5E15">
        <w:t xml:space="preserve"> Only the largest exporting firms that serve several foreign markets with several differentiated products can withstand the stronger competition of foreign markets (Mayer </w:t>
      </w:r>
      <w:r>
        <w:t>&amp;</w:t>
      </w:r>
      <w:r w:rsidRPr="00BB5E15">
        <w:t xml:space="preserve">Ottaviano, 2007). </w:t>
      </w:r>
    </w:p>
    <w:p w:rsidR="00964452" w:rsidRDefault="00964452" w:rsidP="00D5650A">
      <w:pPr>
        <w:pStyle w:val="Heading3"/>
        <w:spacing w:line="360" w:lineRule="auto"/>
      </w:pPr>
      <w:bookmarkStart w:id="10" w:name="_Toc299481880"/>
      <w:r w:rsidRPr="00D37820">
        <w:t>Cost discovery externalit</w:t>
      </w:r>
      <w:r>
        <w:t>ies</w:t>
      </w:r>
      <w:bookmarkEnd w:id="10"/>
    </w:p>
    <w:p w:rsidR="00964452" w:rsidRDefault="00964452" w:rsidP="00D5650A">
      <w:pPr>
        <w:spacing w:line="360" w:lineRule="auto"/>
      </w:pPr>
      <w:r w:rsidRPr="00793E6B">
        <w:t>When an entrepreneur investigates the costs of producing in the local market</w:t>
      </w:r>
      <w:r>
        <w:t xml:space="preserve"> and discovers which product is most suitable for t</w:t>
      </w:r>
      <w:r w:rsidRPr="00793E6B">
        <w:t xml:space="preserve">he </w:t>
      </w:r>
      <w:r>
        <w:t xml:space="preserve">production and exports in and to a particular country, taking the current comparative advantage into account, he </w:t>
      </w:r>
      <w:r w:rsidRPr="00793E6B">
        <w:t xml:space="preserve">faces another problem. This cost discovery creates an externality; when </w:t>
      </w:r>
      <w:r>
        <w:t>afirm</w:t>
      </w:r>
      <w:r w:rsidRPr="00793E6B">
        <w:t xml:space="preserve"> discovers the cost of producing in a new market, this becomes common knowledge (Hausmann&amp;Rodrik, 2003). This implies that every other </w:t>
      </w:r>
      <w:r>
        <w:t>firm</w:t>
      </w:r>
      <w:r w:rsidRPr="00793E6B">
        <w:t xml:space="preserve"> from that moment on, knows whether or not it </w:t>
      </w:r>
      <w:r>
        <w:t xml:space="preserve">is </w:t>
      </w:r>
      <w:r w:rsidRPr="00793E6B">
        <w:t xml:space="preserve">profitable to produce that good in that particular market. This information externality </w:t>
      </w:r>
      <w:r>
        <w:t>brings</w:t>
      </w:r>
      <w:r w:rsidRPr="00793E6B">
        <w:t xml:space="preserve"> a serious problem. Why would innovators be willing to invest in cost discovery</w:t>
      </w:r>
      <w:r>
        <w:t xml:space="preserve">, when the information they acquire becomes common knowledge and when the innovator is not compensated for the costs? </w:t>
      </w:r>
      <w:r w:rsidRPr="00793E6B">
        <w:t xml:space="preserve">Moreover, if the cost discovery process results in the finding that it is not profitable to produce the </w:t>
      </w:r>
      <w:r>
        <w:t>investigated good in the local market</w:t>
      </w:r>
      <w:r w:rsidRPr="00793E6B">
        <w:t xml:space="preserve">, that it is a dead-end, the </w:t>
      </w:r>
      <w:r>
        <w:t>entrepreneur</w:t>
      </w:r>
      <w:r w:rsidRPr="00793E6B">
        <w:t xml:space="preserve"> will have to </w:t>
      </w:r>
      <w:r>
        <w:t>cover</w:t>
      </w:r>
      <w:r w:rsidRPr="00793E6B">
        <w:t xml:space="preserve"> all the </w:t>
      </w:r>
      <w:r>
        <w:t xml:space="preserve">research </w:t>
      </w:r>
      <w:r w:rsidRPr="00793E6B">
        <w:t xml:space="preserve">costs </w:t>
      </w:r>
      <w:r>
        <w:t xml:space="preserve">without having the possibility to re-earn them. </w:t>
      </w:r>
    </w:p>
    <w:p w:rsidR="00964452" w:rsidRDefault="00964452" w:rsidP="00D5650A">
      <w:pPr>
        <w:spacing w:line="360" w:lineRule="auto"/>
      </w:pPr>
      <w:r>
        <w:t xml:space="preserve">These cost discovery externalities are a form of market failure asit is not likely that they will be internalised under perfect competition. Furthermore, they impede the process of product diversification and transformation to higher-income products, as they reduce discovery (Klinger &amp; Lederman, 2004).A firm generates intra-industry spillovers when it cannot internalise the information on benefits from shifting the production to a good that has not been produced before in the countryfrom other entrants. There can also be inter-industry spillovers; when the firm adapting the productive capabilities in the country to the new good does not internalise the returns from their jump, allowing other firms to cut the distance to moving into an even higher-income good close to the new good. The market failure is even more problematic for countries that have comparative advantage in the least dense part of the product space, which slows the speed of their transformation to higher-income products even further (Hausmann&amp; Klinger, 2006). Products differ in terms of the ability of competitors to imitate. </w:t>
      </w:r>
    </w:p>
    <w:p w:rsidR="00964452" w:rsidRPr="00747B89" w:rsidRDefault="00964452" w:rsidP="00604772">
      <w:pPr>
        <w:spacing w:line="360" w:lineRule="auto"/>
      </w:pPr>
      <w:r w:rsidRPr="00793E6B">
        <w:t xml:space="preserve">A solution for stimulating </w:t>
      </w:r>
      <w:r>
        <w:t>firms</w:t>
      </w:r>
      <w:r w:rsidRPr="00793E6B">
        <w:t xml:space="preserve"> to engage in cost discovery could be </w:t>
      </w:r>
      <w:r>
        <w:t xml:space="preserve">to </w:t>
      </w:r>
      <w:r w:rsidRPr="008003E4">
        <w:t>internalise</w:t>
      </w:r>
      <w:r w:rsidRPr="00793E6B">
        <w:t xml:space="preserve"> the cost discovery </w:t>
      </w:r>
      <w:r>
        <w:t>spillovers</w:t>
      </w:r>
      <w:r w:rsidRPr="00793E6B">
        <w:t xml:space="preserve">. This way, </w:t>
      </w:r>
      <w:r>
        <w:t>competitors cannot enter the market or produce the product even if they see that it is profitable</w:t>
      </w:r>
      <w:r w:rsidRPr="00793E6B">
        <w:t>, and the innovator is</w:t>
      </w:r>
      <w:r>
        <w:t xml:space="preserve"> thus</w:t>
      </w:r>
      <w:r w:rsidRPr="00793E6B">
        <w:t xml:space="preserve"> the only one who can </w:t>
      </w:r>
      <w:r>
        <w:t>profit from</w:t>
      </w:r>
      <w:r w:rsidRPr="00793E6B">
        <w:t xml:space="preserve"> this information.</w:t>
      </w:r>
      <w:r>
        <w:t xml:space="preserve">If the ease of firms to enter a market is made more difficult, this could have a positive effect on diversification and export growth. A government intervention such as industrial policies could stimulate firms to engage in cost discovery (Brenton&amp;Newfarmer, 2007). Governments could implement policies that reduce first-movers experimentation costs and policies that increase innovators’ ability to capture profits of their discovery </w:t>
      </w:r>
      <w:r w:rsidRPr="000B0A3E">
        <w:t>(Klinger &amp; Lederman, 2004)</w:t>
      </w:r>
      <w:r>
        <w:t xml:space="preserve">.East Asian governments provided cheap credits to promising sectors (Stiglitz, 1996). Mayer and Ottaviano (2007) also suggest governments not to waste too much time helping the incumbent ‘superstars’, but to nurture the superstars of the future by allowing small exporters to grow by subsidising. The incentive to innovate also depends on the market. When firms are able to sell to a larger market by means of international trade, they will be more induced to innovate, as they are able to cover their sunk and fixed costs over a larger production size (Sachs, 1998). </w:t>
      </w:r>
    </w:p>
    <w:p w:rsidR="00964452" w:rsidRPr="00FA3D74" w:rsidRDefault="00964452" w:rsidP="00D5650A">
      <w:pPr>
        <w:pStyle w:val="Heading2"/>
        <w:spacing w:line="360" w:lineRule="auto"/>
      </w:pPr>
      <w:bookmarkStart w:id="11" w:name="_Toc286688937"/>
      <w:bookmarkStart w:id="12" w:name="_Toc299481881"/>
      <w:r w:rsidRPr="00FA3D74">
        <w:t>Size of manufacturing sector</w:t>
      </w:r>
      <w:bookmarkEnd w:id="11"/>
      <w:bookmarkEnd w:id="12"/>
    </w:p>
    <w:p w:rsidR="00964452" w:rsidRDefault="00964452" w:rsidP="00D5650A">
      <w:pPr>
        <w:spacing w:line="360" w:lineRule="auto"/>
      </w:pPr>
      <w:r w:rsidRPr="00A80BAC">
        <w:t>Rodrik(2006) argues</w:t>
      </w:r>
      <w:r w:rsidRPr="00BB4284">
        <w:t>that non-traditional manufactures is the main drive</w:t>
      </w:r>
      <w:r>
        <w:t>r</w:t>
      </w:r>
      <w:r w:rsidRPr="00BB4284">
        <w:t xml:space="preserve"> of economic growth and development</w:t>
      </w:r>
      <w:r>
        <w:t>. He explained that world markets have almost limitless demand for manufactured products. Increasing the production of non-tradable goods limits development to domestic demand and also the exports of primary goods has its constraints. He stated that an increase in the production and export of manufactured products on the other hand, is likely to generate higher economic growth. A reason for this is that consumer preference changes during countries’ economic development. The income elasticity of demand of most agricultural goods is less than 1, as they are necessity goods, whereas the income elasticity of demand of many manufactured products is greater than 1. Accordingly, demand for manufactured products is expected to increase at a higher rate along a country’s development path, than demand for agricultural goods (</w:t>
      </w:r>
      <w:r w:rsidRPr="00280091">
        <w:t xml:space="preserve">Gehlhar, </w:t>
      </w:r>
      <w:r>
        <w:t>Hertel&amp;</w:t>
      </w:r>
      <w:r w:rsidRPr="00280091">
        <w:t xml:space="preserve"> Martin</w:t>
      </w:r>
      <w:r>
        <w:t xml:space="preserve">, 1994). </w:t>
      </w:r>
    </w:p>
    <w:p w:rsidR="00964452" w:rsidRDefault="00964452" w:rsidP="00D5650A">
      <w:pPr>
        <w:spacing w:line="360" w:lineRule="auto"/>
      </w:pPr>
      <w:r>
        <w:t xml:space="preserve">In addition, </w:t>
      </w:r>
      <w:r w:rsidRPr="00BB4284">
        <w:t>Manufactured products generally have a higher productivity than non-tradable and primary goods. Furthermore, within the manufacturing sector countries are able to develop more sophisticated</w:t>
      </w:r>
      <w:r>
        <w:t xml:space="preserve"> products and thus continue shifting their scope to the production and export of higher productivity goods</w:t>
      </w:r>
      <w:r w:rsidRPr="00A80BAC">
        <w:t>(Rodrik, 2006).</w:t>
      </w:r>
      <w:r>
        <w:t xml:space="preserve"> As a result, the productivity level of these countries’ exports increase. Also raising firms’ attention to trade and greater openness to trade tends to result in higher productivity growth in manufacturing (Hallward-Driemeier, Iarossi&amp;Sokoloff, 2002).</w:t>
      </w:r>
    </w:p>
    <w:p w:rsidR="00964452" w:rsidRDefault="00964452" w:rsidP="00D5650A">
      <w:pPr>
        <w:spacing w:line="360" w:lineRule="auto"/>
      </w:pPr>
      <w:r>
        <w:t xml:space="preserve">However, this development does not always come naturally, since the problem of cost discovery externalities comes into place again. If the discovery of higher-income manufactured products is accompanied by easy entry of competitors, firms might not be induced to involve in discovery.  </w:t>
      </w:r>
    </w:p>
    <w:p w:rsidR="00964452" w:rsidRDefault="00964452" w:rsidP="00D5650A">
      <w:pPr>
        <w:spacing w:line="360" w:lineRule="auto"/>
      </w:pPr>
      <w:r>
        <w:t xml:space="preserve">Sachs (1998), as well as Rodrik (2006) stated </w:t>
      </w:r>
      <w:r w:rsidRPr="00BB4284">
        <w:t>that fast growing economies have large manufacturing sectors with high export growth.</w:t>
      </w:r>
      <w:r>
        <w:t>To be certain that the relationbetween income growth and increased shares of manufacturing is not only available for the now fast growing economies</w:t>
      </w:r>
      <w:r w:rsidRPr="00A80BAC">
        <w:t xml:space="preserve">, Johnson, Ostry and </w:t>
      </w:r>
      <w:r w:rsidRPr="00A80BAC">
        <w:rPr>
          <w:lang w:val="en-US"/>
        </w:rPr>
        <w:t>Subramanian</w:t>
      </w:r>
      <w:r w:rsidRPr="00A80BAC">
        <w:t xml:space="preserve"> (2010) took</w:t>
      </w:r>
      <w:r>
        <w:t xml:space="preserve"> a closer look at the growth accelerations and decelerations developing countries have been through. They concluded that also in developing countries, growth accelerations are accompanied by increases in the share of manufactures in total exports. Furthermore, during these growth accelerations the share of trade in GDP increased. An explanation for the high growth rates of countries that have large manufacturing sectors is that manufactured products are in the densest part of the product space. Particularly products of metal, iron or steel, machinery parts and rubber materials require little changes in inputs, skills and assets (Hausmann&amp; Klinger, 2006).</w:t>
      </w:r>
    </w:p>
    <w:p w:rsidR="00964452" w:rsidRDefault="00964452" w:rsidP="00D5650A">
      <w:pPr>
        <w:spacing w:line="360" w:lineRule="auto"/>
      </w:pPr>
      <w:r>
        <w:t xml:space="preserve">Nevertheless, across countries there is large heterogeneity in the distance between the products in which they have comparative advantage, and manufactured products. For Eastern European and Asian countries this distance is not very large, whereas African and Latin American countries face a large distance (Hausmann&amp; Klinger, 2006). </w:t>
      </w:r>
    </w:p>
    <w:p w:rsidR="00964452" w:rsidRDefault="00964452" w:rsidP="008308E3">
      <w:pPr>
        <w:spacing w:line="360" w:lineRule="auto"/>
      </w:pPr>
      <w:r>
        <w:t>Figure 2</w:t>
      </w:r>
      <w:r w:rsidRPr="004B3664">
        <w:t xml:space="preserve"> shows</w:t>
      </w:r>
      <w:r>
        <w:t xml:space="preserve"> the manufacturing value added (MVA) as a percentage of GDP for 7 regions</w:t>
      </w:r>
      <w:r w:rsidRPr="00A80BAC">
        <w:t>. Data to create this graph were retrieved from the World Development Indicators of the World Bank.</w:t>
      </w:r>
      <w:r>
        <w:t>The large variation in these shares between the regions is striking. In 1965 both East Asia and Latin America had a MVA share of 25% of their GDP. However, East Asia increased this share to 33% in 2008, whereas Latin America’s MVA share decreased to 17% in 2008. Also Sub-Saharan Africa faced a downward trend of the importance of manufacturing value added in its economy over the period 1965 to 2008. In 1965, 18% of Sub-Saharan Africa’s GDP was contributed by the added value of the manufacturing sector. This percentage dropped to less than 15% in 2008. South Asia showed some growth in the share of MVA; from 15% in 1965 to 17% in 2008, which is still a rather small percentage. The region Middle East &amp; North Africa had the lowest MVA share: 12% in 1985 and 13% in 2008.</w:t>
      </w:r>
    </w:p>
    <w:p w:rsidR="00964452" w:rsidRPr="008308E3" w:rsidRDefault="00964452" w:rsidP="008308E3">
      <w:pPr>
        <w:spacing w:line="240" w:lineRule="auto"/>
      </w:pPr>
      <w:r>
        <w:rPr>
          <w:sz w:val="18"/>
          <w:szCs w:val="18"/>
          <w:lang w:eastAsia="nl-NL"/>
        </w:rPr>
        <w:t>Figure 2:</w:t>
      </w:r>
      <w:r w:rsidRPr="00292EEE">
        <w:rPr>
          <w:sz w:val="18"/>
          <w:szCs w:val="18"/>
          <w:lang w:eastAsia="nl-NL"/>
        </w:rPr>
        <w:t xml:space="preserve"> MVA as a percentage of GDP</w:t>
      </w:r>
      <w:r>
        <w:rPr>
          <w:sz w:val="18"/>
          <w:szCs w:val="18"/>
          <w:lang w:eastAsia="nl-NL"/>
        </w:rPr>
        <w:t>,</w:t>
      </w:r>
      <w:r w:rsidRPr="00292EEE">
        <w:rPr>
          <w:sz w:val="18"/>
          <w:szCs w:val="18"/>
          <w:lang w:eastAsia="nl-NL"/>
        </w:rPr>
        <w:t xml:space="preserve"> per region</w:t>
      </w:r>
    </w:p>
    <w:p w:rsidR="00964452" w:rsidRDefault="00964452" w:rsidP="00D5650A">
      <w:pPr>
        <w:spacing w:line="360" w:lineRule="auto"/>
      </w:pPr>
      <w:r w:rsidRPr="002638B5">
        <w:rPr>
          <w:noProof/>
          <w:lang w:val="en-US"/>
        </w:rPr>
        <w:pict>
          <v:shape id="Afbeelding 13" o:spid="_x0000_i1026" type="#_x0000_t75" style="width:302.25pt;height:257.25pt;visibility:visible">
            <v:imagedata r:id="rId9" o:title=""/>
          </v:shape>
        </w:pict>
      </w:r>
    </w:p>
    <w:p w:rsidR="00964452" w:rsidRDefault="00964452" w:rsidP="00D5650A">
      <w:pPr>
        <w:spacing w:line="360" w:lineRule="auto"/>
        <w:rPr>
          <w:b/>
        </w:rPr>
      </w:pPr>
      <w:r>
        <w:t>East Asia</w:t>
      </w:r>
      <w:r w:rsidRPr="009B5C6C">
        <w:t xml:space="preserve"> shifted from</w:t>
      </w:r>
      <w:r>
        <w:t>labour-intensive agricultural activities towards more capital-intensive manufacturing over the years, which in turn fostered economic growth. Moreover, East Asia has become a strong competitor of the United States, Canada and Europe in the manufacturing sector (Gehlhar et al., 1994). East Asian countries imposed financial market regulations that stimulated capital accessibility to manufacturing industries with higher technological benefits. Governments were highly adaptive and changed policies as the economic environment changed, and promoted higher value-added industries and improvements in technology. Subsidies were granted as a performance-based reward to stimulate economic growth. In addition, large investments were made in human capital. Governments supported the improvement of skills of the labour force. Education and training were mainly concentrated on engineering and science, which opened the road to more advanced technology. Furthermore, governments encouraged exports and invested in infrastructure, like ports and telecommunication, in order to reduce firms’ transport costs. Governments also established postal savings banks and development banks to increase savings and extend credit. Moreover, the manufacturing sector was able to grow as a consequence of, among other things, foreign direct investment (Stiglitz, 1996</w:t>
      </w:r>
      <w:r w:rsidRPr="00EF3399">
        <w:t>).</w:t>
      </w:r>
    </w:p>
    <w:p w:rsidR="00964452" w:rsidRDefault="00964452" w:rsidP="00B75E74">
      <w:pPr>
        <w:spacing w:line="360" w:lineRule="auto"/>
      </w:pPr>
      <w:r w:rsidRPr="00E500E2">
        <w:t>Regions like Sub-Saharan Africa on the other hand have not been able to reform their economic structure that way, and have not faced the corresponding income growth.</w:t>
      </w:r>
      <w:r w:rsidRPr="00AB28AD">
        <w:t xml:space="preserve">Furthermore, a country like Rwanda </w:t>
      </w:r>
      <w:r>
        <w:t xml:space="preserve">is landlocked in Central Africa, which restricts gains from trade because of high transport costs (Sachs, 1998).  </w:t>
      </w:r>
    </w:p>
    <w:p w:rsidR="00964452" w:rsidRDefault="00964452" w:rsidP="00B75E74">
      <w:pPr>
        <w:spacing w:line="360" w:lineRule="auto"/>
      </w:pPr>
      <w:r>
        <w:t xml:space="preserve">Alternatively, many countries with natural resources have not fully exploited the possibility to expand their manufacturing sector, because of Dutch disease or natural resource curse. The revenues from the natural resources often lead to appreciation of their real exchange rate, which reduces their competitiveness in other economic sectors. Thus, their specialisation in primary products, like oil or gas, limits improvements in the manufacturing sector. Persian Gulf oil exporters have large oil reserves and are not very active the manufacturing industry. Innovation and productivity improvement are more likely to occur in manufacturing, though, with corresponding long-term productivity growth. However, these economies are trapped in the specialisation of non-high-income goods and have lower long-term growth (Sachs, 1998). </w:t>
      </w:r>
    </w:p>
    <w:p w:rsidR="00964452" w:rsidRPr="009E02BE" w:rsidRDefault="00964452" w:rsidP="00B75E74">
      <w:pPr>
        <w:spacing w:line="360" w:lineRule="auto"/>
      </w:pPr>
      <w:r>
        <w:t>In Figure 3</w:t>
      </w:r>
      <w:r w:rsidRPr="004B3664">
        <w:t>, the</w:t>
      </w:r>
      <w:r>
        <w:t xml:space="preserve"> percentage share of MVA with respect to GDP per capita is illustrated per income group instead. From this graph, it can be concluded that, on average</w:t>
      </w:r>
      <w:r w:rsidRPr="00E500E2">
        <w:t>, lower-middle-income countries and middle-income countries have the largest shares in MVA in relative terms;26</w:t>
      </w:r>
      <w:r>
        <w:t>%</w:t>
      </w:r>
      <w:r w:rsidRPr="00E500E2">
        <w:t xml:space="preserve"> and 22</w:t>
      </w:r>
      <w:r>
        <w:t>%</w:t>
      </w:r>
      <w:r w:rsidRPr="00E500E2">
        <w:t xml:space="preserve"> respectively in 2008. These shares are, in relative terms, higher than those of high-income non-OECD, 16</w:t>
      </w:r>
      <w:r>
        <w:t>%</w:t>
      </w:r>
      <w:r w:rsidRPr="00E500E2">
        <w:t xml:space="preserve"> in 2007, as well as</w:t>
      </w:r>
      <w:r>
        <w:t xml:space="preserve"> high-income OECD countries, 17% in 2004. These findings support Sachs (1998), and </w:t>
      </w:r>
      <w:r w:rsidRPr="00A80BAC">
        <w:t>Rodrik’s (2006) stylised</w:t>
      </w:r>
      <w:r>
        <w:t xml:space="preserve"> fact that fast growing economies have large manufacturing sectors, because most fast growing economies belong to these two former income groups. </w:t>
      </w:r>
    </w:p>
    <w:p w:rsidR="00964452" w:rsidRDefault="00964452" w:rsidP="008308E3">
      <w:pPr>
        <w:autoSpaceDE w:val="0"/>
        <w:autoSpaceDN w:val="0"/>
        <w:adjustRightInd w:val="0"/>
        <w:spacing w:after="0" w:line="240" w:lineRule="auto"/>
        <w:rPr>
          <w:sz w:val="18"/>
          <w:szCs w:val="18"/>
          <w:lang w:eastAsia="nl-NL"/>
        </w:rPr>
      </w:pPr>
    </w:p>
    <w:p w:rsidR="00964452" w:rsidRDefault="00964452" w:rsidP="008308E3">
      <w:pPr>
        <w:autoSpaceDE w:val="0"/>
        <w:autoSpaceDN w:val="0"/>
        <w:adjustRightInd w:val="0"/>
        <w:spacing w:after="0" w:line="240" w:lineRule="auto"/>
        <w:rPr>
          <w:sz w:val="18"/>
          <w:szCs w:val="18"/>
          <w:lang w:eastAsia="nl-NL"/>
        </w:rPr>
      </w:pPr>
    </w:p>
    <w:p w:rsidR="00964452" w:rsidRDefault="00964452" w:rsidP="008308E3">
      <w:pPr>
        <w:autoSpaceDE w:val="0"/>
        <w:autoSpaceDN w:val="0"/>
        <w:adjustRightInd w:val="0"/>
        <w:spacing w:after="0" w:line="240" w:lineRule="auto"/>
        <w:rPr>
          <w:sz w:val="18"/>
          <w:szCs w:val="18"/>
          <w:lang w:eastAsia="nl-NL"/>
        </w:rPr>
      </w:pPr>
    </w:p>
    <w:p w:rsidR="00964452" w:rsidRDefault="00964452" w:rsidP="008308E3">
      <w:pPr>
        <w:autoSpaceDE w:val="0"/>
        <w:autoSpaceDN w:val="0"/>
        <w:adjustRightInd w:val="0"/>
        <w:spacing w:after="0" w:line="240" w:lineRule="auto"/>
        <w:rPr>
          <w:sz w:val="18"/>
          <w:szCs w:val="18"/>
          <w:lang w:eastAsia="nl-NL"/>
        </w:rPr>
      </w:pPr>
    </w:p>
    <w:p w:rsidR="00964452" w:rsidRPr="008308E3" w:rsidRDefault="00964452" w:rsidP="008308E3">
      <w:pPr>
        <w:autoSpaceDE w:val="0"/>
        <w:autoSpaceDN w:val="0"/>
        <w:adjustRightInd w:val="0"/>
        <w:spacing w:after="0" w:line="240" w:lineRule="auto"/>
        <w:rPr>
          <w:sz w:val="18"/>
          <w:szCs w:val="18"/>
          <w:lang w:eastAsia="nl-NL"/>
        </w:rPr>
      </w:pPr>
      <w:r>
        <w:rPr>
          <w:sz w:val="18"/>
          <w:szCs w:val="18"/>
          <w:lang w:eastAsia="nl-NL"/>
        </w:rPr>
        <w:t xml:space="preserve">Figure 3: </w:t>
      </w:r>
      <w:r w:rsidRPr="00292EEE">
        <w:rPr>
          <w:sz w:val="18"/>
          <w:szCs w:val="18"/>
          <w:lang w:eastAsia="nl-NL"/>
        </w:rPr>
        <w:t>MVA as a percentage of GDP</w:t>
      </w:r>
      <w:r>
        <w:rPr>
          <w:sz w:val="18"/>
          <w:szCs w:val="18"/>
          <w:lang w:eastAsia="nl-NL"/>
        </w:rPr>
        <w:t>, per income group</w:t>
      </w:r>
    </w:p>
    <w:p w:rsidR="00964452" w:rsidRDefault="00964452" w:rsidP="00D5650A">
      <w:pPr>
        <w:spacing w:line="360" w:lineRule="auto"/>
        <w:rPr>
          <w:b/>
          <w:color w:val="FF0000"/>
          <w:u w:val="single"/>
        </w:rPr>
      </w:pPr>
      <w:r w:rsidRPr="002638B5">
        <w:rPr>
          <w:noProof/>
          <w:lang w:val="en-US"/>
        </w:rPr>
        <w:pict>
          <v:shape id="Afbeelding 12" o:spid="_x0000_i1027" type="#_x0000_t75" style="width:297pt;height:256.5pt;visibility:visible">
            <v:imagedata r:id="rId10" o:title=""/>
          </v:shape>
        </w:pict>
      </w:r>
    </w:p>
    <w:p w:rsidR="00964452" w:rsidRPr="0044686F" w:rsidRDefault="00964452" w:rsidP="00D5650A">
      <w:pPr>
        <w:spacing w:line="360" w:lineRule="auto"/>
      </w:pPr>
      <w:r>
        <w:t>Thailand and China have the largest percentage manufacturing share of income of developing countries; 33% and 32% of their GDP’s. China and the Philippines are most specialised in exports of manufactured products; 88% and 86% of their merchandised exports consists of manufacturing. Also Pakistan, Ukraine and Malaysia have large manufacturing sectors. All of these countries are lower-middle-income countries according to the World Bank country classification. Malaysia and Romania are examples of countries that belong to the upper-middle-income group that have large manufacturing sectors (Hanson &amp; Robertson, 2008</w:t>
      </w:r>
      <w:r w:rsidRPr="00EF6533">
        <w:t>)</w:t>
      </w:r>
      <w:r>
        <w:t xml:space="preserve">. </w:t>
      </w:r>
    </w:p>
    <w:p w:rsidR="00964452" w:rsidRDefault="00964452" w:rsidP="00D5650A">
      <w:pPr>
        <w:spacing w:line="360" w:lineRule="auto"/>
      </w:pPr>
      <w:r w:rsidRPr="003566A0">
        <w:t xml:space="preserve">The fact that the high-income countries have lower MVA shares can most probably be explained by the fact that as countries become richer their share of services in total output increases. Services have become of increased importance the past 2 decades. </w:t>
      </w:r>
      <w:r>
        <w:t>Because of t</w:t>
      </w:r>
      <w:r w:rsidRPr="003566A0">
        <w:t xml:space="preserve">he improvements in information and communication technology and the introduction of </w:t>
      </w:r>
      <w:r>
        <w:t xml:space="preserve">the </w:t>
      </w:r>
      <w:r w:rsidRPr="003566A0">
        <w:t>internet</w:t>
      </w:r>
      <w:r>
        <w:t>,</w:t>
      </w:r>
      <w:r w:rsidRPr="003566A0">
        <w:t xml:space="preserve"> services </w:t>
      </w:r>
      <w:r>
        <w:t xml:space="preserve">are no longer solely inputs for products, but also </w:t>
      </w:r>
      <w:r w:rsidRPr="003566A0">
        <w:t xml:space="preserve">final </w:t>
      </w:r>
      <w:r>
        <w:t>exports for consumption</w:t>
      </w:r>
      <w:r w:rsidRPr="003566A0">
        <w:t xml:space="preserve">. </w:t>
      </w:r>
      <w:r>
        <w:t xml:space="preserve">Moreover, the tradability and productivity of services have increased. These changes in the sector explain how it is possible that a lower-middle-income country like India is so successful in the service sector </w:t>
      </w:r>
      <w:r w:rsidRPr="003566A0">
        <w:t>(Mishra, Lundstrom&amp;Anand, 2011</w:t>
      </w:r>
      <w:r>
        <w:t xml:space="preserve">).  </w:t>
      </w:r>
    </w:p>
    <w:p w:rsidR="00964452" w:rsidRDefault="00964452" w:rsidP="00D5650A">
      <w:pPr>
        <w:spacing w:line="360" w:lineRule="auto"/>
      </w:pPr>
      <w:r>
        <w:t xml:space="preserve">The shift from manufacturing to services is also likely to be the reason for the decreased share of MVA of upper-middle-income countries. During the 1970s and 1980s, this country group had similar MVA shares as lower-middle-income countries and middle-income countries; 26% in 1985. In this period, this country group presumably had lower income levels than nowadays. From the late 1990s on, the upper-middle-income countries’ MVA share is more in line with high-income countries; </w:t>
      </w:r>
      <w:r w:rsidRPr="00292EEE">
        <w:t>19</w:t>
      </w:r>
      <w:r>
        <w:t>%</w:t>
      </w:r>
      <w:r w:rsidRPr="00292EEE">
        <w:t xml:space="preserve"> in 2004</w:t>
      </w:r>
      <w:r>
        <w:t xml:space="preserve">. </w:t>
      </w:r>
    </w:p>
    <w:p w:rsidR="00964452" w:rsidRDefault="00964452" w:rsidP="00D5650A">
      <w:pPr>
        <w:spacing w:line="360" w:lineRule="auto"/>
      </w:pPr>
      <w:r w:rsidRPr="00E85B6F">
        <w:t>It is not a surprise that the poorest countries have the lowest MVA shares; 12</w:t>
      </w:r>
      <w:r>
        <w:t>%</w:t>
      </w:r>
      <w:r w:rsidRPr="00E85B6F">
        <w:t xml:space="preserve"> for the least developed countries in 2004. These countries mainly produce primary products. On average more</w:t>
      </w:r>
      <w:r>
        <w:t xml:space="preserve"> than half of the workers in poor countriesare engaged in agriculture, whereas for rich countries this is on average only 3%. In addition, rich countries generally have, in relative terms, a 3 times larger share of workers employed in the industrial sector. T</w:t>
      </w:r>
      <w:r w:rsidRPr="00A23AE9">
        <w:t xml:space="preserve">he consumption pattern within these countries </w:t>
      </w:r>
      <w:r>
        <w:t>isalso</w:t>
      </w:r>
      <w:r w:rsidRPr="00A23AE9">
        <w:t>very different from richer countries.</w:t>
      </w:r>
      <w:r>
        <w:t xml:space="preserve">In poor countries farm products comprise on average 50% of household spending (Anderson, 1995). Furthermore, the poorest countries generally have protected manufacturing sectors, which leads to less efficient firms and low productivity growth (Tybout, 2000).  </w:t>
      </w:r>
    </w:p>
    <w:p w:rsidR="00964452" w:rsidRPr="00FA3D74" w:rsidRDefault="00964452" w:rsidP="00D5650A">
      <w:pPr>
        <w:pStyle w:val="Heading2"/>
        <w:spacing w:line="360" w:lineRule="auto"/>
      </w:pPr>
      <w:bookmarkStart w:id="13" w:name="_Toc286688938"/>
      <w:bookmarkStart w:id="14" w:name="_Toc299481882"/>
      <w:r w:rsidRPr="00FA3D74">
        <w:t>Level of diversification of export products</w:t>
      </w:r>
      <w:bookmarkEnd w:id="13"/>
      <w:bookmarkEnd w:id="14"/>
    </w:p>
    <w:p w:rsidR="00964452" w:rsidRPr="00E85B6F" w:rsidRDefault="00964452" w:rsidP="00D5650A">
      <w:pPr>
        <w:spacing w:line="360" w:lineRule="auto"/>
      </w:pPr>
      <w:r>
        <w:t xml:space="preserve">Although it is important for countries to produce and export non-traditional manufactures, it is essential that developing countries diversify the types of products they produce and export in order to grow (Rodrik, 2006). Along its development path, a country changes in the product range it produces and exports.Poor countries’ exports are generally dependent on a small range of products, whereas rich countries produce and export many different kinds of </w:t>
      </w:r>
      <w:r w:rsidRPr="00E85B6F">
        <w:t>products(Bora, Grynberg&amp;Razzaque, 2004).</w:t>
      </w:r>
    </w:p>
    <w:p w:rsidR="00964452" w:rsidRPr="0070463E" w:rsidRDefault="00964452" w:rsidP="00D5650A">
      <w:pPr>
        <w:spacing w:line="360" w:lineRule="auto"/>
      </w:pPr>
      <w:r w:rsidRPr="00A80BAC">
        <w:t>Imbs and Wacziarg (2003)</w:t>
      </w:r>
      <w:r>
        <w:t xml:space="preserve"> argued that there are two stages of diversification in the development process ofcountries. In the first stage countries diversify their production. This diversification has various causes. One of them is that consumer demand changes when income per capita increases. To be able to meet this demand a wider variety of products will be produced. Another motive for countries to diversify is to reduce risks. Extending the economic activity over a broader range of products works as a safety net, since the risk of for example falling demand for a particular product can be covered up by the other products. </w:t>
      </w:r>
    </w:p>
    <w:p w:rsidR="00964452" w:rsidRDefault="00964452" w:rsidP="00604772">
      <w:pPr>
        <w:spacing w:line="360" w:lineRule="auto"/>
      </w:pPr>
      <w:r>
        <w:t xml:space="preserve"> At a certain per capita income level, relatively late in the development process, countries move to the second stage of diversification and start to </w:t>
      </w:r>
      <w:r w:rsidRPr="00003024">
        <w:rPr>
          <w:i/>
        </w:rPr>
        <w:t>concentrate</w:t>
      </w:r>
      <w:r>
        <w:t xml:space="preserve"> their economic activity (Imbs&amp;Wacziarg, </w:t>
      </w:r>
      <w:r w:rsidRPr="00A80BAC">
        <w:t>2003</w:t>
      </w:r>
      <w:r>
        <w:t xml:space="preserve">). As countries shift their production from agriculture to manufacturing, scale economies become more important. Firms expand their production of the higher-income product to benefit from falling average costs per unit. Moreover, scale economies in manufacturing induces producers to agglomerate. Firms benefit from a dense area of producers, because they can share labour, capital inputs and information. In addition, improvements in logistics reduce transport costs and makes it profitable to serve a larger market, and thus to increase the production of the particular good and change the pattern of </w:t>
      </w:r>
      <w:r w:rsidRPr="00E85B6F">
        <w:t>trade (World Development Report, 2009). Furthermore</w:t>
      </w:r>
      <w:r>
        <w:t>, policies that stimulate (international) trade encourage countries to concentrate its economic activities for that reason.</w:t>
      </w:r>
    </w:p>
    <w:p w:rsidR="00964452" w:rsidRDefault="00964452" w:rsidP="00604772">
      <w:pPr>
        <w:spacing w:line="360" w:lineRule="auto"/>
      </w:pPr>
      <w:r>
        <w:t>As a</w:t>
      </w:r>
      <w:r w:rsidRPr="00A80BAC">
        <w:t>result, Imbs and Wacziarg (2003)discovered a U-shaped specialisation pattern in relation to income per capita</w:t>
      </w:r>
      <w:r>
        <w:t xml:space="preserve">, which is shown </w:t>
      </w:r>
      <w:r w:rsidRPr="008815D5">
        <w:t xml:space="preserve">in figure 4. As income </w:t>
      </w:r>
      <w:r>
        <w:t xml:space="preserve">per capita increases, countries diversify in their range of products produced, but only up to a certain income level. At a particular income per capita level, countries reverse this trend and start to concentrate their economic activities. The first stage of diversification (diversifying) is the longest part of the development path as the income level at which economies stop diversifying and start concentrating is relatively high. </w:t>
      </w:r>
    </w:p>
    <w:p w:rsidR="00964452" w:rsidRPr="008A51F8" w:rsidRDefault="00964452" w:rsidP="00D5650A">
      <w:pPr>
        <w:pStyle w:val="NoSpacing"/>
        <w:spacing w:line="360" w:lineRule="auto"/>
        <w:rPr>
          <w:sz w:val="18"/>
          <w:szCs w:val="18"/>
        </w:rPr>
      </w:pPr>
      <w:r w:rsidRPr="008815D5">
        <w:rPr>
          <w:sz w:val="18"/>
          <w:szCs w:val="18"/>
        </w:rPr>
        <w:t xml:space="preserve">Figure 4: </w:t>
      </w:r>
      <w:r w:rsidRPr="008A51F8">
        <w:rPr>
          <w:sz w:val="18"/>
          <w:szCs w:val="18"/>
        </w:rPr>
        <w:t>Relation between sectoral concentration and GDP per capita</w:t>
      </w:r>
    </w:p>
    <w:p w:rsidR="00964452" w:rsidRDefault="00964452" w:rsidP="00810193">
      <w:pPr>
        <w:spacing w:line="240" w:lineRule="auto"/>
      </w:pPr>
      <w:r w:rsidRPr="002638B5">
        <w:rPr>
          <w:noProof/>
          <w:lang w:val="en-US"/>
        </w:rPr>
        <w:pict>
          <v:shape id="Afbeelding 11" o:spid="_x0000_i1028" type="#_x0000_t75" style="width:273pt;height:172.5pt;visibility:visible">
            <v:imagedata r:id="rId11" o:title=""/>
          </v:shape>
        </w:pict>
      </w:r>
    </w:p>
    <w:p w:rsidR="00964452" w:rsidRDefault="00964452" w:rsidP="009B7492">
      <w:pPr>
        <w:pStyle w:val="NoSpacing"/>
        <w:rPr>
          <w:sz w:val="18"/>
          <w:szCs w:val="18"/>
        </w:rPr>
      </w:pPr>
      <w:r w:rsidRPr="00A70BC5">
        <w:rPr>
          <w:sz w:val="18"/>
          <w:szCs w:val="18"/>
        </w:rPr>
        <w:t>Source: ImbsandWacziarg</w:t>
      </w:r>
      <w:r>
        <w:rPr>
          <w:sz w:val="18"/>
          <w:szCs w:val="18"/>
        </w:rPr>
        <w:t>(2003)</w:t>
      </w:r>
    </w:p>
    <w:p w:rsidR="00964452" w:rsidRDefault="00964452" w:rsidP="009B7492">
      <w:pPr>
        <w:pStyle w:val="NoSpacing"/>
        <w:rPr>
          <w:sz w:val="18"/>
          <w:szCs w:val="18"/>
        </w:rPr>
      </w:pPr>
    </w:p>
    <w:p w:rsidR="00964452" w:rsidRDefault="00964452" w:rsidP="008815D5">
      <w:pPr>
        <w:spacing w:line="360" w:lineRule="auto"/>
      </w:pPr>
      <w:r>
        <w:t>Accordingly, most of the countries that are diversifying their economic activity are developing countries, whereas most of the countries that are in the specialisation stage, are rich countries</w:t>
      </w:r>
      <w:r w:rsidRPr="00A80BAC">
        <w:t>. Imbs and Wacziarg (2003)</w:t>
      </w:r>
      <w:r>
        <w:t xml:space="preserve"> estimated the level of per capita income that works as a turning point in the specialisation pattern to be around 9,000 constant 1985 US dollars, which is around the income level of Ireland in 1992. This means that in </w:t>
      </w:r>
      <w:r w:rsidRPr="00040F18">
        <w:t>current international dollars</w:t>
      </w:r>
      <w:r>
        <w:t xml:space="preserve">, this income level at which countries start to specialise its economy is around $15,000. </w:t>
      </w:r>
    </w:p>
    <w:p w:rsidR="00964452" w:rsidRPr="00E85B6F" w:rsidRDefault="00964452" w:rsidP="00D5650A">
      <w:pPr>
        <w:spacing w:line="360" w:lineRule="auto"/>
      </w:pPr>
      <w:r>
        <w:t xml:space="preserve">For most of the countries, the second part of the curve of sectoral diversification, where the countries concentrate, is flatter than the first part, where countries diversify. However, </w:t>
      </w:r>
      <w:r w:rsidRPr="00A80BAC">
        <w:t xml:space="preserve">Imbsand Wacziarg (2003) calculated that the slope of the second part </w:t>
      </w:r>
      <w:r w:rsidRPr="00A80BAC">
        <w:rPr>
          <w:i/>
        </w:rPr>
        <w:t>is</w:t>
      </w:r>
      <w:r w:rsidRPr="00A80BAC">
        <w:t xml:space="preserve"> statistically significant and positive. This difference means that a certain increase in income per capita has a larger</w:t>
      </w:r>
      <w:r>
        <w:t xml:space="preserve"> influence on sectoral concentration in the first stage than in the second</w:t>
      </w:r>
      <w:r w:rsidRPr="00E85B6F">
        <w:t>; a certain increase in income per capita leads to a higher rate of diversification in the first stage compared to the rate of concentration in the second stage.</w:t>
      </w:r>
    </w:p>
    <w:p w:rsidR="00964452" w:rsidRPr="002572FF" w:rsidRDefault="00964452" w:rsidP="00D5650A">
      <w:pPr>
        <w:spacing w:line="360" w:lineRule="auto"/>
      </w:pPr>
      <w:r>
        <w:t xml:space="preserve">The relation between diversification and income is comparable to the relation between the amount of discoveries and income, illustrated </w:t>
      </w:r>
      <w:r w:rsidRPr="002572FF">
        <w:t xml:space="preserve">in figure 5. The </w:t>
      </w:r>
      <w:r>
        <w:t xml:space="preserve">poorest countries make the fewest discoveries, and the richest countries are not very active anymore in discovery (Klinger &amp; Lederman, 2004). Lower middle-income countries diversify their production and exports by either discovering higher-income goods, by exporting their existing product to a new market, or by exporting a new product to their existing market. Although countries start to specialize at around 9,000 1985 US dollars, they also continue making discoveries, albeit at a lower rate as shown by the somewhat flatter slope of the second part of the specialisation </w:t>
      </w:r>
      <w:r w:rsidRPr="002572FF">
        <w:t>curve in figure 4</w:t>
      </w:r>
      <w:r>
        <w:t xml:space="preserve"> and by the curve in figure 5</w:t>
      </w:r>
      <w:r w:rsidRPr="002572FF">
        <w:t xml:space="preserve">. </w:t>
      </w:r>
    </w:p>
    <w:p w:rsidR="00964452" w:rsidRPr="00A70BC5" w:rsidRDefault="00964452" w:rsidP="002572FF">
      <w:pPr>
        <w:pStyle w:val="NoSpacing"/>
        <w:rPr>
          <w:sz w:val="18"/>
          <w:szCs w:val="18"/>
        </w:rPr>
      </w:pPr>
      <w:r w:rsidRPr="002572FF">
        <w:rPr>
          <w:sz w:val="18"/>
          <w:szCs w:val="18"/>
        </w:rPr>
        <w:t xml:space="preserve">Figure 5: </w:t>
      </w:r>
      <w:r w:rsidRPr="00A70BC5">
        <w:rPr>
          <w:sz w:val="18"/>
          <w:szCs w:val="18"/>
        </w:rPr>
        <w:t>Relation between discoveries and GDP per capita</w:t>
      </w:r>
    </w:p>
    <w:p w:rsidR="00964452" w:rsidRDefault="00964452" w:rsidP="00810193">
      <w:pPr>
        <w:spacing w:line="240" w:lineRule="auto"/>
      </w:pPr>
      <w:r w:rsidRPr="002638B5">
        <w:rPr>
          <w:rFonts w:ascii="Arial" w:hAnsi="Arial" w:cs="Arial"/>
          <w:noProof/>
          <w:color w:val="000000"/>
          <w:sz w:val="20"/>
          <w:szCs w:val="20"/>
          <w:lang w:val="en-US"/>
        </w:rPr>
        <w:pict>
          <v:shape id="Afbeelding 10" o:spid="_x0000_i1029" type="#_x0000_t75" style="width:230.25pt;height:165.75pt;visibility:visible">
            <v:imagedata r:id="rId12" o:title=""/>
          </v:shape>
        </w:pict>
      </w:r>
    </w:p>
    <w:p w:rsidR="00964452" w:rsidRDefault="00964452" w:rsidP="009B7492">
      <w:pPr>
        <w:pStyle w:val="NoSpacing"/>
        <w:rPr>
          <w:sz w:val="18"/>
          <w:szCs w:val="18"/>
        </w:rPr>
      </w:pPr>
      <w:r w:rsidRPr="00A70BC5">
        <w:rPr>
          <w:sz w:val="18"/>
          <w:szCs w:val="18"/>
        </w:rPr>
        <w:t>Source: Klinger and Lederman (2004)</w:t>
      </w:r>
    </w:p>
    <w:p w:rsidR="00964452" w:rsidRDefault="00964452" w:rsidP="009B7492">
      <w:pPr>
        <w:pStyle w:val="NoSpacing"/>
        <w:rPr>
          <w:sz w:val="18"/>
          <w:szCs w:val="18"/>
        </w:rPr>
      </w:pPr>
    </w:p>
    <w:p w:rsidR="00964452" w:rsidRDefault="00964452" w:rsidP="00D5650A">
      <w:pPr>
        <w:spacing w:line="360" w:lineRule="auto"/>
      </w:pPr>
      <w:r>
        <w:t xml:space="preserve">Furthermore, according </w:t>
      </w:r>
      <w:r w:rsidRPr="00A80BAC">
        <w:t xml:space="preserve">to Imbs and Wacziarg’s (2003) data, there appears to be a difference in the slope of the upward part of the curve </w:t>
      </w:r>
      <w:r w:rsidRPr="00A80BAC">
        <w:rPr>
          <w:i/>
        </w:rPr>
        <w:t>among countries</w:t>
      </w:r>
      <w:r>
        <w:t xml:space="preserve">. For their data set with only OECD countries, the slope of the upward bending part is much steeper compared to their data sets that also include developing countries. OECD countries thus concentrate at higher speed than other countries. </w:t>
      </w:r>
    </w:p>
    <w:p w:rsidR="00964452" w:rsidRDefault="00964452" w:rsidP="00D5650A">
      <w:pPr>
        <w:spacing w:line="360" w:lineRule="auto"/>
      </w:pPr>
      <w:r>
        <w:t xml:space="preserve">This goes along with another difference of OECD countries </w:t>
      </w:r>
      <w:r w:rsidRPr="00E85B6F">
        <w:t xml:space="preserve">when looking at </w:t>
      </w:r>
      <w:r w:rsidRPr="00E85B6F">
        <w:rPr>
          <w:i/>
        </w:rPr>
        <w:t>value-added data</w:t>
      </w:r>
      <w:r w:rsidRPr="00E85B6F">
        <w:t>; in this data the minimum point of sectoral concentration</w:t>
      </w:r>
      <w:r>
        <w:t xml:space="preserve"> for OECD countries occurs at a lower income level than for the combined country set. Where the majority of the countries diversify up to the income level of around 9,000 constant 1985 US dollars</w:t>
      </w:r>
      <w:r w:rsidRPr="00A80BAC">
        <w:t xml:space="preserve">, Imbs and Wacziarg (2003) discovered that </w:t>
      </w:r>
      <w:r>
        <w:t xml:space="preserve">for value-added data </w:t>
      </w:r>
      <w:r w:rsidRPr="00A80BAC">
        <w:t>OECD countries started to concentrate already at an income level of around 7,000 constant 1985 US dollars, which is roughly 12,000 current international</w:t>
      </w:r>
      <w:r>
        <w:t xml:space="preserve"> dollars. OECD countries possibly have more advantage of internal economies of scale and agglomeration economies. The OECD members cooperate by sharing experiences,research and recommendations about policies (OECD, n.d.).Although OECD countries started the second stage of diversification at a lower per capita income level than other countries, this income level is still relatively high. </w:t>
      </w:r>
    </w:p>
    <w:p w:rsidR="00964452" w:rsidRDefault="00964452" w:rsidP="00D5650A">
      <w:pPr>
        <w:spacing w:line="360" w:lineRule="auto"/>
      </w:pPr>
      <w:r>
        <w:t>An important aspect of the relationship between sectoral diversification and income is to examine whether this effect is caused by between-country or within-country variation. Since their sample of countries varies over time, the relation can to a certain extent be explained by between-country variation. Nevertheless</w:t>
      </w:r>
      <w:r w:rsidRPr="00A80BAC">
        <w:t>, Imbs and Wacziarg (2003) applied a regression on sectoral concentration (as dependent variable) and income</w:t>
      </w:r>
      <w:r>
        <w:t xml:space="preserve"> per capita (as independent variable). Their results showed statistical evidence of a significant within-country variation. </w:t>
      </w:r>
    </w:p>
    <w:p w:rsidR="00964452" w:rsidRDefault="00964452" w:rsidP="00810193">
      <w:pPr>
        <w:spacing w:line="360" w:lineRule="auto"/>
      </w:pPr>
      <w:r>
        <w:t xml:space="preserve">In addition, there are countries with very </w:t>
      </w:r>
      <w:r w:rsidRPr="00C80451">
        <w:t>different country sizes and different trade policies (open versus relatively closed to trade), that have similar specialisation patterns. For example, the United States and Belgium are very</w:t>
      </w:r>
      <w:r>
        <w:t xml:space="preserve"> different in size and openness to trade; the United States is very large and has relatively protective trade policies, whereas Belgium is small and relatively open to trade. Nevertheless, these two countries have a similar specialisation pattern, with comparable income per capita levels. The same goes for the comparison of Denmark and the United States. </w:t>
      </w:r>
    </w:p>
    <w:p w:rsidR="00964452" w:rsidRDefault="00964452" w:rsidP="00810193">
      <w:pPr>
        <w:spacing w:line="360" w:lineRule="auto"/>
      </w:pPr>
      <w:r>
        <w:t xml:space="preserve">Furthermore, when not comparing industrialised countries, but two developing countries like China and Malaysia, the same is true. China is very large and trade regulations are still present, although the major economic reforms since 1978 and the resulting membership of the WTO in 2001 had a positive effect on the accessibility of the Chinese market and made China very active in multilateral trade (WTO, 2006). In contrast, Malaysia is a small country but has an open economy. However, China and Malaysia are at a similar stage of diversification. To conclude, there are rich countries with very different country sizes and trade policies that are at a similar location of the specialisation path (concentrating), and also developing countries with large differences concerning country size and trade openness are located at a similar stage (diversifying) (Imbs&amp;Wacziarg, 2003). </w:t>
      </w:r>
    </w:p>
    <w:p w:rsidR="00964452" w:rsidRDefault="00964452" w:rsidP="00810193">
      <w:pPr>
        <w:spacing w:line="360" w:lineRule="auto"/>
      </w:pPr>
      <w:r>
        <w:t xml:space="preserve">There is some heterogeneity in the </w:t>
      </w:r>
      <w:r w:rsidRPr="00A80BAC">
        <w:t>data</w:t>
      </w:r>
      <w:r>
        <w:t>of</w:t>
      </w:r>
      <w:r w:rsidRPr="00A80BAC">
        <w:t>Imbs and Wacziarg (2003). In resemblance to OECD-countries,</w:t>
      </w:r>
      <w:r w:rsidRPr="00C80451">
        <w:t>countries with open trade policies tend to specialise at lower GDP per capita levels than other countries. Examples of open economies that started specialising earlier in the development process are Ireland</w:t>
      </w:r>
      <w:r>
        <w:t xml:space="preserve">, Singapore and Cyprus. </w:t>
      </w:r>
      <w:r w:rsidRPr="002C288D">
        <w:t xml:space="preserve">Countries gain from trade </w:t>
      </w:r>
      <w:r>
        <w:t xml:space="preserve">by the increase of the market, which allows firms to increase production and benefit further from scale economies. Moreover, the extended market allows greater variety of products. Factor mobility has a similar effect, as movement of labour allows growth in the labour force (Krugman, 1979). Additionally, Klinger and Lederman (2004) revealed population to be significantly and positively related to the amount of discoveries. Furthermore, when using their populations GDP’s, Eastern Europe’s and Central Asia’s number of discoveries was above world average in the 1990s, whereas Africa’s number of discoveries was below world average. </w:t>
      </w:r>
    </w:p>
    <w:p w:rsidR="00964452" w:rsidRDefault="00964452" w:rsidP="00810193">
      <w:pPr>
        <w:spacing w:line="360" w:lineRule="auto"/>
      </w:pPr>
      <w:r>
        <w:t xml:space="preserve">Although open economies start specialising at lower per capita income levels, also closed economies end up concentrating in its sectors (Imbs&amp;Wacziarg, 2003). This means that all countries have a u-shaped sectoralconcentration pattern in relation to income, but that among others, the degree of openness of the economy determines the income per capita level at which sectoral concentration is at its minimum. The interaction of income and trade openness thus determines the stages of diversification. </w:t>
      </w:r>
    </w:p>
    <w:p w:rsidR="00964452" w:rsidRPr="004836A0" w:rsidRDefault="00964452" w:rsidP="00D5650A">
      <w:pPr>
        <w:spacing w:line="360" w:lineRule="auto"/>
      </w:pPr>
    </w:p>
    <w:p w:rsidR="00964452" w:rsidRPr="004836A0" w:rsidRDefault="00964452" w:rsidP="00D5650A">
      <w:pPr>
        <w:pStyle w:val="Heading1"/>
        <w:numPr>
          <w:ilvl w:val="0"/>
          <w:numId w:val="2"/>
        </w:numPr>
        <w:spacing w:line="360" w:lineRule="auto"/>
      </w:pPr>
      <w:bookmarkStart w:id="15" w:name="_Toc286688939"/>
      <w:bookmarkStart w:id="16" w:name="_Toc299481883"/>
      <w:r>
        <w:t>Measuring p</w:t>
      </w:r>
      <w:r w:rsidRPr="004836A0">
        <w:t>roductivity levels of products and of specialisation patterns</w:t>
      </w:r>
      <w:bookmarkEnd w:id="15"/>
      <w:bookmarkEnd w:id="16"/>
    </w:p>
    <w:p w:rsidR="00964452" w:rsidRDefault="00964452" w:rsidP="00D5650A">
      <w:pPr>
        <w:spacing w:line="360" w:lineRule="auto"/>
      </w:pPr>
      <w:r>
        <w:t xml:space="preserve">To be able to analyse the differences among countries in terms of their export productivity, this part introduces a measure of the productivity level of products, as well as a measure of the productivity level of countries’ export baskets. Furthermore, the difference in productivity levels between a large set of products will be discussed, as well as the products with the smallest and largest productivity levels. </w:t>
      </w:r>
    </w:p>
    <w:p w:rsidR="00964452" w:rsidRDefault="00964452" w:rsidP="00D5650A">
      <w:pPr>
        <w:pStyle w:val="Heading2"/>
        <w:spacing w:line="360" w:lineRule="auto"/>
      </w:pPr>
      <w:bookmarkStart w:id="17" w:name="_Toc286688940"/>
      <w:bookmarkStart w:id="18" w:name="_Toc299481884"/>
      <w:r>
        <w:t>Method</w:t>
      </w:r>
      <w:bookmarkEnd w:id="17"/>
      <w:bookmarkEnd w:id="18"/>
    </w:p>
    <w:p w:rsidR="00964452" w:rsidRDefault="00964452" w:rsidP="00D5650A">
      <w:pPr>
        <w:pStyle w:val="Heading3"/>
        <w:spacing w:line="360" w:lineRule="auto"/>
      </w:pPr>
      <w:bookmarkStart w:id="19" w:name="_Toc299481885"/>
      <w:r w:rsidRPr="00B2096D">
        <w:t>Introducing PRODY and EXPY</w:t>
      </w:r>
      <w:bookmarkEnd w:id="19"/>
    </w:p>
    <w:p w:rsidR="00964452" w:rsidRPr="00B2096D" w:rsidRDefault="00964452" w:rsidP="00D5650A">
      <w:pPr>
        <w:spacing w:line="360" w:lineRule="auto"/>
        <w:rPr>
          <w:u w:val="single"/>
        </w:rPr>
      </w:pPr>
      <w:r w:rsidRPr="009E65A6">
        <w:t>Hausmann et al. (2007)</w:t>
      </w:r>
      <w:r w:rsidRPr="004836A0">
        <w:t xml:space="preserve">produced a measure of the productivity level of a country’s specialisation pattern </w:t>
      </w:r>
      <w:r w:rsidRPr="00275C9E">
        <w:t>that predicts subsequent economic growth</w:t>
      </w:r>
      <w:r w:rsidRPr="004836A0">
        <w:t xml:space="preserve">. </w:t>
      </w:r>
      <w:r>
        <w:t>First of all, t</w:t>
      </w:r>
      <w:r w:rsidRPr="004836A0">
        <w:t>hey created an index, being a weighted average of the GDP</w:t>
      </w:r>
      <w:r>
        <w:t>’s per capita</w:t>
      </w:r>
      <w:r w:rsidRPr="004836A0">
        <w:t xml:space="preserve"> of countries producing a certain product. The weights reflect the revealed comparative advantage of each country in a certain good (</w:t>
      </w:r>
      <w:r w:rsidRPr="004836A0">
        <w:rPr>
          <w:i/>
        </w:rPr>
        <w:t>k</w:t>
      </w:r>
      <w:r w:rsidRPr="004836A0">
        <w:t>). The index, called PRODY gives the income level associated with that product (</w:t>
      </w:r>
      <w:r w:rsidRPr="004836A0">
        <w:rPr>
          <w:i/>
        </w:rPr>
        <w:t>k</w:t>
      </w:r>
      <w:r w:rsidRPr="004836A0">
        <w:t>); it is the income/productivity level of that product(</w:t>
      </w:r>
      <w:r w:rsidRPr="004836A0">
        <w:rPr>
          <w:i/>
        </w:rPr>
        <w:t>k</w:t>
      </w:r>
      <w:r w:rsidRPr="004836A0">
        <w:t xml:space="preserve">). </w:t>
      </w:r>
    </w:p>
    <w:p w:rsidR="00964452" w:rsidRPr="004836A0" w:rsidRDefault="00964452" w:rsidP="00D5650A">
      <w:pPr>
        <w:spacing w:line="360" w:lineRule="auto"/>
      </w:pPr>
      <w:r w:rsidRPr="004836A0">
        <w:t>The construction of the index is as follows:</w:t>
      </w:r>
      <w:r w:rsidRPr="004836A0">
        <w:rPr>
          <w:position w:val="-36"/>
        </w:rPr>
        <w:object w:dxaOrig="3080" w:dyaOrig="780">
          <v:shape id="_x0000_i1030" type="#_x0000_t75" style="width:149.25pt;height:37.5pt" o:ole="">
            <v:imagedata r:id="rId13" o:title=""/>
          </v:shape>
          <o:OLEObject Type="Embed" ProgID="Equation.3" ShapeID="_x0000_i1030" DrawAspect="Content" ObjectID="_1373349509" r:id="rId14"/>
        </w:object>
      </w:r>
    </w:p>
    <w:p w:rsidR="00964452" w:rsidRPr="004836A0" w:rsidRDefault="00964452" w:rsidP="00D5650A">
      <w:pPr>
        <w:spacing w:line="360" w:lineRule="auto"/>
      </w:pPr>
      <w:r w:rsidRPr="004836A0">
        <w:t>Where x</w:t>
      </w:r>
      <w:r w:rsidRPr="004836A0">
        <w:rPr>
          <w:vertAlign w:val="subscript"/>
        </w:rPr>
        <w:t>jk</w:t>
      </w:r>
      <w:r w:rsidRPr="004836A0">
        <w:t xml:space="preserve"> represents the export volume of a particular product </w:t>
      </w:r>
      <w:r w:rsidRPr="004836A0">
        <w:rPr>
          <w:i/>
        </w:rPr>
        <w:t>k</w:t>
      </w:r>
      <w:r w:rsidRPr="004836A0">
        <w:t xml:space="preserve"> of country </w:t>
      </w:r>
      <w:r w:rsidRPr="004836A0">
        <w:rPr>
          <w:i/>
        </w:rPr>
        <w:t>j</w:t>
      </w:r>
      <w:r w:rsidRPr="004836A0">
        <w:t xml:space="preserve">, </w:t>
      </w:r>
      <w:r w:rsidRPr="004836A0">
        <w:rPr>
          <w:i/>
        </w:rPr>
        <w:t>X</w:t>
      </w:r>
      <w:r w:rsidRPr="004836A0">
        <w:rPr>
          <w:i/>
          <w:vertAlign w:val="subscript"/>
        </w:rPr>
        <w:t>j</w:t>
      </w:r>
      <w:r>
        <w:t xml:space="preserve"> total exports of country </w:t>
      </w:r>
      <w:r w:rsidRPr="00A92654">
        <w:rPr>
          <w:i/>
        </w:rPr>
        <w:t>j</w:t>
      </w:r>
      <w:r>
        <w:t>:</w:t>
      </w:r>
      <w:r w:rsidRPr="004836A0">
        <w:rPr>
          <w:position w:val="-28"/>
        </w:rPr>
        <w:object w:dxaOrig="1160" w:dyaOrig="540">
          <v:shape id="_x0000_i1031" type="#_x0000_t75" style="width:57.75pt;height:27pt" o:ole="">
            <v:imagedata r:id="rId15" o:title=""/>
          </v:shape>
          <o:OLEObject Type="Embed" ProgID="Equation.3" ShapeID="_x0000_i1031" DrawAspect="Content" ObjectID="_1373349510" r:id="rId16"/>
        </w:object>
      </w:r>
      <w:r w:rsidRPr="004836A0">
        <w:t xml:space="preserve">, and </w:t>
      </w:r>
      <w:r w:rsidRPr="004836A0">
        <w:rPr>
          <w:i/>
        </w:rPr>
        <w:t>Y</w:t>
      </w:r>
      <w:r w:rsidRPr="004836A0">
        <w:rPr>
          <w:i/>
          <w:vertAlign w:val="subscript"/>
        </w:rPr>
        <w:t>j</w:t>
      </w:r>
      <w:r w:rsidRPr="004836A0">
        <w:t xml:space="preserve"> GDP per capita of country </w:t>
      </w:r>
      <w:r w:rsidRPr="004836A0">
        <w:rPr>
          <w:i/>
        </w:rPr>
        <w:t>j</w:t>
      </w:r>
      <w:r w:rsidRPr="004836A0">
        <w:t>.</w:t>
      </w:r>
    </w:p>
    <w:p w:rsidR="00964452" w:rsidRPr="009E65A6" w:rsidRDefault="00964452" w:rsidP="00D5650A">
      <w:pPr>
        <w:spacing w:line="360" w:lineRule="auto"/>
      </w:pPr>
      <w:r>
        <w:t>Second, s</w:t>
      </w:r>
      <w:r w:rsidRPr="004836A0">
        <w:t>ince the productivity level of each product</w:t>
      </w:r>
      <w:r>
        <w:t xml:space="preserve"> is now known</w:t>
      </w:r>
      <w:r w:rsidRPr="004836A0">
        <w:t>, the income/productivity level of a country’s export basket</w:t>
      </w:r>
      <w:r>
        <w:t xml:space="preserve"> can now be constructed</w:t>
      </w:r>
      <w:r w:rsidRPr="004836A0">
        <w:t xml:space="preserve">, </w:t>
      </w:r>
      <w:r w:rsidRPr="009E65A6">
        <w:t>which Hausmann et al. (2007) called EXPY. This index is defined as follows:</w:t>
      </w:r>
    </w:p>
    <w:p w:rsidR="00964452" w:rsidRPr="004836A0" w:rsidRDefault="00964452" w:rsidP="00D5650A">
      <w:pPr>
        <w:spacing w:line="360" w:lineRule="auto"/>
      </w:pPr>
      <w:r w:rsidRPr="004836A0">
        <w:rPr>
          <w:position w:val="-32"/>
        </w:rPr>
        <w:object w:dxaOrig="2720" w:dyaOrig="760">
          <v:shape id="_x0000_i1032" type="#_x0000_t75" style="width:135pt;height:37.5pt" o:ole="">
            <v:imagedata r:id="rId17" o:title=""/>
          </v:shape>
          <o:OLEObject Type="Embed" ProgID="Equation.3" ShapeID="_x0000_i1032" DrawAspect="Content" ObjectID="_1373349511" r:id="rId18"/>
        </w:object>
      </w:r>
    </w:p>
    <w:p w:rsidR="00964452" w:rsidRPr="004836A0" w:rsidRDefault="00964452" w:rsidP="00D5650A">
      <w:pPr>
        <w:spacing w:line="360" w:lineRule="auto"/>
      </w:pPr>
      <w:r w:rsidRPr="004836A0">
        <w:t xml:space="preserve">Where </w:t>
      </w:r>
      <w:r w:rsidRPr="004836A0">
        <w:rPr>
          <w:i/>
        </w:rPr>
        <w:t>x</w:t>
      </w:r>
      <w:r w:rsidRPr="004836A0">
        <w:rPr>
          <w:i/>
          <w:vertAlign w:val="subscript"/>
        </w:rPr>
        <w:t>il</w:t>
      </w:r>
      <w:r w:rsidRPr="004836A0">
        <w:t xml:space="preserve"> represents the export volume of the product </w:t>
      </w:r>
      <w:r w:rsidRPr="004836A0">
        <w:rPr>
          <w:i/>
        </w:rPr>
        <w:t>l</w:t>
      </w:r>
      <w:r w:rsidRPr="004836A0">
        <w:t xml:space="preserve"> of a particular country </w:t>
      </w:r>
      <w:r w:rsidRPr="004836A0">
        <w:rPr>
          <w:i/>
        </w:rPr>
        <w:t>i</w:t>
      </w:r>
      <w:r w:rsidRPr="004836A0">
        <w:t xml:space="preserve">, </w:t>
      </w:r>
      <w:r w:rsidRPr="004836A0">
        <w:rPr>
          <w:i/>
        </w:rPr>
        <w:t>X</w:t>
      </w:r>
      <w:r w:rsidRPr="004836A0">
        <w:rPr>
          <w:i/>
          <w:vertAlign w:val="subscript"/>
        </w:rPr>
        <w:t>i</w:t>
      </w:r>
      <w:r w:rsidRPr="004836A0">
        <w:t xml:space="preserve"> total exports of a particular country </w:t>
      </w:r>
      <w:r w:rsidRPr="004836A0">
        <w:rPr>
          <w:i/>
        </w:rPr>
        <w:t>i</w:t>
      </w:r>
      <w:r w:rsidRPr="004836A0">
        <w:t>, and PRODY</w:t>
      </w:r>
      <w:r w:rsidRPr="004836A0">
        <w:rPr>
          <w:vertAlign w:val="subscript"/>
        </w:rPr>
        <w:t>l</w:t>
      </w:r>
      <w:r w:rsidRPr="004836A0">
        <w:t xml:space="preserve"> the productivity level of product </w:t>
      </w:r>
      <w:r w:rsidRPr="004836A0">
        <w:rPr>
          <w:i/>
        </w:rPr>
        <w:t>l</w:t>
      </w:r>
      <w:r w:rsidRPr="004836A0">
        <w:t xml:space="preserve">. </w:t>
      </w:r>
    </w:p>
    <w:p w:rsidR="00964452" w:rsidRPr="004836A0" w:rsidRDefault="00964452" w:rsidP="00D5650A">
      <w:pPr>
        <w:spacing w:line="360" w:lineRule="auto"/>
      </w:pPr>
      <w:r w:rsidRPr="004836A0">
        <w:t>In other words; EXPY is the export-weighted average of the various PRODY</w:t>
      </w:r>
      <w:r>
        <w:t xml:space="preserve"> of the exported productsof</w:t>
      </w:r>
      <w:r w:rsidRPr="004836A0">
        <w:t xml:space="preserve"> a particular country. Thus, PRODY measures the productivity level of a particular product </w:t>
      </w:r>
      <w:r w:rsidRPr="004836A0">
        <w:rPr>
          <w:i/>
        </w:rPr>
        <w:t>k</w:t>
      </w:r>
      <w:r w:rsidRPr="004836A0">
        <w:t xml:space="preserve">, whereas EXPY measures the productivity level of the export basket of a particular county </w:t>
      </w:r>
      <w:r w:rsidRPr="004836A0">
        <w:rPr>
          <w:i/>
        </w:rPr>
        <w:t>i</w:t>
      </w:r>
      <w:r w:rsidRPr="004836A0">
        <w:t>.</w:t>
      </w:r>
    </w:p>
    <w:p w:rsidR="00964452" w:rsidRPr="00B2096D" w:rsidRDefault="00964452" w:rsidP="00D5650A">
      <w:pPr>
        <w:pStyle w:val="Heading3"/>
        <w:spacing w:line="360" w:lineRule="auto"/>
      </w:pPr>
      <w:bookmarkStart w:id="20" w:name="_Toc299481886"/>
      <w:r w:rsidRPr="00B2096D">
        <w:t>Data sources of the research</w:t>
      </w:r>
      <w:bookmarkEnd w:id="20"/>
    </w:p>
    <w:p w:rsidR="00964452" w:rsidRDefault="00964452" w:rsidP="00D5650A">
      <w:pPr>
        <w:spacing w:line="360" w:lineRule="auto"/>
      </w:pPr>
      <w:r>
        <w:t>In order to be able to use the PRODY and EXPY measures f</w:t>
      </w:r>
      <w:r w:rsidRPr="004836A0">
        <w:t xml:space="preserve">or the </w:t>
      </w:r>
      <w:r>
        <w:t xml:space="preserve">data </w:t>
      </w:r>
      <w:r w:rsidRPr="004836A0">
        <w:t xml:space="preserve">research </w:t>
      </w:r>
      <w:r>
        <w:t xml:space="preserve">of this paper,annual </w:t>
      </w:r>
      <w:r w:rsidRPr="004836A0">
        <w:t>export data</w:t>
      </w:r>
      <w:r>
        <w:t xml:space="preserve"> were obtained</w:t>
      </w:r>
      <w:r w:rsidRPr="004836A0">
        <w:t xml:space="preserve"> from the UN database COMTRADE</w:t>
      </w:r>
      <w:r>
        <w:t xml:space="preserve"> for the years 1988 to 2008</w:t>
      </w:r>
      <w:r w:rsidRPr="004836A0">
        <w:t xml:space="preserve">. </w:t>
      </w:r>
      <w:r>
        <w:t xml:space="preserve">Since the PRODY and EXPY indexes require </w:t>
      </w:r>
      <w:r w:rsidRPr="004836A0">
        <w:t>countries’ total export volumes as well as their export volumes of particular products</w:t>
      </w:r>
      <w:r>
        <w:t>, the</w:t>
      </w:r>
      <w:r w:rsidRPr="004836A0">
        <w:t xml:space="preserve"> 6-digit level of disaggregation</w:t>
      </w:r>
      <w:r>
        <w:t>according to the Harmonised System (HS)was used</w:t>
      </w:r>
      <w:r w:rsidRPr="004836A0">
        <w:t>.</w:t>
      </w:r>
      <w:r>
        <w:t xml:space="preserve"> As a result, export figures for up to 5,111 products were acquired.</w:t>
      </w:r>
    </w:p>
    <w:p w:rsidR="00964452" w:rsidRDefault="00964452" w:rsidP="00D5650A">
      <w:pPr>
        <w:spacing w:line="360" w:lineRule="auto"/>
      </w:pPr>
      <w:r w:rsidRPr="004836A0">
        <w:t>In order to obtain a consistent sample of countries, and to prevent</w:t>
      </w:r>
      <w:r>
        <w:t xml:space="preserve"> bias, the sample of countries</w:t>
      </w:r>
      <w:r w:rsidRPr="004836A0">
        <w:t xml:space="preserve"> used consists of countries that reported export data in each of the years 2002, 2003 and 2004. Consequently, the annual trade data is available for up to 132 countries</w:t>
      </w:r>
      <w:r>
        <w:t>, as reported in appendix 1</w:t>
      </w:r>
      <w:r w:rsidRPr="004836A0">
        <w:t xml:space="preserve">. Hence, </w:t>
      </w:r>
      <w:r>
        <w:t>the</w:t>
      </w:r>
      <w:r w:rsidRPr="004836A0">
        <w:t xml:space="preserve"> data file </w:t>
      </w:r>
      <w:r>
        <w:t xml:space="preserve">used for this paper </w:t>
      </w:r>
      <w:r w:rsidRPr="004836A0">
        <w:t xml:space="preserve">consists of over 5,000 export records per country per year, for up to 132 countries, for a period of </w:t>
      </w:r>
      <w:r>
        <w:t>21</w:t>
      </w:r>
      <w:r w:rsidRPr="004836A0">
        <w:t xml:space="preserve"> years. GDP per capita as well as GDP per capita growth figures were obtained from the World Development Indicators (WDI) of the WorldBank</w:t>
      </w:r>
      <w:r w:rsidRPr="00B93E94">
        <w:t xml:space="preserve">. Since the sample consists of many countries, PPP-adjusted GDP per capita figures from the Penn World Tables were used. </w:t>
      </w:r>
    </w:p>
    <w:p w:rsidR="00964452" w:rsidRDefault="00964452" w:rsidP="00D5650A">
      <w:pPr>
        <w:spacing w:line="360" w:lineRule="auto"/>
        <w:rPr>
          <w:u w:val="single"/>
        </w:rPr>
      </w:pPr>
      <w:r>
        <w:rPr>
          <w:u w:val="single"/>
        </w:rPr>
        <w:t>Shortcomings of PRODY and EXPY</w:t>
      </w:r>
    </w:p>
    <w:p w:rsidR="00964452" w:rsidRPr="00597CE9" w:rsidRDefault="00964452" w:rsidP="00D5650A">
      <w:pPr>
        <w:spacing w:line="360" w:lineRule="auto"/>
      </w:pPr>
      <w:r w:rsidRPr="00597CE9">
        <w:t>Although the HS is a good method to compare export structures across countries, the use of 6-digit level data has its limitations; HS6 is not disaggregated enough for high-tech products. HS6 averages products</w:t>
      </w:r>
      <w:r>
        <w:t xml:space="preserve"> of a higher disaggregated levelalthough these products have</w:t>
      </w:r>
      <w:r w:rsidRPr="00597CE9">
        <w:t xml:space="preserve"> different degrees of value added, which results in miscalculations. Consequently, EXPY underestimates the export productivity of developed countries, and overestimates the productivity of poor countries’ exports. However, the availability of more disaggregated data that is suitable to compare all countries of the large sample is limited. </w:t>
      </w:r>
    </w:p>
    <w:p w:rsidR="00964452" w:rsidRDefault="00964452" w:rsidP="00597CE9">
      <w:pPr>
        <w:spacing w:line="360" w:lineRule="auto"/>
      </w:pPr>
      <w:r w:rsidRPr="00597CE9">
        <w:t>The HS 6-digit commodity codes are identical across all countries in the world. In addition,  countries using the HS6 classification are allowed todescribe their exports at a more disaggregated level, although they should be consistent with the 6-digit structure (Export.gov, 2011). The US Census Bureau</w:t>
      </w:r>
      <w:r>
        <w:t>, for example,</w:t>
      </w:r>
      <w:r w:rsidRPr="00597CE9">
        <w:t xml:space="preserve"> publishes 10-digit export figures for the United States according to Schedule B classification</w:t>
      </w:r>
      <w:r w:rsidRPr="00597CE9">
        <w:rPr>
          <w:rStyle w:val="FootnoteReference"/>
        </w:rPr>
        <w:footnoteReference w:id="8"/>
      </w:r>
      <w:r w:rsidRPr="00597CE9">
        <w:t xml:space="preserve"> (US Census Bureau, 2011). Furthermore, the Directorate General of Commercial Intelligence and Statistics (DGCI&amp;S) publishes the Indian Trade Classification (Harmonised System), which is an 8-digit commodity classification. Other countries have 8 or 10-digit trade data available too; so for these countries the differences in export structure over time can be analysed. Nevertheless, since many countries within the sample do not have such disaggregated export data available, the HS 6-digit level is used in this paper, which is</w:t>
      </w:r>
      <w:r>
        <w:t xml:space="preserve"> also</w:t>
      </w:r>
      <w:r w:rsidRPr="00597CE9">
        <w:t xml:space="preserve"> commonly used </w:t>
      </w:r>
      <w:r>
        <w:t>as</w:t>
      </w:r>
      <w:r w:rsidRPr="00597CE9">
        <w:t xml:space="preserve"> disaggregated data.</w:t>
      </w:r>
    </w:p>
    <w:p w:rsidR="00964452" w:rsidRPr="004836A0" w:rsidRDefault="00964452" w:rsidP="00D5650A">
      <w:pPr>
        <w:pStyle w:val="Heading2"/>
        <w:spacing w:line="360" w:lineRule="auto"/>
      </w:pPr>
      <w:bookmarkStart w:id="21" w:name="_Toc286688941"/>
      <w:bookmarkStart w:id="22" w:name="_Toc299481887"/>
      <w:r>
        <w:t>Productivity levels of products</w:t>
      </w:r>
      <w:bookmarkEnd w:id="21"/>
      <w:bookmarkEnd w:id="22"/>
    </w:p>
    <w:p w:rsidR="00964452" w:rsidRPr="00174636" w:rsidRDefault="00964452" w:rsidP="00D5650A">
      <w:pPr>
        <w:pStyle w:val="Heading3"/>
        <w:spacing w:line="360" w:lineRule="auto"/>
      </w:pPr>
      <w:bookmarkStart w:id="23" w:name="_Toc299481888"/>
      <w:r w:rsidRPr="00174636">
        <w:t>Variation in PRODY</w:t>
      </w:r>
      <w:bookmarkEnd w:id="23"/>
    </w:p>
    <w:p w:rsidR="00964452" w:rsidRPr="004836A0" w:rsidRDefault="00964452" w:rsidP="008E29F5">
      <w:pPr>
        <w:spacing w:line="360" w:lineRule="auto"/>
      </w:pPr>
      <w:r w:rsidRPr="004836A0">
        <w:t>By means of these data, the PRODY’s for each</w:t>
      </w:r>
      <w:r>
        <w:t xml:space="preserve"> of the</w:t>
      </w:r>
      <w:r w:rsidRPr="004836A0">
        <w:t xml:space="preserve"> product</w:t>
      </w:r>
      <w:r>
        <w:t>s at 6-digit level were constructed</w:t>
      </w:r>
      <w:r w:rsidRPr="004B3664">
        <w:t>. Table 1 sho</w:t>
      </w:r>
      <w:r w:rsidRPr="004836A0">
        <w:t xml:space="preserve">ws the descriptive statistics for the mean of PRODY’s for the years 2002, 2003 and 2004 of </w:t>
      </w:r>
      <w:r>
        <w:t>5,110</w:t>
      </w:r>
      <w:r w:rsidRPr="004836A0">
        <w:t xml:space="preserve"> products. It shows that the income productivityassociated with particular</w:t>
      </w:r>
      <w:r>
        <w:t xml:space="preserve"> export </w:t>
      </w:r>
      <w:r w:rsidRPr="004836A0">
        <w:t xml:space="preserve">products varies from </w:t>
      </w:r>
      <w:r>
        <w:t>$671</w:t>
      </w:r>
      <w:r w:rsidRPr="004836A0">
        <w:t xml:space="preserve"> to </w:t>
      </w:r>
      <w:r>
        <w:t>$</w:t>
      </w:r>
      <w:r w:rsidRPr="004836A0">
        <w:t>56,</w:t>
      </w:r>
      <w:r>
        <w:t>323</w:t>
      </w:r>
      <w:r w:rsidRPr="004836A0">
        <w:t>, with a</w:t>
      </w:r>
      <w:r>
        <w:t xml:space="preserve"> mean of $</w:t>
      </w:r>
      <w:r w:rsidRPr="00326869">
        <w:t>15,646and a</w:t>
      </w:r>
      <w:r w:rsidRPr="004836A0">
        <w:t xml:space="preserve">standard deviation of </w:t>
      </w:r>
      <w:r>
        <w:t>$</w:t>
      </w:r>
      <w:r w:rsidRPr="004836A0">
        <w:t>7,</w:t>
      </w:r>
      <w:r>
        <w:t>399</w:t>
      </w:r>
      <w:r w:rsidRPr="004836A0">
        <w:t>. This large variation</w:t>
      </w:r>
      <w:r>
        <w:t xml:space="preserve"> seams to confirm</w:t>
      </w:r>
      <w:r w:rsidRPr="004836A0">
        <w:t xml:space="preserve"> the idea that the product content of a country’s export basket depend</w:t>
      </w:r>
      <w:r>
        <w:t>s</w:t>
      </w:r>
      <w:r w:rsidRPr="004836A0">
        <w:t xml:space="preserve"> on its GDP per capita. These findings are rather similar to the ones </w:t>
      </w:r>
      <w:r w:rsidRPr="009E65A6">
        <w:t>of Hausmann et al. (2007); their minimum value of the mean of PRODY for the years 1999, 2000 and</w:t>
      </w:r>
      <w:r w:rsidRPr="004836A0">
        <w:t xml:space="preserve"> 2001 was </w:t>
      </w:r>
      <w:r>
        <w:t>$</w:t>
      </w:r>
      <w:r w:rsidRPr="004836A0">
        <w:t xml:space="preserve">748, and they found a maximum of </w:t>
      </w:r>
      <w:r>
        <w:t>$</w:t>
      </w:r>
      <w:r w:rsidRPr="004836A0">
        <w:t xml:space="preserve">46,860. Furthermore, they had a standard deviation of </w:t>
      </w:r>
      <w:r>
        <w:t>$</w:t>
      </w:r>
      <w:r w:rsidRPr="004836A0">
        <w:t xml:space="preserve">6,110. The variation in PRODY’s in </w:t>
      </w:r>
      <w:r>
        <w:t xml:space="preserve">the paper </w:t>
      </w:r>
      <w:r w:rsidRPr="004836A0">
        <w:t>of Hausmann et al.</w:t>
      </w:r>
      <w:r>
        <w:t xml:space="preserve"> (2007) was </w:t>
      </w:r>
      <w:r w:rsidRPr="004836A0">
        <w:t xml:space="preserve">somewhat </w:t>
      </w:r>
      <w:r>
        <w:t>smaller than in this</w:t>
      </w:r>
      <w:r w:rsidRPr="004836A0">
        <w:t xml:space="preserve"> paper. This could perhaps be explained by the different time period for which the PRODY means were constructed. The </w:t>
      </w:r>
      <w:r>
        <w:t xml:space="preserve">difference of almost $10,000 </w:t>
      </w:r>
      <w:r w:rsidRPr="004836A0">
        <w:t xml:space="preserve">of the </w:t>
      </w:r>
      <w:r w:rsidRPr="00AE0A83">
        <w:rPr>
          <w:i/>
        </w:rPr>
        <w:t>maximum</w:t>
      </w:r>
      <w:r w:rsidRPr="004836A0">
        <w:t xml:space="preserve"> value of PRODY is mainly responsible for this increase in variation, since the minimum va</w:t>
      </w:r>
      <w:r>
        <w:t>lue is roughly unchanged. That c</w:t>
      </w:r>
      <w:r w:rsidRPr="004836A0">
        <w:t>ould mean that over time products with even higher productivity levels have been exported</w:t>
      </w:r>
      <w:r>
        <w:t>, but it is more probable that this can be explained by measurement differences</w:t>
      </w:r>
      <w:r w:rsidRPr="004836A0">
        <w:t xml:space="preserve">. </w:t>
      </w:r>
    </w:p>
    <w:p w:rsidR="00964452" w:rsidRPr="00203A01" w:rsidRDefault="00964452" w:rsidP="00D5650A">
      <w:pPr>
        <w:autoSpaceDE w:val="0"/>
        <w:autoSpaceDN w:val="0"/>
        <w:adjustRightInd w:val="0"/>
        <w:spacing w:after="0" w:line="240" w:lineRule="auto"/>
        <w:rPr>
          <w:sz w:val="18"/>
          <w:szCs w:val="18"/>
          <w:lang w:eastAsia="nl-NL"/>
        </w:rPr>
      </w:pPr>
      <w:r w:rsidRPr="004836A0">
        <w:rPr>
          <w:sz w:val="18"/>
          <w:szCs w:val="18"/>
          <w:lang w:eastAsia="nl-NL"/>
        </w:rPr>
        <w:t>Table 1: Descriptive statistics PRODY</w:t>
      </w:r>
    </w:p>
    <w:tbl>
      <w:tblPr>
        <w:tblW w:w="831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27"/>
        <w:gridCol w:w="1010"/>
        <w:gridCol w:w="1062"/>
        <w:gridCol w:w="1094"/>
        <w:gridCol w:w="1298"/>
        <w:gridCol w:w="1428"/>
      </w:tblGrid>
      <w:tr w:rsidR="00964452" w:rsidRPr="008E29F5" w:rsidTr="009C5F11">
        <w:trPr>
          <w:cantSplit/>
          <w:tblHeader/>
        </w:trPr>
        <w:tc>
          <w:tcPr>
            <w:tcW w:w="8316" w:type="dxa"/>
            <w:gridSpan w:val="6"/>
            <w:tcBorders>
              <w:top w:val="nil"/>
              <w:left w:val="nil"/>
              <w:bottom w:val="nil"/>
              <w:right w:val="nil"/>
            </w:tcBorders>
            <w:shd w:val="clear" w:color="auto" w:fill="FFFFFF"/>
            <w:tcMar>
              <w:top w:w="30" w:type="dxa"/>
              <w:left w:w="30" w:type="dxa"/>
              <w:bottom w:w="30" w:type="dxa"/>
              <w:right w:w="30" w:type="dxa"/>
            </w:tcMar>
            <w:vAlign w:val="center"/>
          </w:tcPr>
          <w:p w:rsidR="00964452" w:rsidRPr="008E29F5" w:rsidRDefault="00964452" w:rsidP="0041359E">
            <w:pPr>
              <w:autoSpaceDE w:val="0"/>
              <w:autoSpaceDN w:val="0"/>
              <w:adjustRightInd w:val="0"/>
              <w:spacing w:after="0" w:line="240" w:lineRule="auto"/>
              <w:jc w:val="center"/>
              <w:rPr>
                <w:rFonts w:ascii="Arial" w:hAnsi="Arial" w:cs="Arial"/>
                <w:color w:val="000000"/>
                <w:sz w:val="18"/>
                <w:szCs w:val="18"/>
                <w:lang w:eastAsia="nl-NL"/>
              </w:rPr>
            </w:pPr>
            <w:r w:rsidRPr="008E29F5">
              <w:rPr>
                <w:rFonts w:ascii="Arial" w:hAnsi="Arial" w:cs="Arial"/>
                <w:b/>
                <w:bCs/>
                <w:color w:val="000000"/>
                <w:sz w:val="18"/>
                <w:szCs w:val="18"/>
                <w:lang w:eastAsia="nl-NL"/>
              </w:rPr>
              <w:t>DescriptiveStatistics</w:t>
            </w:r>
          </w:p>
        </w:tc>
      </w:tr>
      <w:tr w:rsidR="00964452" w:rsidRPr="00A912EC" w:rsidTr="009C5F11">
        <w:trPr>
          <w:cantSplit/>
          <w:tblHeader/>
        </w:trPr>
        <w:tc>
          <w:tcPr>
            <w:tcW w:w="242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964452" w:rsidRPr="00A912EC" w:rsidRDefault="00964452" w:rsidP="0041359E">
            <w:pPr>
              <w:autoSpaceDE w:val="0"/>
              <w:autoSpaceDN w:val="0"/>
              <w:adjustRightInd w:val="0"/>
              <w:spacing w:after="0" w:line="240" w:lineRule="auto"/>
              <w:jc w:val="center"/>
              <w:rPr>
                <w:lang w:val="nl-NL" w:eastAsia="nl-NL"/>
              </w:rPr>
            </w:pP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64452" w:rsidRPr="00A912EC" w:rsidRDefault="00964452" w:rsidP="0041359E">
            <w:pPr>
              <w:autoSpaceDE w:val="0"/>
              <w:autoSpaceDN w:val="0"/>
              <w:adjustRightInd w:val="0"/>
              <w:spacing w:after="0" w:line="240" w:lineRule="auto"/>
              <w:jc w:val="center"/>
              <w:rPr>
                <w:rFonts w:ascii="Arial" w:hAnsi="Arial" w:cs="Arial"/>
                <w:color w:val="000000"/>
                <w:sz w:val="18"/>
                <w:szCs w:val="18"/>
                <w:lang w:val="nl-NL" w:eastAsia="nl-NL"/>
              </w:rPr>
            </w:pPr>
            <w:r w:rsidRPr="00A912EC">
              <w:rPr>
                <w:rFonts w:ascii="Arial" w:hAnsi="Arial" w:cs="Arial"/>
                <w:color w:val="000000"/>
                <w:sz w:val="18"/>
                <w:szCs w:val="18"/>
                <w:lang w:val="nl-NL" w:eastAsia="nl-NL"/>
              </w:rPr>
              <w:t>N</w:t>
            </w:r>
          </w:p>
        </w:tc>
        <w:tc>
          <w:tcPr>
            <w:tcW w:w="106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64452" w:rsidRPr="00A912EC" w:rsidRDefault="00964452" w:rsidP="0041359E">
            <w:pPr>
              <w:autoSpaceDE w:val="0"/>
              <w:autoSpaceDN w:val="0"/>
              <w:adjustRightInd w:val="0"/>
              <w:spacing w:after="0" w:line="240" w:lineRule="auto"/>
              <w:jc w:val="center"/>
              <w:rPr>
                <w:rFonts w:ascii="Arial" w:hAnsi="Arial" w:cs="Arial"/>
                <w:color w:val="000000"/>
                <w:sz w:val="18"/>
                <w:szCs w:val="18"/>
                <w:lang w:val="nl-NL" w:eastAsia="nl-NL"/>
              </w:rPr>
            </w:pPr>
            <w:r w:rsidRPr="00A912EC">
              <w:rPr>
                <w:rFonts w:ascii="Arial" w:hAnsi="Arial" w:cs="Arial"/>
                <w:color w:val="000000"/>
                <w:sz w:val="18"/>
                <w:szCs w:val="18"/>
                <w:lang w:val="nl-NL" w:eastAsia="nl-NL"/>
              </w:rPr>
              <w:t>Minimum</w:t>
            </w:r>
          </w:p>
        </w:tc>
        <w:tc>
          <w:tcPr>
            <w:tcW w:w="10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64452" w:rsidRPr="00A912EC" w:rsidRDefault="00964452" w:rsidP="0041359E">
            <w:pPr>
              <w:autoSpaceDE w:val="0"/>
              <w:autoSpaceDN w:val="0"/>
              <w:adjustRightInd w:val="0"/>
              <w:spacing w:after="0" w:line="240" w:lineRule="auto"/>
              <w:jc w:val="center"/>
              <w:rPr>
                <w:rFonts w:ascii="Arial" w:hAnsi="Arial" w:cs="Arial"/>
                <w:color w:val="000000"/>
                <w:sz w:val="18"/>
                <w:szCs w:val="18"/>
                <w:lang w:val="nl-NL" w:eastAsia="nl-NL"/>
              </w:rPr>
            </w:pPr>
            <w:r w:rsidRPr="00A912EC">
              <w:rPr>
                <w:rFonts w:ascii="Arial" w:hAnsi="Arial" w:cs="Arial"/>
                <w:color w:val="000000"/>
                <w:sz w:val="18"/>
                <w:szCs w:val="18"/>
                <w:lang w:val="nl-NL" w:eastAsia="nl-NL"/>
              </w:rPr>
              <w:t>Maximum</w:t>
            </w:r>
          </w:p>
        </w:tc>
        <w:tc>
          <w:tcPr>
            <w:tcW w:w="12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64452" w:rsidRPr="00A912EC" w:rsidRDefault="00964452" w:rsidP="0041359E">
            <w:pPr>
              <w:autoSpaceDE w:val="0"/>
              <w:autoSpaceDN w:val="0"/>
              <w:adjustRightInd w:val="0"/>
              <w:spacing w:after="0" w:line="240" w:lineRule="auto"/>
              <w:jc w:val="center"/>
              <w:rPr>
                <w:rFonts w:ascii="Arial" w:hAnsi="Arial" w:cs="Arial"/>
                <w:color w:val="000000"/>
                <w:sz w:val="18"/>
                <w:szCs w:val="18"/>
                <w:lang w:val="nl-NL" w:eastAsia="nl-NL"/>
              </w:rPr>
            </w:pPr>
            <w:r w:rsidRPr="00A912EC">
              <w:rPr>
                <w:rFonts w:ascii="Arial" w:hAnsi="Arial" w:cs="Arial"/>
                <w:color w:val="000000"/>
                <w:sz w:val="18"/>
                <w:szCs w:val="18"/>
                <w:lang w:val="nl-NL" w:eastAsia="nl-NL"/>
              </w:rPr>
              <w:t>Mean</w:t>
            </w:r>
          </w:p>
        </w:tc>
        <w:tc>
          <w:tcPr>
            <w:tcW w:w="142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64452" w:rsidRPr="00A912EC" w:rsidRDefault="00964452" w:rsidP="0041359E">
            <w:pPr>
              <w:autoSpaceDE w:val="0"/>
              <w:autoSpaceDN w:val="0"/>
              <w:adjustRightInd w:val="0"/>
              <w:spacing w:after="0" w:line="240" w:lineRule="auto"/>
              <w:jc w:val="center"/>
              <w:rPr>
                <w:rFonts w:ascii="Arial" w:hAnsi="Arial" w:cs="Arial"/>
                <w:color w:val="000000"/>
                <w:sz w:val="18"/>
                <w:szCs w:val="18"/>
                <w:lang w:val="nl-NL" w:eastAsia="nl-NL"/>
              </w:rPr>
            </w:pPr>
            <w:r w:rsidRPr="00A912EC">
              <w:rPr>
                <w:rFonts w:ascii="Arial" w:hAnsi="Arial" w:cs="Arial"/>
                <w:color w:val="000000"/>
                <w:sz w:val="18"/>
                <w:szCs w:val="18"/>
                <w:lang w:val="nl-NL" w:eastAsia="nl-NL"/>
              </w:rPr>
              <w:t>Std. Deviation</w:t>
            </w:r>
          </w:p>
        </w:tc>
      </w:tr>
      <w:tr w:rsidR="00964452" w:rsidRPr="00A912EC" w:rsidTr="009C5F11">
        <w:trPr>
          <w:cantSplit/>
          <w:tblHeader/>
        </w:trPr>
        <w:tc>
          <w:tcPr>
            <w:tcW w:w="242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64452" w:rsidRPr="00A912EC" w:rsidRDefault="00964452" w:rsidP="0041359E">
            <w:pPr>
              <w:autoSpaceDE w:val="0"/>
              <w:autoSpaceDN w:val="0"/>
              <w:adjustRightInd w:val="0"/>
              <w:spacing w:after="0" w:line="240" w:lineRule="auto"/>
              <w:rPr>
                <w:rFonts w:ascii="Arial" w:hAnsi="Arial" w:cs="Arial"/>
                <w:color w:val="000000"/>
                <w:sz w:val="18"/>
                <w:szCs w:val="18"/>
                <w:lang w:val="nl-NL" w:eastAsia="nl-NL"/>
              </w:rPr>
            </w:pPr>
            <w:r w:rsidRPr="00A912EC">
              <w:rPr>
                <w:rFonts w:ascii="Arial" w:hAnsi="Arial" w:cs="Arial"/>
                <w:color w:val="000000"/>
                <w:sz w:val="18"/>
                <w:szCs w:val="18"/>
                <w:lang w:val="nl-NL" w:eastAsia="nl-NL"/>
              </w:rPr>
              <w:t>PRODY average of 2002, 2003, 2004</w:t>
            </w:r>
          </w:p>
        </w:tc>
        <w:tc>
          <w:tcPr>
            <w:tcW w:w="10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964452" w:rsidRPr="00A912EC" w:rsidRDefault="00964452" w:rsidP="0041359E">
            <w:pPr>
              <w:autoSpaceDE w:val="0"/>
              <w:autoSpaceDN w:val="0"/>
              <w:adjustRightInd w:val="0"/>
              <w:spacing w:after="0" w:line="240" w:lineRule="auto"/>
              <w:jc w:val="right"/>
              <w:rPr>
                <w:rFonts w:ascii="Arial" w:hAnsi="Arial" w:cs="Arial"/>
                <w:color w:val="000000"/>
                <w:sz w:val="18"/>
                <w:szCs w:val="18"/>
                <w:lang w:val="nl-NL" w:eastAsia="nl-NL"/>
              </w:rPr>
            </w:pPr>
            <w:r w:rsidRPr="00A912EC">
              <w:rPr>
                <w:rFonts w:ascii="Arial" w:hAnsi="Arial" w:cs="Arial"/>
                <w:color w:val="000000"/>
                <w:sz w:val="18"/>
                <w:szCs w:val="18"/>
                <w:lang w:val="nl-NL" w:eastAsia="nl-NL"/>
              </w:rPr>
              <w:t>5110</w:t>
            </w:r>
          </w:p>
        </w:tc>
        <w:tc>
          <w:tcPr>
            <w:tcW w:w="1062" w:type="dxa"/>
            <w:tcBorders>
              <w:top w:val="single" w:sz="16" w:space="0" w:color="000000"/>
              <w:bottom w:val="nil"/>
            </w:tcBorders>
            <w:shd w:val="clear" w:color="auto" w:fill="FFFFFF"/>
            <w:tcMar>
              <w:top w:w="30" w:type="dxa"/>
              <w:left w:w="30" w:type="dxa"/>
              <w:bottom w:w="30" w:type="dxa"/>
              <w:right w:w="30" w:type="dxa"/>
            </w:tcMar>
          </w:tcPr>
          <w:p w:rsidR="00964452" w:rsidRPr="00A912EC" w:rsidRDefault="00964452" w:rsidP="0041359E">
            <w:pPr>
              <w:autoSpaceDE w:val="0"/>
              <w:autoSpaceDN w:val="0"/>
              <w:adjustRightInd w:val="0"/>
              <w:spacing w:after="0" w:line="240" w:lineRule="auto"/>
              <w:jc w:val="right"/>
              <w:rPr>
                <w:rFonts w:ascii="Arial" w:hAnsi="Arial" w:cs="Arial"/>
                <w:color w:val="000000"/>
                <w:sz w:val="18"/>
                <w:szCs w:val="18"/>
                <w:lang w:val="nl-NL" w:eastAsia="nl-NL"/>
              </w:rPr>
            </w:pPr>
            <w:r w:rsidRPr="00A912EC">
              <w:rPr>
                <w:rFonts w:ascii="Arial" w:hAnsi="Arial" w:cs="Arial"/>
                <w:color w:val="000000"/>
                <w:sz w:val="18"/>
                <w:szCs w:val="18"/>
                <w:lang w:val="nl-NL" w:eastAsia="nl-NL"/>
              </w:rPr>
              <w:t>671</w:t>
            </w:r>
          </w:p>
        </w:tc>
        <w:tc>
          <w:tcPr>
            <w:tcW w:w="1094" w:type="dxa"/>
            <w:tcBorders>
              <w:top w:val="single" w:sz="16" w:space="0" w:color="000000"/>
              <w:bottom w:val="nil"/>
            </w:tcBorders>
            <w:shd w:val="clear" w:color="auto" w:fill="FFFFFF"/>
            <w:tcMar>
              <w:top w:w="30" w:type="dxa"/>
              <w:left w:w="30" w:type="dxa"/>
              <w:bottom w:w="30" w:type="dxa"/>
              <w:right w:w="30" w:type="dxa"/>
            </w:tcMar>
          </w:tcPr>
          <w:p w:rsidR="00964452" w:rsidRPr="00A912EC" w:rsidRDefault="00964452" w:rsidP="0041359E">
            <w:pPr>
              <w:autoSpaceDE w:val="0"/>
              <w:autoSpaceDN w:val="0"/>
              <w:adjustRightInd w:val="0"/>
              <w:spacing w:after="0" w:line="240" w:lineRule="auto"/>
              <w:jc w:val="right"/>
              <w:rPr>
                <w:rFonts w:ascii="Arial" w:hAnsi="Arial" w:cs="Arial"/>
                <w:color w:val="000000"/>
                <w:sz w:val="18"/>
                <w:szCs w:val="18"/>
                <w:lang w:val="nl-NL" w:eastAsia="nl-NL"/>
              </w:rPr>
            </w:pPr>
            <w:r w:rsidRPr="00A912EC">
              <w:rPr>
                <w:rFonts w:ascii="Arial" w:hAnsi="Arial" w:cs="Arial"/>
                <w:color w:val="000000"/>
                <w:sz w:val="18"/>
                <w:szCs w:val="18"/>
                <w:lang w:val="nl-NL" w:eastAsia="nl-NL"/>
              </w:rPr>
              <w:t>56</w:t>
            </w:r>
            <w:r>
              <w:rPr>
                <w:rFonts w:ascii="Arial" w:hAnsi="Arial" w:cs="Arial"/>
                <w:color w:val="000000"/>
                <w:sz w:val="18"/>
                <w:szCs w:val="18"/>
                <w:lang w:val="nl-NL" w:eastAsia="nl-NL"/>
              </w:rPr>
              <w:t>,</w:t>
            </w:r>
            <w:r w:rsidRPr="00A912EC">
              <w:rPr>
                <w:rFonts w:ascii="Arial" w:hAnsi="Arial" w:cs="Arial"/>
                <w:color w:val="000000"/>
                <w:sz w:val="18"/>
                <w:szCs w:val="18"/>
                <w:lang w:val="nl-NL" w:eastAsia="nl-NL"/>
              </w:rPr>
              <w:t>323</w:t>
            </w:r>
          </w:p>
        </w:tc>
        <w:tc>
          <w:tcPr>
            <w:tcW w:w="1298" w:type="dxa"/>
            <w:tcBorders>
              <w:top w:val="single" w:sz="16" w:space="0" w:color="000000"/>
              <w:bottom w:val="nil"/>
            </w:tcBorders>
            <w:shd w:val="clear" w:color="auto" w:fill="FFFFFF"/>
            <w:tcMar>
              <w:top w:w="30" w:type="dxa"/>
              <w:left w:w="30" w:type="dxa"/>
              <w:bottom w:w="30" w:type="dxa"/>
              <w:right w:w="30" w:type="dxa"/>
            </w:tcMar>
          </w:tcPr>
          <w:p w:rsidR="00964452" w:rsidRPr="00A912EC" w:rsidRDefault="00964452" w:rsidP="0041359E">
            <w:pPr>
              <w:autoSpaceDE w:val="0"/>
              <w:autoSpaceDN w:val="0"/>
              <w:adjustRightInd w:val="0"/>
              <w:spacing w:after="0" w:line="240" w:lineRule="auto"/>
              <w:jc w:val="right"/>
              <w:rPr>
                <w:rFonts w:ascii="Arial" w:hAnsi="Arial" w:cs="Arial"/>
                <w:color w:val="000000"/>
                <w:sz w:val="18"/>
                <w:szCs w:val="18"/>
                <w:lang w:val="nl-NL" w:eastAsia="nl-NL"/>
              </w:rPr>
            </w:pPr>
            <w:r w:rsidRPr="00A912EC">
              <w:rPr>
                <w:rFonts w:ascii="Arial" w:hAnsi="Arial" w:cs="Arial"/>
                <w:color w:val="000000"/>
                <w:sz w:val="18"/>
                <w:szCs w:val="18"/>
                <w:lang w:val="nl-NL" w:eastAsia="nl-NL"/>
              </w:rPr>
              <w:t>15</w:t>
            </w:r>
            <w:r>
              <w:rPr>
                <w:rFonts w:ascii="Arial" w:hAnsi="Arial" w:cs="Arial"/>
                <w:color w:val="000000"/>
                <w:sz w:val="18"/>
                <w:szCs w:val="18"/>
                <w:lang w:val="nl-NL" w:eastAsia="nl-NL"/>
              </w:rPr>
              <w:t>,646</w:t>
            </w:r>
          </w:p>
        </w:tc>
        <w:tc>
          <w:tcPr>
            <w:tcW w:w="1427"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964452" w:rsidRPr="00A912EC" w:rsidRDefault="00964452" w:rsidP="0041359E">
            <w:pPr>
              <w:autoSpaceDE w:val="0"/>
              <w:autoSpaceDN w:val="0"/>
              <w:adjustRightInd w:val="0"/>
              <w:spacing w:after="0" w:line="240" w:lineRule="auto"/>
              <w:jc w:val="right"/>
              <w:rPr>
                <w:rFonts w:ascii="Arial" w:hAnsi="Arial" w:cs="Arial"/>
                <w:color w:val="000000"/>
                <w:sz w:val="18"/>
                <w:szCs w:val="18"/>
                <w:lang w:val="nl-NL" w:eastAsia="nl-NL"/>
              </w:rPr>
            </w:pPr>
            <w:r w:rsidRPr="00A912EC">
              <w:rPr>
                <w:rFonts w:ascii="Arial" w:hAnsi="Arial" w:cs="Arial"/>
                <w:color w:val="000000"/>
                <w:sz w:val="18"/>
                <w:szCs w:val="18"/>
                <w:lang w:val="nl-NL" w:eastAsia="nl-NL"/>
              </w:rPr>
              <w:t>7</w:t>
            </w:r>
            <w:r>
              <w:rPr>
                <w:rFonts w:ascii="Arial" w:hAnsi="Arial" w:cs="Arial"/>
                <w:color w:val="000000"/>
                <w:sz w:val="18"/>
                <w:szCs w:val="18"/>
                <w:lang w:val="nl-NL" w:eastAsia="nl-NL"/>
              </w:rPr>
              <w:t>,399</w:t>
            </w:r>
          </w:p>
        </w:tc>
      </w:tr>
      <w:tr w:rsidR="00964452" w:rsidRPr="00A912EC" w:rsidTr="009C5F11">
        <w:trPr>
          <w:cantSplit/>
        </w:trPr>
        <w:tc>
          <w:tcPr>
            <w:tcW w:w="242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64452" w:rsidRPr="00A912EC" w:rsidRDefault="00964452" w:rsidP="0041359E">
            <w:pPr>
              <w:autoSpaceDE w:val="0"/>
              <w:autoSpaceDN w:val="0"/>
              <w:adjustRightInd w:val="0"/>
              <w:spacing w:after="0" w:line="240" w:lineRule="auto"/>
              <w:rPr>
                <w:rFonts w:ascii="Arial" w:hAnsi="Arial" w:cs="Arial"/>
                <w:color w:val="000000"/>
                <w:sz w:val="18"/>
                <w:szCs w:val="18"/>
                <w:lang w:val="nl-NL" w:eastAsia="nl-NL"/>
              </w:rPr>
            </w:pPr>
            <w:r w:rsidRPr="00A912EC">
              <w:rPr>
                <w:rFonts w:ascii="Arial" w:hAnsi="Arial" w:cs="Arial"/>
                <w:color w:val="000000"/>
                <w:sz w:val="18"/>
                <w:szCs w:val="18"/>
                <w:lang w:val="nl-NL" w:eastAsia="nl-NL"/>
              </w:rPr>
              <w:t>Valid N (listwise)</w:t>
            </w:r>
          </w:p>
        </w:tc>
        <w:tc>
          <w:tcPr>
            <w:tcW w:w="10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964452" w:rsidRPr="00A912EC" w:rsidRDefault="00964452" w:rsidP="0041359E">
            <w:pPr>
              <w:autoSpaceDE w:val="0"/>
              <w:autoSpaceDN w:val="0"/>
              <w:adjustRightInd w:val="0"/>
              <w:spacing w:after="0" w:line="240" w:lineRule="auto"/>
              <w:jc w:val="right"/>
              <w:rPr>
                <w:rFonts w:ascii="Arial" w:hAnsi="Arial" w:cs="Arial"/>
                <w:color w:val="000000"/>
                <w:sz w:val="18"/>
                <w:szCs w:val="18"/>
                <w:lang w:val="nl-NL" w:eastAsia="nl-NL"/>
              </w:rPr>
            </w:pPr>
            <w:r w:rsidRPr="00A912EC">
              <w:rPr>
                <w:rFonts w:ascii="Arial" w:hAnsi="Arial" w:cs="Arial"/>
                <w:color w:val="000000"/>
                <w:sz w:val="18"/>
                <w:szCs w:val="18"/>
                <w:lang w:val="nl-NL" w:eastAsia="nl-NL"/>
              </w:rPr>
              <w:t>5110</w:t>
            </w:r>
          </w:p>
        </w:tc>
        <w:tc>
          <w:tcPr>
            <w:tcW w:w="1062" w:type="dxa"/>
            <w:tcBorders>
              <w:top w:val="nil"/>
              <w:bottom w:val="single" w:sz="16" w:space="0" w:color="000000"/>
            </w:tcBorders>
            <w:shd w:val="clear" w:color="auto" w:fill="FFFFFF"/>
            <w:tcMar>
              <w:top w:w="30" w:type="dxa"/>
              <w:left w:w="30" w:type="dxa"/>
              <w:bottom w:w="30" w:type="dxa"/>
              <w:right w:w="30" w:type="dxa"/>
            </w:tcMar>
            <w:vAlign w:val="center"/>
          </w:tcPr>
          <w:p w:rsidR="00964452" w:rsidRPr="00A912EC" w:rsidRDefault="00964452" w:rsidP="0041359E">
            <w:pPr>
              <w:autoSpaceDE w:val="0"/>
              <w:autoSpaceDN w:val="0"/>
              <w:adjustRightInd w:val="0"/>
              <w:spacing w:after="0" w:line="240" w:lineRule="auto"/>
              <w:jc w:val="center"/>
              <w:rPr>
                <w:lang w:val="nl-NL" w:eastAsia="nl-NL"/>
              </w:rPr>
            </w:pPr>
          </w:p>
        </w:tc>
        <w:tc>
          <w:tcPr>
            <w:tcW w:w="1094" w:type="dxa"/>
            <w:tcBorders>
              <w:top w:val="nil"/>
              <w:bottom w:val="single" w:sz="16" w:space="0" w:color="000000"/>
            </w:tcBorders>
            <w:shd w:val="clear" w:color="auto" w:fill="FFFFFF"/>
            <w:tcMar>
              <w:top w:w="30" w:type="dxa"/>
              <w:left w:w="30" w:type="dxa"/>
              <w:bottom w:w="30" w:type="dxa"/>
              <w:right w:w="30" w:type="dxa"/>
            </w:tcMar>
            <w:vAlign w:val="center"/>
          </w:tcPr>
          <w:p w:rsidR="00964452" w:rsidRPr="00A912EC" w:rsidRDefault="00964452" w:rsidP="0041359E">
            <w:pPr>
              <w:autoSpaceDE w:val="0"/>
              <w:autoSpaceDN w:val="0"/>
              <w:adjustRightInd w:val="0"/>
              <w:spacing w:after="0" w:line="240" w:lineRule="auto"/>
              <w:jc w:val="center"/>
              <w:rPr>
                <w:lang w:val="nl-NL" w:eastAsia="nl-NL"/>
              </w:rPr>
            </w:pPr>
          </w:p>
        </w:tc>
        <w:tc>
          <w:tcPr>
            <w:tcW w:w="1298" w:type="dxa"/>
            <w:tcBorders>
              <w:top w:val="nil"/>
              <w:bottom w:val="single" w:sz="16" w:space="0" w:color="000000"/>
            </w:tcBorders>
            <w:shd w:val="clear" w:color="auto" w:fill="FFFFFF"/>
            <w:tcMar>
              <w:top w:w="30" w:type="dxa"/>
              <w:left w:w="30" w:type="dxa"/>
              <w:bottom w:w="30" w:type="dxa"/>
              <w:right w:w="30" w:type="dxa"/>
            </w:tcMar>
            <w:vAlign w:val="center"/>
          </w:tcPr>
          <w:p w:rsidR="00964452" w:rsidRPr="00A912EC" w:rsidRDefault="00964452" w:rsidP="0041359E">
            <w:pPr>
              <w:autoSpaceDE w:val="0"/>
              <w:autoSpaceDN w:val="0"/>
              <w:adjustRightInd w:val="0"/>
              <w:spacing w:after="0" w:line="240" w:lineRule="auto"/>
              <w:jc w:val="center"/>
              <w:rPr>
                <w:lang w:val="nl-NL" w:eastAsia="nl-NL"/>
              </w:rPr>
            </w:pPr>
          </w:p>
        </w:tc>
        <w:tc>
          <w:tcPr>
            <w:tcW w:w="142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64452" w:rsidRPr="00A912EC" w:rsidRDefault="00964452" w:rsidP="0041359E">
            <w:pPr>
              <w:autoSpaceDE w:val="0"/>
              <w:autoSpaceDN w:val="0"/>
              <w:adjustRightInd w:val="0"/>
              <w:spacing w:after="0" w:line="240" w:lineRule="auto"/>
              <w:jc w:val="center"/>
              <w:rPr>
                <w:lang w:val="nl-NL" w:eastAsia="nl-NL"/>
              </w:rPr>
            </w:pPr>
          </w:p>
        </w:tc>
      </w:tr>
    </w:tbl>
    <w:p w:rsidR="00964452" w:rsidRPr="00A912EC" w:rsidRDefault="00964452" w:rsidP="00D5650A">
      <w:pPr>
        <w:autoSpaceDE w:val="0"/>
        <w:autoSpaceDN w:val="0"/>
        <w:adjustRightInd w:val="0"/>
        <w:spacing w:after="0" w:line="400" w:lineRule="atLeast"/>
        <w:rPr>
          <w:lang w:val="nl-NL" w:eastAsia="nl-NL"/>
        </w:rPr>
      </w:pPr>
    </w:p>
    <w:p w:rsidR="00964452" w:rsidRPr="00174636" w:rsidRDefault="00964452" w:rsidP="00D5650A">
      <w:pPr>
        <w:pStyle w:val="Heading3"/>
        <w:spacing w:line="360" w:lineRule="auto"/>
        <w:rPr>
          <w:lang w:eastAsia="nl-NL"/>
        </w:rPr>
      </w:pPr>
      <w:bookmarkStart w:id="24" w:name="_Toc299481889"/>
      <w:r>
        <w:rPr>
          <w:lang w:eastAsia="nl-NL"/>
        </w:rPr>
        <w:t>Products having the s</w:t>
      </w:r>
      <w:r w:rsidRPr="00174636">
        <w:rPr>
          <w:lang w:eastAsia="nl-NL"/>
        </w:rPr>
        <w:t>mallest and largest PRODY’s</w:t>
      </w:r>
      <w:bookmarkEnd w:id="24"/>
    </w:p>
    <w:p w:rsidR="00964452" w:rsidRPr="004836A0" w:rsidRDefault="00964452" w:rsidP="00D5650A">
      <w:pPr>
        <w:autoSpaceDE w:val="0"/>
        <w:autoSpaceDN w:val="0"/>
        <w:adjustRightInd w:val="0"/>
        <w:spacing w:after="0" w:line="360" w:lineRule="auto"/>
        <w:rPr>
          <w:lang w:eastAsia="nl-NL"/>
        </w:rPr>
      </w:pPr>
      <w:r>
        <w:rPr>
          <w:lang w:eastAsia="nl-NL"/>
        </w:rPr>
        <w:t xml:space="preserve">The </w:t>
      </w:r>
      <w:r w:rsidRPr="004836A0">
        <w:rPr>
          <w:lang w:eastAsia="nl-NL"/>
        </w:rPr>
        <w:t xml:space="preserve">five export products with the smallest PRODY’s, </w:t>
      </w:r>
      <w:r>
        <w:rPr>
          <w:lang w:eastAsia="nl-NL"/>
        </w:rPr>
        <w:t xml:space="preserve">as well as the products with the </w:t>
      </w:r>
      <w:r w:rsidRPr="004836A0">
        <w:rPr>
          <w:lang w:eastAsia="nl-NL"/>
        </w:rPr>
        <w:t>larges</w:t>
      </w:r>
      <w:r>
        <w:rPr>
          <w:lang w:eastAsia="nl-NL"/>
        </w:rPr>
        <w:t>t PRODY values are specified in table 2. T</w:t>
      </w:r>
      <w:r w:rsidRPr="004836A0">
        <w:rPr>
          <w:lang w:eastAsia="nl-NL"/>
        </w:rPr>
        <w:t>he goods with the smallest PRODY values are mainly primary products, whereas the products with the largest values of PRO</w:t>
      </w:r>
      <w:r>
        <w:rPr>
          <w:lang w:eastAsia="nl-NL"/>
        </w:rPr>
        <w:t>DY are all industrial products, mainly iron and steel products</w:t>
      </w:r>
      <w:r w:rsidRPr="004836A0">
        <w:rPr>
          <w:lang w:eastAsia="nl-NL"/>
        </w:rPr>
        <w:t xml:space="preserve">. </w:t>
      </w:r>
    </w:p>
    <w:p w:rsidR="00964452" w:rsidRDefault="00964452" w:rsidP="00D5650A">
      <w:pPr>
        <w:autoSpaceDE w:val="0"/>
        <w:autoSpaceDN w:val="0"/>
        <w:adjustRightInd w:val="0"/>
        <w:spacing w:after="0" w:line="240" w:lineRule="auto"/>
        <w:rPr>
          <w:sz w:val="18"/>
          <w:szCs w:val="18"/>
          <w:lang w:eastAsia="nl-NL"/>
        </w:rPr>
      </w:pPr>
    </w:p>
    <w:p w:rsidR="00964452" w:rsidRDefault="00964452" w:rsidP="00D5650A">
      <w:pPr>
        <w:autoSpaceDE w:val="0"/>
        <w:autoSpaceDN w:val="0"/>
        <w:adjustRightInd w:val="0"/>
        <w:spacing w:after="0" w:line="240" w:lineRule="auto"/>
        <w:rPr>
          <w:sz w:val="18"/>
          <w:szCs w:val="18"/>
          <w:lang w:eastAsia="nl-NL"/>
        </w:rPr>
      </w:pPr>
    </w:p>
    <w:p w:rsidR="00964452" w:rsidRDefault="00964452" w:rsidP="00D5650A">
      <w:pPr>
        <w:autoSpaceDE w:val="0"/>
        <w:autoSpaceDN w:val="0"/>
        <w:adjustRightInd w:val="0"/>
        <w:spacing w:after="0" w:line="240" w:lineRule="auto"/>
        <w:rPr>
          <w:sz w:val="18"/>
          <w:szCs w:val="18"/>
          <w:lang w:eastAsia="nl-NL"/>
        </w:rPr>
      </w:pPr>
    </w:p>
    <w:p w:rsidR="00964452" w:rsidRDefault="00964452" w:rsidP="00D5650A">
      <w:pPr>
        <w:autoSpaceDE w:val="0"/>
        <w:autoSpaceDN w:val="0"/>
        <w:adjustRightInd w:val="0"/>
        <w:spacing w:after="0" w:line="240" w:lineRule="auto"/>
        <w:rPr>
          <w:sz w:val="18"/>
          <w:szCs w:val="18"/>
          <w:lang w:eastAsia="nl-NL"/>
        </w:rPr>
      </w:pPr>
    </w:p>
    <w:p w:rsidR="00964452" w:rsidRDefault="00964452" w:rsidP="00D5650A">
      <w:pPr>
        <w:autoSpaceDE w:val="0"/>
        <w:autoSpaceDN w:val="0"/>
        <w:adjustRightInd w:val="0"/>
        <w:spacing w:after="0" w:line="240" w:lineRule="auto"/>
        <w:rPr>
          <w:sz w:val="18"/>
          <w:szCs w:val="18"/>
          <w:lang w:eastAsia="nl-NL"/>
        </w:rPr>
      </w:pPr>
    </w:p>
    <w:p w:rsidR="00964452" w:rsidRDefault="00964452" w:rsidP="00D5650A">
      <w:pPr>
        <w:autoSpaceDE w:val="0"/>
        <w:autoSpaceDN w:val="0"/>
        <w:adjustRightInd w:val="0"/>
        <w:spacing w:after="0" w:line="240" w:lineRule="auto"/>
        <w:rPr>
          <w:sz w:val="18"/>
          <w:szCs w:val="18"/>
          <w:lang w:eastAsia="nl-NL"/>
        </w:rPr>
      </w:pPr>
    </w:p>
    <w:p w:rsidR="00964452" w:rsidRDefault="00964452" w:rsidP="00D5650A">
      <w:pPr>
        <w:autoSpaceDE w:val="0"/>
        <w:autoSpaceDN w:val="0"/>
        <w:adjustRightInd w:val="0"/>
        <w:spacing w:after="0" w:line="240" w:lineRule="auto"/>
        <w:rPr>
          <w:sz w:val="18"/>
          <w:szCs w:val="18"/>
          <w:lang w:eastAsia="nl-NL"/>
        </w:rPr>
      </w:pPr>
    </w:p>
    <w:p w:rsidR="00964452" w:rsidRDefault="00964452" w:rsidP="00D5650A">
      <w:pPr>
        <w:autoSpaceDE w:val="0"/>
        <w:autoSpaceDN w:val="0"/>
        <w:adjustRightInd w:val="0"/>
        <w:spacing w:after="0" w:line="240" w:lineRule="auto"/>
        <w:rPr>
          <w:sz w:val="18"/>
          <w:szCs w:val="18"/>
          <w:lang w:eastAsia="nl-NL"/>
        </w:rPr>
      </w:pPr>
      <w:r w:rsidRPr="004836A0">
        <w:rPr>
          <w:sz w:val="18"/>
          <w:szCs w:val="18"/>
          <w:lang w:eastAsia="nl-NL"/>
        </w:rPr>
        <w:t>Table 2: Smallest and largest PRODY values</w:t>
      </w:r>
    </w:p>
    <w:p w:rsidR="00964452" w:rsidRPr="004836A0" w:rsidRDefault="00964452" w:rsidP="00D5650A">
      <w:pPr>
        <w:autoSpaceDE w:val="0"/>
        <w:autoSpaceDN w:val="0"/>
        <w:adjustRightInd w:val="0"/>
        <w:spacing w:after="0" w:line="240" w:lineRule="auto"/>
        <w:rPr>
          <w:sz w:val="18"/>
          <w:szCs w:val="18"/>
          <w:lang w:eastAsia="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70"/>
        <w:gridCol w:w="3071"/>
        <w:gridCol w:w="3071"/>
      </w:tblGrid>
      <w:tr w:rsidR="00964452" w:rsidRPr="00827F56" w:rsidTr="009C5F11">
        <w:tc>
          <w:tcPr>
            <w:tcW w:w="3070" w:type="dxa"/>
            <w:tcBorders>
              <w:bottom w:val="single" w:sz="12" w:space="0" w:color="000000"/>
              <w:right w:val="single" w:sz="6" w:space="0" w:color="000000"/>
            </w:tcBorders>
          </w:tcPr>
          <w:p w:rsidR="00964452" w:rsidRPr="00827F56" w:rsidRDefault="00964452" w:rsidP="009C5F11">
            <w:pPr>
              <w:pStyle w:val="NoSpacing"/>
              <w:rPr>
                <w:rFonts w:ascii="Arial" w:hAnsi="Arial" w:cs="Arial"/>
                <w:b/>
                <w:sz w:val="18"/>
                <w:szCs w:val="18"/>
                <w:lang w:eastAsia="nl-NL"/>
              </w:rPr>
            </w:pPr>
            <w:r w:rsidRPr="00827F56">
              <w:rPr>
                <w:rFonts w:ascii="Arial" w:hAnsi="Arial" w:cs="Arial"/>
                <w:b/>
                <w:sz w:val="18"/>
                <w:szCs w:val="18"/>
                <w:lang w:eastAsia="nl-NL"/>
              </w:rPr>
              <w:t>Smallest PRODY values</w:t>
            </w:r>
          </w:p>
        </w:tc>
        <w:tc>
          <w:tcPr>
            <w:tcW w:w="3071" w:type="dxa"/>
            <w:tcBorders>
              <w:left w:val="single" w:sz="6" w:space="0" w:color="000000"/>
              <w:bottom w:val="single" w:sz="12" w:space="0" w:color="000000"/>
              <w:right w:val="single" w:sz="6" w:space="0" w:color="000000"/>
            </w:tcBorders>
          </w:tcPr>
          <w:p w:rsidR="00964452" w:rsidRPr="00827F56" w:rsidRDefault="00964452" w:rsidP="009C5F11">
            <w:pPr>
              <w:pStyle w:val="NoSpacing"/>
              <w:rPr>
                <w:rFonts w:ascii="Arial" w:hAnsi="Arial" w:cs="Arial"/>
                <w:sz w:val="18"/>
                <w:szCs w:val="18"/>
                <w:lang w:eastAsia="nl-NL"/>
              </w:rPr>
            </w:pPr>
          </w:p>
        </w:tc>
        <w:tc>
          <w:tcPr>
            <w:tcW w:w="3071" w:type="dxa"/>
            <w:tcBorders>
              <w:left w:val="single" w:sz="6" w:space="0" w:color="000000"/>
              <w:bottom w:val="single" w:sz="12" w:space="0" w:color="000000"/>
            </w:tcBorders>
          </w:tcPr>
          <w:p w:rsidR="00964452" w:rsidRPr="00827F56" w:rsidRDefault="00964452" w:rsidP="009C5F11">
            <w:pPr>
              <w:pStyle w:val="NoSpacing"/>
              <w:rPr>
                <w:rFonts w:ascii="Arial" w:hAnsi="Arial" w:cs="Arial"/>
                <w:sz w:val="18"/>
                <w:szCs w:val="18"/>
                <w:lang w:eastAsia="nl-NL"/>
              </w:rPr>
            </w:pPr>
          </w:p>
        </w:tc>
      </w:tr>
      <w:tr w:rsidR="00964452" w:rsidRPr="00827F56" w:rsidTr="009C5F11">
        <w:tc>
          <w:tcPr>
            <w:tcW w:w="3070" w:type="dxa"/>
            <w:tcBorders>
              <w:bottom w:val="single" w:sz="12" w:space="0" w:color="000000"/>
              <w:right w:val="single" w:sz="6" w:space="0" w:color="000000"/>
            </w:tcBorders>
          </w:tcPr>
          <w:p w:rsidR="00964452" w:rsidRPr="00827F56" w:rsidRDefault="00964452" w:rsidP="009C5F11">
            <w:pPr>
              <w:pStyle w:val="NoSpacing"/>
              <w:rPr>
                <w:rFonts w:ascii="Arial" w:hAnsi="Arial" w:cs="Arial"/>
                <w:sz w:val="18"/>
                <w:szCs w:val="18"/>
                <w:lang w:eastAsia="nl-NL"/>
              </w:rPr>
            </w:pPr>
            <w:r w:rsidRPr="00827F56">
              <w:rPr>
                <w:rFonts w:ascii="Arial" w:hAnsi="Arial" w:cs="Arial"/>
                <w:sz w:val="18"/>
                <w:szCs w:val="18"/>
                <w:lang w:eastAsia="nl-NL"/>
              </w:rPr>
              <w:t>Product code</w:t>
            </w:r>
          </w:p>
        </w:tc>
        <w:tc>
          <w:tcPr>
            <w:tcW w:w="3071" w:type="dxa"/>
            <w:tcBorders>
              <w:left w:val="single" w:sz="6" w:space="0" w:color="000000"/>
              <w:bottom w:val="single" w:sz="12" w:space="0" w:color="000000"/>
              <w:right w:val="single" w:sz="6" w:space="0" w:color="000000"/>
            </w:tcBorders>
          </w:tcPr>
          <w:p w:rsidR="00964452" w:rsidRPr="00827F56" w:rsidRDefault="00964452" w:rsidP="009C5F11">
            <w:pPr>
              <w:pStyle w:val="NoSpacing"/>
              <w:rPr>
                <w:rFonts w:ascii="Arial" w:hAnsi="Arial" w:cs="Arial"/>
                <w:sz w:val="18"/>
                <w:szCs w:val="18"/>
                <w:lang w:eastAsia="nl-NL"/>
              </w:rPr>
            </w:pPr>
            <w:r w:rsidRPr="00827F56">
              <w:rPr>
                <w:rFonts w:ascii="Arial" w:hAnsi="Arial" w:cs="Arial"/>
                <w:sz w:val="18"/>
                <w:szCs w:val="18"/>
                <w:lang w:eastAsia="nl-NL"/>
              </w:rPr>
              <w:t>Product name</w:t>
            </w:r>
          </w:p>
        </w:tc>
        <w:tc>
          <w:tcPr>
            <w:tcW w:w="3071" w:type="dxa"/>
            <w:tcBorders>
              <w:left w:val="single" w:sz="6" w:space="0" w:color="000000"/>
              <w:bottom w:val="single" w:sz="12" w:space="0" w:color="000000"/>
            </w:tcBorders>
          </w:tcPr>
          <w:p w:rsidR="00964452" w:rsidRPr="00827F56" w:rsidRDefault="00964452" w:rsidP="009C5F11">
            <w:pPr>
              <w:pStyle w:val="NoSpacing"/>
              <w:rPr>
                <w:rFonts w:ascii="Arial" w:hAnsi="Arial" w:cs="Arial"/>
                <w:sz w:val="18"/>
                <w:szCs w:val="18"/>
                <w:lang w:eastAsia="nl-NL"/>
              </w:rPr>
            </w:pPr>
            <w:r w:rsidRPr="00827F56">
              <w:rPr>
                <w:rFonts w:ascii="Arial" w:hAnsi="Arial" w:cs="Arial"/>
                <w:sz w:val="18"/>
                <w:szCs w:val="18"/>
                <w:lang w:eastAsia="nl-NL"/>
              </w:rPr>
              <w:t>PRODY average of 2002, 2003, 2004</w:t>
            </w:r>
          </w:p>
        </w:tc>
      </w:tr>
      <w:tr w:rsidR="00964452" w:rsidRPr="00827F56" w:rsidTr="009C5F11">
        <w:tc>
          <w:tcPr>
            <w:tcW w:w="3070" w:type="dxa"/>
            <w:tcBorders>
              <w:top w:val="single" w:sz="12" w:space="0" w:color="000000"/>
            </w:tcBorders>
          </w:tcPr>
          <w:p w:rsidR="00964452" w:rsidRPr="00827F56" w:rsidRDefault="00964452" w:rsidP="009C5F11">
            <w:pPr>
              <w:pStyle w:val="NoSpacing"/>
              <w:rPr>
                <w:rFonts w:ascii="Arial" w:hAnsi="Arial" w:cs="Arial"/>
                <w:sz w:val="18"/>
                <w:szCs w:val="18"/>
                <w:lang w:eastAsia="nl-NL"/>
              </w:rPr>
            </w:pPr>
            <w:r w:rsidRPr="00827F56">
              <w:rPr>
                <w:rFonts w:ascii="Arial" w:hAnsi="Arial" w:cs="Arial"/>
                <w:sz w:val="18"/>
                <w:szCs w:val="18"/>
                <w:lang w:eastAsia="nl-NL"/>
              </w:rPr>
              <w:t>410511</w:t>
            </w:r>
          </w:p>
        </w:tc>
        <w:tc>
          <w:tcPr>
            <w:tcW w:w="3071" w:type="dxa"/>
            <w:tcBorders>
              <w:top w:val="single" w:sz="12" w:space="0" w:color="000000"/>
            </w:tcBorders>
          </w:tcPr>
          <w:p w:rsidR="00964452" w:rsidRPr="00827F56" w:rsidRDefault="00964452" w:rsidP="009C5F11">
            <w:pPr>
              <w:pStyle w:val="NoSpacing"/>
              <w:rPr>
                <w:rFonts w:ascii="Arial" w:hAnsi="Arial" w:cs="Arial"/>
                <w:sz w:val="18"/>
                <w:szCs w:val="18"/>
                <w:lang w:eastAsia="nl-NL"/>
              </w:rPr>
            </w:pPr>
            <w:r w:rsidRPr="00827F56">
              <w:rPr>
                <w:rFonts w:ascii="Arial" w:hAnsi="Arial" w:cs="Arial"/>
                <w:sz w:val="18"/>
                <w:szCs w:val="18"/>
                <w:lang w:eastAsia="nl-NL"/>
              </w:rPr>
              <w:t>Sheep or lamb skin leather, without wool on</w:t>
            </w:r>
          </w:p>
        </w:tc>
        <w:tc>
          <w:tcPr>
            <w:tcW w:w="3071" w:type="dxa"/>
            <w:tcBorders>
              <w:top w:val="single" w:sz="12" w:space="0" w:color="000000"/>
            </w:tcBorders>
          </w:tcPr>
          <w:p w:rsidR="00964452" w:rsidRPr="00827F56" w:rsidRDefault="00964452" w:rsidP="00E27F9B">
            <w:pPr>
              <w:pStyle w:val="NoSpacing"/>
              <w:rPr>
                <w:rFonts w:ascii="Arial" w:hAnsi="Arial" w:cs="Arial"/>
                <w:sz w:val="18"/>
                <w:szCs w:val="18"/>
                <w:lang w:eastAsia="nl-NL"/>
              </w:rPr>
            </w:pPr>
            <w:r>
              <w:rPr>
                <w:rFonts w:ascii="Arial" w:hAnsi="Arial" w:cs="Arial"/>
                <w:sz w:val="18"/>
                <w:szCs w:val="18"/>
                <w:lang w:eastAsia="nl-NL"/>
              </w:rPr>
              <w:t>$</w:t>
            </w:r>
            <w:r w:rsidRPr="00827F56">
              <w:rPr>
                <w:rFonts w:ascii="Arial" w:hAnsi="Arial" w:cs="Arial"/>
                <w:sz w:val="18"/>
                <w:szCs w:val="18"/>
                <w:lang w:eastAsia="nl-NL"/>
              </w:rPr>
              <w:t>671</w:t>
            </w:r>
          </w:p>
        </w:tc>
      </w:tr>
      <w:tr w:rsidR="00964452" w:rsidRPr="00827F56" w:rsidTr="009C5F11">
        <w:tc>
          <w:tcPr>
            <w:tcW w:w="3070" w:type="dxa"/>
          </w:tcPr>
          <w:p w:rsidR="00964452" w:rsidRPr="00827F56" w:rsidRDefault="00964452" w:rsidP="009C5F11">
            <w:pPr>
              <w:pStyle w:val="NoSpacing"/>
              <w:rPr>
                <w:rFonts w:ascii="Arial" w:hAnsi="Arial" w:cs="Arial"/>
                <w:sz w:val="18"/>
                <w:szCs w:val="18"/>
                <w:lang w:eastAsia="nl-NL"/>
              </w:rPr>
            </w:pPr>
            <w:r w:rsidRPr="00827F56">
              <w:rPr>
                <w:rFonts w:ascii="Arial" w:hAnsi="Arial" w:cs="Arial"/>
                <w:sz w:val="18"/>
                <w:szCs w:val="18"/>
                <w:lang w:eastAsia="nl-NL"/>
              </w:rPr>
              <w:t>261590</w:t>
            </w:r>
          </w:p>
        </w:tc>
        <w:tc>
          <w:tcPr>
            <w:tcW w:w="3071" w:type="dxa"/>
          </w:tcPr>
          <w:p w:rsidR="00964452" w:rsidRPr="00827F56" w:rsidRDefault="00964452" w:rsidP="009C5F11">
            <w:pPr>
              <w:pStyle w:val="NoSpacing"/>
              <w:rPr>
                <w:rFonts w:ascii="Arial" w:hAnsi="Arial" w:cs="Arial"/>
                <w:sz w:val="18"/>
                <w:szCs w:val="18"/>
                <w:lang w:eastAsia="nl-NL"/>
              </w:rPr>
            </w:pPr>
            <w:r w:rsidRPr="00827F56">
              <w:rPr>
                <w:rFonts w:ascii="Arial" w:hAnsi="Arial" w:cs="Arial"/>
                <w:sz w:val="18"/>
                <w:szCs w:val="18"/>
                <w:lang w:eastAsia="nl-NL"/>
              </w:rPr>
              <w:t>Niobium, tantalum and vanadium ores and concentrates</w:t>
            </w:r>
          </w:p>
        </w:tc>
        <w:tc>
          <w:tcPr>
            <w:tcW w:w="3071" w:type="dxa"/>
          </w:tcPr>
          <w:p w:rsidR="00964452" w:rsidRPr="00827F56" w:rsidRDefault="00964452" w:rsidP="00E27F9B">
            <w:pPr>
              <w:pStyle w:val="NoSpacing"/>
              <w:rPr>
                <w:rFonts w:ascii="Arial" w:hAnsi="Arial" w:cs="Arial"/>
                <w:sz w:val="18"/>
                <w:szCs w:val="18"/>
                <w:lang w:eastAsia="nl-NL"/>
              </w:rPr>
            </w:pPr>
            <w:r>
              <w:rPr>
                <w:rFonts w:ascii="Arial" w:hAnsi="Arial" w:cs="Arial"/>
                <w:sz w:val="18"/>
                <w:szCs w:val="18"/>
                <w:lang w:eastAsia="nl-NL"/>
              </w:rPr>
              <w:t>$</w:t>
            </w:r>
            <w:r w:rsidRPr="00827F56">
              <w:rPr>
                <w:rFonts w:ascii="Arial" w:hAnsi="Arial" w:cs="Arial"/>
                <w:sz w:val="18"/>
                <w:szCs w:val="18"/>
                <w:lang w:eastAsia="nl-NL"/>
              </w:rPr>
              <w:t>773</w:t>
            </w:r>
          </w:p>
        </w:tc>
      </w:tr>
      <w:tr w:rsidR="00964452" w:rsidRPr="00827F56" w:rsidTr="009C5F11">
        <w:tc>
          <w:tcPr>
            <w:tcW w:w="3070" w:type="dxa"/>
          </w:tcPr>
          <w:p w:rsidR="00964452" w:rsidRPr="00827F56" w:rsidRDefault="00964452" w:rsidP="009C5F11">
            <w:pPr>
              <w:pStyle w:val="NoSpacing"/>
              <w:rPr>
                <w:rFonts w:ascii="Arial" w:hAnsi="Arial" w:cs="Arial"/>
                <w:sz w:val="18"/>
                <w:szCs w:val="18"/>
                <w:lang w:eastAsia="nl-NL"/>
              </w:rPr>
            </w:pPr>
            <w:r w:rsidRPr="00827F56">
              <w:rPr>
                <w:rFonts w:ascii="Arial" w:hAnsi="Arial" w:cs="Arial"/>
                <w:sz w:val="18"/>
                <w:szCs w:val="18"/>
                <w:lang w:eastAsia="nl-NL"/>
              </w:rPr>
              <w:t>140310</w:t>
            </w:r>
          </w:p>
        </w:tc>
        <w:tc>
          <w:tcPr>
            <w:tcW w:w="3071" w:type="dxa"/>
          </w:tcPr>
          <w:p w:rsidR="00964452" w:rsidRPr="00827F56" w:rsidRDefault="00964452" w:rsidP="009C5F11">
            <w:pPr>
              <w:pStyle w:val="NoSpacing"/>
              <w:rPr>
                <w:rFonts w:ascii="Arial" w:hAnsi="Arial" w:cs="Arial"/>
                <w:sz w:val="18"/>
                <w:szCs w:val="18"/>
                <w:lang w:eastAsia="nl-NL"/>
              </w:rPr>
            </w:pPr>
            <w:r w:rsidRPr="00827F56">
              <w:rPr>
                <w:rFonts w:ascii="Arial" w:hAnsi="Arial" w:cs="Arial"/>
                <w:sz w:val="18"/>
                <w:szCs w:val="18"/>
                <w:lang w:eastAsia="nl-NL"/>
              </w:rPr>
              <w:t xml:space="preserve">Broom corn used in brooms or brushes                                  </w:t>
            </w:r>
          </w:p>
        </w:tc>
        <w:tc>
          <w:tcPr>
            <w:tcW w:w="3071" w:type="dxa"/>
          </w:tcPr>
          <w:p w:rsidR="00964452" w:rsidRPr="00827F56" w:rsidRDefault="00964452" w:rsidP="00E27F9B">
            <w:pPr>
              <w:pStyle w:val="NoSpacing"/>
              <w:rPr>
                <w:rFonts w:ascii="Arial" w:hAnsi="Arial" w:cs="Arial"/>
                <w:sz w:val="18"/>
                <w:szCs w:val="18"/>
                <w:lang w:eastAsia="nl-NL"/>
              </w:rPr>
            </w:pPr>
            <w:r>
              <w:rPr>
                <w:rFonts w:ascii="Arial" w:hAnsi="Arial" w:cs="Arial"/>
                <w:sz w:val="18"/>
                <w:szCs w:val="18"/>
                <w:lang w:eastAsia="nl-NL"/>
              </w:rPr>
              <w:t>$829</w:t>
            </w:r>
          </w:p>
        </w:tc>
      </w:tr>
      <w:tr w:rsidR="00964452" w:rsidRPr="00827F56" w:rsidTr="009C5F11">
        <w:tc>
          <w:tcPr>
            <w:tcW w:w="3070" w:type="dxa"/>
          </w:tcPr>
          <w:p w:rsidR="00964452" w:rsidRPr="00827F56" w:rsidRDefault="00964452" w:rsidP="009C5F11">
            <w:pPr>
              <w:pStyle w:val="NoSpacing"/>
              <w:rPr>
                <w:rFonts w:ascii="Arial" w:hAnsi="Arial" w:cs="Arial"/>
                <w:sz w:val="18"/>
                <w:szCs w:val="18"/>
                <w:lang w:eastAsia="nl-NL"/>
              </w:rPr>
            </w:pPr>
            <w:r w:rsidRPr="00827F56">
              <w:rPr>
                <w:rFonts w:ascii="Arial" w:hAnsi="Arial" w:cs="Arial"/>
                <w:sz w:val="18"/>
                <w:szCs w:val="18"/>
                <w:lang w:eastAsia="nl-NL"/>
              </w:rPr>
              <w:t>410611</w:t>
            </w:r>
          </w:p>
        </w:tc>
        <w:tc>
          <w:tcPr>
            <w:tcW w:w="3071" w:type="dxa"/>
          </w:tcPr>
          <w:p w:rsidR="00964452" w:rsidRPr="00827F56" w:rsidRDefault="00964452" w:rsidP="009C5F11">
            <w:pPr>
              <w:pStyle w:val="NoSpacing"/>
              <w:rPr>
                <w:rFonts w:ascii="Arial" w:hAnsi="Arial" w:cs="Arial"/>
                <w:sz w:val="18"/>
                <w:szCs w:val="18"/>
                <w:lang w:eastAsia="nl-NL"/>
              </w:rPr>
            </w:pPr>
            <w:r w:rsidRPr="00827F56">
              <w:rPr>
                <w:rFonts w:ascii="Arial" w:hAnsi="Arial" w:cs="Arial"/>
                <w:sz w:val="18"/>
                <w:szCs w:val="18"/>
                <w:lang w:eastAsia="nl-NL"/>
              </w:rPr>
              <w:t>Goat or kid skin leather, vegetable pre-tanned</w:t>
            </w:r>
          </w:p>
        </w:tc>
        <w:tc>
          <w:tcPr>
            <w:tcW w:w="3071" w:type="dxa"/>
          </w:tcPr>
          <w:p w:rsidR="00964452" w:rsidRPr="00827F56" w:rsidRDefault="00964452" w:rsidP="00E27F9B">
            <w:pPr>
              <w:pStyle w:val="NoSpacing"/>
              <w:rPr>
                <w:rFonts w:ascii="Arial" w:hAnsi="Arial" w:cs="Arial"/>
                <w:sz w:val="18"/>
                <w:szCs w:val="18"/>
                <w:lang w:eastAsia="nl-NL"/>
              </w:rPr>
            </w:pPr>
            <w:r>
              <w:rPr>
                <w:rFonts w:ascii="Arial" w:hAnsi="Arial" w:cs="Arial"/>
                <w:sz w:val="18"/>
                <w:szCs w:val="18"/>
                <w:lang w:eastAsia="nl-NL"/>
              </w:rPr>
              <w:t>$</w:t>
            </w:r>
            <w:r w:rsidRPr="00827F56">
              <w:rPr>
                <w:rFonts w:ascii="Arial" w:hAnsi="Arial" w:cs="Arial"/>
                <w:sz w:val="18"/>
                <w:szCs w:val="18"/>
                <w:lang w:eastAsia="nl-NL"/>
              </w:rPr>
              <w:t>838</w:t>
            </w:r>
          </w:p>
        </w:tc>
      </w:tr>
      <w:tr w:rsidR="00964452" w:rsidRPr="00827F56" w:rsidTr="009C5F11">
        <w:tc>
          <w:tcPr>
            <w:tcW w:w="3070" w:type="dxa"/>
          </w:tcPr>
          <w:p w:rsidR="00964452" w:rsidRPr="00827F56" w:rsidRDefault="00964452" w:rsidP="009C5F11">
            <w:pPr>
              <w:pStyle w:val="NoSpacing"/>
              <w:rPr>
                <w:rFonts w:ascii="Arial" w:hAnsi="Arial" w:cs="Arial"/>
                <w:sz w:val="18"/>
                <w:szCs w:val="18"/>
                <w:lang w:eastAsia="nl-NL"/>
              </w:rPr>
            </w:pPr>
            <w:r w:rsidRPr="00827F56">
              <w:rPr>
                <w:rFonts w:ascii="Arial" w:hAnsi="Arial" w:cs="Arial"/>
                <w:sz w:val="18"/>
                <w:szCs w:val="18"/>
                <w:lang w:eastAsia="nl-NL"/>
              </w:rPr>
              <w:t>090500</w:t>
            </w:r>
          </w:p>
        </w:tc>
        <w:tc>
          <w:tcPr>
            <w:tcW w:w="3071" w:type="dxa"/>
          </w:tcPr>
          <w:p w:rsidR="00964452" w:rsidRPr="00827F56" w:rsidRDefault="00964452" w:rsidP="009C5F11">
            <w:pPr>
              <w:pStyle w:val="NoSpacing"/>
              <w:rPr>
                <w:rFonts w:ascii="Arial" w:hAnsi="Arial" w:cs="Arial"/>
                <w:sz w:val="18"/>
                <w:szCs w:val="18"/>
                <w:lang w:eastAsia="nl-NL"/>
              </w:rPr>
            </w:pPr>
            <w:r w:rsidRPr="00827F56">
              <w:rPr>
                <w:rFonts w:ascii="Arial" w:hAnsi="Arial" w:cs="Arial"/>
                <w:sz w:val="18"/>
                <w:szCs w:val="18"/>
                <w:lang w:eastAsia="nl-NL"/>
              </w:rPr>
              <w:t xml:space="preserve">Vanilla beans                                   </w:t>
            </w:r>
          </w:p>
        </w:tc>
        <w:tc>
          <w:tcPr>
            <w:tcW w:w="3071" w:type="dxa"/>
          </w:tcPr>
          <w:p w:rsidR="00964452" w:rsidRPr="00827F56" w:rsidRDefault="00964452" w:rsidP="00E27F9B">
            <w:pPr>
              <w:pStyle w:val="NoSpacing"/>
              <w:rPr>
                <w:rFonts w:ascii="Arial" w:hAnsi="Arial" w:cs="Arial"/>
                <w:sz w:val="18"/>
                <w:szCs w:val="18"/>
                <w:lang w:eastAsia="nl-NL"/>
              </w:rPr>
            </w:pPr>
            <w:r>
              <w:rPr>
                <w:rFonts w:ascii="Arial" w:hAnsi="Arial" w:cs="Arial"/>
                <w:sz w:val="18"/>
                <w:szCs w:val="18"/>
                <w:lang w:eastAsia="nl-NL"/>
              </w:rPr>
              <w:t>$854</w:t>
            </w:r>
          </w:p>
        </w:tc>
      </w:tr>
      <w:tr w:rsidR="00964452" w:rsidRPr="00827F56" w:rsidTr="009C5F11">
        <w:tc>
          <w:tcPr>
            <w:tcW w:w="3070" w:type="dxa"/>
          </w:tcPr>
          <w:p w:rsidR="00964452" w:rsidRPr="00827F56" w:rsidRDefault="00964452" w:rsidP="009C5F11">
            <w:pPr>
              <w:pStyle w:val="NoSpacing"/>
              <w:rPr>
                <w:rFonts w:ascii="Arial" w:hAnsi="Arial" w:cs="Arial"/>
                <w:sz w:val="18"/>
                <w:szCs w:val="18"/>
                <w:lang w:eastAsia="nl-NL"/>
              </w:rPr>
            </w:pPr>
          </w:p>
        </w:tc>
        <w:tc>
          <w:tcPr>
            <w:tcW w:w="3071" w:type="dxa"/>
          </w:tcPr>
          <w:p w:rsidR="00964452" w:rsidRPr="00827F56" w:rsidRDefault="00964452" w:rsidP="009C5F11">
            <w:pPr>
              <w:pStyle w:val="NoSpacing"/>
              <w:rPr>
                <w:rFonts w:ascii="Arial" w:hAnsi="Arial" w:cs="Arial"/>
                <w:sz w:val="18"/>
                <w:szCs w:val="18"/>
                <w:lang w:eastAsia="nl-NL"/>
              </w:rPr>
            </w:pPr>
          </w:p>
        </w:tc>
        <w:tc>
          <w:tcPr>
            <w:tcW w:w="3071" w:type="dxa"/>
          </w:tcPr>
          <w:p w:rsidR="00964452" w:rsidRPr="00827F56" w:rsidRDefault="00964452" w:rsidP="009C5F11">
            <w:pPr>
              <w:pStyle w:val="NoSpacing"/>
              <w:rPr>
                <w:rFonts w:ascii="Arial" w:hAnsi="Arial" w:cs="Arial"/>
                <w:sz w:val="18"/>
                <w:szCs w:val="18"/>
                <w:lang w:eastAsia="nl-NL"/>
              </w:rPr>
            </w:pPr>
          </w:p>
        </w:tc>
      </w:tr>
      <w:tr w:rsidR="00964452" w:rsidRPr="00827F56" w:rsidTr="009C5F11">
        <w:tc>
          <w:tcPr>
            <w:tcW w:w="3070" w:type="dxa"/>
            <w:tcBorders>
              <w:bottom w:val="single" w:sz="12" w:space="0" w:color="000000"/>
            </w:tcBorders>
          </w:tcPr>
          <w:p w:rsidR="00964452" w:rsidRPr="00827F56" w:rsidRDefault="00964452" w:rsidP="009C5F11">
            <w:pPr>
              <w:pStyle w:val="NoSpacing"/>
              <w:rPr>
                <w:rFonts w:ascii="Arial" w:hAnsi="Arial" w:cs="Arial"/>
                <w:b/>
                <w:sz w:val="18"/>
                <w:szCs w:val="18"/>
                <w:lang w:eastAsia="nl-NL"/>
              </w:rPr>
            </w:pPr>
            <w:r w:rsidRPr="00827F56">
              <w:rPr>
                <w:rFonts w:ascii="Arial" w:hAnsi="Arial" w:cs="Arial"/>
                <w:b/>
                <w:sz w:val="18"/>
                <w:szCs w:val="18"/>
                <w:lang w:eastAsia="nl-NL"/>
              </w:rPr>
              <w:t>Largest PRODY values</w:t>
            </w:r>
          </w:p>
        </w:tc>
        <w:tc>
          <w:tcPr>
            <w:tcW w:w="3071" w:type="dxa"/>
            <w:tcBorders>
              <w:bottom w:val="single" w:sz="12" w:space="0" w:color="000000"/>
            </w:tcBorders>
          </w:tcPr>
          <w:p w:rsidR="00964452" w:rsidRPr="00827F56" w:rsidRDefault="00964452" w:rsidP="009C5F11">
            <w:pPr>
              <w:pStyle w:val="NoSpacing"/>
              <w:rPr>
                <w:rFonts w:ascii="Arial" w:hAnsi="Arial" w:cs="Arial"/>
                <w:b/>
                <w:sz w:val="18"/>
                <w:szCs w:val="18"/>
                <w:lang w:eastAsia="nl-NL"/>
              </w:rPr>
            </w:pPr>
          </w:p>
        </w:tc>
        <w:tc>
          <w:tcPr>
            <w:tcW w:w="3071" w:type="dxa"/>
            <w:tcBorders>
              <w:bottom w:val="single" w:sz="12" w:space="0" w:color="000000"/>
            </w:tcBorders>
          </w:tcPr>
          <w:p w:rsidR="00964452" w:rsidRPr="00827F56" w:rsidRDefault="00964452" w:rsidP="009C5F11">
            <w:pPr>
              <w:pStyle w:val="NoSpacing"/>
              <w:rPr>
                <w:rFonts w:ascii="Arial" w:hAnsi="Arial" w:cs="Arial"/>
                <w:b/>
                <w:sz w:val="18"/>
                <w:szCs w:val="18"/>
                <w:lang w:eastAsia="nl-NL"/>
              </w:rPr>
            </w:pPr>
          </w:p>
        </w:tc>
      </w:tr>
      <w:tr w:rsidR="00964452" w:rsidRPr="00827F56" w:rsidTr="009C5F11">
        <w:tc>
          <w:tcPr>
            <w:tcW w:w="3070" w:type="dxa"/>
            <w:tcBorders>
              <w:bottom w:val="single" w:sz="12" w:space="0" w:color="000000"/>
            </w:tcBorders>
          </w:tcPr>
          <w:p w:rsidR="00964452" w:rsidRPr="00827F56" w:rsidRDefault="00964452" w:rsidP="009C5F11">
            <w:pPr>
              <w:pStyle w:val="NoSpacing"/>
              <w:rPr>
                <w:rFonts w:ascii="Arial" w:hAnsi="Arial" w:cs="Arial"/>
                <w:sz w:val="18"/>
                <w:szCs w:val="18"/>
                <w:lang w:eastAsia="nl-NL"/>
              </w:rPr>
            </w:pPr>
            <w:r w:rsidRPr="00827F56">
              <w:rPr>
                <w:rFonts w:ascii="Arial" w:hAnsi="Arial" w:cs="Arial"/>
                <w:sz w:val="18"/>
                <w:szCs w:val="18"/>
                <w:lang w:eastAsia="nl-NL"/>
              </w:rPr>
              <w:t>Product code</w:t>
            </w:r>
          </w:p>
        </w:tc>
        <w:tc>
          <w:tcPr>
            <w:tcW w:w="3071" w:type="dxa"/>
            <w:tcBorders>
              <w:bottom w:val="single" w:sz="12" w:space="0" w:color="000000"/>
            </w:tcBorders>
          </w:tcPr>
          <w:p w:rsidR="00964452" w:rsidRPr="00827F56" w:rsidRDefault="00964452" w:rsidP="009C5F11">
            <w:pPr>
              <w:pStyle w:val="NoSpacing"/>
              <w:rPr>
                <w:rFonts w:ascii="Arial" w:hAnsi="Arial" w:cs="Arial"/>
                <w:sz w:val="18"/>
                <w:szCs w:val="18"/>
                <w:lang w:eastAsia="nl-NL"/>
              </w:rPr>
            </w:pPr>
            <w:r w:rsidRPr="00827F56">
              <w:rPr>
                <w:rFonts w:ascii="Arial" w:hAnsi="Arial" w:cs="Arial"/>
                <w:sz w:val="18"/>
                <w:szCs w:val="18"/>
                <w:lang w:eastAsia="nl-NL"/>
              </w:rPr>
              <w:t>Product name</w:t>
            </w:r>
          </w:p>
        </w:tc>
        <w:tc>
          <w:tcPr>
            <w:tcW w:w="3071" w:type="dxa"/>
            <w:tcBorders>
              <w:bottom w:val="single" w:sz="12" w:space="0" w:color="000000"/>
            </w:tcBorders>
          </w:tcPr>
          <w:p w:rsidR="00964452" w:rsidRPr="00827F56" w:rsidRDefault="00964452" w:rsidP="009C5F11">
            <w:pPr>
              <w:pStyle w:val="NoSpacing"/>
              <w:rPr>
                <w:rFonts w:ascii="Arial" w:hAnsi="Arial" w:cs="Arial"/>
                <w:sz w:val="18"/>
                <w:szCs w:val="18"/>
                <w:lang w:eastAsia="nl-NL"/>
              </w:rPr>
            </w:pPr>
            <w:r w:rsidRPr="00827F56">
              <w:rPr>
                <w:rFonts w:ascii="Arial" w:hAnsi="Arial" w:cs="Arial"/>
                <w:sz w:val="18"/>
                <w:szCs w:val="18"/>
                <w:lang w:eastAsia="nl-NL"/>
              </w:rPr>
              <w:t>PRODY average of 2002, 2003, 2004</w:t>
            </w:r>
          </w:p>
        </w:tc>
      </w:tr>
      <w:tr w:rsidR="00964452" w:rsidRPr="00827F56" w:rsidTr="009C5F11">
        <w:tc>
          <w:tcPr>
            <w:tcW w:w="3070" w:type="dxa"/>
            <w:tcBorders>
              <w:top w:val="single" w:sz="12" w:space="0" w:color="000000"/>
            </w:tcBorders>
          </w:tcPr>
          <w:p w:rsidR="00964452" w:rsidRPr="00827F56" w:rsidRDefault="00964452" w:rsidP="009C5F11">
            <w:pPr>
              <w:pStyle w:val="NoSpacing"/>
              <w:rPr>
                <w:rFonts w:ascii="Arial" w:hAnsi="Arial" w:cs="Arial"/>
                <w:sz w:val="18"/>
                <w:szCs w:val="18"/>
                <w:lang w:eastAsia="nl-NL"/>
              </w:rPr>
            </w:pPr>
            <w:r w:rsidRPr="00827F56">
              <w:rPr>
                <w:rFonts w:ascii="Arial" w:hAnsi="Arial" w:cs="Arial"/>
                <w:sz w:val="18"/>
                <w:szCs w:val="18"/>
                <w:lang w:eastAsia="nl-NL"/>
              </w:rPr>
              <w:t>590290</w:t>
            </w:r>
          </w:p>
        </w:tc>
        <w:tc>
          <w:tcPr>
            <w:tcW w:w="3071" w:type="dxa"/>
            <w:tcBorders>
              <w:top w:val="single" w:sz="12" w:space="0" w:color="000000"/>
            </w:tcBorders>
          </w:tcPr>
          <w:p w:rsidR="00964452" w:rsidRPr="00827F56" w:rsidRDefault="00964452" w:rsidP="009C5F11">
            <w:pPr>
              <w:pStyle w:val="NoSpacing"/>
              <w:rPr>
                <w:rFonts w:ascii="Arial" w:hAnsi="Arial" w:cs="Arial"/>
                <w:sz w:val="18"/>
                <w:szCs w:val="18"/>
                <w:lang w:eastAsia="nl-NL"/>
              </w:rPr>
            </w:pPr>
            <w:r w:rsidRPr="00827F56">
              <w:rPr>
                <w:rFonts w:ascii="Arial" w:hAnsi="Arial" w:cs="Arial"/>
                <w:sz w:val="18"/>
                <w:szCs w:val="18"/>
                <w:lang w:eastAsia="nl-NL"/>
              </w:rPr>
              <w:t>Tyre cord fabric of viscose rayon</w:t>
            </w:r>
          </w:p>
        </w:tc>
        <w:tc>
          <w:tcPr>
            <w:tcW w:w="3071" w:type="dxa"/>
            <w:tcBorders>
              <w:top w:val="single" w:sz="12" w:space="0" w:color="000000"/>
            </w:tcBorders>
          </w:tcPr>
          <w:p w:rsidR="00964452" w:rsidRPr="00827F56" w:rsidRDefault="00964452" w:rsidP="00E27F9B">
            <w:pPr>
              <w:pStyle w:val="NoSpacing"/>
              <w:rPr>
                <w:rFonts w:ascii="Arial" w:hAnsi="Arial" w:cs="Arial"/>
                <w:sz w:val="18"/>
                <w:szCs w:val="18"/>
                <w:lang w:eastAsia="nl-NL"/>
              </w:rPr>
            </w:pPr>
            <w:r>
              <w:rPr>
                <w:rFonts w:ascii="Arial" w:hAnsi="Arial" w:cs="Arial"/>
                <w:sz w:val="18"/>
                <w:szCs w:val="18"/>
                <w:lang w:eastAsia="nl-NL"/>
              </w:rPr>
              <w:t>$</w:t>
            </w:r>
            <w:r w:rsidRPr="00827F56">
              <w:rPr>
                <w:rFonts w:ascii="Arial" w:hAnsi="Arial" w:cs="Arial"/>
                <w:sz w:val="18"/>
                <w:szCs w:val="18"/>
                <w:lang w:eastAsia="nl-NL"/>
              </w:rPr>
              <w:t>56,323</w:t>
            </w:r>
          </w:p>
        </w:tc>
      </w:tr>
      <w:tr w:rsidR="00964452" w:rsidRPr="00827F56" w:rsidTr="009C5F11">
        <w:tc>
          <w:tcPr>
            <w:tcW w:w="3070" w:type="dxa"/>
          </w:tcPr>
          <w:p w:rsidR="00964452" w:rsidRPr="00827F56" w:rsidRDefault="00964452" w:rsidP="009C5F11">
            <w:pPr>
              <w:pStyle w:val="NoSpacing"/>
              <w:rPr>
                <w:rFonts w:ascii="Arial" w:hAnsi="Arial" w:cs="Arial"/>
                <w:sz w:val="18"/>
                <w:szCs w:val="18"/>
                <w:lang w:eastAsia="nl-NL"/>
              </w:rPr>
            </w:pPr>
            <w:r w:rsidRPr="00827F56">
              <w:rPr>
                <w:rFonts w:ascii="Arial" w:hAnsi="Arial" w:cs="Arial"/>
                <w:sz w:val="18"/>
                <w:szCs w:val="18"/>
                <w:lang w:eastAsia="nl-NL"/>
              </w:rPr>
              <w:t>730110</w:t>
            </w:r>
          </w:p>
        </w:tc>
        <w:tc>
          <w:tcPr>
            <w:tcW w:w="3071" w:type="dxa"/>
          </w:tcPr>
          <w:p w:rsidR="00964452" w:rsidRPr="00827F56" w:rsidRDefault="00964452" w:rsidP="009C5F11">
            <w:pPr>
              <w:pStyle w:val="NoSpacing"/>
              <w:rPr>
                <w:rFonts w:ascii="Arial" w:hAnsi="Arial" w:cs="Arial"/>
                <w:sz w:val="18"/>
                <w:szCs w:val="18"/>
                <w:lang w:eastAsia="nl-NL"/>
              </w:rPr>
            </w:pPr>
            <w:r w:rsidRPr="00827F56">
              <w:rPr>
                <w:rFonts w:ascii="Arial" w:hAnsi="Arial" w:cs="Arial"/>
                <w:sz w:val="18"/>
                <w:szCs w:val="18"/>
                <w:lang w:eastAsia="nl-NL"/>
              </w:rPr>
              <w:t xml:space="preserve">Sheet piling of iron or steel         </w:t>
            </w:r>
          </w:p>
        </w:tc>
        <w:tc>
          <w:tcPr>
            <w:tcW w:w="3071" w:type="dxa"/>
          </w:tcPr>
          <w:p w:rsidR="00964452" w:rsidRPr="00827F56" w:rsidRDefault="00964452" w:rsidP="00E27F9B">
            <w:pPr>
              <w:pStyle w:val="NoSpacing"/>
              <w:rPr>
                <w:rFonts w:ascii="Arial" w:hAnsi="Arial" w:cs="Arial"/>
                <w:sz w:val="18"/>
                <w:szCs w:val="18"/>
                <w:lang w:eastAsia="nl-NL"/>
              </w:rPr>
            </w:pPr>
            <w:r>
              <w:rPr>
                <w:rFonts w:ascii="Arial" w:hAnsi="Arial" w:cs="Arial"/>
                <w:sz w:val="18"/>
                <w:szCs w:val="18"/>
                <w:lang w:eastAsia="nl-NL"/>
              </w:rPr>
              <w:t>$53,289</w:t>
            </w:r>
          </w:p>
        </w:tc>
      </w:tr>
      <w:tr w:rsidR="00964452" w:rsidRPr="00827F56" w:rsidTr="009C5F11">
        <w:tc>
          <w:tcPr>
            <w:tcW w:w="3070" w:type="dxa"/>
          </w:tcPr>
          <w:p w:rsidR="00964452" w:rsidRPr="00827F56" w:rsidRDefault="00964452" w:rsidP="009C5F11">
            <w:pPr>
              <w:pStyle w:val="NoSpacing"/>
              <w:rPr>
                <w:rFonts w:ascii="Arial" w:hAnsi="Arial" w:cs="Arial"/>
                <w:sz w:val="18"/>
                <w:szCs w:val="18"/>
                <w:lang w:eastAsia="nl-NL"/>
              </w:rPr>
            </w:pPr>
            <w:r w:rsidRPr="00827F56">
              <w:rPr>
                <w:rFonts w:ascii="Arial" w:hAnsi="Arial" w:cs="Arial"/>
                <w:sz w:val="18"/>
                <w:szCs w:val="18"/>
                <w:lang w:eastAsia="nl-NL"/>
              </w:rPr>
              <w:t>721069</w:t>
            </w:r>
          </w:p>
        </w:tc>
        <w:tc>
          <w:tcPr>
            <w:tcW w:w="3071" w:type="dxa"/>
          </w:tcPr>
          <w:p w:rsidR="00964452" w:rsidRPr="00827F56" w:rsidRDefault="00964452" w:rsidP="009C5F11">
            <w:pPr>
              <w:pStyle w:val="NoSpacing"/>
              <w:rPr>
                <w:rFonts w:ascii="Arial" w:hAnsi="Arial" w:cs="Arial"/>
                <w:sz w:val="18"/>
                <w:szCs w:val="18"/>
                <w:lang w:eastAsia="nl-NL"/>
              </w:rPr>
            </w:pPr>
            <w:r w:rsidRPr="00827F56">
              <w:rPr>
                <w:rFonts w:ascii="Arial" w:hAnsi="Arial" w:cs="Arial"/>
                <w:sz w:val="18"/>
                <w:szCs w:val="18"/>
                <w:lang w:eastAsia="nl-NL"/>
              </w:rPr>
              <w:t xml:space="preserve">Flat-rolled iron/steel, &gt;600mm, clad, plated or coated with aluminium        </w:t>
            </w:r>
          </w:p>
        </w:tc>
        <w:tc>
          <w:tcPr>
            <w:tcW w:w="3071" w:type="dxa"/>
          </w:tcPr>
          <w:p w:rsidR="00964452" w:rsidRPr="00827F56" w:rsidRDefault="00964452" w:rsidP="00E27F9B">
            <w:pPr>
              <w:pStyle w:val="NoSpacing"/>
              <w:rPr>
                <w:rFonts w:ascii="Arial" w:hAnsi="Arial" w:cs="Arial"/>
                <w:sz w:val="18"/>
                <w:szCs w:val="18"/>
                <w:lang w:eastAsia="nl-NL"/>
              </w:rPr>
            </w:pPr>
            <w:r>
              <w:rPr>
                <w:rFonts w:ascii="Arial" w:hAnsi="Arial" w:cs="Arial"/>
                <w:sz w:val="18"/>
                <w:szCs w:val="18"/>
                <w:lang w:eastAsia="nl-NL"/>
              </w:rPr>
              <w:t>$49,819</w:t>
            </w:r>
          </w:p>
        </w:tc>
      </w:tr>
      <w:tr w:rsidR="00964452" w:rsidRPr="00827F56" w:rsidTr="009C5F11">
        <w:tc>
          <w:tcPr>
            <w:tcW w:w="3070" w:type="dxa"/>
          </w:tcPr>
          <w:p w:rsidR="00964452" w:rsidRPr="00827F56" w:rsidRDefault="00964452" w:rsidP="009C5F11">
            <w:pPr>
              <w:pStyle w:val="NoSpacing"/>
              <w:rPr>
                <w:rFonts w:ascii="Arial" w:hAnsi="Arial" w:cs="Arial"/>
                <w:sz w:val="18"/>
                <w:szCs w:val="18"/>
                <w:lang w:eastAsia="nl-NL"/>
              </w:rPr>
            </w:pPr>
            <w:r w:rsidRPr="00827F56">
              <w:rPr>
                <w:rFonts w:ascii="Arial" w:hAnsi="Arial" w:cs="Arial"/>
                <w:sz w:val="18"/>
                <w:szCs w:val="18"/>
                <w:lang w:eastAsia="nl-NL"/>
              </w:rPr>
              <w:t>811300</w:t>
            </w:r>
          </w:p>
        </w:tc>
        <w:tc>
          <w:tcPr>
            <w:tcW w:w="3071" w:type="dxa"/>
          </w:tcPr>
          <w:p w:rsidR="00964452" w:rsidRPr="00827F56" w:rsidRDefault="00964452" w:rsidP="009C5F11">
            <w:pPr>
              <w:pStyle w:val="NoSpacing"/>
              <w:rPr>
                <w:rFonts w:ascii="Arial" w:hAnsi="Arial" w:cs="Arial"/>
                <w:sz w:val="18"/>
                <w:szCs w:val="18"/>
                <w:lang w:eastAsia="nl-NL"/>
              </w:rPr>
            </w:pPr>
            <w:r w:rsidRPr="00827F56">
              <w:rPr>
                <w:rFonts w:ascii="Arial" w:hAnsi="Arial" w:cs="Arial"/>
                <w:sz w:val="18"/>
                <w:szCs w:val="18"/>
                <w:lang w:eastAsia="nl-NL"/>
              </w:rPr>
              <w:t xml:space="preserve">Cermets and articles thereof, waste or scrap        </w:t>
            </w:r>
          </w:p>
        </w:tc>
        <w:tc>
          <w:tcPr>
            <w:tcW w:w="3071" w:type="dxa"/>
          </w:tcPr>
          <w:p w:rsidR="00964452" w:rsidRPr="00827F56" w:rsidRDefault="00964452" w:rsidP="00E27F9B">
            <w:pPr>
              <w:pStyle w:val="NoSpacing"/>
              <w:rPr>
                <w:rFonts w:ascii="Arial" w:hAnsi="Arial" w:cs="Arial"/>
                <w:sz w:val="18"/>
                <w:szCs w:val="18"/>
                <w:lang w:eastAsia="nl-NL"/>
              </w:rPr>
            </w:pPr>
            <w:r>
              <w:rPr>
                <w:rFonts w:ascii="Arial" w:hAnsi="Arial" w:cs="Arial"/>
                <w:sz w:val="18"/>
                <w:szCs w:val="18"/>
                <w:lang w:eastAsia="nl-NL"/>
              </w:rPr>
              <w:t>$48,765</w:t>
            </w:r>
          </w:p>
        </w:tc>
      </w:tr>
      <w:tr w:rsidR="00964452" w:rsidRPr="00827F56" w:rsidTr="009C5F11">
        <w:tc>
          <w:tcPr>
            <w:tcW w:w="3070" w:type="dxa"/>
          </w:tcPr>
          <w:p w:rsidR="00964452" w:rsidRPr="00827F56" w:rsidRDefault="00964452" w:rsidP="009C5F11">
            <w:pPr>
              <w:pStyle w:val="NoSpacing"/>
              <w:rPr>
                <w:rFonts w:ascii="Arial" w:hAnsi="Arial" w:cs="Arial"/>
                <w:sz w:val="18"/>
                <w:szCs w:val="18"/>
                <w:lang w:eastAsia="nl-NL"/>
              </w:rPr>
            </w:pPr>
            <w:r w:rsidRPr="00827F56">
              <w:rPr>
                <w:rFonts w:ascii="Arial" w:hAnsi="Arial" w:cs="Arial"/>
                <w:sz w:val="18"/>
                <w:szCs w:val="18"/>
                <w:lang w:eastAsia="nl-NL"/>
              </w:rPr>
              <w:t>721633</w:t>
            </w:r>
          </w:p>
        </w:tc>
        <w:tc>
          <w:tcPr>
            <w:tcW w:w="3071" w:type="dxa"/>
          </w:tcPr>
          <w:p w:rsidR="00964452" w:rsidRPr="00827F56" w:rsidRDefault="00964452" w:rsidP="009C5F11">
            <w:pPr>
              <w:pStyle w:val="NoSpacing"/>
              <w:rPr>
                <w:rFonts w:ascii="Arial" w:hAnsi="Arial" w:cs="Arial"/>
                <w:sz w:val="18"/>
                <w:szCs w:val="18"/>
                <w:lang w:eastAsia="nl-NL"/>
              </w:rPr>
            </w:pPr>
            <w:r w:rsidRPr="00827F56">
              <w:rPr>
                <w:rFonts w:ascii="Arial" w:hAnsi="Arial" w:cs="Arial"/>
                <w:sz w:val="18"/>
                <w:szCs w:val="18"/>
                <w:lang w:eastAsia="nl-NL"/>
              </w:rPr>
              <w:t xml:space="preserve">Sections of iron or non-alloy steel, H, i/nas, nfw hot-roll/drawn/extruded &gt; 80mm        </w:t>
            </w:r>
          </w:p>
        </w:tc>
        <w:tc>
          <w:tcPr>
            <w:tcW w:w="3071" w:type="dxa"/>
          </w:tcPr>
          <w:p w:rsidR="00964452" w:rsidRPr="00827F56" w:rsidRDefault="00964452" w:rsidP="00E27F9B">
            <w:pPr>
              <w:pStyle w:val="NoSpacing"/>
              <w:rPr>
                <w:rFonts w:ascii="Arial" w:hAnsi="Arial" w:cs="Arial"/>
                <w:sz w:val="18"/>
                <w:szCs w:val="18"/>
                <w:lang w:eastAsia="nl-NL"/>
              </w:rPr>
            </w:pPr>
            <w:r>
              <w:rPr>
                <w:rFonts w:ascii="Arial" w:hAnsi="Arial" w:cs="Arial"/>
                <w:sz w:val="18"/>
                <w:szCs w:val="18"/>
                <w:lang w:eastAsia="nl-NL"/>
              </w:rPr>
              <w:t>$48,550</w:t>
            </w:r>
          </w:p>
        </w:tc>
      </w:tr>
    </w:tbl>
    <w:p w:rsidR="00964452" w:rsidRPr="003A4F8C" w:rsidRDefault="00964452" w:rsidP="003A4F8C">
      <w:pPr>
        <w:pStyle w:val="NoSpacing"/>
        <w:rPr>
          <w:lang w:eastAsia="nl-NL"/>
        </w:rPr>
      </w:pPr>
    </w:p>
    <w:p w:rsidR="00964452" w:rsidRDefault="00964452" w:rsidP="003A4F8C">
      <w:pPr>
        <w:spacing w:line="360" w:lineRule="auto"/>
        <w:rPr>
          <w:lang w:eastAsia="nl-NL"/>
        </w:rPr>
      </w:pPr>
      <w:r w:rsidRPr="004836A0">
        <w:rPr>
          <w:lang w:eastAsia="nl-NL"/>
        </w:rPr>
        <w:t>The low PRODY</w:t>
      </w:r>
      <w:r>
        <w:rPr>
          <w:lang w:eastAsia="nl-NL"/>
        </w:rPr>
        <w:t xml:space="preserve"> of</w:t>
      </w:r>
      <w:r w:rsidRPr="004836A0">
        <w:rPr>
          <w:lang w:eastAsia="nl-NL"/>
        </w:rPr>
        <w:t xml:space="preserve"> niobium, tantalum and vanadium ores and concentrates, can be explained by the fact that this product is a large share of Rwanda’s exports. In 2002, this product was responsible for 31</w:t>
      </w:r>
      <w:r>
        <w:rPr>
          <w:lang w:eastAsia="nl-NL"/>
        </w:rPr>
        <w:t>%</w:t>
      </w:r>
      <w:r w:rsidRPr="004836A0">
        <w:rPr>
          <w:lang w:eastAsia="nl-NL"/>
        </w:rPr>
        <w:t xml:space="preserve"> of Rwanda’s exports. Together with the fact that Rwanda has the fifth lowest GDP per capita of </w:t>
      </w:r>
      <w:r>
        <w:rPr>
          <w:lang w:eastAsia="nl-NL"/>
        </w:rPr>
        <w:t>the country sample in that year, $ 665</w:t>
      </w:r>
      <w:r w:rsidRPr="004836A0">
        <w:rPr>
          <w:lang w:eastAsia="nl-NL"/>
        </w:rPr>
        <w:t>, this clarifies the low PRODY value of</w:t>
      </w:r>
      <w:r>
        <w:rPr>
          <w:lang w:eastAsia="nl-NL"/>
        </w:rPr>
        <w:t xml:space="preserve"> the</w:t>
      </w:r>
      <w:r w:rsidRPr="004836A0">
        <w:rPr>
          <w:lang w:eastAsia="nl-NL"/>
        </w:rPr>
        <w:t xml:space="preserve"> product. </w:t>
      </w:r>
      <w:r>
        <w:rPr>
          <w:lang w:eastAsia="nl-NL"/>
        </w:rPr>
        <w:t>V</w:t>
      </w:r>
      <w:r w:rsidRPr="004836A0">
        <w:rPr>
          <w:lang w:eastAsia="nl-NL"/>
        </w:rPr>
        <w:t>anilla beans, is a large</w:t>
      </w:r>
      <w:r>
        <w:rPr>
          <w:lang w:eastAsia="nl-NL"/>
        </w:rPr>
        <w:t xml:space="preserve"> share of Madagascar’s exports, </w:t>
      </w:r>
      <w:r w:rsidRPr="004836A0">
        <w:rPr>
          <w:lang w:eastAsia="nl-NL"/>
        </w:rPr>
        <w:t>28</w:t>
      </w:r>
      <w:r>
        <w:rPr>
          <w:lang w:eastAsia="nl-NL"/>
        </w:rPr>
        <w:t>%in 2002</w:t>
      </w:r>
      <w:r w:rsidRPr="004836A0">
        <w:rPr>
          <w:lang w:eastAsia="nl-NL"/>
        </w:rPr>
        <w:t xml:space="preserve">, which also has one </w:t>
      </w:r>
      <w:r>
        <w:rPr>
          <w:lang w:eastAsia="nl-NL"/>
        </w:rPr>
        <w:t>of the lowest GDP’s per capita; $</w:t>
      </w:r>
      <w:r w:rsidRPr="004836A0">
        <w:rPr>
          <w:lang w:eastAsia="nl-NL"/>
        </w:rPr>
        <w:t xml:space="preserve">693 </w:t>
      </w:r>
      <w:r>
        <w:rPr>
          <w:lang w:eastAsia="nl-NL"/>
        </w:rPr>
        <w:t>in 2002</w:t>
      </w:r>
      <w:r w:rsidRPr="004836A0">
        <w:rPr>
          <w:lang w:eastAsia="nl-NL"/>
        </w:rPr>
        <w:t>.</w:t>
      </w:r>
      <w:r>
        <w:rPr>
          <w:lang w:eastAsia="nl-NL"/>
        </w:rPr>
        <w:t xml:space="preserve"> S</w:t>
      </w:r>
      <w:r w:rsidRPr="004836A0">
        <w:rPr>
          <w:lang w:eastAsia="nl-NL"/>
        </w:rPr>
        <w:t>heep or lamb skin leather, which has the third lowest PRODY, is mo</w:t>
      </w:r>
      <w:r>
        <w:rPr>
          <w:lang w:eastAsia="nl-NL"/>
        </w:rPr>
        <w:t>stly exported by poor countries</w:t>
      </w:r>
      <w:r w:rsidRPr="004836A0">
        <w:rPr>
          <w:lang w:eastAsia="nl-NL"/>
        </w:rPr>
        <w:t xml:space="preserve"> such as Ethiopia and the Gambia. </w:t>
      </w:r>
    </w:p>
    <w:p w:rsidR="00964452" w:rsidRDefault="00964452" w:rsidP="003A4F8C">
      <w:pPr>
        <w:spacing w:line="360" w:lineRule="auto"/>
        <w:rPr>
          <w:lang w:eastAsia="nl-NL"/>
        </w:rPr>
      </w:pPr>
      <w:r w:rsidRPr="004836A0">
        <w:rPr>
          <w:lang w:eastAsia="nl-NL"/>
        </w:rPr>
        <w:t xml:space="preserve">Alternatively, tyre cord fabric of viscose rayon, the </w:t>
      </w:r>
      <w:r>
        <w:rPr>
          <w:lang w:eastAsia="nl-NL"/>
        </w:rPr>
        <w:t>good</w:t>
      </w:r>
      <w:r w:rsidRPr="004836A0">
        <w:rPr>
          <w:lang w:eastAsia="nl-NL"/>
        </w:rPr>
        <w:t xml:space="preserve"> with the largest PRODY value, is mainly exported by rich countries, such as; Luxembo</w:t>
      </w:r>
      <w:r>
        <w:rPr>
          <w:lang w:eastAsia="nl-NL"/>
        </w:rPr>
        <w:t>urg, Germany, Italy and Sweden. S</w:t>
      </w:r>
      <w:r w:rsidRPr="004836A0">
        <w:rPr>
          <w:lang w:eastAsia="nl-NL"/>
        </w:rPr>
        <w:t>heet piling of iron or steel, is also mainly exported by high-income countries like Luxembourg, Germany, Japan and the United Kingdom. Rich countries such as Luxembourg, France, Japan, UK, Germany, are also mainly responsible for the exports of</w:t>
      </w:r>
      <w:r>
        <w:rPr>
          <w:lang w:eastAsia="nl-NL"/>
        </w:rPr>
        <w:t xml:space="preserve"> flat-rolled iron and </w:t>
      </w:r>
      <w:r w:rsidRPr="004836A0">
        <w:rPr>
          <w:lang w:eastAsia="nl-NL"/>
        </w:rPr>
        <w:t xml:space="preserve">steel. The largest shareof exports of </w:t>
      </w:r>
      <w:r>
        <w:rPr>
          <w:lang w:eastAsia="nl-NL"/>
        </w:rPr>
        <w:t>c</w:t>
      </w:r>
      <w:r w:rsidRPr="004836A0">
        <w:rPr>
          <w:lang w:eastAsia="nl-NL"/>
        </w:rPr>
        <w:t>ermets and articles thereof</w:t>
      </w:r>
      <w:r>
        <w:rPr>
          <w:lang w:eastAsia="nl-NL"/>
        </w:rPr>
        <w:t xml:space="preserve"> belong to </w:t>
      </w:r>
      <w:r w:rsidRPr="004836A0">
        <w:rPr>
          <w:lang w:eastAsia="nl-NL"/>
        </w:rPr>
        <w:t>Luxembourg, Switzerland and Sweden.</w:t>
      </w:r>
    </w:p>
    <w:p w:rsidR="00964452" w:rsidRPr="00FC57C9" w:rsidRDefault="00964452" w:rsidP="003A4F8C">
      <w:pPr>
        <w:spacing w:line="360" w:lineRule="auto"/>
        <w:rPr>
          <w:lang w:eastAsia="nl-NL"/>
        </w:rPr>
      </w:pPr>
      <w:r w:rsidRPr="00FC57C9">
        <w:rPr>
          <w:lang w:eastAsia="nl-NL"/>
        </w:rPr>
        <w:t xml:space="preserve">4 of the 5 products with the largest PRODY values were also in the top 5 of Hausmann et al.(2007). Only cermets and articles thereof did not belong to the largest PRODY’s of Hausmann et al. (2007). Furthermore, the order of the 4 similar products are different; in this paper tyre cord fabric of viscose rayon has the largest PRODY, whereas in Hausmann et al. (2007) flat-rolled iron and steel had the largest PRODY. In addition, all </w:t>
      </w:r>
      <w:r>
        <w:rPr>
          <w:lang w:eastAsia="nl-NL"/>
        </w:rPr>
        <w:t>5</w:t>
      </w:r>
      <w:r w:rsidRPr="00FC57C9">
        <w:rPr>
          <w:lang w:eastAsia="nl-NL"/>
        </w:rPr>
        <w:t xml:space="preserve"> largest PRODY</w:t>
      </w:r>
      <w:r>
        <w:rPr>
          <w:lang w:eastAsia="nl-NL"/>
        </w:rPr>
        <w:t xml:space="preserve"> values</w:t>
      </w:r>
      <w:r w:rsidRPr="00FC57C9">
        <w:rPr>
          <w:lang w:eastAsia="nl-NL"/>
        </w:rPr>
        <w:t xml:space="preserve"> are considerably larger than the </w:t>
      </w:r>
      <w:r>
        <w:rPr>
          <w:lang w:eastAsia="nl-NL"/>
        </w:rPr>
        <w:t>maximum</w:t>
      </w:r>
      <w:r w:rsidRPr="00FC57C9">
        <w:rPr>
          <w:lang w:eastAsia="nl-NL"/>
        </w:rPr>
        <w:t xml:space="preserve"> PRODY of Hausmann et al. (2007).</w:t>
      </w:r>
    </w:p>
    <w:p w:rsidR="00964452" w:rsidRPr="00FC57C9" w:rsidRDefault="00964452" w:rsidP="003A4F8C">
      <w:pPr>
        <w:spacing w:line="360" w:lineRule="auto"/>
        <w:rPr>
          <w:color w:val="FF0000"/>
          <w:lang w:eastAsia="nl-NL"/>
        </w:rPr>
      </w:pPr>
    </w:p>
    <w:p w:rsidR="00964452" w:rsidRPr="006A47EE" w:rsidRDefault="00964452" w:rsidP="006A47EE">
      <w:pPr>
        <w:pStyle w:val="Heading1"/>
        <w:numPr>
          <w:ilvl w:val="0"/>
          <w:numId w:val="2"/>
        </w:numPr>
        <w:spacing w:line="360" w:lineRule="auto"/>
      </w:pPr>
      <w:bookmarkStart w:id="25" w:name="_Toc299481890"/>
      <w:r>
        <w:t>Productivity levels of specialisation patterns</w:t>
      </w:r>
      <w:bookmarkEnd w:id="25"/>
    </w:p>
    <w:p w:rsidR="00964452" w:rsidRPr="00174636" w:rsidRDefault="00964452" w:rsidP="00D5650A">
      <w:pPr>
        <w:pStyle w:val="Heading2"/>
        <w:spacing w:line="360" w:lineRule="auto"/>
      </w:pPr>
      <w:bookmarkStart w:id="26" w:name="_Toc299481891"/>
      <w:r w:rsidRPr="00174636">
        <w:t>Variation in EXPY</w:t>
      </w:r>
      <w:bookmarkEnd w:id="26"/>
    </w:p>
    <w:p w:rsidR="00964452" w:rsidRDefault="00964452" w:rsidP="00D5650A">
      <w:pPr>
        <w:spacing w:line="360" w:lineRule="auto"/>
      </w:pPr>
      <w:r w:rsidRPr="004836A0">
        <w:t xml:space="preserve">After all PRODY values were </w:t>
      </w:r>
      <w:r w:rsidRPr="004B3664">
        <w:t xml:space="preserve">known, EXPY values could be generated. The descriptive statistics of EXPY are </w:t>
      </w:r>
      <w:r>
        <w:t>shownin appendix 2</w:t>
      </w:r>
      <w:r w:rsidRPr="005F2AEE">
        <w:t xml:space="preserve">. The </w:t>
      </w:r>
      <w:r w:rsidRPr="004836A0">
        <w:t>table shows that the number of countri</w:t>
      </w:r>
      <w:r>
        <w:t>es for which EXPY is available</w:t>
      </w:r>
      <w:r w:rsidRPr="004836A0">
        <w:t xml:space="preserve">, fluctuates during the </w:t>
      </w:r>
      <w:r>
        <w:t xml:space="preserve">21 </w:t>
      </w:r>
      <w:r w:rsidRPr="004836A0">
        <w:t xml:space="preserve">years. </w:t>
      </w:r>
      <w:r>
        <w:t>F</w:t>
      </w:r>
      <w:r w:rsidRPr="004836A0">
        <w:t xml:space="preserve">luctuation was </w:t>
      </w:r>
      <w:r>
        <w:t xml:space="preserve">expected and was </w:t>
      </w:r>
      <w:r w:rsidRPr="004836A0">
        <w:t>the reason to generate PRODY and EXPY values only for those countries that reported export data in each of the years 2002, 2003 and 2004, sinc</w:t>
      </w:r>
      <w:r>
        <w:t>e non-reporting might be income</w:t>
      </w:r>
      <w:r w:rsidRPr="004836A0">
        <w:t xml:space="preserve"> related, which could create bias. The table shows that even after deselecting all other countries, there still is a large variation in the number of reporters</w:t>
      </w:r>
      <w:r>
        <w:t xml:space="preserve"> over the years</w:t>
      </w:r>
      <w:r w:rsidRPr="004836A0">
        <w:t xml:space="preserve">; from 10 in 1988 to 132 in the years 2002, 2003 and 2004. </w:t>
      </w:r>
    </w:p>
    <w:p w:rsidR="00964452" w:rsidRDefault="00964452" w:rsidP="00D5650A">
      <w:pPr>
        <w:spacing w:line="360" w:lineRule="auto"/>
        <w:rPr>
          <w:lang w:val="en-US"/>
        </w:rPr>
      </w:pPr>
      <w:r w:rsidRPr="004836A0">
        <w:t xml:space="preserve">The minimum value of EXPY tends to fluctuate over the years, whereas the </w:t>
      </w:r>
      <w:r w:rsidRPr="006065B8">
        <w:t xml:space="preserve">maximum value increases over time, from </w:t>
      </w:r>
      <w:r>
        <w:t>$</w:t>
      </w:r>
      <w:r w:rsidRPr="006065B8">
        <w:t>19,450 in 1988</w:t>
      </w:r>
      <w:r>
        <w:t>,</w:t>
      </w:r>
      <w:r w:rsidRPr="006065B8">
        <w:t xml:space="preserve"> to </w:t>
      </w:r>
      <w:r>
        <w:t>$</w:t>
      </w:r>
      <w:r w:rsidRPr="006065B8">
        <w:t>26,462 in 2008.</w:t>
      </w:r>
      <w:r>
        <w:t xml:space="preserve"> However, this large increase can be explained by the fact that Switzerland reported data during the entire sample period, whereas Luxembourg only for the years 1999 to 2008. From 1988 to 1998, Switzerland had the largest EXPY value. When Luxembourg entered the sample in 1999, it took over the role of reporter with the largest export productivity. Nevertheless, Switzerland continued increasing its EXPY; to $22,065 in 2008. </w:t>
      </w:r>
    </w:p>
    <w:p w:rsidR="00964452" w:rsidRDefault="00964452" w:rsidP="00D5650A">
      <w:pPr>
        <w:spacing w:line="360" w:lineRule="auto"/>
        <w:rPr>
          <w:color w:val="FF0000"/>
        </w:rPr>
      </w:pPr>
      <w:r w:rsidRPr="004836A0">
        <w:t>In their study</w:t>
      </w:r>
      <w:r w:rsidRPr="00AF3C03">
        <w:t>, Hausmann et al. (2007)</w:t>
      </w:r>
      <w:r w:rsidRPr="004836A0">
        <w:t xml:space="preserve">faced the same problem of an unsteady number of reporters. </w:t>
      </w:r>
      <w:r>
        <w:t>Nevertheless</w:t>
      </w:r>
      <w:r w:rsidRPr="004836A0">
        <w:t xml:space="preserve">, they saw a decreasing trend in their mean of EXPY. They explained this decrease by the unsteady sample of countries, as well as by the fact that many countries faced decreasing EXPY values. They remarked that </w:t>
      </w:r>
      <w:r>
        <w:t>the trend might be specific to the time period, because</w:t>
      </w:r>
      <w:r w:rsidRPr="004836A0">
        <w:t xml:space="preserve">, they did not find such a decrease </w:t>
      </w:r>
      <w:r>
        <w:t>when</w:t>
      </w:r>
      <w:r w:rsidRPr="004836A0">
        <w:t xml:space="preserve"> they used a </w:t>
      </w:r>
      <w:r>
        <w:t>4</w:t>
      </w:r>
      <w:r w:rsidRPr="004836A0">
        <w:t>-digit level of aggrega</w:t>
      </w:r>
      <w:r>
        <w:t>tion for the years 1960 to 2000</w:t>
      </w:r>
      <w:r w:rsidRPr="004836A0">
        <w:t xml:space="preserve">. </w:t>
      </w:r>
    </w:p>
    <w:p w:rsidR="00964452" w:rsidRPr="004836A0" w:rsidRDefault="00964452" w:rsidP="00D5650A">
      <w:pPr>
        <w:spacing w:line="360" w:lineRule="auto"/>
      </w:pPr>
      <w:r w:rsidRPr="004836A0">
        <w:t xml:space="preserve">The minimum EXPY values </w:t>
      </w:r>
      <w:r w:rsidRPr="00AF3C03">
        <w:t>of Hausmann et al. (2007) mostly</w:t>
      </w:r>
      <w:r w:rsidRPr="004836A0">
        <w:t xml:space="preserve"> drop</w:t>
      </w:r>
      <w:r>
        <w:t>ped</w:t>
      </w:r>
      <w:r w:rsidRPr="004836A0">
        <w:t xml:space="preserve"> over the res</w:t>
      </w:r>
      <w:r>
        <w:t>earch period. The maximum EXPY</w:t>
      </w:r>
      <w:r w:rsidRPr="004836A0">
        <w:t xml:space="preserve"> of their study decrease</w:t>
      </w:r>
      <w:r>
        <w:t>d</w:t>
      </w:r>
      <w:r w:rsidRPr="004836A0">
        <w:t xml:space="preserve"> in the early-nineties and then increase</w:t>
      </w:r>
      <w:r>
        <w:t>d</w:t>
      </w:r>
      <w:r w:rsidRPr="00024CB0">
        <w:t>, to drop</w:t>
      </w:r>
      <w:r>
        <w:t xml:space="preserve"> again </w:t>
      </w:r>
      <w:r w:rsidRPr="004836A0">
        <w:t xml:space="preserve">from 1999 to 2003. These differences in outcomes between </w:t>
      </w:r>
      <w:r>
        <w:t>these</w:t>
      </w:r>
      <w:r w:rsidRPr="004836A0">
        <w:t xml:space="preserve"> studies might be ca</w:t>
      </w:r>
      <w:r>
        <w:t>used by a difference in availability</w:t>
      </w:r>
      <w:r w:rsidRPr="004836A0">
        <w:t xml:space="preserve"> of data, and by a difference in country composition of </w:t>
      </w:r>
      <w:r>
        <w:t>the</w:t>
      </w:r>
      <w:r w:rsidRPr="004836A0">
        <w:t xml:space="preserve"> samples</w:t>
      </w:r>
      <w:r>
        <w:t>.</w:t>
      </w:r>
    </w:p>
    <w:p w:rsidR="00964452" w:rsidRPr="00EA2165" w:rsidRDefault="00964452" w:rsidP="00D5650A">
      <w:pPr>
        <w:pStyle w:val="Heading2"/>
        <w:spacing w:line="360" w:lineRule="auto"/>
      </w:pPr>
      <w:bookmarkStart w:id="27" w:name="_Toc299481892"/>
      <w:r w:rsidRPr="00EA2165">
        <w:t>Mean EXPY</w:t>
      </w:r>
      <w:bookmarkEnd w:id="27"/>
    </w:p>
    <w:p w:rsidR="00964452" w:rsidRDefault="00964452" w:rsidP="00C73E4D">
      <w:pPr>
        <w:spacing w:line="360" w:lineRule="auto"/>
      </w:pPr>
      <w:r w:rsidRPr="004836A0">
        <w:t>The mean of EXPY</w:t>
      </w:r>
      <w:r>
        <w:t>, as also illustrated in figure 6</w:t>
      </w:r>
      <w:r w:rsidRPr="004B3664">
        <w:t>,</w:t>
      </w:r>
      <w:r>
        <w:t xml:space="preserve"> decreased in the period 1988 to 1995.The small number of reporters in the first 5 years is part of the reason for that. The small sample size of those years provide a bias caused by non-reporting poor countries, which makes the left part of the graph in figure 6</w:t>
      </w:r>
      <w:r w:rsidRPr="004B3664">
        <w:t xml:space="preserve"> not reliable</w:t>
      </w:r>
      <w:r>
        <w:t>. A decrease in EXPY during the early nineties is, however, not peculiar, though not of that size, since t</w:t>
      </w:r>
      <w:r w:rsidRPr="004836A0">
        <w:t xml:space="preserve">he </w:t>
      </w:r>
      <w:r>
        <w:t>recession</w:t>
      </w:r>
      <w:r w:rsidRPr="004836A0">
        <w:t xml:space="preserve"> in the early-nineties </w:t>
      </w:r>
      <w:r>
        <w:t>might have influenced EXPY. The decrease in GDP’s per capita during that recession is not directly related to the EXPY values in those years, because the income levels of the years 2002, 2003 and 2004 are taken in the construction of PRODY, and thereof, of EXPY. Nevertheless, EXPY is indirectly affected by the recession, since during recessions exports generally fall.</w:t>
      </w:r>
    </w:p>
    <w:p w:rsidR="00964452" w:rsidRPr="00513ACC" w:rsidRDefault="00964452" w:rsidP="00D5650A">
      <w:pPr>
        <w:spacing w:line="360" w:lineRule="auto"/>
        <w:rPr>
          <w:sz w:val="18"/>
          <w:szCs w:val="18"/>
          <w:lang w:eastAsia="nl-NL"/>
        </w:rPr>
      </w:pPr>
      <w:r w:rsidRPr="00513ACC">
        <w:rPr>
          <w:sz w:val="18"/>
          <w:szCs w:val="18"/>
          <w:lang w:eastAsia="nl-NL"/>
        </w:rPr>
        <w:t>Figure 6: Mean EXPY per year</w:t>
      </w:r>
    </w:p>
    <w:p w:rsidR="00964452" w:rsidRPr="004836A0" w:rsidRDefault="00964452" w:rsidP="00D5650A">
      <w:pPr>
        <w:spacing w:line="360" w:lineRule="auto"/>
      </w:pPr>
      <w:r w:rsidRPr="002638B5">
        <w:rPr>
          <w:noProof/>
          <w:lang w:val="en-US"/>
        </w:rPr>
        <w:pict>
          <v:shape id="Afbeelding 18" o:spid="_x0000_i1033" type="#_x0000_t75" style="width:295.5pt;height:180.75pt;visibility:visible">
            <v:imagedata r:id="rId19" o:title=""/>
          </v:shape>
        </w:pict>
      </w:r>
    </w:p>
    <w:p w:rsidR="00964452" w:rsidRDefault="00964452" w:rsidP="005663A8">
      <w:pPr>
        <w:spacing w:line="360" w:lineRule="auto"/>
      </w:pPr>
      <w:r>
        <w:t>The peak in 1996, the mean of EXPY was$</w:t>
      </w:r>
      <w:r w:rsidRPr="0033746F">
        <w:t>13,81</w:t>
      </w:r>
      <w:r>
        <w:t>7 compared $</w:t>
      </w:r>
      <w:r w:rsidRPr="00414E55">
        <w:t xml:space="preserve">10,641 </w:t>
      </w:r>
      <w:r>
        <w:t>in 1995, is also likely based on biased sample information. For 1996, there were considerably fewer reporters; only 49</w:t>
      </w:r>
      <w:r w:rsidRPr="00414E55">
        <w:t xml:space="preserve">. </w:t>
      </w:r>
      <w:r>
        <w:t>When taking the year 1996 out of the discussion, the graph still shows a decreasing tendency in EXPY’s mean during the period 1997 to 2002. The mean of EXPY for 1997 was $</w:t>
      </w:r>
      <w:r w:rsidRPr="00942C1D">
        <w:t xml:space="preserve">12,703, which fell to </w:t>
      </w:r>
      <w:r>
        <w:t>$</w:t>
      </w:r>
      <w:r w:rsidRPr="00942C1D">
        <w:t xml:space="preserve">11,427in 2002. </w:t>
      </w:r>
      <w:r>
        <w:t>For this period, there is no problem with data availability. That this decrease in the mean of EXPY is firstly seen in 1997, can be associated with the East Asian financial crisis that started in mid-1997 and continued to 1998.</w:t>
      </w:r>
      <w:r>
        <w:rPr>
          <w:rStyle w:val="FootnoteReference"/>
        </w:rPr>
        <w:footnoteReference w:id="9"/>
      </w:r>
      <w:r>
        <w:t xml:space="preserve"> The East Asian financial crisis in turn triggered the Russian financial crisis in mid-1998. During these crises world commodity prices dropped, especially those of primary products and </w:t>
      </w:r>
      <w:r w:rsidRPr="00D0574B">
        <w:t xml:space="preserve">petroleum </w:t>
      </w:r>
      <w:r w:rsidRPr="00D0574B">
        <w:rPr>
          <w:lang w:val="en-US"/>
        </w:rPr>
        <w:t>(Cashin, Liang &amp; McDermott, 2000)</w:t>
      </w:r>
      <w:r w:rsidRPr="00D0574B">
        <w:t>. These price shocks persist</w:t>
      </w:r>
      <w:r>
        <w:t>ed</w:t>
      </w:r>
      <w:r w:rsidRPr="00D0574B">
        <w:t xml:space="preserve"> for several years. </w:t>
      </w:r>
    </w:p>
    <w:p w:rsidR="00964452" w:rsidRDefault="00964452" w:rsidP="005663A8">
      <w:pPr>
        <w:spacing w:line="360" w:lineRule="auto"/>
      </w:pPr>
      <w:r>
        <w:t>The period 2002-2008 then shows an increasing mean of EXPY, as well as a decreasing standard deviation. This means, that also the variation in in export productivity across countries decreased. Also for this period, there is no problem with data availability. For each year, over 100 countries reported data. It cannot be a coincidence that the commodity price boom occurred during almost the same period; from 2003 to July 2008. During this boom period, there was a strong demand, the dollar had depreciated, and investments increased compared to the low rate in the years before (Global Economic Prospects,</w:t>
      </w:r>
      <w:r w:rsidRPr="00AF3C03">
        <w:t xml:space="preserve"> 2009)</w:t>
      </w:r>
      <w:r>
        <w:t xml:space="preserve">. Although the financial crisis started in mid-2008, the mean of EXPYincreased further during that year. </w:t>
      </w:r>
    </w:p>
    <w:p w:rsidR="00964452" w:rsidRPr="006E6934" w:rsidRDefault="00964452" w:rsidP="005663A8">
      <w:pPr>
        <w:spacing w:line="360" w:lineRule="auto"/>
      </w:pPr>
      <w:r>
        <w:t xml:space="preserve">The figures of 2009, beyond the extent of this paper, are likely to show decreases in EXPY’s, caused by the latest financial crisis. Enormous price drops across all sectors have likely decreased the export productivity of most countries. Furthermore, the exports of high-income countries collapsed. Especially Asia was hit hard in exports. For example, Japan’s exports decreased by 40%. Also developing countries were affected by the financial crisis, both indirectly by the downturn in high-income countries, as well as directly in the domestic market </w:t>
      </w:r>
      <w:r w:rsidRPr="00AF3C03">
        <w:t>(Global Economic Prospects, 2009)</w:t>
      </w:r>
      <w:r>
        <w:t xml:space="preserve">. </w:t>
      </w:r>
    </w:p>
    <w:p w:rsidR="00964452" w:rsidRPr="00174636" w:rsidRDefault="00964452" w:rsidP="00D5650A">
      <w:pPr>
        <w:pStyle w:val="Heading2"/>
        <w:spacing w:line="360" w:lineRule="auto"/>
      </w:pPr>
      <w:bookmarkStart w:id="28" w:name="_Toc299481893"/>
      <w:r w:rsidRPr="00174636">
        <w:t>Countries having the smallest EXPY’s</w:t>
      </w:r>
      <w:bookmarkEnd w:id="28"/>
    </w:p>
    <w:p w:rsidR="00964452" w:rsidRDefault="00964452" w:rsidP="00D5650A">
      <w:pPr>
        <w:spacing w:line="360" w:lineRule="auto"/>
      </w:pPr>
      <w:r w:rsidRPr="004B3664">
        <w:t>Ta</w:t>
      </w:r>
      <w:r>
        <w:t>ble 3</w:t>
      </w:r>
      <w:r w:rsidRPr="004B3664">
        <w:t xml:space="preserve"> illustrates</w:t>
      </w:r>
      <w:r w:rsidRPr="004836A0">
        <w:t xml:space="preserve"> the top 5 smallest values</w:t>
      </w:r>
      <w:r>
        <w:t xml:space="preserve"> for the years 1992, 1996, 2004 and 2008</w:t>
      </w:r>
      <w:r w:rsidRPr="009376AA">
        <w:t>,</w:t>
      </w:r>
      <w:r w:rsidRPr="004836A0">
        <w:t xml:space="preserve">with the corresponding country names. </w:t>
      </w:r>
      <w:r>
        <w:t xml:space="preserve">The country composition of the 5 </w:t>
      </w:r>
      <w:r w:rsidRPr="00EA2165">
        <w:t>smallest</w:t>
      </w:r>
      <w:r>
        <w:t xml:space="preserve"> EXPY values differ substantially between these years. It is important to have in mind that all of the countries of the sample reported data only for 2002, 2003 and 2004. As mentioned earlier, non-reporting is likely to be income related, and since EXPY is related to income, it might also be related to EXPY. This  is demonstrated by  the data, because none of the five smallest EXPY countries for 1996, 2004 and 2008 reported data for 1992, except for Madagascar. In 1996, 2004 and 2008, all of the 5 smallest EXPY’s, with values between $1,800 and $5,600,belong to Sub-Saharan African countries. Some of these countries have increased their export productivity somewhat over time, like Ethiopia, however, Niger’s EXPY decreased even further.</w:t>
      </w:r>
    </w:p>
    <w:p w:rsidR="00964452" w:rsidRPr="004C4392" w:rsidRDefault="00964452" w:rsidP="00D5650A">
      <w:pPr>
        <w:spacing w:line="360" w:lineRule="auto"/>
        <w:rPr>
          <w:sz w:val="18"/>
          <w:szCs w:val="18"/>
          <w:lang w:eastAsia="nl-NL"/>
        </w:rPr>
      </w:pPr>
      <w:r>
        <w:rPr>
          <w:sz w:val="18"/>
          <w:szCs w:val="18"/>
          <w:lang w:eastAsia="nl-NL"/>
        </w:rPr>
        <w:t>Table 3</w:t>
      </w:r>
      <w:r w:rsidRPr="004C4392">
        <w:rPr>
          <w:sz w:val="18"/>
          <w:szCs w:val="18"/>
          <w:lang w:eastAsia="nl-NL"/>
        </w:rPr>
        <w:t>: Smallest EXPY values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53"/>
        <w:gridCol w:w="2191"/>
        <w:gridCol w:w="2338"/>
        <w:gridCol w:w="2306"/>
      </w:tblGrid>
      <w:tr w:rsidR="00964452" w:rsidRPr="00D61272" w:rsidTr="009C5F11">
        <w:tc>
          <w:tcPr>
            <w:tcW w:w="2453" w:type="dxa"/>
            <w:tcBorders>
              <w:bottom w:val="single" w:sz="12" w:space="0" w:color="000000"/>
              <w:right w:val="single" w:sz="6" w:space="0" w:color="000000"/>
            </w:tcBorders>
          </w:tcPr>
          <w:p w:rsidR="00964452" w:rsidRPr="00D61272" w:rsidRDefault="00964452" w:rsidP="009C5F11">
            <w:pPr>
              <w:autoSpaceDE w:val="0"/>
              <w:autoSpaceDN w:val="0"/>
              <w:adjustRightInd w:val="0"/>
              <w:spacing w:after="0" w:line="240" w:lineRule="auto"/>
              <w:rPr>
                <w:rFonts w:ascii="Arial" w:hAnsi="Arial" w:cs="Arial"/>
                <w:b/>
                <w:sz w:val="18"/>
                <w:szCs w:val="18"/>
                <w:lang w:eastAsia="nl-NL"/>
              </w:rPr>
            </w:pPr>
            <w:r w:rsidRPr="00D61272">
              <w:rPr>
                <w:rFonts w:ascii="Arial" w:hAnsi="Arial" w:cs="Arial"/>
                <w:b/>
                <w:sz w:val="18"/>
                <w:szCs w:val="18"/>
                <w:lang w:eastAsia="nl-NL"/>
              </w:rPr>
              <w:t>Smallest EXPY values</w:t>
            </w:r>
          </w:p>
        </w:tc>
        <w:tc>
          <w:tcPr>
            <w:tcW w:w="2191" w:type="dxa"/>
            <w:tcBorders>
              <w:left w:val="single" w:sz="6" w:space="0" w:color="000000"/>
              <w:bottom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b/>
                <w:sz w:val="18"/>
                <w:szCs w:val="18"/>
                <w:lang w:eastAsia="nl-NL"/>
              </w:rPr>
            </w:pPr>
          </w:p>
        </w:tc>
        <w:tc>
          <w:tcPr>
            <w:tcW w:w="2338" w:type="dxa"/>
            <w:tcBorders>
              <w:left w:val="single" w:sz="6" w:space="0" w:color="000000"/>
              <w:bottom w:val="single" w:sz="12" w:space="0" w:color="000000"/>
              <w:right w:val="single" w:sz="6" w:space="0" w:color="000000"/>
            </w:tcBorders>
          </w:tcPr>
          <w:p w:rsidR="00964452" w:rsidRPr="00D61272" w:rsidRDefault="00964452" w:rsidP="009C5F11">
            <w:pPr>
              <w:autoSpaceDE w:val="0"/>
              <w:autoSpaceDN w:val="0"/>
              <w:adjustRightInd w:val="0"/>
              <w:spacing w:after="0" w:line="240" w:lineRule="auto"/>
              <w:rPr>
                <w:rFonts w:ascii="Arial" w:hAnsi="Arial" w:cs="Arial"/>
                <w:b/>
                <w:sz w:val="18"/>
                <w:szCs w:val="18"/>
                <w:lang w:eastAsia="nl-NL"/>
              </w:rPr>
            </w:pPr>
          </w:p>
        </w:tc>
        <w:tc>
          <w:tcPr>
            <w:tcW w:w="2306" w:type="dxa"/>
            <w:tcBorders>
              <w:left w:val="single" w:sz="6" w:space="0" w:color="000000"/>
              <w:bottom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b/>
                <w:sz w:val="18"/>
                <w:szCs w:val="18"/>
                <w:lang w:eastAsia="nl-NL"/>
              </w:rPr>
            </w:pPr>
          </w:p>
        </w:tc>
      </w:tr>
      <w:tr w:rsidR="00964452" w:rsidRPr="00D61272" w:rsidTr="009C5F11">
        <w:tc>
          <w:tcPr>
            <w:tcW w:w="2453" w:type="dxa"/>
            <w:tcBorders>
              <w:bottom w:val="single" w:sz="12" w:space="0" w:color="000000"/>
              <w:right w:val="single" w:sz="6" w:space="0" w:color="000000"/>
            </w:tcBorders>
          </w:tcPr>
          <w:p w:rsidR="00964452" w:rsidRPr="00D61272" w:rsidRDefault="00964452" w:rsidP="009C5F11">
            <w:pPr>
              <w:autoSpaceDE w:val="0"/>
              <w:autoSpaceDN w:val="0"/>
              <w:adjustRightInd w:val="0"/>
              <w:spacing w:after="0" w:line="240" w:lineRule="auto"/>
              <w:rPr>
                <w:rFonts w:ascii="Arial" w:hAnsi="Arial" w:cs="Arial"/>
                <w:b/>
                <w:sz w:val="18"/>
                <w:szCs w:val="18"/>
                <w:lang w:eastAsia="nl-NL"/>
              </w:rPr>
            </w:pPr>
            <w:r w:rsidRPr="00D61272">
              <w:rPr>
                <w:rFonts w:ascii="Arial" w:hAnsi="Arial" w:cs="Arial"/>
                <w:b/>
                <w:sz w:val="18"/>
                <w:szCs w:val="18"/>
                <w:lang w:eastAsia="nl-NL"/>
              </w:rPr>
              <w:t>Year 1992</w:t>
            </w:r>
          </w:p>
        </w:tc>
        <w:tc>
          <w:tcPr>
            <w:tcW w:w="2191" w:type="dxa"/>
            <w:tcBorders>
              <w:left w:val="single" w:sz="6" w:space="0" w:color="000000"/>
              <w:bottom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b/>
                <w:sz w:val="18"/>
                <w:szCs w:val="18"/>
                <w:lang w:eastAsia="nl-NL"/>
              </w:rPr>
            </w:pPr>
          </w:p>
        </w:tc>
        <w:tc>
          <w:tcPr>
            <w:tcW w:w="2338" w:type="dxa"/>
            <w:tcBorders>
              <w:left w:val="single" w:sz="6" w:space="0" w:color="000000"/>
              <w:bottom w:val="single" w:sz="12" w:space="0" w:color="000000"/>
              <w:right w:val="single" w:sz="6" w:space="0" w:color="000000"/>
            </w:tcBorders>
          </w:tcPr>
          <w:p w:rsidR="00964452" w:rsidRPr="00D61272" w:rsidRDefault="00964452" w:rsidP="009C5F11">
            <w:pPr>
              <w:autoSpaceDE w:val="0"/>
              <w:autoSpaceDN w:val="0"/>
              <w:adjustRightInd w:val="0"/>
              <w:spacing w:after="0" w:line="240" w:lineRule="auto"/>
              <w:rPr>
                <w:rFonts w:ascii="Arial" w:hAnsi="Arial" w:cs="Arial"/>
                <w:b/>
                <w:sz w:val="18"/>
                <w:szCs w:val="18"/>
                <w:lang w:eastAsia="nl-NL"/>
              </w:rPr>
            </w:pPr>
            <w:r w:rsidRPr="00D61272">
              <w:rPr>
                <w:rFonts w:ascii="Arial" w:hAnsi="Arial" w:cs="Arial"/>
                <w:b/>
                <w:sz w:val="18"/>
                <w:szCs w:val="18"/>
                <w:lang w:eastAsia="nl-NL"/>
              </w:rPr>
              <w:t>Year 1996</w:t>
            </w:r>
          </w:p>
        </w:tc>
        <w:tc>
          <w:tcPr>
            <w:tcW w:w="2306" w:type="dxa"/>
            <w:tcBorders>
              <w:left w:val="single" w:sz="6" w:space="0" w:color="000000"/>
              <w:bottom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b/>
                <w:sz w:val="18"/>
                <w:szCs w:val="18"/>
                <w:lang w:eastAsia="nl-NL"/>
              </w:rPr>
            </w:pPr>
          </w:p>
        </w:tc>
      </w:tr>
      <w:tr w:rsidR="00964452" w:rsidRPr="00D61272" w:rsidTr="009C5F11">
        <w:tc>
          <w:tcPr>
            <w:tcW w:w="2453" w:type="dxa"/>
            <w:tcBorders>
              <w:bottom w:val="single" w:sz="12" w:space="0" w:color="000000"/>
              <w:right w:val="single" w:sz="6"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Country</w:t>
            </w:r>
          </w:p>
        </w:tc>
        <w:tc>
          <w:tcPr>
            <w:tcW w:w="2191" w:type="dxa"/>
            <w:tcBorders>
              <w:left w:val="single" w:sz="6" w:space="0" w:color="000000"/>
              <w:bottom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EXPY </w:t>
            </w:r>
          </w:p>
        </w:tc>
        <w:tc>
          <w:tcPr>
            <w:tcW w:w="2338" w:type="dxa"/>
            <w:tcBorders>
              <w:left w:val="single" w:sz="6" w:space="0" w:color="000000"/>
              <w:bottom w:val="single" w:sz="12" w:space="0" w:color="000000"/>
              <w:right w:val="single" w:sz="6"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Country</w:t>
            </w:r>
          </w:p>
        </w:tc>
        <w:tc>
          <w:tcPr>
            <w:tcW w:w="2306" w:type="dxa"/>
            <w:tcBorders>
              <w:left w:val="single" w:sz="6" w:space="0" w:color="000000"/>
              <w:bottom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EXPY </w:t>
            </w:r>
          </w:p>
        </w:tc>
      </w:tr>
      <w:tr w:rsidR="00964452" w:rsidRPr="00D61272" w:rsidTr="009C5F11">
        <w:tc>
          <w:tcPr>
            <w:tcW w:w="2453" w:type="dxa"/>
            <w:tcBorders>
              <w:top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Madagascar</w:t>
            </w:r>
          </w:p>
        </w:tc>
        <w:tc>
          <w:tcPr>
            <w:tcW w:w="2191" w:type="dxa"/>
            <w:tcBorders>
              <w:top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$4,101</w:t>
            </w:r>
          </w:p>
        </w:tc>
        <w:tc>
          <w:tcPr>
            <w:tcW w:w="2338" w:type="dxa"/>
            <w:tcBorders>
              <w:top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Malawi                        </w:t>
            </w:r>
          </w:p>
        </w:tc>
        <w:tc>
          <w:tcPr>
            <w:tcW w:w="2306" w:type="dxa"/>
            <w:tcBorders>
              <w:top w:val="single" w:sz="12" w:space="0" w:color="000000"/>
            </w:tcBorders>
          </w:tcPr>
          <w:p w:rsidR="00964452" w:rsidRPr="00D61272" w:rsidRDefault="00964452" w:rsidP="00E27F9B">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$3,204</w:t>
            </w:r>
          </w:p>
        </w:tc>
      </w:tr>
      <w:tr w:rsidR="00964452" w:rsidRPr="00D61272" w:rsidTr="009C5F11">
        <w:tc>
          <w:tcPr>
            <w:tcW w:w="2453"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Paraguay                      </w:t>
            </w:r>
          </w:p>
        </w:tc>
        <w:tc>
          <w:tcPr>
            <w:tcW w:w="2191" w:type="dxa"/>
          </w:tcPr>
          <w:p w:rsidR="00964452" w:rsidRPr="00D61272" w:rsidRDefault="00964452" w:rsidP="00E27F9B">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$5,420</w:t>
            </w:r>
          </w:p>
        </w:tc>
        <w:tc>
          <w:tcPr>
            <w:tcW w:w="2338"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Madagascar                    </w:t>
            </w:r>
          </w:p>
        </w:tc>
        <w:tc>
          <w:tcPr>
            <w:tcW w:w="2306" w:type="dxa"/>
          </w:tcPr>
          <w:p w:rsidR="00964452" w:rsidRPr="00D61272" w:rsidRDefault="00964452" w:rsidP="00E27F9B">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$4,010</w:t>
            </w:r>
          </w:p>
        </w:tc>
      </w:tr>
      <w:tr w:rsidR="00964452" w:rsidRPr="00D61272" w:rsidTr="009C5F11">
        <w:tc>
          <w:tcPr>
            <w:tcW w:w="2453"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Bangladesh</w:t>
            </w:r>
          </w:p>
        </w:tc>
        <w:tc>
          <w:tcPr>
            <w:tcW w:w="2191" w:type="dxa"/>
          </w:tcPr>
          <w:p w:rsidR="00964452" w:rsidRPr="00D61272" w:rsidRDefault="00964452" w:rsidP="00E27F9B">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$5,715</w:t>
            </w:r>
          </w:p>
        </w:tc>
        <w:tc>
          <w:tcPr>
            <w:tcW w:w="2338"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Senegal                       </w:t>
            </w:r>
          </w:p>
        </w:tc>
        <w:tc>
          <w:tcPr>
            <w:tcW w:w="2306" w:type="dxa"/>
          </w:tcPr>
          <w:p w:rsidR="00964452" w:rsidRPr="00D61272" w:rsidRDefault="00964452" w:rsidP="00E27F9B">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$4,834</w:t>
            </w:r>
          </w:p>
        </w:tc>
      </w:tr>
      <w:tr w:rsidR="00964452" w:rsidRPr="00D61272" w:rsidTr="009C5F11">
        <w:tc>
          <w:tcPr>
            <w:tcW w:w="2453"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Kenya                         </w:t>
            </w:r>
          </w:p>
        </w:tc>
        <w:tc>
          <w:tcPr>
            <w:tcW w:w="2191" w:type="dxa"/>
          </w:tcPr>
          <w:p w:rsidR="00964452" w:rsidRPr="00D61272" w:rsidRDefault="00964452" w:rsidP="00E27F9B">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$6,431</w:t>
            </w:r>
          </w:p>
        </w:tc>
        <w:tc>
          <w:tcPr>
            <w:tcW w:w="2338"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Uganda                        </w:t>
            </w:r>
          </w:p>
        </w:tc>
        <w:tc>
          <w:tcPr>
            <w:tcW w:w="2306" w:type="dxa"/>
          </w:tcPr>
          <w:p w:rsidR="00964452" w:rsidRPr="00D61272" w:rsidRDefault="00964452" w:rsidP="00E27F9B">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$5,068</w:t>
            </w:r>
          </w:p>
        </w:tc>
      </w:tr>
      <w:tr w:rsidR="00964452" w:rsidRPr="00D61272" w:rsidTr="009C5F11">
        <w:tc>
          <w:tcPr>
            <w:tcW w:w="2453"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Sri Lanka                     </w:t>
            </w:r>
          </w:p>
        </w:tc>
        <w:tc>
          <w:tcPr>
            <w:tcW w:w="2191" w:type="dxa"/>
          </w:tcPr>
          <w:p w:rsidR="00964452" w:rsidRPr="00D61272" w:rsidRDefault="00964452" w:rsidP="00E27F9B">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$6,974</w:t>
            </w:r>
          </w:p>
        </w:tc>
        <w:tc>
          <w:tcPr>
            <w:tcW w:w="2338"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The Gambia</w:t>
            </w:r>
          </w:p>
        </w:tc>
        <w:tc>
          <w:tcPr>
            <w:tcW w:w="2306" w:type="dxa"/>
          </w:tcPr>
          <w:p w:rsidR="00964452" w:rsidRPr="00D61272" w:rsidRDefault="00964452" w:rsidP="00E27F9B">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$5,596</w:t>
            </w:r>
          </w:p>
        </w:tc>
      </w:tr>
      <w:tr w:rsidR="00964452" w:rsidRPr="00D61272" w:rsidTr="009C5F11">
        <w:tc>
          <w:tcPr>
            <w:tcW w:w="2453"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p>
        </w:tc>
        <w:tc>
          <w:tcPr>
            <w:tcW w:w="2191"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p>
        </w:tc>
        <w:tc>
          <w:tcPr>
            <w:tcW w:w="2338"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p>
        </w:tc>
        <w:tc>
          <w:tcPr>
            <w:tcW w:w="2306"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p>
        </w:tc>
      </w:tr>
      <w:tr w:rsidR="00964452" w:rsidRPr="00D61272" w:rsidTr="009C5F11">
        <w:tc>
          <w:tcPr>
            <w:tcW w:w="2453" w:type="dxa"/>
            <w:tcBorders>
              <w:bottom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b/>
                <w:sz w:val="18"/>
                <w:szCs w:val="18"/>
                <w:lang w:eastAsia="nl-NL"/>
              </w:rPr>
            </w:pPr>
            <w:r w:rsidRPr="00D61272">
              <w:rPr>
                <w:rFonts w:ascii="Arial" w:hAnsi="Arial" w:cs="Arial"/>
                <w:b/>
                <w:sz w:val="18"/>
                <w:szCs w:val="18"/>
                <w:lang w:eastAsia="nl-NL"/>
              </w:rPr>
              <w:t>Year 2004</w:t>
            </w:r>
          </w:p>
        </w:tc>
        <w:tc>
          <w:tcPr>
            <w:tcW w:w="2191" w:type="dxa"/>
            <w:tcBorders>
              <w:bottom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b/>
                <w:sz w:val="18"/>
                <w:szCs w:val="18"/>
                <w:lang w:eastAsia="nl-NL"/>
              </w:rPr>
            </w:pPr>
          </w:p>
        </w:tc>
        <w:tc>
          <w:tcPr>
            <w:tcW w:w="2338" w:type="dxa"/>
            <w:tcBorders>
              <w:bottom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b/>
                <w:sz w:val="18"/>
                <w:szCs w:val="18"/>
                <w:lang w:eastAsia="nl-NL"/>
              </w:rPr>
            </w:pPr>
            <w:r w:rsidRPr="00D61272">
              <w:rPr>
                <w:rFonts w:ascii="Arial" w:hAnsi="Arial" w:cs="Arial"/>
                <w:b/>
                <w:sz w:val="18"/>
                <w:szCs w:val="18"/>
                <w:lang w:eastAsia="nl-NL"/>
              </w:rPr>
              <w:t>Year 2008</w:t>
            </w:r>
          </w:p>
        </w:tc>
        <w:tc>
          <w:tcPr>
            <w:tcW w:w="2306" w:type="dxa"/>
            <w:tcBorders>
              <w:bottom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b/>
                <w:sz w:val="18"/>
                <w:szCs w:val="18"/>
                <w:lang w:eastAsia="nl-NL"/>
              </w:rPr>
            </w:pPr>
          </w:p>
        </w:tc>
      </w:tr>
      <w:tr w:rsidR="00964452" w:rsidRPr="00D61272" w:rsidTr="009C5F11">
        <w:tc>
          <w:tcPr>
            <w:tcW w:w="2453" w:type="dxa"/>
            <w:tcBorders>
              <w:bottom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Country</w:t>
            </w:r>
          </w:p>
        </w:tc>
        <w:tc>
          <w:tcPr>
            <w:tcW w:w="2191" w:type="dxa"/>
            <w:tcBorders>
              <w:bottom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EXPY </w:t>
            </w:r>
          </w:p>
        </w:tc>
        <w:tc>
          <w:tcPr>
            <w:tcW w:w="2338" w:type="dxa"/>
            <w:tcBorders>
              <w:bottom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Country</w:t>
            </w:r>
          </w:p>
        </w:tc>
        <w:tc>
          <w:tcPr>
            <w:tcW w:w="2306" w:type="dxa"/>
            <w:tcBorders>
              <w:bottom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EXPY </w:t>
            </w:r>
          </w:p>
        </w:tc>
      </w:tr>
      <w:tr w:rsidR="00964452" w:rsidRPr="00D61272" w:rsidTr="009C5F11">
        <w:tc>
          <w:tcPr>
            <w:tcW w:w="2453" w:type="dxa"/>
            <w:tcBorders>
              <w:top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Rwanda                        </w:t>
            </w:r>
          </w:p>
        </w:tc>
        <w:tc>
          <w:tcPr>
            <w:tcW w:w="2191" w:type="dxa"/>
            <w:tcBorders>
              <w:top w:val="single" w:sz="12" w:space="0" w:color="000000"/>
            </w:tcBorders>
          </w:tcPr>
          <w:p w:rsidR="00964452" w:rsidRPr="00D61272" w:rsidRDefault="00964452" w:rsidP="00E27F9B">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$1,849</w:t>
            </w:r>
          </w:p>
        </w:tc>
        <w:tc>
          <w:tcPr>
            <w:tcW w:w="2338" w:type="dxa"/>
            <w:tcBorders>
              <w:top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Niger                         </w:t>
            </w:r>
          </w:p>
        </w:tc>
        <w:tc>
          <w:tcPr>
            <w:tcW w:w="2306" w:type="dxa"/>
            <w:tcBorders>
              <w:top w:val="single" w:sz="12" w:space="0" w:color="000000"/>
            </w:tcBorders>
          </w:tcPr>
          <w:p w:rsidR="00964452" w:rsidRPr="00D61272" w:rsidRDefault="00964452" w:rsidP="00E27F9B">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$2,679</w:t>
            </w:r>
          </w:p>
        </w:tc>
      </w:tr>
      <w:tr w:rsidR="00964452" w:rsidRPr="00D61272" w:rsidTr="009C5F11">
        <w:tc>
          <w:tcPr>
            <w:tcW w:w="2453"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Sao Tome and Principe         </w:t>
            </w:r>
          </w:p>
        </w:tc>
        <w:tc>
          <w:tcPr>
            <w:tcW w:w="2191" w:type="dxa"/>
          </w:tcPr>
          <w:p w:rsidR="00964452" w:rsidRPr="00D61272" w:rsidRDefault="00964452" w:rsidP="00E27F9B">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$2,608</w:t>
            </w:r>
          </w:p>
        </w:tc>
        <w:tc>
          <w:tcPr>
            <w:tcW w:w="2338"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Rwanda                        </w:t>
            </w:r>
          </w:p>
        </w:tc>
        <w:tc>
          <w:tcPr>
            <w:tcW w:w="2306" w:type="dxa"/>
          </w:tcPr>
          <w:p w:rsidR="00964452" w:rsidRPr="00D61272" w:rsidRDefault="00964452" w:rsidP="00E27F9B">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$2,869</w:t>
            </w:r>
          </w:p>
        </w:tc>
      </w:tr>
      <w:tr w:rsidR="00964452" w:rsidRPr="00D61272" w:rsidTr="009C5F11">
        <w:tc>
          <w:tcPr>
            <w:tcW w:w="2453"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Ethiopia(excludes Eritrea)    </w:t>
            </w:r>
          </w:p>
        </w:tc>
        <w:tc>
          <w:tcPr>
            <w:tcW w:w="2191" w:type="dxa"/>
          </w:tcPr>
          <w:p w:rsidR="00964452" w:rsidRPr="00D61272" w:rsidRDefault="00964452" w:rsidP="00E27F9B">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$2,759</w:t>
            </w:r>
          </w:p>
        </w:tc>
        <w:tc>
          <w:tcPr>
            <w:tcW w:w="2338"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Sao Tome and Principe         </w:t>
            </w:r>
          </w:p>
        </w:tc>
        <w:tc>
          <w:tcPr>
            <w:tcW w:w="2306" w:type="dxa"/>
          </w:tcPr>
          <w:p w:rsidR="00964452" w:rsidRPr="00D61272" w:rsidRDefault="00964452" w:rsidP="00E27F9B">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$3,166</w:t>
            </w:r>
          </w:p>
        </w:tc>
      </w:tr>
      <w:tr w:rsidR="00964452" w:rsidRPr="00D61272" w:rsidTr="009C5F11">
        <w:tc>
          <w:tcPr>
            <w:tcW w:w="2453"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Niger                         </w:t>
            </w:r>
          </w:p>
        </w:tc>
        <w:tc>
          <w:tcPr>
            <w:tcW w:w="2191" w:type="dxa"/>
          </w:tcPr>
          <w:p w:rsidR="00964452" w:rsidRPr="00D61272" w:rsidRDefault="00964452" w:rsidP="00E27F9B">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$2,966</w:t>
            </w:r>
          </w:p>
        </w:tc>
        <w:tc>
          <w:tcPr>
            <w:tcW w:w="2338"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Ethiopia(excludes Eritrea)    </w:t>
            </w:r>
          </w:p>
        </w:tc>
        <w:tc>
          <w:tcPr>
            <w:tcW w:w="2306" w:type="dxa"/>
          </w:tcPr>
          <w:p w:rsidR="00964452" w:rsidRPr="00D61272" w:rsidRDefault="00964452" w:rsidP="00E27F9B">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$4,004</w:t>
            </w:r>
          </w:p>
        </w:tc>
      </w:tr>
      <w:tr w:rsidR="00964452" w:rsidRPr="00D61272" w:rsidTr="009C5F11">
        <w:tc>
          <w:tcPr>
            <w:tcW w:w="2453"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Benin                         </w:t>
            </w:r>
          </w:p>
        </w:tc>
        <w:tc>
          <w:tcPr>
            <w:tcW w:w="2191" w:type="dxa"/>
          </w:tcPr>
          <w:p w:rsidR="00964452" w:rsidRPr="00D61272" w:rsidRDefault="00964452" w:rsidP="00E27F9B">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$3,010</w:t>
            </w:r>
          </w:p>
        </w:tc>
        <w:tc>
          <w:tcPr>
            <w:tcW w:w="2338"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Malawi                        </w:t>
            </w:r>
          </w:p>
        </w:tc>
        <w:tc>
          <w:tcPr>
            <w:tcW w:w="2306" w:type="dxa"/>
          </w:tcPr>
          <w:p w:rsidR="00964452" w:rsidRPr="00D61272" w:rsidRDefault="00964452" w:rsidP="00E27F9B">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$4,066</w:t>
            </w:r>
          </w:p>
        </w:tc>
      </w:tr>
      <w:tr w:rsidR="00964452" w:rsidRPr="00D61272" w:rsidTr="009C5F11">
        <w:tc>
          <w:tcPr>
            <w:tcW w:w="2453"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p>
        </w:tc>
        <w:tc>
          <w:tcPr>
            <w:tcW w:w="2191"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p>
        </w:tc>
        <w:tc>
          <w:tcPr>
            <w:tcW w:w="2338"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p>
        </w:tc>
        <w:tc>
          <w:tcPr>
            <w:tcW w:w="2306"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p>
        </w:tc>
      </w:tr>
    </w:tbl>
    <w:p w:rsidR="00964452" w:rsidRPr="00245D65" w:rsidRDefault="00964452" w:rsidP="00D5650A">
      <w:pPr>
        <w:pStyle w:val="Heading2"/>
        <w:spacing w:line="360" w:lineRule="auto"/>
      </w:pPr>
      <w:bookmarkStart w:id="29" w:name="_Toc286688950"/>
      <w:bookmarkStart w:id="30" w:name="_Toc299481894"/>
      <w:r>
        <w:t>Countries having the lowest</w:t>
      </w:r>
      <w:r w:rsidRPr="00245D65">
        <w:t xml:space="preserve"> EXPY growth rates</w:t>
      </w:r>
      <w:bookmarkEnd w:id="29"/>
      <w:bookmarkEnd w:id="30"/>
    </w:p>
    <w:p w:rsidR="00964452" w:rsidRDefault="00964452" w:rsidP="00D5650A">
      <w:pPr>
        <w:spacing w:line="360" w:lineRule="auto"/>
      </w:pPr>
      <w:r>
        <w:t>In addition to looking at the absolute values of EXPY, it is also interesting to look at the growth rates of EXPY, since these describe the development of EXPY levels. Table 4</w:t>
      </w:r>
      <w:r w:rsidRPr="002F3A20">
        <w:t xml:space="preserve"> shows</w:t>
      </w:r>
      <w:r>
        <w:t xml:space="preserve"> the countries that have the 5lowest growth rates of EXPY for the years 1992, 1996, 2004 and 2008. The country composition of the top 5 smallest varies over the years. In addition, the lowest growth rates decreased over time. Another</w:t>
      </w:r>
      <w:r w:rsidRPr="00BE257E">
        <w:t xml:space="preserve">interesting element is that all countries in the top </w:t>
      </w:r>
      <w:r>
        <w:t>5lowest</w:t>
      </w:r>
      <w:r w:rsidRPr="00BE257E">
        <w:t xml:space="preserve"> EXPY growth rates are poor countries, except for Iceland and Norway. Since all these growth rates are negative, except for Norway, this means that these countries have decreased their export productivity in these years.Although Norway has the fifth </w:t>
      </w:r>
      <w:r>
        <w:t>lowest</w:t>
      </w:r>
      <w:r w:rsidRPr="00BE257E">
        <w:t xml:space="preserve"> growth in export productivity in 1996, it </w:t>
      </w:r>
      <w:r>
        <w:t xml:space="preserve">had a positive growth rate, </w:t>
      </w:r>
      <w:r w:rsidRPr="00BE257E">
        <w:t>a</w:t>
      </w:r>
      <w:r>
        <w:t>s well as a</w:t>
      </w:r>
      <w:r w:rsidRPr="00BE257E">
        <w:t xml:space="preserve">moderate EXPY of over </w:t>
      </w:r>
      <w:r>
        <w:t>$</w:t>
      </w:r>
      <w:r w:rsidRPr="00BE257E">
        <w:t>14,000. Also Iceland’s EXPY has been rather stable over the years.</w:t>
      </w:r>
      <w:r>
        <w:rPr>
          <w:rStyle w:val="FootnoteReference"/>
        </w:rPr>
        <w:footnoteReference w:id="10"/>
      </w:r>
    </w:p>
    <w:p w:rsidR="00964452" w:rsidRPr="00961628" w:rsidRDefault="00964452" w:rsidP="00BA0074">
      <w:pPr>
        <w:spacing w:line="240" w:lineRule="auto"/>
        <w:rPr>
          <w:sz w:val="18"/>
          <w:szCs w:val="18"/>
        </w:rPr>
      </w:pPr>
      <w:r>
        <w:rPr>
          <w:sz w:val="18"/>
          <w:szCs w:val="18"/>
        </w:rPr>
        <w:t>Table 4: Lowest EXPY growth rates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53"/>
        <w:gridCol w:w="2191"/>
        <w:gridCol w:w="2338"/>
        <w:gridCol w:w="2306"/>
      </w:tblGrid>
      <w:tr w:rsidR="00964452" w:rsidRPr="004C4392" w:rsidTr="009C5F11">
        <w:tc>
          <w:tcPr>
            <w:tcW w:w="2453" w:type="dxa"/>
            <w:tcBorders>
              <w:bottom w:val="single" w:sz="12" w:space="0" w:color="000000"/>
              <w:right w:val="single" w:sz="6" w:space="0" w:color="000000"/>
            </w:tcBorders>
          </w:tcPr>
          <w:p w:rsidR="00964452" w:rsidRPr="004C4392" w:rsidRDefault="00964452" w:rsidP="009C5F11">
            <w:pPr>
              <w:autoSpaceDE w:val="0"/>
              <w:autoSpaceDN w:val="0"/>
              <w:adjustRightInd w:val="0"/>
              <w:spacing w:after="0" w:line="240" w:lineRule="auto"/>
              <w:rPr>
                <w:rFonts w:ascii="Arial" w:hAnsi="Arial" w:cs="Arial"/>
                <w:b/>
                <w:sz w:val="18"/>
                <w:szCs w:val="18"/>
                <w:lang w:eastAsia="nl-NL"/>
              </w:rPr>
            </w:pPr>
            <w:r>
              <w:rPr>
                <w:rFonts w:ascii="Arial" w:hAnsi="Arial" w:cs="Arial"/>
                <w:b/>
                <w:sz w:val="18"/>
                <w:szCs w:val="18"/>
                <w:lang w:eastAsia="nl-NL"/>
              </w:rPr>
              <w:t>Lowest</w:t>
            </w:r>
            <w:r w:rsidRPr="004C4392">
              <w:rPr>
                <w:rFonts w:ascii="Arial" w:hAnsi="Arial" w:cs="Arial"/>
                <w:b/>
                <w:sz w:val="18"/>
                <w:szCs w:val="18"/>
                <w:lang w:eastAsia="nl-NL"/>
              </w:rPr>
              <w:t xml:space="preserve"> EXPY growth</w:t>
            </w:r>
          </w:p>
        </w:tc>
        <w:tc>
          <w:tcPr>
            <w:tcW w:w="2191" w:type="dxa"/>
            <w:tcBorders>
              <w:left w:val="single" w:sz="6" w:space="0" w:color="000000"/>
              <w:bottom w:val="single" w:sz="12" w:space="0" w:color="000000"/>
            </w:tcBorders>
          </w:tcPr>
          <w:p w:rsidR="00964452" w:rsidRPr="004C4392" w:rsidRDefault="00964452" w:rsidP="009C5F11">
            <w:pPr>
              <w:autoSpaceDE w:val="0"/>
              <w:autoSpaceDN w:val="0"/>
              <w:adjustRightInd w:val="0"/>
              <w:spacing w:after="0" w:line="240" w:lineRule="auto"/>
              <w:rPr>
                <w:rFonts w:ascii="Arial" w:hAnsi="Arial" w:cs="Arial"/>
                <w:b/>
                <w:sz w:val="18"/>
                <w:szCs w:val="18"/>
                <w:lang w:eastAsia="nl-NL"/>
              </w:rPr>
            </w:pPr>
          </w:p>
        </w:tc>
        <w:tc>
          <w:tcPr>
            <w:tcW w:w="2338" w:type="dxa"/>
            <w:tcBorders>
              <w:left w:val="single" w:sz="6" w:space="0" w:color="000000"/>
              <w:bottom w:val="single" w:sz="12" w:space="0" w:color="000000"/>
              <w:right w:val="single" w:sz="6" w:space="0" w:color="000000"/>
            </w:tcBorders>
          </w:tcPr>
          <w:p w:rsidR="00964452" w:rsidRPr="004C4392" w:rsidRDefault="00964452" w:rsidP="009C5F11">
            <w:pPr>
              <w:autoSpaceDE w:val="0"/>
              <w:autoSpaceDN w:val="0"/>
              <w:adjustRightInd w:val="0"/>
              <w:spacing w:after="0" w:line="240" w:lineRule="auto"/>
              <w:rPr>
                <w:rFonts w:ascii="Arial" w:hAnsi="Arial" w:cs="Arial"/>
                <w:b/>
                <w:sz w:val="18"/>
                <w:szCs w:val="18"/>
                <w:lang w:eastAsia="nl-NL"/>
              </w:rPr>
            </w:pPr>
          </w:p>
        </w:tc>
        <w:tc>
          <w:tcPr>
            <w:tcW w:w="2306" w:type="dxa"/>
            <w:tcBorders>
              <w:left w:val="single" w:sz="6" w:space="0" w:color="000000"/>
              <w:bottom w:val="single" w:sz="12" w:space="0" w:color="000000"/>
            </w:tcBorders>
          </w:tcPr>
          <w:p w:rsidR="00964452" w:rsidRPr="004C4392" w:rsidRDefault="00964452" w:rsidP="009C5F11">
            <w:pPr>
              <w:autoSpaceDE w:val="0"/>
              <w:autoSpaceDN w:val="0"/>
              <w:adjustRightInd w:val="0"/>
              <w:spacing w:after="0" w:line="240" w:lineRule="auto"/>
              <w:rPr>
                <w:rFonts w:ascii="Arial" w:hAnsi="Arial" w:cs="Arial"/>
                <w:b/>
                <w:sz w:val="18"/>
                <w:szCs w:val="18"/>
                <w:lang w:eastAsia="nl-NL"/>
              </w:rPr>
            </w:pPr>
          </w:p>
        </w:tc>
      </w:tr>
      <w:tr w:rsidR="00964452" w:rsidRPr="004C4392" w:rsidTr="009C5F11">
        <w:tc>
          <w:tcPr>
            <w:tcW w:w="2453" w:type="dxa"/>
            <w:tcBorders>
              <w:bottom w:val="single" w:sz="12" w:space="0" w:color="000000"/>
              <w:right w:val="single" w:sz="6" w:space="0" w:color="000000"/>
            </w:tcBorders>
          </w:tcPr>
          <w:p w:rsidR="00964452" w:rsidRPr="004C4392" w:rsidRDefault="00964452" w:rsidP="009C5F11">
            <w:pPr>
              <w:autoSpaceDE w:val="0"/>
              <w:autoSpaceDN w:val="0"/>
              <w:adjustRightInd w:val="0"/>
              <w:spacing w:after="0" w:line="240" w:lineRule="auto"/>
              <w:rPr>
                <w:rFonts w:ascii="Arial" w:hAnsi="Arial" w:cs="Arial"/>
                <w:b/>
                <w:sz w:val="18"/>
                <w:szCs w:val="18"/>
                <w:lang w:eastAsia="nl-NL"/>
              </w:rPr>
            </w:pPr>
            <w:r w:rsidRPr="004C4392">
              <w:rPr>
                <w:rFonts w:ascii="Arial" w:hAnsi="Arial" w:cs="Arial"/>
                <w:b/>
                <w:sz w:val="18"/>
                <w:szCs w:val="18"/>
                <w:lang w:eastAsia="nl-NL"/>
              </w:rPr>
              <w:t>Year 1992</w:t>
            </w:r>
          </w:p>
        </w:tc>
        <w:tc>
          <w:tcPr>
            <w:tcW w:w="2191" w:type="dxa"/>
            <w:tcBorders>
              <w:left w:val="single" w:sz="6" w:space="0" w:color="000000"/>
              <w:bottom w:val="single" w:sz="12" w:space="0" w:color="000000"/>
            </w:tcBorders>
          </w:tcPr>
          <w:p w:rsidR="00964452" w:rsidRPr="004C4392" w:rsidRDefault="00964452" w:rsidP="009C5F11">
            <w:pPr>
              <w:autoSpaceDE w:val="0"/>
              <w:autoSpaceDN w:val="0"/>
              <w:adjustRightInd w:val="0"/>
              <w:spacing w:after="0" w:line="240" w:lineRule="auto"/>
              <w:rPr>
                <w:rFonts w:ascii="Arial" w:hAnsi="Arial" w:cs="Arial"/>
                <w:b/>
                <w:sz w:val="18"/>
                <w:szCs w:val="18"/>
                <w:lang w:eastAsia="nl-NL"/>
              </w:rPr>
            </w:pPr>
          </w:p>
        </w:tc>
        <w:tc>
          <w:tcPr>
            <w:tcW w:w="2338" w:type="dxa"/>
            <w:tcBorders>
              <w:left w:val="single" w:sz="6" w:space="0" w:color="000000"/>
              <w:bottom w:val="single" w:sz="12" w:space="0" w:color="000000"/>
              <w:right w:val="single" w:sz="6" w:space="0" w:color="000000"/>
            </w:tcBorders>
          </w:tcPr>
          <w:p w:rsidR="00964452" w:rsidRPr="004C4392" w:rsidRDefault="00964452" w:rsidP="009C5F11">
            <w:pPr>
              <w:autoSpaceDE w:val="0"/>
              <w:autoSpaceDN w:val="0"/>
              <w:adjustRightInd w:val="0"/>
              <w:spacing w:after="0" w:line="240" w:lineRule="auto"/>
              <w:rPr>
                <w:rFonts w:ascii="Arial" w:hAnsi="Arial" w:cs="Arial"/>
                <w:b/>
                <w:sz w:val="18"/>
                <w:szCs w:val="18"/>
                <w:lang w:eastAsia="nl-NL"/>
              </w:rPr>
            </w:pPr>
            <w:r w:rsidRPr="004C4392">
              <w:rPr>
                <w:rFonts w:ascii="Arial" w:hAnsi="Arial" w:cs="Arial"/>
                <w:b/>
                <w:sz w:val="18"/>
                <w:szCs w:val="18"/>
                <w:lang w:eastAsia="nl-NL"/>
              </w:rPr>
              <w:t>Year 1996</w:t>
            </w:r>
          </w:p>
        </w:tc>
        <w:tc>
          <w:tcPr>
            <w:tcW w:w="2306" w:type="dxa"/>
            <w:tcBorders>
              <w:left w:val="single" w:sz="6" w:space="0" w:color="000000"/>
              <w:bottom w:val="single" w:sz="12" w:space="0" w:color="000000"/>
            </w:tcBorders>
          </w:tcPr>
          <w:p w:rsidR="00964452" w:rsidRPr="004C4392" w:rsidRDefault="00964452" w:rsidP="009C5F11">
            <w:pPr>
              <w:autoSpaceDE w:val="0"/>
              <w:autoSpaceDN w:val="0"/>
              <w:adjustRightInd w:val="0"/>
              <w:spacing w:after="0" w:line="240" w:lineRule="auto"/>
              <w:rPr>
                <w:rFonts w:ascii="Arial" w:hAnsi="Arial" w:cs="Arial"/>
                <w:b/>
                <w:sz w:val="18"/>
                <w:szCs w:val="18"/>
                <w:lang w:eastAsia="nl-NL"/>
              </w:rPr>
            </w:pPr>
          </w:p>
        </w:tc>
      </w:tr>
      <w:tr w:rsidR="00964452" w:rsidRPr="004C4392" w:rsidTr="009C5F11">
        <w:tc>
          <w:tcPr>
            <w:tcW w:w="2453" w:type="dxa"/>
            <w:tcBorders>
              <w:bottom w:val="single" w:sz="12" w:space="0" w:color="000000"/>
              <w:right w:val="single" w:sz="6" w:space="0" w:color="000000"/>
            </w:tcBorders>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Country</w:t>
            </w:r>
          </w:p>
        </w:tc>
        <w:tc>
          <w:tcPr>
            <w:tcW w:w="2191" w:type="dxa"/>
            <w:tcBorders>
              <w:left w:val="single" w:sz="6" w:space="0" w:color="000000"/>
              <w:bottom w:val="single" w:sz="12" w:space="0" w:color="000000"/>
            </w:tcBorders>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 xml:space="preserve">EXPY growth </w:t>
            </w:r>
          </w:p>
        </w:tc>
        <w:tc>
          <w:tcPr>
            <w:tcW w:w="2338" w:type="dxa"/>
            <w:tcBorders>
              <w:left w:val="single" w:sz="6" w:space="0" w:color="000000"/>
              <w:bottom w:val="single" w:sz="12" w:space="0" w:color="000000"/>
              <w:right w:val="single" w:sz="6" w:space="0" w:color="000000"/>
            </w:tcBorders>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Country</w:t>
            </w:r>
          </w:p>
        </w:tc>
        <w:tc>
          <w:tcPr>
            <w:tcW w:w="2306" w:type="dxa"/>
            <w:tcBorders>
              <w:left w:val="single" w:sz="6" w:space="0" w:color="000000"/>
              <w:bottom w:val="single" w:sz="12" w:space="0" w:color="000000"/>
            </w:tcBorders>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EXPY growth</w:t>
            </w:r>
          </w:p>
        </w:tc>
      </w:tr>
      <w:tr w:rsidR="00964452" w:rsidRPr="004C4392" w:rsidTr="009C5F11">
        <w:tc>
          <w:tcPr>
            <w:tcW w:w="2453" w:type="dxa"/>
            <w:tcBorders>
              <w:top w:val="single" w:sz="12" w:space="0" w:color="000000"/>
            </w:tcBorders>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Trinidad and Tobago</w:t>
            </w:r>
          </w:p>
        </w:tc>
        <w:tc>
          <w:tcPr>
            <w:tcW w:w="2191" w:type="dxa"/>
            <w:tcBorders>
              <w:top w:val="single" w:sz="12" w:space="0" w:color="000000"/>
            </w:tcBorders>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-7.81%</w:t>
            </w:r>
          </w:p>
        </w:tc>
        <w:tc>
          <w:tcPr>
            <w:tcW w:w="2338" w:type="dxa"/>
            <w:tcBorders>
              <w:top w:val="single" w:sz="12" w:space="0" w:color="000000"/>
            </w:tcBorders>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Gambia, The</w:t>
            </w:r>
          </w:p>
        </w:tc>
        <w:tc>
          <w:tcPr>
            <w:tcW w:w="2306" w:type="dxa"/>
            <w:tcBorders>
              <w:top w:val="single" w:sz="12" w:space="0" w:color="000000"/>
            </w:tcBorders>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-10.97%</w:t>
            </w:r>
          </w:p>
        </w:tc>
      </w:tr>
      <w:tr w:rsidR="00964452" w:rsidRPr="004C4392" w:rsidTr="009C5F11">
        <w:tc>
          <w:tcPr>
            <w:tcW w:w="2453"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Iceland</w:t>
            </w:r>
          </w:p>
        </w:tc>
        <w:tc>
          <w:tcPr>
            <w:tcW w:w="2191"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-5.66%</w:t>
            </w:r>
          </w:p>
        </w:tc>
        <w:tc>
          <w:tcPr>
            <w:tcW w:w="2338"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Macedonia</w:t>
            </w:r>
          </w:p>
        </w:tc>
        <w:tc>
          <w:tcPr>
            <w:tcW w:w="2306"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-4.18%</w:t>
            </w:r>
          </w:p>
        </w:tc>
      </w:tr>
      <w:tr w:rsidR="00964452" w:rsidRPr="004C4392" w:rsidTr="009C5F11">
        <w:tc>
          <w:tcPr>
            <w:tcW w:w="2453"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Indonesia</w:t>
            </w:r>
          </w:p>
        </w:tc>
        <w:tc>
          <w:tcPr>
            <w:tcW w:w="2191"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-5.16%</w:t>
            </w:r>
          </w:p>
        </w:tc>
        <w:tc>
          <w:tcPr>
            <w:tcW w:w="2338"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Macao</w:t>
            </w:r>
          </w:p>
        </w:tc>
        <w:tc>
          <w:tcPr>
            <w:tcW w:w="2306"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-1.99%</w:t>
            </w:r>
          </w:p>
        </w:tc>
      </w:tr>
      <w:tr w:rsidR="00964452" w:rsidRPr="004C4392" w:rsidTr="009C5F11">
        <w:tc>
          <w:tcPr>
            <w:tcW w:w="2453"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Madagascar</w:t>
            </w:r>
          </w:p>
        </w:tc>
        <w:tc>
          <w:tcPr>
            <w:tcW w:w="2191"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-4.85%</w:t>
            </w:r>
          </w:p>
        </w:tc>
        <w:tc>
          <w:tcPr>
            <w:tcW w:w="2338"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Madagascar</w:t>
            </w:r>
          </w:p>
        </w:tc>
        <w:tc>
          <w:tcPr>
            <w:tcW w:w="2306"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-1.44%</w:t>
            </w:r>
          </w:p>
        </w:tc>
      </w:tr>
      <w:tr w:rsidR="00964452" w:rsidRPr="004C4392" w:rsidTr="009C5F11">
        <w:tc>
          <w:tcPr>
            <w:tcW w:w="2453"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Tunisia</w:t>
            </w:r>
          </w:p>
        </w:tc>
        <w:tc>
          <w:tcPr>
            <w:tcW w:w="2191"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-2.73%</w:t>
            </w:r>
          </w:p>
        </w:tc>
        <w:tc>
          <w:tcPr>
            <w:tcW w:w="2338"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Norway</w:t>
            </w:r>
          </w:p>
        </w:tc>
        <w:tc>
          <w:tcPr>
            <w:tcW w:w="2306"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0.53%</w:t>
            </w:r>
          </w:p>
        </w:tc>
      </w:tr>
      <w:tr w:rsidR="00964452" w:rsidRPr="004C4392" w:rsidTr="009C5F11">
        <w:tc>
          <w:tcPr>
            <w:tcW w:w="2453"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p>
        </w:tc>
        <w:tc>
          <w:tcPr>
            <w:tcW w:w="2191"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p>
        </w:tc>
        <w:tc>
          <w:tcPr>
            <w:tcW w:w="2338"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p>
        </w:tc>
        <w:tc>
          <w:tcPr>
            <w:tcW w:w="2306"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p>
        </w:tc>
      </w:tr>
      <w:tr w:rsidR="00964452" w:rsidRPr="004C4392" w:rsidTr="009C5F11">
        <w:tc>
          <w:tcPr>
            <w:tcW w:w="2453" w:type="dxa"/>
            <w:tcBorders>
              <w:bottom w:val="single" w:sz="12" w:space="0" w:color="000000"/>
            </w:tcBorders>
          </w:tcPr>
          <w:p w:rsidR="00964452" w:rsidRPr="004C4392" w:rsidRDefault="00964452" w:rsidP="009C5F11">
            <w:pPr>
              <w:autoSpaceDE w:val="0"/>
              <w:autoSpaceDN w:val="0"/>
              <w:adjustRightInd w:val="0"/>
              <w:spacing w:after="0" w:line="240" w:lineRule="auto"/>
              <w:rPr>
                <w:rFonts w:ascii="Arial" w:hAnsi="Arial" w:cs="Arial"/>
                <w:b/>
                <w:sz w:val="18"/>
                <w:szCs w:val="18"/>
                <w:lang w:eastAsia="nl-NL"/>
              </w:rPr>
            </w:pPr>
            <w:r w:rsidRPr="004C4392">
              <w:rPr>
                <w:rFonts w:ascii="Arial" w:hAnsi="Arial" w:cs="Arial"/>
                <w:b/>
                <w:sz w:val="18"/>
                <w:szCs w:val="18"/>
                <w:lang w:eastAsia="nl-NL"/>
              </w:rPr>
              <w:t>Year 2004</w:t>
            </w:r>
          </w:p>
        </w:tc>
        <w:tc>
          <w:tcPr>
            <w:tcW w:w="2191" w:type="dxa"/>
            <w:tcBorders>
              <w:bottom w:val="single" w:sz="12" w:space="0" w:color="000000"/>
            </w:tcBorders>
          </w:tcPr>
          <w:p w:rsidR="00964452" w:rsidRPr="004C4392" w:rsidRDefault="00964452" w:rsidP="009C5F11">
            <w:pPr>
              <w:autoSpaceDE w:val="0"/>
              <w:autoSpaceDN w:val="0"/>
              <w:adjustRightInd w:val="0"/>
              <w:spacing w:after="0" w:line="240" w:lineRule="auto"/>
              <w:rPr>
                <w:rFonts w:ascii="Arial" w:hAnsi="Arial" w:cs="Arial"/>
                <w:b/>
                <w:sz w:val="18"/>
                <w:szCs w:val="18"/>
                <w:lang w:eastAsia="nl-NL"/>
              </w:rPr>
            </w:pPr>
          </w:p>
        </w:tc>
        <w:tc>
          <w:tcPr>
            <w:tcW w:w="2338" w:type="dxa"/>
            <w:tcBorders>
              <w:bottom w:val="single" w:sz="12" w:space="0" w:color="000000"/>
            </w:tcBorders>
          </w:tcPr>
          <w:p w:rsidR="00964452" w:rsidRPr="004C4392" w:rsidRDefault="00964452" w:rsidP="009C5F11">
            <w:pPr>
              <w:autoSpaceDE w:val="0"/>
              <w:autoSpaceDN w:val="0"/>
              <w:adjustRightInd w:val="0"/>
              <w:spacing w:after="0" w:line="240" w:lineRule="auto"/>
              <w:rPr>
                <w:rFonts w:ascii="Arial" w:hAnsi="Arial" w:cs="Arial"/>
                <w:b/>
                <w:sz w:val="18"/>
                <w:szCs w:val="18"/>
                <w:lang w:eastAsia="nl-NL"/>
              </w:rPr>
            </w:pPr>
            <w:r w:rsidRPr="004C4392">
              <w:rPr>
                <w:rFonts w:ascii="Arial" w:hAnsi="Arial" w:cs="Arial"/>
                <w:b/>
                <w:sz w:val="18"/>
                <w:szCs w:val="18"/>
                <w:lang w:eastAsia="nl-NL"/>
              </w:rPr>
              <w:t>Year 2008</w:t>
            </w:r>
          </w:p>
        </w:tc>
        <w:tc>
          <w:tcPr>
            <w:tcW w:w="2306" w:type="dxa"/>
            <w:tcBorders>
              <w:bottom w:val="single" w:sz="12" w:space="0" w:color="000000"/>
            </w:tcBorders>
          </w:tcPr>
          <w:p w:rsidR="00964452" w:rsidRPr="004C4392" w:rsidRDefault="00964452" w:rsidP="009C5F11">
            <w:pPr>
              <w:autoSpaceDE w:val="0"/>
              <w:autoSpaceDN w:val="0"/>
              <w:adjustRightInd w:val="0"/>
              <w:spacing w:after="0" w:line="240" w:lineRule="auto"/>
              <w:rPr>
                <w:rFonts w:ascii="Arial" w:hAnsi="Arial" w:cs="Arial"/>
                <w:b/>
                <w:sz w:val="18"/>
                <w:szCs w:val="18"/>
                <w:lang w:eastAsia="nl-NL"/>
              </w:rPr>
            </w:pPr>
          </w:p>
        </w:tc>
      </w:tr>
      <w:tr w:rsidR="00964452" w:rsidRPr="004C4392" w:rsidTr="009C5F11">
        <w:tc>
          <w:tcPr>
            <w:tcW w:w="2453" w:type="dxa"/>
            <w:tcBorders>
              <w:bottom w:val="single" w:sz="12" w:space="0" w:color="000000"/>
            </w:tcBorders>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Country</w:t>
            </w:r>
          </w:p>
        </w:tc>
        <w:tc>
          <w:tcPr>
            <w:tcW w:w="2191" w:type="dxa"/>
            <w:tcBorders>
              <w:bottom w:val="single" w:sz="12" w:space="0" w:color="000000"/>
            </w:tcBorders>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EXPY growth</w:t>
            </w:r>
          </w:p>
        </w:tc>
        <w:tc>
          <w:tcPr>
            <w:tcW w:w="2338" w:type="dxa"/>
            <w:tcBorders>
              <w:bottom w:val="single" w:sz="12" w:space="0" w:color="000000"/>
            </w:tcBorders>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Country</w:t>
            </w:r>
          </w:p>
        </w:tc>
        <w:tc>
          <w:tcPr>
            <w:tcW w:w="2306" w:type="dxa"/>
            <w:tcBorders>
              <w:bottom w:val="single" w:sz="12" w:space="0" w:color="000000"/>
            </w:tcBorders>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EXPY growth</w:t>
            </w:r>
          </w:p>
        </w:tc>
      </w:tr>
      <w:tr w:rsidR="00964452" w:rsidRPr="004C4392" w:rsidTr="009C5F11">
        <w:tc>
          <w:tcPr>
            <w:tcW w:w="2453" w:type="dxa"/>
            <w:tcBorders>
              <w:top w:val="single" w:sz="12" w:space="0" w:color="000000"/>
            </w:tcBorders>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Rwanda</w:t>
            </w:r>
          </w:p>
        </w:tc>
        <w:tc>
          <w:tcPr>
            <w:tcW w:w="2191" w:type="dxa"/>
            <w:tcBorders>
              <w:top w:val="single" w:sz="12" w:space="0" w:color="000000"/>
            </w:tcBorders>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-51.96%</w:t>
            </w:r>
          </w:p>
        </w:tc>
        <w:tc>
          <w:tcPr>
            <w:tcW w:w="2338" w:type="dxa"/>
            <w:tcBorders>
              <w:top w:val="single" w:sz="12" w:space="0" w:color="000000"/>
            </w:tcBorders>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Samoa</w:t>
            </w:r>
          </w:p>
        </w:tc>
        <w:tc>
          <w:tcPr>
            <w:tcW w:w="2306" w:type="dxa"/>
            <w:tcBorders>
              <w:top w:val="single" w:sz="12" w:space="0" w:color="000000"/>
            </w:tcBorders>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-94.40%</w:t>
            </w:r>
          </w:p>
        </w:tc>
      </w:tr>
      <w:tr w:rsidR="00964452" w:rsidRPr="004C4392" w:rsidTr="009C5F11">
        <w:tc>
          <w:tcPr>
            <w:tcW w:w="2453"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Gambia, The</w:t>
            </w:r>
          </w:p>
        </w:tc>
        <w:tc>
          <w:tcPr>
            <w:tcW w:w="2191"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-19.79%</w:t>
            </w:r>
          </w:p>
        </w:tc>
        <w:tc>
          <w:tcPr>
            <w:tcW w:w="2338"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Mozambique</w:t>
            </w:r>
          </w:p>
        </w:tc>
        <w:tc>
          <w:tcPr>
            <w:tcW w:w="2306"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-23.47%</w:t>
            </w:r>
          </w:p>
        </w:tc>
      </w:tr>
      <w:tr w:rsidR="00964452" w:rsidRPr="004C4392" w:rsidTr="009C5F11">
        <w:tc>
          <w:tcPr>
            <w:tcW w:w="2453"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Syrian Arab Republic</w:t>
            </w:r>
          </w:p>
        </w:tc>
        <w:tc>
          <w:tcPr>
            <w:tcW w:w="2191"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-18.62%</w:t>
            </w:r>
          </w:p>
        </w:tc>
        <w:tc>
          <w:tcPr>
            <w:tcW w:w="2338"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Namibia</w:t>
            </w:r>
          </w:p>
        </w:tc>
        <w:tc>
          <w:tcPr>
            <w:tcW w:w="2306"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-18.09%</w:t>
            </w:r>
          </w:p>
        </w:tc>
      </w:tr>
      <w:tr w:rsidR="00964452" w:rsidRPr="004C4392" w:rsidTr="009C5F11">
        <w:tc>
          <w:tcPr>
            <w:tcW w:w="2453"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Armenia</w:t>
            </w:r>
          </w:p>
        </w:tc>
        <w:tc>
          <w:tcPr>
            <w:tcW w:w="2191"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-16.89%</w:t>
            </w:r>
          </w:p>
        </w:tc>
        <w:tc>
          <w:tcPr>
            <w:tcW w:w="2338"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Malaysia</w:t>
            </w:r>
          </w:p>
        </w:tc>
        <w:tc>
          <w:tcPr>
            <w:tcW w:w="2306"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-17.06%</w:t>
            </w:r>
          </w:p>
        </w:tc>
      </w:tr>
      <w:tr w:rsidR="00964452" w:rsidRPr="004C4392" w:rsidTr="009C5F11">
        <w:tc>
          <w:tcPr>
            <w:tcW w:w="2453"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Zambia</w:t>
            </w:r>
          </w:p>
        </w:tc>
        <w:tc>
          <w:tcPr>
            <w:tcW w:w="2191"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-15.66%</w:t>
            </w:r>
          </w:p>
        </w:tc>
        <w:tc>
          <w:tcPr>
            <w:tcW w:w="2338"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Grenada</w:t>
            </w:r>
          </w:p>
        </w:tc>
        <w:tc>
          <w:tcPr>
            <w:tcW w:w="2306"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-15.68%</w:t>
            </w:r>
          </w:p>
        </w:tc>
      </w:tr>
    </w:tbl>
    <w:p w:rsidR="00964452" w:rsidRPr="00801924" w:rsidRDefault="00964452" w:rsidP="00316B9A">
      <w:pPr>
        <w:pStyle w:val="NoSpacing"/>
        <w:spacing w:line="360" w:lineRule="auto"/>
        <w:rPr>
          <w:sz w:val="20"/>
          <w:szCs w:val="20"/>
        </w:rPr>
      </w:pPr>
    </w:p>
    <w:p w:rsidR="00964452" w:rsidRDefault="00964452" w:rsidP="001A6704">
      <w:pPr>
        <w:spacing w:line="360" w:lineRule="auto"/>
      </w:pPr>
      <w:r>
        <w:t xml:space="preserve">The 5% drop of Indonesia’s EXPY in 1992 can partly be </w:t>
      </w:r>
      <w:r w:rsidRPr="003924D2">
        <w:t xml:space="preserve">explained by the reduction of petroleum oils and natural gas exports relative to total exports. </w:t>
      </w:r>
      <w:r>
        <w:t>Natural gas in particular has a high productivity; $29,700.</w:t>
      </w:r>
      <w:r w:rsidRPr="003924D2">
        <w:t xml:space="preserve">The total </w:t>
      </w:r>
      <w:r>
        <w:t>exports share of both products decreased from 33% in 1991, to 27% in 1992.Asia, and Malaysia in particular, was hit hard by the financial crisis, mainly through decreases in trade.This was mainly caused by the falling demand for electronics and electrical machinery, which mostly comes from the United States, Europe and Japan. These latter countries’ economies were hit by the recession first, and their consumption decreased (</w:t>
      </w:r>
      <w:r w:rsidRPr="00EC2430">
        <w:t>Rahmiati</w:t>
      </w:r>
      <w:r>
        <w:t xml:space="preserve">, </w:t>
      </w:r>
      <w:r w:rsidRPr="008101C5">
        <w:rPr>
          <w:lang w:val="en-US"/>
        </w:rPr>
        <w:t>Mulyaningrum</w:t>
      </w:r>
      <w:r>
        <w:rPr>
          <w:lang w:val="en-US"/>
        </w:rPr>
        <w:t>&amp;</w:t>
      </w:r>
      <w:r w:rsidRPr="008101C5">
        <w:rPr>
          <w:lang w:val="en-US"/>
        </w:rPr>
        <w:t>Tahir</w:t>
      </w:r>
      <w:r>
        <w:rPr>
          <w:lang w:val="en-US"/>
        </w:rPr>
        <w:t>,</w:t>
      </w:r>
      <w:r>
        <w:t xml:space="preserve">2010). As a result, Malaysia’s export value of </w:t>
      </w:r>
      <w:r w:rsidRPr="000523E3">
        <w:t>e</w:t>
      </w:r>
      <w:r>
        <w:t>lectrical machinery equipment,</w:t>
      </w:r>
      <w:r w:rsidRPr="000523E3">
        <w:t xml:space="preserve"> measured at 2-digi</w:t>
      </w:r>
      <w:r>
        <w:t xml:space="preserve">t level, decreased by 39% in 2008. Furthermore, Malaysia’s total export share of these products declined from 29% in 2007 to 16% in 2008, which was the main reason for the 17% decrease of EXPY. </w:t>
      </w:r>
    </w:p>
    <w:p w:rsidR="00964452" w:rsidRPr="00AF3C03" w:rsidRDefault="00964452" w:rsidP="00D5650A">
      <w:pPr>
        <w:pStyle w:val="Heading2"/>
        <w:spacing w:line="360" w:lineRule="auto"/>
      </w:pPr>
      <w:bookmarkStart w:id="31" w:name="_Toc299481895"/>
      <w:r w:rsidRPr="00AF3C03">
        <w:t>Countries having the largest EXPY’s</w:t>
      </w:r>
      <w:bookmarkEnd w:id="31"/>
    </w:p>
    <w:p w:rsidR="00964452" w:rsidRDefault="00964452" w:rsidP="007C130D">
      <w:pPr>
        <w:spacing w:line="360" w:lineRule="auto"/>
      </w:pPr>
      <w:r>
        <w:t>The countries that have the largest EXPY’s in the four years</w:t>
      </w:r>
      <w:r w:rsidRPr="00A51E96">
        <w:t xml:space="preserve">, showed </w:t>
      </w:r>
      <w:r w:rsidRPr="00293594">
        <w:t xml:space="preserve">in table 5, are all </w:t>
      </w:r>
      <w:r>
        <w:t xml:space="preserve">European and/or OECD-countries, except for Qatar. </w:t>
      </w:r>
      <w:r w:rsidRPr="00AF3C03">
        <w:t>Although Luxembourg is not present during the entire sample period; no trade data was available before 1999, it is reasonable to assume that it would have the largest export productivity in 1992 and 1996 too, because of the large difference in EXPY between Luxembourg and the other countries in the sample for each of the ten years Luxembourg did report</w:t>
      </w:r>
      <w:r>
        <w:t>.The small countries Luxembourg and Switzerland are outliers as they mainly export high-tech and knowledge based industrial products.</w:t>
      </w:r>
      <w:r>
        <w:rPr>
          <w:rStyle w:val="FootnoteReference"/>
        </w:rPr>
        <w:footnoteReference w:id="11"/>
      </w:r>
      <w:r>
        <w:t>In addition, 60% of Luxembourg’s labour force consists of foreign workers. Furthermore, both countries have a large banking sector (The World Factbook, 2011).</w:t>
      </w:r>
    </w:p>
    <w:p w:rsidR="00964452" w:rsidRDefault="00964452" w:rsidP="005E471F">
      <w:pPr>
        <w:spacing w:line="360" w:lineRule="auto"/>
      </w:pPr>
    </w:p>
    <w:p w:rsidR="00964452" w:rsidRPr="005E471F" w:rsidRDefault="00964452" w:rsidP="005E471F">
      <w:pPr>
        <w:spacing w:line="360" w:lineRule="auto"/>
      </w:pPr>
      <w:r>
        <w:t>Ireland’s export productivity improved considerably during the sample period, resulting in a top 5 position of largest EXPY’s since 1996.</w:t>
      </w:r>
      <w:r>
        <w:rPr>
          <w:rStyle w:val="FootnoteReference"/>
        </w:rPr>
        <w:footnoteReference w:id="12"/>
      </w:r>
      <w:r w:rsidRPr="00AF3C03">
        <w:t xml:space="preserve">Only for Qatar, which had the fifth largest export productivity in 2004, it is difficult to define if it would be one of the countries with the </w:t>
      </w:r>
      <w:r>
        <w:t>5</w:t>
      </w:r>
      <w:r w:rsidRPr="00AF3C03">
        <w:t xml:space="preserve"> largest EXPY’s in the other years, because the oil and gas state only reported trade data for 2001 to 2005. </w:t>
      </w:r>
      <w:r>
        <w:t xml:space="preserve">It is interesting to notice that 3 of 2008’s top 5countries had smaller EXPY’s compared to 2004 (i.e. Luxembourg, Japan and Finland), which could be related to the latest financial crisis.  </w:t>
      </w:r>
    </w:p>
    <w:p w:rsidR="00964452" w:rsidRPr="00A31154" w:rsidRDefault="00964452" w:rsidP="00D5650A">
      <w:pPr>
        <w:pStyle w:val="NoSpacing"/>
        <w:spacing w:line="360" w:lineRule="auto"/>
        <w:rPr>
          <w:sz w:val="18"/>
          <w:szCs w:val="18"/>
        </w:rPr>
      </w:pPr>
      <w:r>
        <w:rPr>
          <w:sz w:val="18"/>
          <w:szCs w:val="18"/>
        </w:rPr>
        <w:t>Table 5: Largest EXPY values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53"/>
        <w:gridCol w:w="2191"/>
        <w:gridCol w:w="2338"/>
        <w:gridCol w:w="2306"/>
      </w:tblGrid>
      <w:tr w:rsidR="00964452" w:rsidRPr="00D61272" w:rsidTr="009C5F11">
        <w:tc>
          <w:tcPr>
            <w:tcW w:w="2453" w:type="dxa"/>
            <w:tcBorders>
              <w:bottom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b/>
                <w:sz w:val="18"/>
                <w:szCs w:val="18"/>
                <w:lang w:eastAsia="nl-NL"/>
              </w:rPr>
            </w:pPr>
            <w:r w:rsidRPr="00D61272">
              <w:rPr>
                <w:rFonts w:ascii="Arial" w:hAnsi="Arial" w:cs="Arial"/>
                <w:b/>
                <w:sz w:val="18"/>
                <w:szCs w:val="18"/>
                <w:lang w:eastAsia="nl-NL"/>
              </w:rPr>
              <w:t>Largest EXPY values</w:t>
            </w:r>
          </w:p>
        </w:tc>
        <w:tc>
          <w:tcPr>
            <w:tcW w:w="2191" w:type="dxa"/>
            <w:tcBorders>
              <w:bottom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b/>
                <w:sz w:val="18"/>
                <w:szCs w:val="18"/>
                <w:lang w:eastAsia="nl-NL"/>
              </w:rPr>
            </w:pPr>
          </w:p>
        </w:tc>
        <w:tc>
          <w:tcPr>
            <w:tcW w:w="2338" w:type="dxa"/>
            <w:tcBorders>
              <w:bottom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b/>
                <w:sz w:val="18"/>
                <w:szCs w:val="18"/>
                <w:lang w:eastAsia="nl-NL"/>
              </w:rPr>
            </w:pPr>
          </w:p>
        </w:tc>
        <w:tc>
          <w:tcPr>
            <w:tcW w:w="2306" w:type="dxa"/>
            <w:tcBorders>
              <w:bottom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b/>
                <w:sz w:val="18"/>
                <w:szCs w:val="18"/>
                <w:lang w:eastAsia="nl-NL"/>
              </w:rPr>
            </w:pPr>
          </w:p>
        </w:tc>
      </w:tr>
      <w:tr w:rsidR="00964452" w:rsidRPr="00D61272" w:rsidTr="009C5F11">
        <w:tc>
          <w:tcPr>
            <w:tcW w:w="2453" w:type="dxa"/>
            <w:tcBorders>
              <w:bottom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b/>
                <w:sz w:val="18"/>
                <w:szCs w:val="18"/>
                <w:lang w:eastAsia="nl-NL"/>
              </w:rPr>
            </w:pPr>
            <w:r w:rsidRPr="00D61272">
              <w:rPr>
                <w:rFonts w:ascii="Arial" w:hAnsi="Arial" w:cs="Arial"/>
                <w:b/>
                <w:sz w:val="18"/>
                <w:szCs w:val="18"/>
                <w:lang w:eastAsia="nl-NL"/>
              </w:rPr>
              <w:t>Year 1992</w:t>
            </w:r>
          </w:p>
        </w:tc>
        <w:tc>
          <w:tcPr>
            <w:tcW w:w="2191" w:type="dxa"/>
            <w:tcBorders>
              <w:bottom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b/>
                <w:sz w:val="18"/>
                <w:szCs w:val="18"/>
                <w:lang w:eastAsia="nl-NL"/>
              </w:rPr>
            </w:pPr>
          </w:p>
        </w:tc>
        <w:tc>
          <w:tcPr>
            <w:tcW w:w="2338" w:type="dxa"/>
            <w:tcBorders>
              <w:bottom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b/>
                <w:sz w:val="18"/>
                <w:szCs w:val="18"/>
                <w:lang w:eastAsia="nl-NL"/>
              </w:rPr>
            </w:pPr>
            <w:r w:rsidRPr="00D61272">
              <w:rPr>
                <w:rFonts w:ascii="Arial" w:hAnsi="Arial" w:cs="Arial"/>
                <w:b/>
                <w:sz w:val="18"/>
                <w:szCs w:val="18"/>
                <w:lang w:eastAsia="nl-NL"/>
              </w:rPr>
              <w:t>Year 1996</w:t>
            </w:r>
          </w:p>
        </w:tc>
        <w:tc>
          <w:tcPr>
            <w:tcW w:w="2306" w:type="dxa"/>
            <w:tcBorders>
              <w:bottom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b/>
                <w:sz w:val="18"/>
                <w:szCs w:val="18"/>
                <w:lang w:eastAsia="nl-NL"/>
              </w:rPr>
            </w:pPr>
          </w:p>
        </w:tc>
      </w:tr>
      <w:tr w:rsidR="00964452" w:rsidRPr="00D61272" w:rsidTr="009C5F11">
        <w:tc>
          <w:tcPr>
            <w:tcW w:w="2453" w:type="dxa"/>
            <w:tcBorders>
              <w:bottom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Country</w:t>
            </w:r>
          </w:p>
        </w:tc>
        <w:tc>
          <w:tcPr>
            <w:tcW w:w="2191" w:type="dxa"/>
            <w:tcBorders>
              <w:bottom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EXPY </w:t>
            </w:r>
          </w:p>
        </w:tc>
        <w:tc>
          <w:tcPr>
            <w:tcW w:w="2338" w:type="dxa"/>
            <w:tcBorders>
              <w:bottom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Country</w:t>
            </w:r>
          </w:p>
        </w:tc>
        <w:tc>
          <w:tcPr>
            <w:tcW w:w="2306" w:type="dxa"/>
            <w:tcBorders>
              <w:bottom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EXPY </w:t>
            </w:r>
          </w:p>
        </w:tc>
      </w:tr>
      <w:tr w:rsidR="00964452" w:rsidRPr="00D61272" w:rsidTr="009C5F11">
        <w:tc>
          <w:tcPr>
            <w:tcW w:w="2453" w:type="dxa"/>
            <w:tcBorders>
              <w:top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Switzerland                   </w:t>
            </w:r>
          </w:p>
        </w:tc>
        <w:tc>
          <w:tcPr>
            <w:tcW w:w="2191" w:type="dxa"/>
            <w:tcBorders>
              <w:top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$19,968</w:t>
            </w:r>
          </w:p>
        </w:tc>
        <w:tc>
          <w:tcPr>
            <w:tcW w:w="2338" w:type="dxa"/>
            <w:tcBorders>
              <w:top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Switzerland                   </w:t>
            </w:r>
          </w:p>
        </w:tc>
        <w:tc>
          <w:tcPr>
            <w:tcW w:w="2306" w:type="dxa"/>
            <w:tcBorders>
              <w:top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$21,253</w:t>
            </w:r>
          </w:p>
        </w:tc>
      </w:tr>
      <w:tr w:rsidR="00964452" w:rsidRPr="00D61272" w:rsidTr="009C5F11">
        <w:tc>
          <w:tcPr>
            <w:tcW w:w="2453"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Finland                       </w:t>
            </w:r>
          </w:p>
        </w:tc>
        <w:tc>
          <w:tcPr>
            <w:tcW w:w="2191"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$17,570</w:t>
            </w:r>
          </w:p>
        </w:tc>
        <w:tc>
          <w:tcPr>
            <w:tcW w:w="2338"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Ireland                       </w:t>
            </w:r>
          </w:p>
        </w:tc>
        <w:tc>
          <w:tcPr>
            <w:tcW w:w="2306"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$20,706</w:t>
            </w:r>
          </w:p>
        </w:tc>
      </w:tr>
      <w:tr w:rsidR="00964452" w:rsidRPr="00D61272" w:rsidTr="009C5F11">
        <w:tc>
          <w:tcPr>
            <w:tcW w:w="2453"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Sweden                        </w:t>
            </w:r>
          </w:p>
        </w:tc>
        <w:tc>
          <w:tcPr>
            <w:tcW w:w="2191"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$17,518</w:t>
            </w:r>
          </w:p>
        </w:tc>
        <w:tc>
          <w:tcPr>
            <w:tcW w:w="2338"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Japan                         </w:t>
            </w:r>
          </w:p>
        </w:tc>
        <w:tc>
          <w:tcPr>
            <w:tcW w:w="2306"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$19,419</w:t>
            </w:r>
          </w:p>
        </w:tc>
      </w:tr>
      <w:tr w:rsidR="00964452" w:rsidRPr="00D61272" w:rsidTr="009C5F11">
        <w:tc>
          <w:tcPr>
            <w:tcW w:w="2453"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Iceland                       </w:t>
            </w:r>
          </w:p>
        </w:tc>
        <w:tc>
          <w:tcPr>
            <w:tcW w:w="2191"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$17,434</w:t>
            </w:r>
          </w:p>
        </w:tc>
        <w:tc>
          <w:tcPr>
            <w:tcW w:w="2338"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Finland                       </w:t>
            </w:r>
          </w:p>
        </w:tc>
        <w:tc>
          <w:tcPr>
            <w:tcW w:w="2306"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$19,095</w:t>
            </w:r>
          </w:p>
        </w:tc>
      </w:tr>
      <w:tr w:rsidR="00964452" w:rsidRPr="00D61272" w:rsidTr="009C5F11">
        <w:tc>
          <w:tcPr>
            <w:tcW w:w="2453"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Germany                       </w:t>
            </w:r>
          </w:p>
        </w:tc>
        <w:tc>
          <w:tcPr>
            <w:tcW w:w="2191"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$16,914</w:t>
            </w:r>
          </w:p>
        </w:tc>
        <w:tc>
          <w:tcPr>
            <w:tcW w:w="2338"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Malta                         </w:t>
            </w:r>
          </w:p>
        </w:tc>
        <w:tc>
          <w:tcPr>
            <w:tcW w:w="2306"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$18,967</w:t>
            </w:r>
          </w:p>
        </w:tc>
      </w:tr>
      <w:tr w:rsidR="00964452" w:rsidRPr="00D61272" w:rsidTr="009C5F11">
        <w:tc>
          <w:tcPr>
            <w:tcW w:w="2453"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p>
        </w:tc>
        <w:tc>
          <w:tcPr>
            <w:tcW w:w="2191"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p>
        </w:tc>
        <w:tc>
          <w:tcPr>
            <w:tcW w:w="2338"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p>
        </w:tc>
        <w:tc>
          <w:tcPr>
            <w:tcW w:w="2306"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p>
        </w:tc>
      </w:tr>
      <w:tr w:rsidR="00964452" w:rsidRPr="00D61272" w:rsidTr="009C5F11">
        <w:tc>
          <w:tcPr>
            <w:tcW w:w="2453" w:type="dxa"/>
            <w:tcBorders>
              <w:bottom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b/>
                <w:sz w:val="18"/>
                <w:szCs w:val="18"/>
                <w:lang w:eastAsia="nl-NL"/>
              </w:rPr>
            </w:pPr>
            <w:r w:rsidRPr="00D61272">
              <w:rPr>
                <w:rFonts w:ascii="Arial" w:hAnsi="Arial" w:cs="Arial"/>
                <w:b/>
                <w:sz w:val="18"/>
                <w:szCs w:val="18"/>
                <w:lang w:eastAsia="nl-NL"/>
              </w:rPr>
              <w:t>Year 2004</w:t>
            </w:r>
          </w:p>
        </w:tc>
        <w:tc>
          <w:tcPr>
            <w:tcW w:w="2191" w:type="dxa"/>
            <w:tcBorders>
              <w:bottom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b/>
                <w:sz w:val="18"/>
                <w:szCs w:val="18"/>
                <w:lang w:eastAsia="nl-NL"/>
              </w:rPr>
            </w:pPr>
          </w:p>
        </w:tc>
        <w:tc>
          <w:tcPr>
            <w:tcW w:w="2338" w:type="dxa"/>
            <w:tcBorders>
              <w:bottom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b/>
                <w:sz w:val="18"/>
                <w:szCs w:val="18"/>
                <w:lang w:eastAsia="nl-NL"/>
              </w:rPr>
            </w:pPr>
            <w:r w:rsidRPr="00D61272">
              <w:rPr>
                <w:rFonts w:ascii="Arial" w:hAnsi="Arial" w:cs="Arial"/>
                <w:b/>
                <w:sz w:val="18"/>
                <w:szCs w:val="18"/>
                <w:lang w:eastAsia="nl-NL"/>
              </w:rPr>
              <w:t>Year 2008</w:t>
            </w:r>
          </w:p>
        </w:tc>
        <w:tc>
          <w:tcPr>
            <w:tcW w:w="2306" w:type="dxa"/>
            <w:tcBorders>
              <w:bottom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b/>
                <w:sz w:val="18"/>
                <w:szCs w:val="18"/>
                <w:lang w:eastAsia="nl-NL"/>
              </w:rPr>
            </w:pPr>
          </w:p>
        </w:tc>
      </w:tr>
      <w:tr w:rsidR="00964452" w:rsidRPr="00CD4987" w:rsidTr="009C5F11">
        <w:tc>
          <w:tcPr>
            <w:tcW w:w="2453" w:type="dxa"/>
            <w:tcBorders>
              <w:top w:val="single" w:sz="12" w:space="0" w:color="000000"/>
              <w:bottom w:val="single" w:sz="12" w:space="0" w:color="000000"/>
            </w:tcBorders>
          </w:tcPr>
          <w:p w:rsidR="00964452" w:rsidRPr="00CD4987" w:rsidRDefault="00964452" w:rsidP="009C5F11">
            <w:pPr>
              <w:autoSpaceDE w:val="0"/>
              <w:autoSpaceDN w:val="0"/>
              <w:adjustRightInd w:val="0"/>
              <w:spacing w:after="0" w:line="240" w:lineRule="auto"/>
              <w:rPr>
                <w:rFonts w:ascii="Arial" w:hAnsi="Arial" w:cs="Arial"/>
                <w:sz w:val="18"/>
                <w:szCs w:val="18"/>
                <w:lang w:eastAsia="nl-NL"/>
              </w:rPr>
            </w:pPr>
            <w:r w:rsidRPr="00CD4987">
              <w:rPr>
                <w:rFonts w:ascii="Arial" w:hAnsi="Arial" w:cs="Arial"/>
                <w:sz w:val="18"/>
                <w:szCs w:val="18"/>
                <w:lang w:eastAsia="nl-NL"/>
              </w:rPr>
              <w:t>Country</w:t>
            </w:r>
          </w:p>
        </w:tc>
        <w:tc>
          <w:tcPr>
            <w:tcW w:w="2191" w:type="dxa"/>
            <w:tcBorders>
              <w:top w:val="single" w:sz="12" w:space="0" w:color="000000"/>
              <w:bottom w:val="single" w:sz="12" w:space="0" w:color="000000"/>
            </w:tcBorders>
          </w:tcPr>
          <w:p w:rsidR="00964452" w:rsidRPr="00CD4987" w:rsidRDefault="00964452" w:rsidP="009C5F11">
            <w:pPr>
              <w:autoSpaceDE w:val="0"/>
              <w:autoSpaceDN w:val="0"/>
              <w:adjustRightInd w:val="0"/>
              <w:spacing w:after="0" w:line="240" w:lineRule="auto"/>
              <w:rPr>
                <w:rFonts w:ascii="Arial" w:hAnsi="Arial" w:cs="Arial"/>
                <w:sz w:val="18"/>
                <w:szCs w:val="18"/>
                <w:lang w:eastAsia="nl-NL"/>
              </w:rPr>
            </w:pPr>
            <w:r w:rsidRPr="00CD4987">
              <w:rPr>
                <w:rFonts w:ascii="Arial" w:hAnsi="Arial" w:cs="Arial"/>
                <w:sz w:val="18"/>
                <w:szCs w:val="18"/>
                <w:lang w:eastAsia="nl-NL"/>
              </w:rPr>
              <w:t xml:space="preserve">EXPY </w:t>
            </w:r>
          </w:p>
        </w:tc>
        <w:tc>
          <w:tcPr>
            <w:tcW w:w="2338" w:type="dxa"/>
            <w:tcBorders>
              <w:top w:val="single" w:sz="12" w:space="0" w:color="000000"/>
              <w:bottom w:val="single" w:sz="12" w:space="0" w:color="000000"/>
            </w:tcBorders>
          </w:tcPr>
          <w:p w:rsidR="00964452" w:rsidRPr="00CD4987" w:rsidRDefault="00964452" w:rsidP="009C5F11">
            <w:pPr>
              <w:autoSpaceDE w:val="0"/>
              <w:autoSpaceDN w:val="0"/>
              <w:adjustRightInd w:val="0"/>
              <w:spacing w:after="0" w:line="240" w:lineRule="auto"/>
              <w:rPr>
                <w:rFonts w:ascii="Arial" w:hAnsi="Arial" w:cs="Arial"/>
                <w:sz w:val="18"/>
                <w:szCs w:val="18"/>
                <w:lang w:eastAsia="nl-NL"/>
              </w:rPr>
            </w:pPr>
            <w:r w:rsidRPr="00CD4987">
              <w:rPr>
                <w:rFonts w:ascii="Arial" w:hAnsi="Arial" w:cs="Arial"/>
                <w:sz w:val="18"/>
                <w:szCs w:val="18"/>
                <w:lang w:eastAsia="nl-NL"/>
              </w:rPr>
              <w:t>Country</w:t>
            </w:r>
          </w:p>
        </w:tc>
        <w:tc>
          <w:tcPr>
            <w:tcW w:w="2306" w:type="dxa"/>
            <w:tcBorders>
              <w:top w:val="single" w:sz="12" w:space="0" w:color="000000"/>
              <w:bottom w:val="single" w:sz="12" w:space="0" w:color="000000"/>
            </w:tcBorders>
          </w:tcPr>
          <w:p w:rsidR="00964452" w:rsidRPr="00CD4987" w:rsidRDefault="00964452" w:rsidP="009C5F11">
            <w:pPr>
              <w:autoSpaceDE w:val="0"/>
              <w:autoSpaceDN w:val="0"/>
              <w:adjustRightInd w:val="0"/>
              <w:spacing w:after="0" w:line="240" w:lineRule="auto"/>
              <w:rPr>
                <w:rFonts w:ascii="Arial" w:hAnsi="Arial" w:cs="Arial"/>
                <w:sz w:val="18"/>
                <w:szCs w:val="18"/>
                <w:lang w:eastAsia="nl-NL"/>
              </w:rPr>
            </w:pPr>
            <w:r w:rsidRPr="00CD4987">
              <w:rPr>
                <w:rFonts w:ascii="Arial" w:hAnsi="Arial" w:cs="Arial"/>
                <w:sz w:val="18"/>
                <w:szCs w:val="18"/>
                <w:lang w:eastAsia="nl-NL"/>
              </w:rPr>
              <w:t xml:space="preserve">EXPY </w:t>
            </w:r>
          </w:p>
        </w:tc>
      </w:tr>
      <w:tr w:rsidR="00964452" w:rsidRPr="00D61272" w:rsidTr="009C5F11">
        <w:tc>
          <w:tcPr>
            <w:tcW w:w="2453" w:type="dxa"/>
            <w:tcBorders>
              <w:top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Luxembourg                    </w:t>
            </w:r>
          </w:p>
        </w:tc>
        <w:tc>
          <w:tcPr>
            <w:tcW w:w="2191" w:type="dxa"/>
            <w:tcBorders>
              <w:top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$26,675</w:t>
            </w:r>
          </w:p>
        </w:tc>
        <w:tc>
          <w:tcPr>
            <w:tcW w:w="2338" w:type="dxa"/>
            <w:tcBorders>
              <w:top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Luxembourg                    </w:t>
            </w:r>
          </w:p>
        </w:tc>
        <w:tc>
          <w:tcPr>
            <w:tcW w:w="2306" w:type="dxa"/>
            <w:tcBorders>
              <w:top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$26,462</w:t>
            </w:r>
          </w:p>
        </w:tc>
      </w:tr>
      <w:tr w:rsidR="00964452" w:rsidRPr="00D61272" w:rsidTr="009C5F11">
        <w:tc>
          <w:tcPr>
            <w:tcW w:w="2453"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Switzerland                   </w:t>
            </w:r>
          </w:p>
        </w:tc>
        <w:tc>
          <w:tcPr>
            <w:tcW w:w="2191"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$22,033</w:t>
            </w:r>
          </w:p>
        </w:tc>
        <w:tc>
          <w:tcPr>
            <w:tcW w:w="2338"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Switzerland                   </w:t>
            </w:r>
          </w:p>
        </w:tc>
        <w:tc>
          <w:tcPr>
            <w:tcW w:w="2306"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$22,065</w:t>
            </w:r>
          </w:p>
        </w:tc>
      </w:tr>
      <w:tr w:rsidR="00964452" w:rsidRPr="00D61272" w:rsidTr="009C5F11">
        <w:tc>
          <w:tcPr>
            <w:tcW w:w="2453"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Ireland                       </w:t>
            </w:r>
          </w:p>
        </w:tc>
        <w:tc>
          <w:tcPr>
            <w:tcW w:w="2191"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$20,719</w:t>
            </w:r>
          </w:p>
        </w:tc>
        <w:tc>
          <w:tcPr>
            <w:tcW w:w="2338"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Ireland                       </w:t>
            </w:r>
          </w:p>
        </w:tc>
        <w:tc>
          <w:tcPr>
            <w:tcW w:w="2306"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$21,700</w:t>
            </w:r>
          </w:p>
        </w:tc>
      </w:tr>
      <w:tr w:rsidR="00964452" w:rsidRPr="00D61272" w:rsidTr="009C5F11">
        <w:tc>
          <w:tcPr>
            <w:tcW w:w="2453"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Finland                       </w:t>
            </w:r>
          </w:p>
        </w:tc>
        <w:tc>
          <w:tcPr>
            <w:tcW w:w="2191"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$19,999</w:t>
            </w:r>
          </w:p>
        </w:tc>
        <w:tc>
          <w:tcPr>
            <w:tcW w:w="2338"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Finland                       </w:t>
            </w:r>
          </w:p>
        </w:tc>
        <w:tc>
          <w:tcPr>
            <w:tcW w:w="2306"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$19,477</w:t>
            </w:r>
          </w:p>
        </w:tc>
      </w:tr>
      <w:tr w:rsidR="00964452" w:rsidRPr="00D61272" w:rsidTr="009C5F11">
        <w:tc>
          <w:tcPr>
            <w:tcW w:w="2453"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Qatar                         </w:t>
            </w:r>
          </w:p>
        </w:tc>
        <w:tc>
          <w:tcPr>
            <w:tcW w:w="2191"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$19,810</w:t>
            </w:r>
          </w:p>
        </w:tc>
        <w:tc>
          <w:tcPr>
            <w:tcW w:w="2338"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Japan                         </w:t>
            </w:r>
          </w:p>
        </w:tc>
        <w:tc>
          <w:tcPr>
            <w:tcW w:w="2306"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$19,209</w:t>
            </w:r>
          </w:p>
        </w:tc>
      </w:tr>
    </w:tbl>
    <w:p w:rsidR="00964452" w:rsidRDefault="00964452" w:rsidP="00D5650A">
      <w:pPr>
        <w:pStyle w:val="NoSpacing"/>
        <w:spacing w:line="360" w:lineRule="auto"/>
        <w:rPr>
          <w:color w:val="FF0000"/>
        </w:rPr>
      </w:pPr>
    </w:p>
    <w:p w:rsidR="00964452" w:rsidRPr="00D75543" w:rsidRDefault="00964452" w:rsidP="00D5650A">
      <w:pPr>
        <w:pStyle w:val="NoSpacing"/>
        <w:spacing w:line="360" w:lineRule="auto"/>
      </w:pPr>
      <w:r w:rsidRPr="00294689">
        <w:t>Figure 7 illustrates the differences in EXPY, GDP per capita and export share of GDP</w:t>
      </w:r>
      <w:r>
        <w:t>,</w:t>
      </w:r>
      <w:r w:rsidRPr="00294689">
        <w:t xml:space="preserve"> for 2008 of 5 rich countries. </w:t>
      </w:r>
      <w:r>
        <w:t xml:space="preserve">Although the United States has the highest income level of these 5 countries, it has the smallest EXPY. Furthermore, the 5 countries differ substantially in export share of GDP; for Ireland and Germany this is more than 40%, whereas for the United States this is less than 10%. Though Germany’s export share of GDP is twice as large as that of France, the countries have comparable EXPY’s and income levels. </w:t>
      </w:r>
      <w:r w:rsidRPr="00642A49">
        <w:t>In addition,</w:t>
      </w:r>
      <w:r>
        <w:t xml:space="preserve">Japan’s export share of GDP is 16% and also its income is somewhat lower than Germany’s, however, Japan has a larger EXPY. </w:t>
      </w:r>
      <w:r w:rsidRPr="00D75543">
        <w:t xml:space="preserve">Thus, income levels and export shares of GDP are not always good explanations for the size of EXPY, as these </w:t>
      </w:r>
      <w:r>
        <w:t xml:space="preserve">former </w:t>
      </w:r>
      <w:r w:rsidRPr="00D75543">
        <w:t xml:space="preserve">variables do not incorporate the </w:t>
      </w:r>
      <w:r>
        <w:t>productivity</w:t>
      </w:r>
      <w:r w:rsidRPr="00D75543">
        <w:t xml:space="preserve"> level</w:t>
      </w:r>
      <w:r>
        <w:t>s</w:t>
      </w:r>
      <w:r w:rsidRPr="00D75543">
        <w:t xml:space="preserve"> of products exported.</w:t>
      </w:r>
    </w:p>
    <w:p w:rsidR="00964452" w:rsidRDefault="00964452" w:rsidP="00D5650A">
      <w:pPr>
        <w:pStyle w:val="NoSpacing"/>
        <w:spacing w:line="360" w:lineRule="auto"/>
        <w:rPr>
          <w:color w:val="FF0000"/>
        </w:rPr>
      </w:pPr>
    </w:p>
    <w:p w:rsidR="00964452" w:rsidRPr="00A12A7C" w:rsidRDefault="00964452" w:rsidP="00D5650A">
      <w:pPr>
        <w:pStyle w:val="NoSpacing"/>
        <w:spacing w:line="360" w:lineRule="auto"/>
        <w:rPr>
          <w:sz w:val="18"/>
          <w:szCs w:val="18"/>
        </w:rPr>
      </w:pPr>
      <w:r>
        <w:rPr>
          <w:sz w:val="18"/>
          <w:szCs w:val="18"/>
        </w:rPr>
        <w:t>Figure 7: EXPY, GDP per capita and export share of GDP for 2008</w:t>
      </w:r>
    </w:p>
    <w:p w:rsidR="00964452" w:rsidRDefault="00964452" w:rsidP="00D5650A">
      <w:pPr>
        <w:pStyle w:val="NoSpacing"/>
        <w:spacing w:line="360" w:lineRule="auto"/>
      </w:pPr>
      <w:r w:rsidRPr="002638B5">
        <w:rPr>
          <w:noProof/>
          <w:lang w:val="en-US"/>
        </w:rPr>
        <w:pict>
          <v:shape id="Afbeelding 16" o:spid="_x0000_i1034" type="#_x0000_t75" style="width:267pt;height:213.75pt;visibility:visible">
            <v:imagedata r:id="rId20" o:title=""/>
          </v:shape>
        </w:pict>
      </w:r>
    </w:p>
    <w:p w:rsidR="00964452" w:rsidRPr="00245D65" w:rsidRDefault="00964452" w:rsidP="00D5650A">
      <w:pPr>
        <w:pStyle w:val="Heading2"/>
        <w:spacing w:line="360" w:lineRule="auto"/>
      </w:pPr>
      <w:bookmarkStart w:id="32" w:name="_Toc286688951"/>
      <w:bookmarkStart w:id="33" w:name="_Toc299481896"/>
      <w:r>
        <w:t>Countries having the highest</w:t>
      </w:r>
      <w:r w:rsidRPr="00245D65">
        <w:t xml:space="preserve"> EXPY growth rates</w:t>
      </w:r>
      <w:bookmarkEnd w:id="32"/>
      <w:bookmarkEnd w:id="33"/>
    </w:p>
    <w:p w:rsidR="00964452" w:rsidRDefault="00964452" w:rsidP="00D5650A">
      <w:pPr>
        <w:spacing w:line="360" w:lineRule="auto"/>
      </w:pPr>
      <w:r>
        <w:t>Table 6</w:t>
      </w:r>
      <w:r w:rsidRPr="00F4522D">
        <w:t xml:space="preserve"> shows </w:t>
      </w:r>
      <w:r>
        <w:t xml:space="preserve">the highest EXPY growth rates. While the lowest EXPY growth rates have decreased over the period 1992 to 2008, the 5highest EXPY growth rates have increased during the same period. The group of countries having the highest growth rates in export productivity is a mixture of poorand rich economies. </w:t>
      </w:r>
    </w:p>
    <w:p w:rsidR="00964452" w:rsidRPr="00642A49" w:rsidRDefault="00964452" w:rsidP="00642A49">
      <w:pPr>
        <w:pStyle w:val="NoSpacing"/>
        <w:spacing w:line="360" w:lineRule="auto"/>
        <w:rPr>
          <w:sz w:val="18"/>
          <w:szCs w:val="18"/>
          <w:lang w:eastAsia="nl-NL"/>
        </w:rPr>
      </w:pPr>
      <w:r w:rsidRPr="00642A49">
        <w:rPr>
          <w:sz w:val="18"/>
          <w:szCs w:val="18"/>
          <w:lang w:eastAsia="nl-NL"/>
        </w:rPr>
        <w:t>Table 6:</w:t>
      </w:r>
      <w:r>
        <w:rPr>
          <w:sz w:val="18"/>
          <w:szCs w:val="18"/>
        </w:rPr>
        <w:t>Highest</w:t>
      </w:r>
      <w:r w:rsidRPr="00642A49">
        <w:rPr>
          <w:sz w:val="18"/>
          <w:szCs w:val="18"/>
        </w:rPr>
        <w:t xml:space="preserve"> EXPY growth rates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53"/>
        <w:gridCol w:w="2191"/>
        <w:gridCol w:w="2338"/>
        <w:gridCol w:w="2306"/>
      </w:tblGrid>
      <w:tr w:rsidR="00964452" w:rsidRPr="004C4392" w:rsidTr="009C5F11">
        <w:tc>
          <w:tcPr>
            <w:tcW w:w="2453" w:type="dxa"/>
            <w:tcBorders>
              <w:bottom w:val="single" w:sz="12" w:space="0" w:color="000000"/>
              <w:right w:val="single" w:sz="6" w:space="0" w:color="000000"/>
            </w:tcBorders>
          </w:tcPr>
          <w:p w:rsidR="00964452" w:rsidRPr="004C4392" w:rsidRDefault="00964452" w:rsidP="009C5F11">
            <w:pPr>
              <w:autoSpaceDE w:val="0"/>
              <w:autoSpaceDN w:val="0"/>
              <w:adjustRightInd w:val="0"/>
              <w:spacing w:after="0" w:line="240" w:lineRule="auto"/>
              <w:rPr>
                <w:rFonts w:ascii="Arial" w:hAnsi="Arial" w:cs="Arial"/>
                <w:b/>
                <w:sz w:val="18"/>
                <w:szCs w:val="18"/>
                <w:lang w:eastAsia="nl-NL"/>
              </w:rPr>
            </w:pPr>
            <w:r>
              <w:rPr>
                <w:rFonts w:ascii="Arial" w:hAnsi="Arial" w:cs="Arial"/>
                <w:b/>
                <w:sz w:val="18"/>
                <w:szCs w:val="18"/>
                <w:lang w:eastAsia="nl-NL"/>
              </w:rPr>
              <w:t>Highest</w:t>
            </w:r>
            <w:r w:rsidRPr="004C4392">
              <w:rPr>
                <w:rFonts w:ascii="Arial" w:hAnsi="Arial" w:cs="Arial"/>
                <w:b/>
                <w:sz w:val="18"/>
                <w:szCs w:val="18"/>
                <w:lang w:eastAsia="nl-NL"/>
              </w:rPr>
              <w:t xml:space="preserve"> EXPY growth</w:t>
            </w:r>
          </w:p>
        </w:tc>
        <w:tc>
          <w:tcPr>
            <w:tcW w:w="2191" w:type="dxa"/>
            <w:tcBorders>
              <w:left w:val="single" w:sz="6" w:space="0" w:color="000000"/>
              <w:bottom w:val="single" w:sz="12" w:space="0" w:color="000000"/>
            </w:tcBorders>
          </w:tcPr>
          <w:p w:rsidR="00964452" w:rsidRPr="004C4392" w:rsidRDefault="00964452" w:rsidP="009C5F11">
            <w:pPr>
              <w:autoSpaceDE w:val="0"/>
              <w:autoSpaceDN w:val="0"/>
              <w:adjustRightInd w:val="0"/>
              <w:spacing w:after="0" w:line="240" w:lineRule="auto"/>
              <w:rPr>
                <w:rFonts w:ascii="Arial" w:hAnsi="Arial" w:cs="Arial"/>
                <w:b/>
                <w:sz w:val="18"/>
                <w:szCs w:val="18"/>
                <w:lang w:eastAsia="nl-NL"/>
              </w:rPr>
            </w:pPr>
          </w:p>
        </w:tc>
        <w:tc>
          <w:tcPr>
            <w:tcW w:w="2338" w:type="dxa"/>
            <w:tcBorders>
              <w:left w:val="single" w:sz="6" w:space="0" w:color="000000"/>
              <w:bottom w:val="single" w:sz="12" w:space="0" w:color="000000"/>
              <w:right w:val="single" w:sz="6" w:space="0" w:color="000000"/>
            </w:tcBorders>
          </w:tcPr>
          <w:p w:rsidR="00964452" w:rsidRPr="004C4392" w:rsidRDefault="00964452" w:rsidP="009C5F11">
            <w:pPr>
              <w:autoSpaceDE w:val="0"/>
              <w:autoSpaceDN w:val="0"/>
              <w:adjustRightInd w:val="0"/>
              <w:spacing w:after="0" w:line="240" w:lineRule="auto"/>
              <w:rPr>
                <w:rFonts w:ascii="Arial" w:hAnsi="Arial" w:cs="Arial"/>
                <w:b/>
                <w:sz w:val="18"/>
                <w:szCs w:val="18"/>
                <w:lang w:eastAsia="nl-NL"/>
              </w:rPr>
            </w:pPr>
          </w:p>
        </w:tc>
        <w:tc>
          <w:tcPr>
            <w:tcW w:w="2306" w:type="dxa"/>
            <w:tcBorders>
              <w:left w:val="single" w:sz="6" w:space="0" w:color="000000"/>
              <w:bottom w:val="single" w:sz="12" w:space="0" w:color="000000"/>
            </w:tcBorders>
          </w:tcPr>
          <w:p w:rsidR="00964452" w:rsidRPr="004C4392" w:rsidRDefault="00964452" w:rsidP="009C5F11">
            <w:pPr>
              <w:autoSpaceDE w:val="0"/>
              <w:autoSpaceDN w:val="0"/>
              <w:adjustRightInd w:val="0"/>
              <w:spacing w:after="0" w:line="240" w:lineRule="auto"/>
              <w:rPr>
                <w:rFonts w:ascii="Arial" w:hAnsi="Arial" w:cs="Arial"/>
                <w:b/>
                <w:sz w:val="18"/>
                <w:szCs w:val="18"/>
                <w:lang w:eastAsia="nl-NL"/>
              </w:rPr>
            </w:pPr>
          </w:p>
        </w:tc>
      </w:tr>
      <w:tr w:rsidR="00964452" w:rsidRPr="004C4392" w:rsidTr="009C5F11">
        <w:tc>
          <w:tcPr>
            <w:tcW w:w="2453" w:type="dxa"/>
            <w:tcBorders>
              <w:bottom w:val="single" w:sz="12" w:space="0" w:color="000000"/>
              <w:right w:val="single" w:sz="6" w:space="0" w:color="000000"/>
            </w:tcBorders>
          </w:tcPr>
          <w:p w:rsidR="00964452" w:rsidRPr="004C4392" w:rsidRDefault="00964452" w:rsidP="009C5F11">
            <w:pPr>
              <w:autoSpaceDE w:val="0"/>
              <w:autoSpaceDN w:val="0"/>
              <w:adjustRightInd w:val="0"/>
              <w:spacing w:after="0" w:line="240" w:lineRule="auto"/>
              <w:rPr>
                <w:rFonts w:ascii="Arial" w:hAnsi="Arial" w:cs="Arial"/>
                <w:b/>
                <w:sz w:val="18"/>
                <w:szCs w:val="18"/>
                <w:lang w:eastAsia="nl-NL"/>
              </w:rPr>
            </w:pPr>
            <w:r w:rsidRPr="004C4392">
              <w:rPr>
                <w:rFonts w:ascii="Arial" w:hAnsi="Arial" w:cs="Arial"/>
                <w:b/>
                <w:sz w:val="18"/>
                <w:szCs w:val="18"/>
                <w:lang w:eastAsia="nl-NL"/>
              </w:rPr>
              <w:t>Year 1992</w:t>
            </w:r>
          </w:p>
        </w:tc>
        <w:tc>
          <w:tcPr>
            <w:tcW w:w="2191" w:type="dxa"/>
            <w:tcBorders>
              <w:left w:val="single" w:sz="6" w:space="0" w:color="000000"/>
              <w:bottom w:val="single" w:sz="12" w:space="0" w:color="000000"/>
            </w:tcBorders>
          </w:tcPr>
          <w:p w:rsidR="00964452" w:rsidRPr="004C4392" w:rsidRDefault="00964452" w:rsidP="009C5F11">
            <w:pPr>
              <w:autoSpaceDE w:val="0"/>
              <w:autoSpaceDN w:val="0"/>
              <w:adjustRightInd w:val="0"/>
              <w:spacing w:after="0" w:line="240" w:lineRule="auto"/>
              <w:rPr>
                <w:rFonts w:ascii="Arial" w:hAnsi="Arial" w:cs="Arial"/>
                <w:b/>
                <w:sz w:val="18"/>
                <w:szCs w:val="18"/>
                <w:lang w:eastAsia="nl-NL"/>
              </w:rPr>
            </w:pPr>
          </w:p>
        </w:tc>
        <w:tc>
          <w:tcPr>
            <w:tcW w:w="2338" w:type="dxa"/>
            <w:tcBorders>
              <w:left w:val="single" w:sz="6" w:space="0" w:color="000000"/>
              <w:bottom w:val="single" w:sz="12" w:space="0" w:color="000000"/>
              <w:right w:val="single" w:sz="6" w:space="0" w:color="000000"/>
            </w:tcBorders>
          </w:tcPr>
          <w:p w:rsidR="00964452" w:rsidRPr="004C4392" w:rsidRDefault="00964452" w:rsidP="009C5F11">
            <w:pPr>
              <w:autoSpaceDE w:val="0"/>
              <w:autoSpaceDN w:val="0"/>
              <w:adjustRightInd w:val="0"/>
              <w:spacing w:after="0" w:line="240" w:lineRule="auto"/>
              <w:rPr>
                <w:rFonts w:ascii="Arial" w:hAnsi="Arial" w:cs="Arial"/>
                <w:b/>
                <w:sz w:val="18"/>
                <w:szCs w:val="18"/>
                <w:lang w:eastAsia="nl-NL"/>
              </w:rPr>
            </w:pPr>
            <w:r w:rsidRPr="004C4392">
              <w:rPr>
                <w:rFonts w:ascii="Arial" w:hAnsi="Arial" w:cs="Arial"/>
                <w:b/>
                <w:sz w:val="18"/>
                <w:szCs w:val="18"/>
                <w:lang w:eastAsia="nl-NL"/>
              </w:rPr>
              <w:t>Year 1996</w:t>
            </w:r>
          </w:p>
        </w:tc>
        <w:tc>
          <w:tcPr>
            <w:tcW w:w="2306" w:type="dxa"/>
            <w:tcBorders>
              <w:left w:val="single" w:sz="6" w:space="0" w:color="000000"/>
              <w:bottom w:val="single" w:sz="12" w:space="0" w:color="000000"/>
            </w:tcBorders>
          </w:tcPr>
          <w:p w:rsidR="00964452" w:rsidRPr="004C4392" w:rsidRDefault="00964452" w:rsidP="009C5F11">
            <w:pPr>
              <w:autoSpaceDE w:val="0"/>
              <w:autoSpaceDN w:val="0"/>
              <w:adjustRightInd w:val="0"/>
              <w:spacing w:after="0" w:line="240" w:lineRule="auto"/>
              <w:rPr>
                <w:rFonts w:ascii="Arial" w:hAnsi="Arial" w:cs="Arial"/>
                <w:b/>
                <w:sz w:val="18"/>
                <w:szCs w:val="18"/>
                <w:lang w:eastAsia="nl-NL"/>
              </w:rPr>
            </w:pPr>
          </w:p>
        </w:tc>
      </w:tr>
      <w:tr w:rsidR="00964452" w:rsidRPr="004C4392" w:rsidTr="009C5F11">
        <w:tc>
          <w:tcPr>
            <w:tcW w:w="2453" w:type="dxa"/>
            <w:tcBorders>
              <w:bottom w:val="single" w:sz="12" w:space="0" w:color="000000"/>
              <w:right w:val="single" w:sz="6" w:space="0" w:color="000000"/>
            </w:tcBorders>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Country</w:t>
            </w:r>
          </w:p>
        </w:tc>
        <w:tc>
          <w:tcPr>
            <w:tcW w:w="2191" w:type="dxa"/>
            <w:tcBorders>
              <w:left w:val="single" w:sz="6" w:space="0" w:color="000000"/>
              <w:bottom w:val="single" w:sz="12" w:space="0" w:color="000000"/>
            </w:tcBorders>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 xml:space="preserve">EXPY growth </w:t>
            </w:r>
          </w:p>
        </w:tc>
        <w:tc>
          <w:tcPr>
            <w:tcW w:w="2338" w:type="dxa"/>
            <w:tcBorders>
              <w:left w:val="single" w:sz="6" w:space="0" w:color="000000"/>
              <w:bottom w:val="single" w:sz="12" w:space="0" w:color="000000"/>
              <w:right w:val="single" w:sz="6" w:space="0" w:color="000000"/>
            </w:tcBorders>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Country</w:t>
            </w:r>
          </w:p>
        </w:tc>
        <w:tc>
          <w:tcPr>
            <w:tcW w:w="2306" w:type="dxa"/>
            <w:tcBorders>
              <w:left w:val="single" w:sz="6" w:space="0" w:color="000000"/>
              <w:bottom w:val="single" w:sz="12" w:space="0" w:color="000000"/>
            </w:tcBorders>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EXPY growth</w:t>
            </w:r>
          </w:p>
        </w:tc>
      </w:tr>
      <w:tr w:rsidR="00964452" w:rsidRPr="004C4392" w:rsidTr="009C5F11">
        <w:tc>
          <w:tcPr>
            <w:tcW w:w="2453" w:type="dxa"/>
            <w:tcBorders>
              <w:top w:val="single" w:sz="12" w:space="0" w:color="000000"/>
            </w:tcBorders>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Paraguay</w:t>
            </w:r>
          </w:p>
        </w:tc>
        <w:tc>
          <w:tcPr>
            <w:tcW w:w="2191" w:type="dxa"/>
            <w:tcBorders>
              <w:top w:val="single" w:sz="12" w:space="0" w:color="000000"/>
            </w:tcBorders>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11.83%</w:t>
            </w:r>
          </w:p>
        </w:tc>
        <w:tc>
          <w:tcPr>
            <w:tcW w:w="2338" w:type="dxa"/>
            <w:tcBorders>
              <w:top w:val="single" w:sz="12" w:space="0" w:color="000000"/>
            </w:tcBorders>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Ireland</w:t>
            </w:r>
          </w:p>
        </w:tc>
        <w:tc>
          <w:tcPr>
            <w:tcW w:w="2306" w:type="dxa"/>
            <w:tcBorders>
              <w:top w:val="single" w:sz="12" w:space="0" w:color="000000"/>
            </w:tcBorders>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48.27%</w:t>
            </w:r>
          </w:p>
        </w:tc>
      </w:tr>
      <w:tr w:rsidR="00964452" w:rsidRPr="004C4392" w:rsidTr="009C5F11">
        <w:tc>
          <w:tcPr>
            <w:tcW w:w="2453"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Sri Lanka</w:t>
            </w:r>
          </w:p>
        </w:tc>
        <w:tc>
          <w:tcPr>
            <w:tcW w:w="2191"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10.31%</w:t>
            </w:r>
          </w:p>
        </w:tc>
        <w:tc>
          <w:tcPr>
            <w:tcW w:w="2338"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Malta</w:t>
            </w:r>
          </w:p>
        </w:tc>
        <w:tc>
          <w:tcPr>
            <w:tcW w:w="2306"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38.64%</w:t>
            </w:r>
          </w:p>
        </w:tc>
      </w:tr>
      <w:tr w:rsidR="00964452" w:rsidRPr="004C4392" w:rsidTr="009C5F11">
        <w:tc>
          <w:tcPr>
            <w:tcW w:w="2453"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Chile</w:t>
            </w:r>
          </w:p>
        </w:tc>
        <w:tc>
          <w:tcPr>
            <w:tcW w:w="2191"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5.39%</w:t>
            </w:r>
          </w:p>
        </w:tc>
        <w:tc>
          <w:tcPr>
            <w:tcW w:w="2338"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Uganda</w:t>
            </w:r>
          </w:p>
        </w:tc>
        <w:tc>
          <w:tcPr>
            <w:tcW w:w="2306"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33.11%</w:t>
            </w:r>
          </w:p>
        </w:tc>
      </w:tr>
      <w:tr w:rsidR="00964452" w:rsidRPr="004C4392" w:rsidTr="009C5F11">
        <w:tc>
          <w:tcPr>
            <w:tcW w:w="2453"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 xml:space="preserve">Bangladesh </w:t>
            </w:r>
          </w:p>
        </w:tc>
        <w:tc>
          <w:tcPr>
            <w:tcW w:w="2191"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5.33%</w:t>
            </w:r>
          </w:p>
        </w:tc>
        <w:tc>
          <w:tcPr>
            <w:tcW w:w="2338"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Korea</w:t>
            </w:r>
          </w:p>
        </w:tc>
        <w:tc>
          <w:tcPr>
            <w:tcW w:w="2306"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22.82%</w:t>
            </w:r>
          </w:p>
        </w:tc>
      </w:tr>
      <w:tr w:rsidR="00964452" w:rsidRPr="004C4392" w:rsidTr="009C5F11">
        <w:tc>
          <w:tcPr>
            <w:tcW w:w="2453"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Ecuador</w:t>
            </w:r>
          </w:p>
        </w:tc>
        <w:tc>
          <w:tcPr>
            <w:tcW w:w="2191"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4.58%</w:t>
            </w:r>
          </w:p>
        </w:tc>
        <w:tc>
          <w:tcPr>
            <w:tcW w:w="2338"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Japan</w:t>
            </w:r>
          </w:p>
        </w:tc>
        <w:tc>
          <w:tcPr>
            <w:tcW w:w="2306"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19.09%</w:t>
            </w:r>
          </w:p>
        </w:tc>
      </w:tr>
      <w:tr w:rsidR="00964452" w:rsidRPr="004C4392" w:rsidTr="009C5F11">
        <w:tc>
          <w:tcPr>
            <w:tcW w:w="2453"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p>
        </w:tc>
        <w:tc>
          <w:tcPr>
            <w:tcW w:w="2191"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p>
        </w:tc>
        <w:tc>
          <w:tcPr>
            <w:tcW w:w="2338"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p>
        </w:tc>
        <w:tc>
          <w:tcPr>
            <w:tcW w:w="2306"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p>
        </w:tc>
      </w:tr>
      <w:tr w:rsidR="00964452" w:rsidRPr="004C4392" w:rsidTr="009C5F11">
        <w:tc>
          <w:tcPr>
            <w:tcW w:w="2453" w:type="dxa"/>
            <w:tcBorders>
              <w:bottom w:val="single" w:sz="12" w:space="0" w:color="000000"/>
            </w:tcBorders>
          </w:tcPr>
          <w:p w:rsidR="00964452" w:rsidRPr="004C4392" w:rsidRDefault="00964452" w:rsidP="009C5F11">
            <w:pPr>
              <w:autoSpaceDE w:val="0"/>
              <w:autoSpaceDN w:val="0"/>
              <w:adjustRightInd w:val="0"/>
              <w:spacing w:after="0" w:line="240" w:lineRule="auto"/>
              <w:rPr>
                <w:rFonts w:ascii="Arial" w:hAnsi="Arial" w:cs="Arial"/>
                <w:b/>
                <w:sz w:val="18"/>
                <w:szCs w:val="18"/>
                <w:lang w:eastAsia="nl-NL"/>
              </w:rPr>
            </w:pPr>
            <w:r w:rsidRPr="004C4392">
              <w:rPr>
                <w:rFonts w:ascii="Arial" w:hAnsi="Arial" w:cs="Arial"/>
                <w:b/>
                <w:sz w:val="18"/>
                <w:szCs w:val="18"/>
                <w:lang w:eastAsia="nl-NL"/>
              </w:rPr>
              <w:t>Year 2004</w:t>
            </w:r>
          </w:p>
        </w:tc>
        <w:tc>
          <w:tcPr>
            <w:tcW w:w="2191" w:type="dxa"/>
            <w:tcBorders>
              <w:bottom w:val="single" w:sz="12" w:space="0" w:color="000000"/>
            </w:tcBorders>
          </w:tcPr>
          <w:p w:rsidR="00964452" w:rsidRPr="004C4392" w:rsidRDefault="00964452" w:rsidP="009C5F11">
            <w:pPr>
              <w:autoSpaceDE w:val="0"/>
              <w:autoSpaceDN w:val="0"/>
              <w:adjustRightInd w:val="0"/>
              <w:spacing w:after="0" w:line="240" w:lineRule="auto"/>
              <w:rPr>
                <w:rFonts w:ascii="Arial" w:hAnsi="Arial" w:cs="Arial"/>
                <w:b/>
                <w:sz w:val="18"/>
                <w:szCs w:val="18"/>
                <w:lang w:eastAsia="nl-NL"/>
              </w:rPr>
            </w:pPr>
          </w:p>
        </w:tc>
        <w:tc>
          <w:tcPr>
            <w:tcW w:w="2338" w:type="dxa"/>
            <w:tcBorders>
              <w:bottom w:val="single" w:sz="12" w:space="0" w:color="000000"/>
            </w:tcBorders>
          </w:tcPr>
          <w:p w:rsidR="00964452" w:rsidRPr="004C4392" w:rsidRDefault="00964452" w:rsidP="009C5F11">
            <w:pPr>
              <w:autoSpaceDE w:val="0"/>
              <w:autoSpaceDN w:val="0"/>
              <w:adjustRightInd w:val="0"/>
              <w:spacing w:after="0" w:line="240" w:lineRule="auto"/>
              <w:rPr>
                <w:rFonts w:ascii="Arial" w:hAnsi="Arial" w:cs="Arial"/>
                <w:b/>
                <w:sz w:val="18"/>
                <w:szCs w:val="18"/>
                <w:lang w:eastAsia="nl-NL"/>
              </w:rPr>
            </w:pPr>
            <w:r w:rsidRPr="004C4392">
              <w:rPr>
                <w:rFonts w:ascii="Arial" w:hAnsi="Arial" w:cs="Arial"/>
                <w:b/>
                <w:sz w:val="18"/>
                <w:szCs w:val="18"/>
                <w:lang w:eastAsia="nl-NL"/>
              </w:rPr>
              <w:t>Year 2008</w:t>
            </w:r>
          </w:p>
        </w:tc>
        <w:tc>
          <w:tcPr>
            <w:tcW w:w="2306" w:type="dxa"/>
            <w:tcBorders>
              <w:bottom w:val="single" w:sz="12" w:space="0" w:color="000000"/>
            </w:tcBorders>
          </w:tcPr>
          <w:p w:rsidR="00964452" w:rsidRPr="004C4392" w:rsidRDefault="00964452" w:rsidP="009C5F11">
            <w:pPr>
              <w:autoSpaceDE w:val="0"/>
              <w:autoSpaceDN w:val="0"/>
              <w:adjustRightInd w:val="0"/>
              <w:spacing w:after="0" w:line="240" w:lineRule="auto"/>
              <w:rPr>
                <w:rFonts w:ascii="Arial" w:hAnsi="Arial" w:cs="Arial"/>
                <w:b/>
                <w:sz w:val="18"/>
                <w:szCs w:val="18"/>
                <w:lang w:eastAsia="nl-NL"/>
              </w:rPr>
            </w:pPr>
          </w:p>
        </w:tc>
      </w:tr>
      <w:tr w:rsidR="00964452" w:rsidRPr="004C4392" w:rsidTr="009C5F11">
        <w:tc>
          <w:tcPr>
            <w:tcW w:w="2453" w:type="dxa"/>
            <w:tcBorders>
              <w:bottom w:val="single" w:sz="12" w:space="0" w:color="000000"/>
            </w:tcBorders>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Country</w:t>
            </w:r>
          </w:p>
        </w:tc>
        <w:tc>
          <w:tcPr>
            <w:tcW w:w="2191" w:type="dxa"/>
            <w:tcBorders>
              <w:bottom w:val="single" w:sz="12" w:space="0" w:color="000000"/>
            </w:tcBorders>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EXPY growth</w:t>
            </w:r>
          </w:p>
        </w:tc>
        <w:tc>
          <w:tcPr>
            <w:tcW w:w="2338" w:type="dxa"/>
            <w:tcBorders>
              <w:bottom w:val="single" w:sz="12" w:space="0" w:color="000000"/>
            </w:tcBorders>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Country</w:t>
            </w:r>
          </w:p>
        </w:tc>
        <w:tc>
          <w:tcPr>
            <w:tcW w:w="2306" w:type="dxa"/>
            <w:tcBorders>
              <w:bottom w:val="single" w:sz="12" w:space="0" w:color="000000"/>
            </w:tcBorders>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EXPY growth</w:t>
            </w:r>
          </w:p>
        </w:tc>
      </w:tr>
      <w:tr w:rsidR="00964452" w:rsidRPr="004C4392" w:rsidTr="009C5F11">
        <w:tc>
          <w:tcPr>
            <w:tcW w:w="2453" w:type="dxa"/>
            <w:tcBorders>
              <w:top w:val="single" w:sz="12" w:space="0" w:color="000000"/>
            </w:tcBorders>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Trinidad and Tobago</w:t>
            </w:r>
          </w:p>
        </w:tc>
        <w:tc>
          <w:tcPr>
            <w:tcW w:w="2191" w:type="dxa"/>
            <w:tcBorders>
              <w:top w:val="single" w:sz="12" w:space="0" w:color="000000"/>
            </w:tcBorders>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41.84%</w:t>
            </w:r>
          </w:p>
        </w:tc>
        <w:tc>
          <w:tcPr>
            <w:tcW w:w="2338" w:type="dxa"/>
            <w:tcBorders>
              <w:top w:val="single" w:sz="12" w:space="0" w:color="000000"/>
            </w:tcBorders>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Gambia, The</w:t>
            </w:r>
          </w:p>
        </w:tc>
        <w:tc>
          <w:tcPr>
            <w:tcW w:w="2306" w:type="dxa"/>
            <w:tcBorders>
              <w:top w:val="single" w:sz="12" w:space="0" w:color="000000"/>
            </w:tcBorders>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56.46%</w:t>
            </w:r>
          </w:p>
        </w:tc>
      </w:tr>
      <w:tr w:rsidR="00964452" w:rsidRPr="004C4392" w:rsidTr="009C5F11">
        <w:tc>
          <w:tcPr>
            <w:tcW w:w="2453"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Oman</w:t>
            </w:r>
          </w:p>
        </w:tc>
        <w:tc>
          <w:tcPr>
            <w:tcW w:w="2191"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26.31%</w:t>
            </w:r>
          </w:p>
        </w:tc>
        <w:tc>
          <w:tcPr>
            <w:tcW w:w="2338"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Israel</w:t>
            </w:r>
          </w:p>
        </w:tc>
        <w:tc>
          <w:tcPr>
            <w:tcW w:w="2306"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28.60%</w:t>
            </w:r>
          </w:p>
        </w:tc>
      </w:tr>
      <w:tr w:rsidR="00964452" w:rsidRPr="004C4392" w:rsidTr="009C5F11">
        <w:tc>
          <w:tcPr>
            <w:tcW w:w="2453"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Madagascar</w:t>
            </w:r>
          </w:p>
        </w:tc>
        <w:tc>
          <w:tcPr>
            <w:tcW w:w="2191"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18.36%</w:t>
            </w:r>
          </w:p>
        </w:tc>
        <w:tc>
          <w:tcPr>
            <w:tcW w:w="2338"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Rwanda</w:t>
            </w:r>
          </w:p>
        </w:tc>
        <w:tc>
          <w:tcPr>
            <w:tcW w:w="2306"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12.38%</w:t>
            </w:r>
          </w:p>
        </w:tc>
      </w:tr>
      <w:tr w:rsidR="00964452" w:rsidRPr="004C4392" w:rsidTr="009C5F11">
        <w:tc>
          <w:tcPr>
            <w:tcW w:w="2453"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St. Vincent and the Grenadines</w:t>
            </w:r>
          </w:p>
        </w:tc>
        <w:tc>
          <w:tcPr>
            <w:tcW w:w="2191"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14.72%</w:t>
            </w:r>
          </w:p>
        </w:tc>
        <w:tc>
          <w:tcPr>
            <w:tcW w:w="2338"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Madagascar</w:t>
            </w:r>
          </w:p>
        </w:tc>
        <w:tc>
          <w:tcPr>
            <w:tcW w:w="2306"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10.89%</w:t>
            </w:r>
          </w:p>
        </w:tc>
      </w:tr>
      <w:tr w:rsidR="00964452" w:rsidRPr="004C4392" w:rsidTr="009C5F11">
        <w:tc>
          <w:tcPr>
            <w:tcW w:w="2453"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 xml:space="preserve">Ethiopia(excludes Eritrea)     </w:t>
            </w:r>
          </w:p>
        </w:tc>
        <w:tc>
          <w:tcPr>
            <w:tcW w:w="2191"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13.64%</w:t>
            </w:r>
          </w:p>
        </w:tc>
        <w:tc>
          <w:tcPr>
            <w:tcW w:w="2338"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Senegal</w:t>
            </w:r>
          </w:p>
        </w:tc>
        <w:tc>
          <w:tcPr>
            <w:tcW w:w="2306" w:type="dxa"/>
          </w:tcPr>
          <w:p w:rsidR="00964452" w:rsidRPr="004C4392" w:rsidRDefault="00964452" w:rsidP="009C5F11">
            <w:pPr>
              <w:autoSpaceDE w:val="0"/>
              <w:autoSpaceDN w:val="0"/>
              <w:adjustRightInd w:val="0"/>
              <w:spacing w:after="0" w:line="240" w:lineRule="auto"/>
              <w:rPr>
                <w:rFonts w:ascii="Arial" w:hAnsi="Arial" w:cs="Arial"/>
                <w:sz w:val="18"/>
                <w:szCs w:val="18"/>
                <w:lang w:eastAsia="nl-NL"/>
              </w:rPr>
            </w:pPr>
            <w:r w:rsidRPr="004C4392">
              <w:rPr>
                <w:rFonts w:ascii="Arial" w:hAnsi="Arial" w:cs="Arial"/>
                <w:sz w:val="18"/>
                <w:szCs w:val="18"/>
                <w:lang w:eastAsia="nl-NL"/>
              </w:rPr>
              <w:t>10.83%</w:t>
            </w:r>
          </w:p>
        </w:tc>
      </w:tr>
    </w:tbl>
    <w:p w:rsidR="00964452" w:rsidRPr="00642A49" w:rsidRDefault="00964452" w:rsidP="00642A49">
      <w:pPr>
        <w:pStyle w:val="NoSpacing"/>
        <w:rPr>
          <w:noProof/>
          <w:sz w:val="20"/>
          <w:szCs w:val="20"/>
          <w:lang w:eastAsia="nl-NL"/>
        </w:rPr>
      </w:pPr>
    </w:p>
    <w:p w:rsidR="00964452" w:rsidRDefault="00964452" w:rsidP="00D5650A">
      <w:pPr>
        <w:spacing w:line="360" w:lineRule="auto"/>
      </w:pPr>
      <w:r w:rsidRPr="000D589F">
        <w:t xml:space="preserve">It is not very extraordinary that there are many poor countries in the top </w:t>
      </w:r>
      <w:r>
        <w:t>5highest</w:t>
      </w:r>
      <w:r w:rsidRPr="000D589F">
        <w:t xml:space="preserve"> EXPY growth rates, since many of these countries have volatile export structures.Furthermore, most poor countries have relatively </w:t>
      </w:r>
      <w:r>
        <w:t>small</w:t>
      </w:r>
      <w:r w:rsidRPr="000D589F">
        <w:t xml:space="preserve"> total export volumes, </w:t>
      </w:r>
      <w:r w:rsidRPr="00BD0DDE">
        <w:t xml:space="preserve">implying that a </w:t>
      </w:r>
      <w:r w:rsidRPr="000D589F">
        <w:t xml:space="preserve">small export increase or decrease of certain products </w:t>
      </w:r>
      <w:r>
        <w:t xml:space="preserve">can </w:t>
      </w:r>
      <w:r w:rsidRPr="000D589F">
        <w:t xml:space="preserve">lead to large changes in EXPY. Madagascar, Trinidad and Tobago, The Gambia and Rwanda are in both the top </w:t>
      </w:r>
      <w:r>
        <w:t>5lowest</w:t>
      </w:r>
      <w:r w:rsidRPr="000D589F">
        <w:t xml:space="preserve"> as well as the top </w:t>
      </w:r>
      <w:r>
        <w:t>5highest</w:t>
      </w:r>
      <w:r w:rsidRPr="000D589F">
        <w:t xml:space="preserve"> EXPY growth rates. Nevertheless, Trinidad and Tobago’s EXPY doubled in </w:t>
      </w:r>
      <w:r>
        <w:t>16 years; from $8,1</w:t>
      </w:r>
      <w:r w:rsidRPr="000D589F">
        <w:t>00 in 199</w:t>
      </w:r>
      <w:r>
        <w:t>2</w:t>
      </w:r>
      <w:r w:rsidRPr="000D589F">
        <w:t>, to $17,900 in 2008.</w:t>
      </w:r>
      <w:r w:rsidRPr="00642A49">
        <w:rPr>
          <w:vertAlign w:val="superscript"/>
        </w:rPr>
        <w:footnoteReference w:id="13"/>
      </w:r>
    </w:p>
    <w:p w:rsidR="00964452" w:rsidRDefault="00964452" w:rsidP="00D5650A">
      <w:pPr>
        <w:spacing w:line="360" w:lineRule="auto"/>
      </w:pPr>
      <w:r w:rsidRPr="00F10C5A">
        <w:t xml:space="preserve">Ireland’s </w:t>
      </w:r>
      <w:r>
        <w:t>high</w:t>
      </w:r>
      <w:r w:rsidRPr="00F10C5A">
        <w:t xml:space="preserve"> EXPY growth of 1996 is </w:t>
      </w:r>
      <w:r>
        <w:t>affected by</w:t>
      </w:r>
      <w:r w:rsidRPr="00F10C5A">
        <w:t xml:space="preserve"> measurement error, </w:t>
      </w:r>
      <w:r>
        <w:t xml:space="preserve">becauseforthe year </w:t>
      </w:r>
      <w:r w:rsidRPr="00F10C5A">
        <w:t xml:space="preserve">1995 the products </w:t>
      </w:r>
      <w:r>
        <w:t xml:space="preserve">were </w:t>
      </w:r>
      <w:r w:rsidRPr="00F10C5A">
        <w:t xml:space="preserve">specified by the HS1992, whereas for 1996 and later years HS1996 was used. Nevertheless, an increase in Ireland’s EXPY is not implausible as </w:t>
      </w:r>
      <w:r>
        <w:t xml:space="preserve">agriculture was a large share of Irish exports in the 1960s, but had lost its importance in 1996. At the same time, the share of industrial exports increased </w:t>
      </w:r>
      <w:r w:rsidRPr="00FA3841">
        <w:t>drastically</w:t>
      </w:r>
      <w:r w:rsidRPr="00F10C5A">
        <w:t>(Ireland: a Trading Nation, 1998)</w:t>
      </w:r>
      <w:r>
        <w:t>, e.g.</w:t>
      </w:r>
      <w:r w:rsidRPr="00F4522D">
        <w:t xml:space="preserve"> 24</w:t>
      </w:r>
      <w:r>
        <w:t>%</w:t>
      </w:r>
      <w:r w:rsidRPr="00F4522D">
        <w:t xml:space="preserve"> of Irish exports</w:t>
      </w:r>
      <w:r>
        <w:t xml:space="preserve"> in 2008</w:t>
      </w:r>
      <w:r w:rsidRPr="00F4522D">
        <w:t xml:space="preserve"> consisted of heterocyclic compounds (organic chemicals) and medicaments.</w:t>
      </w:r>
    </w:p>
    <w:p w:rsidR="00964452" w:rsidRDefault="00964452" w:rsidP="00D5650A">
      <w:pPr>
        <w:spacing w:line="360" w:lineRule="auto"/>
      </w:pPr>
    </w:p>
    <w:p w:rsidR="00964452" w:rsidRDefault="00964452" w:rsidP="00D5650A">
      <w:pPr>
        <w:pStyle w:val="Heading1"/>
        <w:numPr>
          <w:ilvl w:val="0"/>
          <w:numId w:val="2"/>
        </w:numPr>
        <w:spacing w:line="360" w:lineRule="auto"/>
      </w:pPr>
      <w:bookmarkStart w:id="34" w:name="_Toc286688943"/>
      <w:bookmarkStart w:id="35" w:name="_Toc299481897"/>
      <w:r>
        <w:t xml:space="preserve">Sub-Saharan </w:t>
      </w:r>
      <w:r w:rsidRPr="004836A0">
        <w:t xml:space="preserve">African </w:t>
      </w:r>
      <w:r>
        <w:t xml:space="preserve">andSouth and East </w:t>
      </w:r>
      <w:r w:rsidRPr="004836A0">
        <w:t xml:space="preserve">Asian </w:t>
      </w:r>
      <w:r>
        <w:t>export productivity levels</w:t>
      </w:r>
      <w:bookmarkEnd w:id="34"/>
      <w:bookmarkEnd w:id="35"/>
    </w:p>
    <w:p w:rsidR="00964452" w:rsidRDefault="00964452" w:rsidP="00D5650A">
      <w:pPr>
        <w:spacing w:line="360" w:lineRule="auto"/>
      </w:pPr>
      <w:r>
        <w:t xml:space="preserve">This part focuses on the development of and differences between the export productivity of Sub-Saharan African and South and East Asian countries. Both regions consist of many developing countries. What are the differences in terms of EXPY when comparing both regions? </w:t>
      </w:r>
    </w:p>
    <w:p w:rsidR="00964452" w:rsidRDefault="00964452" w:rsidP="00D5650A">
      <w:pPr>
        <w:pStyle w:val="Heading2"/>
        <w:spacing w:line="360" w:lineRule="auto"/>
      </w:pPr>
      <w:bookmarkStart w:id="36" w:name="_Toc286688944"/>
      <w:bookmarkStart w:id="37" w:name="_Toc299481898"/>
      <w:r>
        <w:t>Method</w:t>
      </w:r>
      <w:bookmarkEnd w:id="36"/>
      <w:bookmarkEnd w:id="37"/>
    </w:p>
    <w:p w:rsidR="00964452" w:rsidRDefault="00964452" w:rsidP="00D5650A">
      <w:pPr>
        <w:spacing w:line="360" w:lineRule="auto"/>
      </w:pPr>
      <w:r>
        <w:t>Two</w:t>
      </w:r>
      <w:r w:rsidRPr="004836A0">
        <w:t xml:space="preserve"> country groups</w:t>
      </w:r>
      <w:r>
        <w:t xml:space="preserve"> were created</w:t>
      </w:r>
      <w:r w:rsidRPr="004836A0">
        <w:t>; one group of 27 developing countries of Sub-Saharan Africa</w:t>
      </w:r>
      <w:r>
        <w:t xml:space="preserve"> and</w:t>
      </w:r>
      <w:r w:rsidRPr="004836A0">
        <w:t xml:space="preserve"> one group of</w:t>
      </w:r>
      <w:r>
        <w:t xml:space="preserve"> 13 </w:t>
      </w:r>
      <w:r w:rsidRPr="004836A0">
        <w:t xml:space="preserve">developing countries in </w:t>
      </w:r>
      <w:r>
        <w:t>South and East Asia.</w:t>
      </w:r>
      <w:r w:rsidRPr="004836A0">
        <w:t xml:space="preserve"> The </w:t>
      </w:r>
      <w:r>
        <w:t>construction</w:t>
      </w:r>
      <w:r w:rsidRPr="004836A0">
        <w:t xml:space="preserve"> of the groups was done according to the country group classification of the World Bank of </w:t>
      </w:r>
      <w:r>
        <w:t>September 2010, and subject to data availability</w:t>
      </w:r>
      <w:r w:rsidRPr="004836A0">
        <w:t xml:space="preserve">. East Asian </w:t>
      </w:r>
      <w:r w:rsidRPr="009515DB">
        <w:rPr>
          <w:i/>
        </w:rPr>
        <w:t>developed</w:t>
      </w:r>
      <w:r w:rsidRPr="004836A0">
        <w:t xml:space="preserve"> countries are not included, since </w:t>
      </w:r>
      <w:r>
        <w:t xml:space="preserve">developing countries across the regions are being compared. </w:t>
      </w:r>
      <w:r w:rsidRPr="004836A0">
        <w:t xml:space="preserve">These are also not included in the World Bank country group classification. </w:t>
      </w:r>
      <w:r>
        <w:t>Table 7 shows the mean of EXPY and the average EXPY growth for both groups for 4 years, as well as the smallest and largest values within each group with the corresponding country names.</w:t>
      </w:r>
      <w:r>
        <w:rPr>
          <w:rStyle w:val="FootnoteReference"/>
        </w:rPr>
        <w:footnoteReference w:id="14"/>
      </w:r>
      <w:r>
        <w:t xml:space="preserve"> The table also shows the number of countries per country group; these vary over the years. </w:t>
      </w:r>
    </w:p>
    <w:p w:rsidR="00964452" w:rsidRPr="00AC317F" w:rsidRDefault="00964452" w:rsidP="00AC317F">
      <w:pPr>
        <w:pStyle w:val="NoSpacing"/>
        <w:spacing w:line="360" w:lineRule="auto"/>
        <w:rPr>
          <w:sz w:val="18"/>
          <w:szCs w:val="18"/>
          <w:lang w:eastAsia="nl-NL"/>
        </w:rPr>
      </w:pPr>
      <w:r w:rsidRPr="00AC317F">
        <w:rPr>
          <w:sz w:val="18"/>
          <w:szCs w:val="18"/>
          <w:lang w:eastAsia="nl-NL"/>
        </w:rPr>
        <w:t>Table 7: Sub-Saharan African and South</w:t>
      </w:r>
      <w:r>
        <w:rPr>
          <w:sz w:val="18"/>
          <w:szCs w:val="18"/>
          <w:lang w:eastAsia="nl-NL"/>
        </w:rPr>
        <w:t xml:space="preserve"> and</w:t>
      </w:r>
      <w:r w:rsidRPr="00AC317F">
        <w:rPr>
          <w:sz w:val="18"/>
          <w:szCs w:val="18"/>
          <w:lang w:eastAsia="nl-NL"/>
        </w:rPr>
        <w:t xml:space="preserve"> East Asian EXPY values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53"/>
        <w:gridCol w:w="2191"/>
        <w:gridCol w:w="2338"/>
        <w:gridCol w:w="2306"/>
      </w:tblGrid>
      <w:tr w:rsidR="00964452" w:rsidRPr="00D61272" w:rsidTr="009C5F11">
        <w:tc>
          <w:tcPr>
            <w:tcW w:w="9288" w:type="dxa"/>
            <w:gridSpan w:val="4"/>
            <w:tcBorders>
              <w:bottom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b/>
                <w:sz w:val="18"/>
                <w:szCs w:val="18"/>
                <w:lang w:eastAsia="nl-NL"/>
              </w:rPr>
            </w:pPr>
            <w:r w:rsidRPr="00D61272">
              <w:rPr>
                <w:rFonts w:ascii="Arial" w:hAnsi="Arial" w:cs="Arial"/>
                <w:b/>
                <w:sz w:val="18"/>
                <w:szCs w:val="18"/>
                <w:lang w:eastAsia="nl-NL"/>
              </w:rPr>
              <w:t>Year 1995</w:t>
            </w:r>
          </w:p>
        </w:tc>
      </w:tr>
      <w:tr w:rsidR="00964452" w:rsidRPr="00D61272" w:rsidTr="009C5F11">
        <w:tc>
          <w:tcPr>
            <w:tcW w:w="4644" w:type="dxa"/>
            <w:gridSpan w:val="2"/>
            <w:tcBorders>
              <w:bottom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b/>
                <w:sz w:val="18"/>
                <w:szCs w:val="18"/>
                <w:lang w:eastAsia="nl-NL"/>
              </w:rPr>
              <w:t>Sub-Saharan Africa</w:t>
            </w:r>
          </w:p>
        </w:tc>
        <w:tc>
          <w:tcPr>
            <w:tcW w:w="4644" w:type="dxa"/>
            <w:gridSpan w:val="2"/>
            <w:tcBorders>
              <w:left w:val="single" w:sz="6" w:space="0" w:color="000000"/>
              <w:bottom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b/>
                <w:sz w:val="18"/>
                <w:szCs w:val="18"/>
                <w:lang w:eastAsia="nl-NL"/>
              </w:rPr>
              <w:t>South</w:t>
            </w:r>
            <w:r>
              <w:rPr>
                <w:rFonts w:ascii="Arial" w:hAnsi="Arial" w:cs="Arial"/>
                <w:b/>
                <w:sz w:val="18"/>
                <w:szCs w:val="18"/>
                <w:lang w:eastAsia="nl-NL"/>
              </w:rPr>
              <w:t xml:space="preserve"> and</w:t>
            </w:r>
            <w:r w:rsidRPr="00D61272">
              <w:rPr>
                <w:rFonts w:ascii="Arial" w:hAnsi="Arial" w:cs="Arial"/>
                <w:b/>
                <w:sz w:val="18"/>
                <w:szCs w:val="18"/>
                <w:lang w:eastAsia="nl-NL"/>
              </w:rPr>
              <w:t xml:space="preserve"> East Asia</w:t>
            </w:r>
          </w:p>
        </w:tc>
      </w:tr>
      <w:tr w:rsidR="00964452" w:rsidRPr="00D61272" w:rsidTr="009C5F11">
        <w:tc>
          <w:tcPr>
            <w:tcW w:w="2453" w:type="dxa"/>
            <w:tcBorders>
              <w:top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Number of countries</w:t>
            </w:r>
          </w:p>
        </w:tc>
        <w:tc>
          <w:tcPr>
            <w:tcW w:w="2191" w:type="dxa"/>
            <w:tcBorders>
              <w:top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13</w:t>
            </w:r>
          </w:p>
        </w:tc>
        <w:tc>
          <w:tcPr>
            <w:tcW w:w="2338" w:type="dxa"/>
            <w:tcBorders>
              <w:top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Number of countries</w:t>
            </w:r>
          </w:p>
        </w:tc>
        <w:tc>
          <w:tcPr>
            <w:tcW w:w="2306" w:type="dxa"/>
            <w:tcBorders>
              <w:top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7</w:t>
            </w:r>
          </w:p>
        </w:tc>
      </w:tr>
      <w:tr w:rsidR="00964452" w:rsidRPr="00D61272" w:rsidTr="009C5F11">
        <w:tc>
          <w:tcPr>
            <w:tcW w:w="2453"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Mean EXPY</w:t>
            </w:r>
          </w:p>
        </w:tc>
        <w:tc>
          <w:tcPr>
            <w:tcW w:w="2191"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$4,727</w:t>
            </w:r>
          </w:p>
        </w:tc>
        <w:tc>
          <w:tcPr>
            <w:tcW w:w="2338"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Mean EXPY</w:t>
            </w:r>
          </w:p>
        </w:tc>
        <w:tc>
          <w:tcPr>
            <w:tcW w:w="2306"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$9,675</w:t>
            </w:r>
          </w:p>
        </w:tc>
      </w:tr>
      <w:tr w:rsidR="00964452" w:rsidRPr="00D61272" w:rsidTr="009C5F11">
        <w:tc>
          <w:tcPr>
            <w:tcW w:w="2453" w:type="dxa"/>
            <w:tcBorders>
              <w:bottom w:val="nil"/>
              <w:righ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Smallest EXPY                   </w:t>
            </w:r>
          </w:p>
        </w:tc>
        <w:tc>
          <w:tcPr>
            <w:tcW w:w="2191" w:type="dxa"/>
            <w:tcBorders>
              <w:left w:val="single" w:sz="4" w:space="0" w:color="auto"/>
              <w:bottom w:val="nil"/>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$1,613</w:t>
            </w:r>
          </w:p>
        </w:tc>
        <w:tc>
          <w:tcPr>
            <w:tcW w:w="2338" w:type="dxa"/>
            <w:tcBorders>
              <w:bottom w:val="nil"/>
              <w:righ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Smallest EXPY                   </w:t>
            </w:r>
          </w:p>
        </w:tc>
        <w:tc>
          <w:tcPr>
            <w:tcW w:w="2306" w:type="dxa"/>
            <w:tcBorders>
              <w:left w:val="single" w:sz="4" w:space="0" w:color="auto"/>
              <w:bottom w:val="nil"/>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$6,617</w:t>
            </w:r>
          </w:p>
        </w:tc>
      </w:tr>
      <w:tr w:rsidR="00964452" w:rsidRPr="00D61272" w:rsidTr="009C5F11">
        <w:tc>
          <w:tcPr>
            <w:tcW w:w="2453" w:type="dxa"/>
            <w:tcBorders>
              <w:top w:val="nil"/>
              <w:righ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Country</w:t>
            </w:r>
          </w:p>
        </w:tc>
        <w:tc>
          <w:tcPr>
            <w:tcW w:w="2191" w:type="dxa"/>
            <w:tcBorders>
              <w:top w:val="nil"/>
              <w:lef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Niger                         </w:t>
            </w:r>
          </w:p>
        </w:tc>
        <w:tc>
          <w:tcPr>
            <w:tcW w:w="2338" w:type="dxa"/>
            <w:tcBorders>
              <w:top w:val="nil"/>
              <w:righ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Country</w:t>
            </w:r>
          </w:p>
        </w:tc>
        <w:tc>
          <w:tcPr>
            <w:tcW w:w="2306" w:type="dxa"/>
            <w:tcBorders>
              <w:top w:val="nil"/>
              <w:lef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Bangladesh                    </w:t>
            </w:r>
          </w:p>
        </w:tc>
      </w:tr>
      <w:tr w:rsidR="00964452" w:rsidRPr="00D61272" w:rsidTr="009C5F11">
        <w:tc>
          <w:tcPr>
            <w:tcW w:w="2453" w:type="dxa"/>
            <w:tcBorders>
              <w:bottom w:val="nil"/>
              <w:righ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Largest EXPY                      </w:t>
            </w:r>
          </w:p>
        </w:tc>
        <w:tc>
          <w:tcPr>
            <w:tcW w:w="2191" w:type="dxa"/>
            <w:tcBorders>
              <w:left w:val="single" w:sz="4" w:space="0" w:color="auto"/>
              <w:bottom w:val="nil"/>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$8,604</w:t>
            </w:r>
          </w:p>
        </w:tc>
        <w:tc>
          <w:tcPr>
            <w:tcW w:w="2338" w:type="dxa"/>
            <w:tcBorders>
              <w:bottom w:val="nil"/>
              <w:righ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Largest EXPY                      </w:t>
            </w:r>
          </w:p>
        </w:tc>
        <w:tc>
          <w:tcPr>
            <w:tcW w:w="2306" w:type="dxa"/>
            <w:tcBorders>
              <w:left w:val="single" w:sz="4" w:space="0" w:color="auto"/>
              <w:bottom w:val="nil"/>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$12,036</w:t>
            </w:r>
          </w:p>
        </w:tc>
      </w:tr>
      <w:tr w:rsidR="00964452" w:rsidRPr="00D61272" w:rsidTr="009C5F11">
        <w:tc>
          <w:tcPr>
            <w:tcW w:w="2453" w:type="dxa"/>
            <w:tcBorders>
              <w:top w:val="nil"/>
              <w:righ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Country</w:t>
            </w:r>
          </w:p>
        </w:tc>
        <w:tc>
          <w:tcPr>
            <w:tcW w:w="2191" w:type="dxa"/>
            <w:tcBorders>
              <w:top w:val="nil"/>
              <w:lef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South Africa                  </w:t>
            </w:r>
          </w:p>
        </w:tc>
        <w:tc>
          <w:tcPr>
            <w:tcW w:w="2338" w:type="dxa"/>
            <w:tcBorders>
              <w:top w:val="nil"/>
              <w:righ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Country</w:t>
            </w:r>
          </w:p>
        </w:tc>
        <w:tc>
          <w:tcPr>
            <w:tcW w:w="2306" w:type="dxa"/>
            <w:tcBorders>
              <w:top w:val="nil"/>
              <w:lef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China                         </w:t>
            </w:r>
          </w:p>
        </w:tc>
      </w:tr>
      <w:tr w:rsidR="00964452" w:rsidRPr="00D61272" w:rsidTr="009C5F11">
        <w:tc>
          <w:tcPr>
            <w:tcW w:w="2453" w:type="dxa"/>
            <w:tcBorders>
              <w:top w:val="nil"/>
              <w:righ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Mean EXPY growth</w:t>
            </w:r>
          </w:p>
        </w:tc>
        <w:tc>
          <w:tcPr>
            <w:tcW w:w="2191" w:type="dxa"/>
            <w:tcBorders>
              <w:top w:val="nil"/>
              <w:lef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5.71%</w:t>
            </w:r>
          </w:p>
        </w:tc>
        <w:tc>
          <w:tcPr>
            <w:tcW w:w="2338" w:type="dxa"/>
            <w:tcBorders>
              <w:top w:val="nil"/>
              <w:righ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Mean EXPY growth</w:t>
            </w:r>
          </w:p>
        </w:tc>
        <w:tc>
          <w:tcPr>
            <w:tcW w:w="2306" w:type="dxa"/>
            <w:tcBorders>
              <w:top w:val="nil"/>
              <w:lef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2.22%</w:t>
            </w:r>
          </w:p>
        </w:tc>
      </w:tr>
      <w:tr w:rsidR="00964452" w:rsidRPr="00D61272" w:rsidTr="009C5F11">
        <w:tc>
          <w:tcPr>
            <w:tcW w:w="2453" w:type="dxa"/>
          </w:tcPr>
          <w:p w:rsidR="00964452" w:rsidRPr="00801F75" w:rsidRDefault="00964452" w:rsidP="009C5F11">
            <w:pPr>
              <w:autoSpaceDE w:val="0"/>
              <w:autoSpaceDN w:val="0"/>
              <w:adjustRightInd w:val="0"/>
              <w:spacing w:after="0" w:line="240" w:lineRule="auto"/>
              <w:rPr>
                <w:rFonts w:ascii="Arial" w:hAnsi="Arial" w:cs="Arial"/>
                <w:b/>
                <w:sz w:val="18"/>
                <w:szCs w:val="18"/>
                <w:lang w:eastAsia="nl-NL"/>
              </w:rPr>
            </w:pPr>
          </w:p>
        </w:tc>
        <w:tc>
          <w:tcPr>
            <w:tcW w:w="2191"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p>
        </w:tc>
        <w:tc>
          <w:tcPr>
            <w:tcW w:w="2338"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p>
        </w:tc>
        <w:tc>
          <w:tcPr>
            <w:tcW w:w="2306"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p>
        </w:tc>
      </w:tr>
      <w:tr w:rsidR="00964452" w:rsidRPr="00D61272" w:rsidTr="009C5F11">
        <w:tc>
          <w:tcPr>
            <w:tcW w:w="9288" w:type="dxa"/>
            <w:gridSpan w:val="4"/>
            <w:tcBorders>
              <w:bottom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b/>
                <w:sz w:val="18"/>
                <w:szCs w:val="18"/>
                <w:lang w:eastAsia="nl-NL"/>
              </w:rPr>
            </w:pPr>
            <w:r w:rsidRPr="00D61272">
              <w:rPr>
                <w:rFonts w:ascii="Arial" w:hAnsi="Arial" w:cs="Arial"/>
                <w:b/>
                <w:sz w:val="18"/>
                <w:szCs w:val="18"/>
                <w:lang w:eastAsia="nl-NL"/>
              </w:rPr>
              <w:t>Year 1999</w:t>
            </w:r>
          </w:p>
        </w:tc>
      </w:tr>
      <w:tr w:rsidR="00964452" w:rsidRPr="00D61272" w:rsidTr="009C5F11">
        <w:tc>
          <w:tcPr>
            <w:tcW w:w="4644" w:type="dxa"/>
            <w:gridSpan w:val="2"/>
            <w:tcBorders>
              <w:bottom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b/>
                <w:sz w:val="18"/>
                <w:szCs w:val="18"/>
                <w:lang w:eastAsia="nl-NL"/>
              </w:rPr>
              <w:t>Sub-Saharan Africa</w:t>
            </w:r>
          </w:p>
        </w:tc>
        <w:tc>
          <w:tcPr>
            <w:tcW w:w="4644" w:type="dxa"/>
            <w:gridSpan w:val="2"/>
            <w:tcBorders>
              <w:left w:val="single" w:sz="6" w:space="0" w:color="000000"/>
              <w:bottom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b/>
                <w:sz w:val="18"/>
                <w:szCs w:val="18"/>
                <w:lang w:eastAsia="nl-NL"/>
              </w:rPr>
              <w:t xml:space="preserve">South </w:t>
            </w:r>
            <w:r>
              <w:rPr>
                <w:rFonts w:ascii="Arial" w:hAnsi="Arial" w:cs="Arial"/>
                <w:b/>
                <w:sz w:val="18"/>
                <w:szCs w:val="18"/>
                <w:lang w:eastAsia="nl-NL"/>
              </w:rPr>
              <w:t xml:space="preserve">and </w:t>
            </w:r>
            <w:r w:rsidRPr="00D61272">
              <w:rPr>
                <w:rFonts w:ascii="Arial" w:hAnsi="Arial" w:cs="Arial"/>
                <w:b/>
                <w:sz w:val="18"/>
                <w:szCs w:val="18"/>
                <w:lang w:eastAsia="nl-NL"/>
              </w:rPr>
              <w:t>East Asia</w:t>
            </w:r>
          </w:p>
        </w:tc>
      </w:tr>
      <w:tr w:rsidR="00964452" w:rsidRPr="00D61272" w:rsidTr="009C5F11">
        <w:tc>
          <w:tcPr>
            <w:tcW w:w="2453" w:type="dxa"/>
            <w:tcBorders>
              <w:top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Number of countries</w:t>
            </w:r>
          </w:p>
        </w:tc>
        <w:tc>
          <w:tcPr>
            <w:tcW w:w="2191" w:type="dxa"/>
            <w:tcBorders>
              <w:top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17</w:t>
            </w:r>
          </w:p>
        </w:tc>
        <w:tc>
          <w:tcPr>
            <w:tcW w:w="2338" w:type="dxa"/>
            <w:tcBorders>
              <w:top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Number of countries</w:t>
            </w:r>
          </w:p>
        </w:tc>
        <w:tc>
          <w:tcPr>
            <w:tcW w:w="2306" w:type="dxa"/>
            <w:tcBorders>
              <w:top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8</w:t>
            </w:r>
          </w:p>
        </w:tc>
      </w:tr>
      <w:tr w:rsidR="00964452" w:rsidRPr="00D61272" w:rsidTr="009C5F11">
        <w:tc>
          <w:tcPr>
            <w:tcW w:w="2453"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Mean EXPY</w:t>
            </w:r>
          </w:p>
        </w:tc>
        <w:tc>
          <w:tcPr>
            <w:tcW w:w="2191"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$6,023</w:t>
            </w:r>
          </w:p>
        </w:tc>
        <w:tc>
          <w:tcPr>
            <w:tcW w:w="2338"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Mean EXPY</w:t>
            </w:r>
          </w:p>
        </w:tc>
        <w:tc>
          <w:tcPr>
            <w:tcW w:w="2306"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$10,667</w:t>
            </w:r>
          </w:p>
        </w:tc>
      </w:tr>
      <w:tr w:rsidR="00964452" w:rsidRPr="00D61272" w:rsidTr="009C5F11">
        <w:tc>
          <w:tcPr>
            <w:tcW w:w="2453" w:type="dxa"/>
            <w:tcBorders>
              <w:bottom w:val="nil"/>
              <w:righ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Smallest EXPY                   </w:t>
            </w:r>
          </w:p>
        </w:tc>
        <w:tc>
          <w:tcPr>
            <w:tcW w:w="2191" w:type="dxa"/>
            <w:tcBorders>
              <w:left w:val="single" w:sz="4" w:space="0" w:color="auto"/>
              <w:bottom w:val="nil"/>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$2,074</w:t>
            </w:r>
          </w:p>
        </w:tc>
        <w:tc>
          <w:tcPr>
            <w:tcW w:w="2338" w:type="dxa"/>
            <w:tcBorders>
              <w:bottom w:val="nil"/>
              <w:righ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Smallest EXPY                   </w:t>
            </w:r>
          </w:p>
        </w:tc>
        <w:tc>
          <w:tcPr>
            <w:tcW w:w="2306" w:type="dxa"/>
            <w:tcBorders>
              <w:left w:val="single" w:sz="4" w:space="0" w:color="auto"/>
              <w:bottom w:val="nil"/>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$6,703</w:t>
            </w:r>
          </w:p>
        </w:tc>
      </w:tr>
      <w:tr w:rsidR="00964452" w:rsidRPr="00D61272" w:rsidTr="009C5F11">
        <w:tc>
          <w:tcPr>
            <w:tcW w:w="2453" w:type="dxa"/>
            <w:tcBorders>
              <w:top w:val="nil"/>
              <w:righ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Country</w:t>
            </w:r>
          </w:p>
        </w:tc>
        <w:tc>
          <w:tcPr>
            <w:tcW w:w="2191" w:type="dxa"/>
            <w:tcBorders>
              <w:top w:val="nil"/>
              <w:lef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Niger                         </w:t>
            </w:r>
          </w:p>
        </w:tc>
        <w:tc>
          <w:tcPr>
            <w:tcW w:w="2338" w:type="dxa"/>
            <w:tcBorders>
              <w:top w:val="nil"/>
              <w:righ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Country</w:t>
            </w:r>
          </w:p>
        </w:tc>
        <w:tc>
          <w:tcPr>
            <w:tcW w:w="2306" w:type="dxa"/>
            <w:tcBorders>
              <w:top w:val="nil"/>
              <w:lef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Mongolia                      </w:t>
            </w:r>
          </w:p>
        </w:tc>
      </w:tr>
      <w:tr w:rsidR="00964452" w:rsidRPr="00D61272" w:rsidTr="009C5F11">
        <w:tc>
          <w:tcPr>
            <w:tcW w:w="2453" w:type="dxa"/>
            <w:tcBorders>
              <w:bottom w:val="nil"/>
              <w:righ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Largest EXPY                      </w:t>
            </w:r>
          </w:p>
        </w:tc>
        <w:tc>
          <w:tcPr>
            <w:tcW w:w="2191" w:type="dxa"/>
            <w:tcBorders>
              <w:left w:val="single" w:sz="4" w:space="0" w:color="auto"/>
              <w:bottom w:val="nil"/>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$13,684</w:t>
            </w:r>
          </w:p>
        </w:tc>
        <w:tc>
          <w:tcPr>
            <w:tcW w:w="2338" w:type="dxa"/>
            <w:tcBorders>
              <w:bottom w:val="nil"/>
              <w:righ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Largest EXPY                      </w:t>
            </w:r>
          </w:p>
        </w:tc>
        <w:tc>
          <w:tcPr>
            <w:tcW w:w="2306" w:type="dxa"/>
            <w:tcBorders>
              <w:left w:val="single" w:sz="4" w:space="0" w:color="auto"/>
              <w:bottom w:val="nil"/>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$15,068</w:t>
            </w:r>
          </w:p>
        </w:tc>
      </w:tr>
      <w:tr w:rsidR="00964452" w:rsidRPr="00D61272" w:rsidTr="009C5F11">
        <w:tc>
          <w:tcPr>
            <w:tcW w:w="2453" w:type="dxa"/>
            <w:tcBorders>
              <w:top w:val="nil"/>
              <w:righ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Country</w:t>
            </w:r>
          </w:p>
        </w:tc>
        <w:tc>
          <w:tcPr>
            <w:tcW w:w="2191" w:type="dxa"/>
            <w:tcBorders>
              <w:top w:val="nil"/>
              <w:lef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South Africa                  </w:t>
            </w:r>
          </w:p>
        </w:tc>
        <w:tc>
          <w:tcPr>
            <w:tcW w:w="2338" w:type="dxa"/>
            <w:tcBorders>
              <w:top w:val="nil"/>
              <w:righ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Country</w:t>
            </w:r>
          </w:p>
        </w:tc>
        <w:tc>
          <w:tcPr>
            <w:tcW w:w="2306" w:type="dxa"/>
            <w:tcBorders>
              <w:top w:val="nil"/>
              <w:lef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Malaysia                      </w:t>
            </w:r>
          </w:p>
        </w:tc>
      </w:tr>
      <w:tr w:rsidR="00964452" w:rsidRPr="00D61272" w:rsidTr="009C5F11">
        <w:tc>
          <w:tcPr>
            <w:tcW w:w="2453" w:type="dxa"/>
            <w:tcBorders>
              <w:top w:val="nil"/>
              <w:righ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Mean EXPY growth</w:t>
            </w:r>
          </w:p>
        </w:tc>
        <w:tc>
          <w:tcPr>
            <w:tcW w:w="2191" w:type="dxa"/>
            <w:tcBorders>
              <w:top w:val="nil"/>
              <w:lef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4.37%</w:t>
            </w:r>
          </w:p>
        </w:tc>
        <w:tc>
          <w:tcPr>
            <w:tcW w:w="2338" w:type="dxa"/>
            <w:tcBorders>
              <w:top w:val="nil"/>
              <w:righ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Mean EXPY growth</w:t>
            </w:r>
          </w:p>
        </w:tc>
        <w:tc>
          <w:tcPr>
            <w:tcW w:w="2306" w:type="dxa"/>
            <w:tcBorders>
              <w:top w:val="nil"/>
              <w:lef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7.12%</w:t>
            </w:r>
          </w:p>
        </w:tc>
      </w:tr>
      <w:tr w:rsidR="00964452" w:rsidRPr="00D61272" w:rsidTr="009C5F11">
        <w:tc>
          <w:tcPr>
            <w:tcW w:w="2453"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p>
        </w:tc>
        <w:tc>
          <w:tcPr>
            <w:tcW w:w="2191"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p>
        </w:tc>
        <w:tc>
          <w:tcPr>
            <w:tcW w:w="2338"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p>
        </w:tc>
        <w:tc>
          <w:tcPr>
            <w:tcW w:w="2306"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p>
        </w:tc>
      </w:tr>
      <w:tr w:rsidR="00964452" w:rsidRPr="00D61272" w:rsidTr="009C5F11">
        <w:tc>
          <w:tcPr>
            <w:tcW w:w="9288" w:type="dxa"/>
            <w:gridSpan w:val="4"/>
            <w:tcBorders>
              <w:bottom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b/>
                <w:sz w:val="18"/>
                <w:szCs w:val="18"/>
                <w:lang w:eastAsia="nl-NL"/>
              </w:rPr>
            </w:pPr>
            <w:r w:rsidRPr="00D61272">
              <w:rPr>
                <w:rFonts w:ascii="Arial" w:hAnsi="Arial" w:cs="Arial"/>
                <w:b/>
                <w:sz w:val="18"/>
                <w:szCs w:val="18"/>
                <w:lang w:eastAsia="nl-NL"/>
              </w:rPr>
              <w:t>Year 2004</w:t>
            </w:r>
          </w:p>
        </w:tc>
      </w:tr>
      <w:tr w:rsidR="00964452" w:rsidRPr="00D61272" w:rsidTr="009C5F11">
        <w:tc>
          <w:tcPr>
            <w:tcW w:w="4644" w:type="dxa"/>
            <w:gridSpan w:val="2"/>
            <w:tcBorders>
              <w:bottom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b/>
                <w:sz w:val="18"/>
                <w:szCs w:val="18"/>
                <w:lang w:eastAsia="nl-NL"/>
              </w:rPr>
              <w:t>Sub-Saharan Africa</w:t>
            </w:r>
          </w:p>
        </w:tc>
        <w:tc>
          <w:tcPr>
            <w:tcW w:w="4644" w:type="dxa"/>
            <w:gridSpan w:val="2"/>
            <w:tcBorders>
              <w:left w:val="single" w:sz="6" w:space="0" w:color="000000"/>
              <w:bottom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b/>
                <w:sz w:val="18"/>
                <w:szCs w:val="18"/>
                <w:lang w:eastAsia="nl-NL"/>
              </w:rPr>
              <w:t>South</w:t>
            </w:r>
            <w:r>
              <w:rPr>
                <w:rFonts w:ascii="Arial" w:hAnsi="Arial" w:cs="Arial"/>
                <w:b/>
                <w:sz w:val="18"/>
                <w:szCs w:val="18"/>
                <w:lang w:eastAsia="nl-NL"/>
              </w:rPr>
              <w:t xml:space="preserve"> and</w:t>
            </w:r>
            <w:r w:rsidRPr="00D61272">
              <w:rPr>
                <w:rFonts w:ascii="Arial" w:hAnsi="Arial" w:cs="Arial"/>
                <w:b/>
                <w:sz w:val="18"/>
                <w:szCs w:val="18"/>
                <w:lang w:eastAsia="nl-NL"/>
              </w:rPr>
              <w:t xml:space="preserve"> East Asia</w:t>
            </w:r>
          </w:p>
        </w:tc>
      </w:tr>
      <w:tr w:rsidR="00964452" w:rsidRPr="00D61272" w:rsidTr="009C5F11">
        <w:tc>
          <w:tcPr>
            <w:tcW w:w="2453" w:type="dxa"/>
            <w:tcBorders>
              <w:top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Number of countries</w:t>
            </w:r>
          </w:p>
        </w:tc>
        <w:tc>
          <w:tcPr>
            <w:tcW w:w="2191" w:type="dxa"/>
            <w:tcBorders>
              <w:top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27</w:t>
            </w:r>
          </w:p>
        </w:tc>
        <w:tc>
          <w:tcPr>
            <w:tcW w:w="2338" w:type="dxa"/>
            <w:tcBorders>
              <w:top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Number of countries</w:t>
            </w:r>
          </w:p>
        </w:tc>
        <w:tc>
          <w:tcPr>
            <w:tcW w:w="2306" w:type="dxa"/>
            <w:tcBorders>
              <w:top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13</w:t>
            </w:r>
          </w:p>
        </w:tc>
      </w:tr>
      <w:tr w:rsidR="00964452" w:rsidRPr="00D61272" w:rsidTr="009C5F11">
        <w:tc>
          <w:tcPr>
            <w:tcW w:w="2453"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Mean EXPY</w:t>
            </w:r>
          </w:p>
        </w:tc>
        <w:tc>
          <w:tcPr>
            <w:tcW w:w="2191"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$6,467</w:t>
            </w:r>
          </w:p>
        </w:tc>
        <w:tc>
          <w:tcPr>
            <w:tcW w:w="2338"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Mean EXPY</w:t>
            </w:r>
          </w:p>
        </w:tc>
        <w:tc>
          <w:tcPr>
            <w:tcW w:w="2306"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$10,007</w:t>
            </w:r>
          </w:p>
        </w:tc>
      </w:tr>
      <w:tr w:rsidR="00964452" w:rsidRPr="00D61272" w:rsidTr="009C5F11">
        <w:tc>
          <w:tcPr>
            <w:tcW w:w="2453" w:type="dxa"/>
            <w:tcBorders>
              <w:bottom w:val="nil"/>
              <w:righ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Smallest EXPY                   </w:t>
            </w:r>
          </w:p>
        </w:tc>
        <w:tc>
          <w:tcPr>
            <w:tcW w:w="2191" w:type="dxa"/>
            <w:tcBorders>
              <w:left w:val="single" w:sz="4" w:space="0" w:color="auto"/>
              <w:bottom w:val="nil"/>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$1,</w:t>
            </w:r>
            <w:r>
              <w:rPr>
                <w:rFonts w:ascii="Arial" w:hAnsi="Arial" w:cs="Arial"/>
                <w:sz w:val="18"/>
                <w:szCs w:val="18"/>
                <w:lang w:eastAsia="nl-NL"/>
              </w:rPr>
              <w:t>849</w:t>
            </w:r>
          </w:p>
        </w:tc>
        <w:tc>
          <w:tcPr>
            <w:tcW w:w="2338" w:type="dxa"/>
            <w:tcBorders>
              <w:bottom w:val="nil"/>
              <w:righ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Smallest EXPY                   </w:t>
            </w:r>
          </w:p>
        </w:tc>
        <w:tc>
          <w:tcPr>
            <w:tcW w:w="2306" w:type="dxa"/>
            <w:tcBorders>
              <w:left w:val="single" w:sz="4" w:space="0" w:color="auto"/>
              <w:bottom w:val="nil"/>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$4,361</w:t>
            </w:r>
          </w:p>
        </w:tc>
      </w:tr>
      <w:tr w:rsidR="00964452" w:rsidRPr="00D61272" w:rsidTr="009C5F11">
        <w:tc>
          <w:tcPr>
            <w:tcW w:w="2453" w:type="dxa"/>
            <w:tcBorders>
              <w:top w:val="nil"/>
              <w:righ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Country</w:t>
            </w:r>
          </w:p>
        </w:tc>
        <w:tc>
          <w:tcPr>
            <w:tcW w:w="2191" w:type="dxa"/>
            <w:tcBorders>
              <w:top w:val="nil"/>
              <w:lef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Rwanda                        </w:t>
            </w:r>
          </w:p>
        </w:tc>
        <w:tc>
          <w:tcPr>
            <w:tcW w:w="2338" w:type="dxa"/>
            <w:tcBorders>
              <w:top w:val="nil"/>
              <w:righ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Country</w:t>
            </w:r>
          </w:p>
        </w:tc>
        <w:tc>
          <w:tcPr>
            <w:tcW w:w="2306" w:type="dxa"/>
            <w:tcBorders>
              <w:top w:val="nil"/>
              <w:lef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Cambodia                      </w:t>
            </w:r>
          </w:p>
        </w:tc>
      </w:tr>
      <w:tr w:rsidR="00964452" w:rsidRPr="00D61272" w:rsidTr="009C5F11">
        <w:tc>
          <w:tcPr>
            <w:tcW w:w="2453" w:type="dxa"/>
            <w:tcBorders>
              <w:bottom w:val="nil"/>
              <w:righ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Largest EXPY                      </w:t>
            </w:r>
          </w:p>
        </w:tc>
        <w:tc>
          <w:tcPr>
            <w:tcW w:w="2191" w:type="dxa"/>
            <w:tcBorders>
              <w:left w:val="single" w:sz="4" w:space="0" w:color="auto"/>
              <w:bottom w:val="nil"/>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$14,238</w:t>
            </w:r>
          </w:p>
        </w:tc>
        <w:tc>
          <w:tcPr>
            <w:tcW w:w="2338" w:type="dxa"/>
            <w:tcBorders>
              <w:bottom w:val="nil"/>
              <w:righ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Largest EXPY                      </w:t>
            </w:r>
          </w:p>
        </w:tc>
        <w:tc>
          <w:tcPr>
            <w:tcW w:w="2306" w:type="dxa"/>
            <w:tcBorders>
              <w:left w:val="single" w:sz="4" w:space="0" w:color="auto"/>
              <w:bottom w:val="nil"/>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$16,602</w:t>
            </w:r>
          </w:p>
        </w:tc>
      </w:tr>
      <w:tr w:rsidR="00964452" w:rsidRPr="00D61272" w:rsidTr="009C5F11">
        <w:tc>
          <w:tcPr>
            <w:tcW w:w="2453" w:type="dxa"/>
            <w:tcBorders>
              <w:top w:val="nil"/>
              <w:righ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Country</w:t>
            </w:r>
          </w:p>
        </w:tc>
        <w:tc>
          <w:tcPr>
            <w:tcW w:w="2191" w:type="dxa"/>
            <w:tcBorders>
              <w:top w:val="nil"/>
              <w:lef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South Africa                  </w:t>
            </w:r>
          </w:p>
        </w:tc>
        <w:tc>
          <w:tcPr>
            <w:tcW w:w="2338" w:type="dxa"/>
            <w:tcBorders>
              <w:top w:val="nil"/>
              <w:righ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Country</w:t>
            </w:r>
          </w:p>
        </w:tc>
        <w:tc>
          <w:tcPr>
            <w:tcW w:w="2306" w:type="dxa"/>
            <w:tcBorders>
              <w:top w:val="nil"/>
              <w:lef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Malaysia                      </w:t>
            </w:r>
          </w:p>
        </w:tc>
      </w:tr>
      <w:tr w:rsidR="00964452" w:rsidRPr="00D61272" w:rsidTr="009C5F11">
        <w:tc>
          <w:tcPr>
            <w:tcW w:w="2453" w:type="dxa"/>
            <w:tcBorders>
              <w:top w:val="nil"/>
              <w:righ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Mean EXPY growth</w:t>
            </w:r>
          </w:p>
        </w:tc>
        <w:tc>
          <w:tcPr>
            <w:tcW w:w="2191" w:type="dxa"/>
            <w:tcBorders>
              <w:top w:val="nil"/>
              <w:lef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-1.62%</w:t>
            </w:r>
          </w:p>
        </w:tc>
        <w:tc>
          <w:tcPr>
            <w:tcW w:w="2338" w:type="dxa"/>
            <w:tcBorders>
              <w:top w:val="nil"/>
              <w:righ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Mean EXPY growth</w:t>
            </w:r>
          </w:p>
        </w:tc>
        <w:tc>
          <w:tcPr>
            <w:tcW w:w="2306" w:type="dxa"/>
            <w:tcBorders>
              <w:top w:val="nil"/>
              <w:lef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1.22%</w:t>
            </w:r>
          </w:p>
        </w:tc>
      </w:tr>
      <w:tr w:rsidR="00964452" w:rsidRPr="00D61272" w:rsidTr="009C5F11">
        <w:tc>
          <w:tcPr>
            <w:tcW w:w="2453"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p>
        </w:tc>
        <w:tc>
          <w:tcPr>
            <w:tcW w:w="2191"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p>
        </w:tc>
        <w:tc>
          <w:tcPr>
            <w:tcW w:w="2338"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p>
        </w:tc>
        <w:tc>
          <w:tcPr>
            <w:tcW w:w="2306"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p>
        </w:tc>
      </w:tr>
      <w:tr w:rsidR="00964452" w:rsidRPr="00D61272" w:rsidTr="009C5F11">
        <w:tc>
          <w:tcPr>
            <w:tcW w:w="9288" w:type="dxa"/>
            <w:gridSpan w:val="4"/>
            <w:tcBorders>
              <w:bottom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b/>
                <w:sz w:val="18"/>
                <w:szCs w:val="18"/>
                <w:lang w:eastAsia="nl-NL"/>
              </w:rPr>
            </w:pPr>
            <w:r w:rsidRPr="00D61272">
              <w:rPr>
                <w:rFonts w:ascii="Arial" w:hAnsi="Arial" w:cs="Arial"/>
                <w:b/>
                <w:sz w:val="18"/>
                <w:szCs w:val="18"/>
                <w:lang w:eastAsia="nl-NL"/>
              </w:rPr>
              <w:t>Year 2008</w:t>
            </w:r>
          </w:p>
        </w:tc>
      </w:tr>
      <w:tr w:rsidR="00964452" w:rsidRPr="00D61272" w:rsidTr="009C5F11">
        <w:tc>
          <w:tcPr>
            <w:tcW w:w="4644" w:type="dxa"/>
            <w:gridSpan w:val="2"/>
            <w:tcBorders>
              <w:bottom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b/>
                <w:sz w:val="18"/>
                <w:szCs w:val="18"/>
                <w:lang w:eastAsia="nl-NL"/>
              </w:rPr>
              <w:t>Sub-Saharan Africa</w:t>
            </w:r>
          </w:p>
        </w:tc>
        <w:tc>
          <w:tcPr>
            <w:tcW w:w="4644" w:type="dxa"/>
            <w:gridSpan w:val="2"/>
            <w:tcBorders>
              <w:left w:val="single" w:sz="6" w:space="0" w:color="000000"/>
              <w:bottom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b/>
                <w:sz w:val="18"/>
                <w:szCs w:val="18"/>
                <w:lang w:eastAsia="nl-NL"/>
              </w:rPr>
              <w:t xml:space="preserve">South </w:t>
            </w:r>
            <w:r>
              <w:rPr>
                <w:rFonts w:ascii="Arial" w:hAnsi="Arial" w:cs="Arial"/>
                <w:b/>
                <w:sz w:val="18"/>
                <w:szCs w:val="18"/>
                <w:lang w:eastAsia="nl-NL"/>
              </w:rPr>
              <w:t xml:space="preserve">and </w:t>
            </w:r>
            <w:r w:rsidRPr="00D61272">
              <w:rPr>
                <w:rFonts w:ascii="Arial" w:hAnsi="Arial" w:cs="Arial"/>
                <w:b/>
                <w:sz w:val="18"/>
                <w:szCs w:val="18"/>
                <w:lang w:eastAsia="nl-NL"/>
              </w:rPr>
              <w:t>East Asia</w:t>
            </w:r>
          </w:p>
        </w:tc>
      </w:tr>
      <w:tr w:rsidR="00964452" w:rsidRPr="00D61272" w:rsidTr="009C5F11">
        <w:tc>
          <w:tcPr>
            <w:tcW w:w="2453" w:type="dxa"/>
            <w:tcBorders>
              <w:top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Number of countries</w:t>
            </w:r>
          </w:p>
        </w:tc>
        <w:tc>
          <w:tcPr>
            <w:tcW w:w="2191" w:type="dxa"/>
            <w:tcBorders>
              <w:top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18</w:t>
            </w:r>
          </w:p>
        </w:tc>
        <w:tc>
          <w:tcPr>
            <w:tcW w:w="2338" w:type="dxa"/>
            <w:tcBorders>
              <w:top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Number of countries</w:t>
            </w:r>
          </w:p>
        </w:tc>
        <w:tc>
          <w:tcPr>
            <w:tcW w:w="2306" w:type="dxa"/>
            <w:tcBorders>
              <w:top w:val="single" w:sz="12" w:space="0" w:color="000000"/>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8</w:t>
            </w:r>
          </w:p>
        </w:tc>
      </w:tr>
      <w:tr w:rsidR="00964452" w:rsidRPr="00D61272" w:rsidTr="009C5F11">
        <w:tc>
          <w:tcPr>
            <w:tcW w:w="2453"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Mean EXPY</w:t>
            </w:r>
          </w:p>
        </w:tc>
        <w:tc>
          <w:tcPr>
            <w:tcW w:w="2191"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$7,501.94</w:t>
            </w:r>
          </w:p>
        </w:tc>
        <w:tc>
          <w:tcPr>
            <w:tcW w:w="2338"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Mean EXPY</w:t>
            </w:r>
          </w:p>
        </w:tc>
        <w:tc>
          <w:tcPr>
            <w:tcW w:w="2306"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$12,009.23</w:t>
            </w:r>
          </w:p>
        </w:tc>
      </w:tr>
      <w:tr w:rsidR="00964452" w:rsidRPr="00D61272" w:rsidTr="009C5F11">
        <w:tc>
          <w:tcPr>
            <w:tcW w:w="2453" w:type="dxa"/>
            <w:tcBorders>
              <w:bottom w:val="nil"/>
              <w:righ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Smallest EXPY                   </w:t>
            </w:r>
          </w:p>
        </w:tc>
        <w:tc>
          <w:tcPr>
            <w:tcW w:w="2191" w:type="dxa"/>
            <w:tcBorders>
              <w:left w:val="single" w:sz="4" w:space="0" w:color="auto"/>
              <w:bottom w:val="nil"/>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$2,678.57</w:t>
            </w:r>
          </w:p>
        </w:tc>
        <w:tc>
          <w:tcPr>
            <w:tcW w:w="2338" w:type="dxa"/>
            <w:tcBorders>
              <w:bottom w:val="nil"/>
              <w:righ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Smallest EXPY                   </w:t>
            </w:r>
          </w:p>
        </w:tc>
        <w:tc>
          <w:tcPr>
            <w:tcW w:w="2306" w:type="dxa"/>
            <w:tcBorders>
              <w:left w:val="single" w:sz="4" w:space="0" w:color="auto"/>
              <w:bottom w:val="nil"/>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$5,589.57</w:t>
            </w:r>
          </w:p>
        </w:tc>
      </w:tr>
      <w:tr w:rsidR="00964452" w:rsidRPr="00D61272" w:rsidTr="009C5F11">
        <w:tc>
          <w:tcPr>
            <w:tcW w:w="2453" w:type="dxa"/>
            <w:tcBorders>
              <w:top w:val="nil"/>
              <w:righ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Country</w:t>
            </w:r>
          </w:p>
        </w:tc>
        <w:tc>
          <w:tcPr>
            <w:tcW w:w="2191" w:type="dxa"/>
            <w:tcBorders>
              <w:top w:val="nil"/>
              <w:lef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Niger                         </w:t>
            </w:r>
          </w:p>
        </w:tc>
        <w:tc>
          <w:tcPr>
            <w:tcW w:w="2338" w:type="dxa"/>
            <w:tcBorders>
              <w:top w:val="nil"/>
              <w:righ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Country</w:t>
            </w:r>
          </w:p>
        </w:tc>
        <w:tc>
          <w:tcPr>
            <w:tcW w:w="2306" w:type="dxa"/>
            <w:tcBorders>
              <w:top w:val="nil"/>
              <w:lef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Maldives                      </w:t>
            </w:r>
          </w:p>
        </w:tc>
      </w:tr>
      <w:tr w:rsidR="00964452" w:rsidRPr="00D61272" w:rsidTr="009C5F11">
        <w:tc>
          <w:tcPr>
            <w:tcW w:w="2453" w:type="dxa"/>
            <w:tcBorders>
              <w:bottom w:val="nil"/>
              <w:righ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Largest EXPY                      </w:t>
            </w:r>
          </w:p>
        </w:tc>
        <w:tc>
          <w:tcPr>
            <w:tcW w:w="2191" w:type="dxa"/>
            <w:tcBorders>
              <w:left w:val="single" w:sz="4" w:space="0" w:color="auto"/>
              <w:bottom w:val="nil"/>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$14,124.23</w:t>
            </w:r>
          </w:p>
        </w:tc>
        <w:tc>
          <w:tcPr>
            <w:tcW w:w="2338" w:type="dxa"/>
            <w:tcBorders>
              <w:bottom w:val="nil"/>
              <w:righ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Largest EXPY                      </w:t>
            </w:r>
          </w:p>
        </w:tc>
        <w:tc>
          <w:tcPr>
            <w:tcW w:w="2306" w:type="dxa"/>
            <w:tcBorders>
              <w:left w:val="single" w:sz="4" w:space="0" w:color="auto"/>
              <w:bottom w:val="nil"/>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$16,375.00</w:t>
            </w:r>
          </w:p>
        </w:tc>
      </w:tr>
      <w:tr w:rsidR="00964452" w:rsidRPr="00D61272" w:rsidTr="009C5F11">
        <w:tc>
          <w:tcPr>
            <w:tcW w:w="2453" w:type="dxa"/>
            <w:tcBorders>
              <w:top w:val="nil"/>
              <w:righ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Country</w:t>
            </w:r>
          </w:p>
        </w:tc>
        <w:tc>
          <w:tcPr>
            <w:tcW w:w="2191" w:type="dxa"/>
            <w:tcBorders>
              <w:top w:val="nil"/>
              <w:lef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South Africa                  </w:t>
            </w:r>
          </w:p>
        </w:tc>
        <w:tc>
          <w:tcPr>
            <w:tcW w:w="2338" w:type="dxa"/>
            <w:tcBorders>
              <w:top w:val="nil"/>
              <w:righ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Country</w:t>
            </w:r>
          </w:p>
        </w:tc>
        <w:tc>
          <w:tcPr>
            <w:tcW w:w="2306" w:type="dxa"/>
            <w:tcBorders>
              <w:top w:val="nil"/>
              <w:lef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sidRPr="00D61272">
              <w:rPr>
                <w:rFonts w:ascii="Arial" w:hAnsi="Arial" w:cs="Arial"/>
                <w:sz w:val="18"/>
                <w:szCs w:val="18"/>
                <w:lang w:eastAsia="nl-NL"/>
              </w:rPr>
              <w:t xml:space="preserve">China                         </w:t>
            </w:r>
          </w:p>
        </w:tc>
      </w:tr>
      <w:tr w:rsidR="00964452" w:rsidRPr="00D61272" w:rsidTr="009C5F11">
        <w:tc>
          <w:tcPr>
            <w:tcW w:w="2453" w:type="dxa"/>
            <w:tcBorders>
              <w:top w:val="nil"/>
              <w:righ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Mean EXPY growth</w:t>
            </w:r>
          </w:p>
        </w:tc>
        <w:tc>
          <w:tcPr>
            <w:tcW w:w="2191" w:type="dxa"/>
            <w:tcBorders>
              <w:top w:val="nil"/>
              <w:lef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2.29%</w:t>
            </w:r>
          </w:p>
        </w:tc>
        <w:tc>
          <w:tcPr>
            <w:tcW w:w="2338" w:type="dxa"/>
            <w:tcBorders>
              <w:top w:val="nil"/>
              <w:righ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Mean EXPY growth</w:t>
            </w:r>
          </w:p>
        </w:tc>
        <w:tc>
          <w:tcPr>
            <w:tcW w:w="2306" w:type="dxa"/>
            <w:tcBorders>
              <w:top w:val="nil"/>
              <w:left w:val="single" w:sz="4" w:space="0" w:color="auto"/>
            </w:tcBorders>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r>
              <w:rPr>
                <w:rFonts w:ascii="Arial" w:hAnsi="Arial" w:cs="Arial"/>
                <w:sz w:val="18"/>
                <w:szCs w:val="18"/>
                <w:lang w:eastAsia="nl-NL"/>
              </w:rPr>
              <w:t>-1.65%</w:t>
            </w:r>
          </w:p>
        </w:tc>
      </w:tr>
      <w:tr w:rsidR="00964452" w:rsidRPr="00D61272" w:rsidTr="009C5F11">
        <w:tc>
          <w:tcPr>
            <w:tcW w:w="2453"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p>
        </w:tc>
        <w:tc>
          <w:tcPr>
            <w:tcW w:w="2191"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p>
        </w:tc>
        <w:tc>
          <w:tcPr>
            <w:tcW w:w="2338"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p>
        </w:tc>
        <w:tc>
          <w:tcPr>
            <w:tcW w:w="2306" w:type="dxa"/>
          </w:tcPr>
          <w:p w:rsidR="00964452" w:rsidRPr="00D61272" w:rsidRDefault="00964452" w:rsidP="009C5F11">
            <w:pPr>
              <w:autoSpaceDE w:val="0"/>
              <w:autoSpaceDN w:val="0"/>
              <w:adjustRightInd w:val="0"/>
              <w:spacing w:after="0" w:line="240" w:lineRule="auto"/>
              <w:rPr>
                <w:rFonts w:ascii="Arial" w:hAnsi="Arial" w:cs="Arial"/>
                <w:sz w:val="18"/>
                <w:szCs w:val="18"/>
                <w:lang w:eastAsia="nl-NL"/>
              </w:rPr>
            </w:pPr>
          </w:p>
        </w:tc>
      </w:tr>
    </w:tbl>
    <w:p w:rsidR="00964452" w:rsidRDefault="00964452" w:rsidP="007F0B52">
      <w:pPr>
        <w:pStyle w:val="NoSpacing"/>
      </w:pPr>
    </w:p>
    <w:p w:rsidR="00964452" w:rsidRDefault="00964452" w:rsidP="00D5650A">
      <w:pPr>
        <w:spacing w:line="360" w:lineRule="auto"/>
      </w:pPr>
      <w:r>
        <w:t>The mean EXPY of Sub-Saharan Africa increases over time, from $4,727 in 1995 to $7,502 in 2008. However, South and East Asia’s average EXPY is twice as large; $9,675, and $12,009, during the same period.</w:t>
      </w:r>
      <w:r>
        <w:rPr>
          <w:rStyle w:val="FootnoteReference"/>
        </w:rPr>
        <w:footnoteReference w:id="15"/>
      </w:r>
      <w:r>
        <w:t xml:space="preserve"> Also the smallest EXPY’s of Sub-Saharan African countries are significantly smaller than those of South and East Asia. Moreover, in both 1995 and 1999, the smallest EXPY values of South and East Asia are even larger than the mean EXPY’s of Sub-Saharan Africa. </w:t>
      </w:r>
    </w:p>
    <w:p w:rsidR="00964452" w:rsidRDefault="00964452" w:rsidP="00D5650A">
      <w:pPr>
        <w:pStyle w:val="Heading2"/>
        <w:spacing w:line="360" w:lineRule="auto"/>
      </w:pPr>
      <w:bookmarkStart w:id="38" w:name="_Toc299481899"/>
      <w:r>
        <w:t>EXPY growth</w:t>
      </w:r>
      <w:bookmarkEnd w:id="38"/>
    </w:p>
    <w:p w:rsidR="00964452" w:rsidRDefault="00964452" w:rsidP="00D5650A">
      <w:pPr>
        <w:spacing w:line="360" w:lineRule="auto"/>
      </w:pPr>
      <w:r>
        <w:t xml:space="preserve">Figure 8 illustrates the average EXPY growth rates of both regions, as well as those of the entire sample. For 3 of the 4 years, the world’s average EXPY growth rate is significantly lower than that of Sub-Saharan Africa and/or South East Asia. Furthermore, in 1992 and 2008 Sub-Saharan Africa’s average EXPY growth rate was significantly higher than those of South and East Asia. Nevertheless, this graph does not give insight on the dispersion and skewness of the 3 regions, which is illustrated in figure 9. </w:t>
      </w:r>
    </w:p>
    <w:p w:rsidR="00964452" w:rsidRPr="00B32E15" w:rsidRDefault="00964452" w:rsidP="00D5650A">
      <w:pPr>
        <w:pStyle w:val="NoSpacing"/>
        <w:spacing w:line="360" w:lineRule="auto"/>
        <w:rPr>
          <w:sz w:val="18"/>
          <w:szCs w:val="18"/>
        </w:rPr>
      </w:pPr>
      <w:r>
        <w:rPr>
          <w:sz w:val="18"/>
          <w:szCs w:val="18"/>
        </w:rPr>
        <w:t>Figure 8: Average EXPY growth per region</w:t>
      </w:r>
    </w:p>
    <w:p w:rsidR="00964452" w:rsidRPr="007F0B52" w:rsidRDefault="00964452" w:rsidP="00D5650A">
      <w:pPr>
        <w:spacing w:line="360" w:lineRule="auto"/>
      </w:pPr>
      <w:r w:rsidRPr="002638B5">
        <w:rPr>
          <w:noProof/>
          <w:lang w:val="en-US"/>
        </w:rPr>
        <w:pict>
          <v:shape id="Afbeelding 19" o:spid="_x0000_i1035" type="#_x0000_t75" style="width:320.25pt;height:173.25pt;visibility:visible">
            <v:imagedata r:id="rId21" o:title=""/>
          </v:shape>
        </w:pict>
      </w:r>
    </w:p>
    <w:p w:rsidR="00964452" w:rsidRPr="00AB3217" w:rsidRDefault="00964452" w:rsidP="00AB3217">
      <w:pPr>
        <w:pStyle w:val="NoSpacing"/>
        <w:rPr>
          <w:sz w:val="18"/>
          <w:szCs w:val="18"/>
        </w:rPr>
      </w:pPr>
      <w:r w:rsidRPr="00AB3217">
        <w:rPr>
          <w:sz w:val="18"/>
          <w:szCs w:val="18"/>
        </w:rPr>
        <w:t>Figure 9: Dispersion of EXPY growth within the regions</w:t>
      </w:r>
    </w:p>
    <w:p w:rsidR="00964452" w:rsidRDefault="00964452" w:rsidP="00D5650A">
      <w:pPr>
        <w:spacing w:line="360" w:lineRule="auto"/>
        <w:rPr>
          <w:sz w:val="18"/>
          <w:szCs w:val="18"/>
        </w:rPr>
      </w:pPr>
      <w:r w:rsidRPr="002638B5">
        <w:rPr>
          <w:noProof/>
          <w:lang w:val="en-US"/>
        </w:rPr>
        <w:pict>
          <v:shape id="Afbeelding 6" o:spid="_x0000_i1036" type="#_x0000_t75" style="width:400.5pt;height:287.25pt;visibility:visible">
            <v:imagedata r:id="rId22" o:title=""/>
          </v:shape>
        </w:pict>
      </w:r>
    </w:p>
    <w:p w:rsidR="00964452" w:rsidRDefault="00964452" w:rsidP="00D5650A">
      <w:pPr>
        <w:spacing w:line="360" w:lineRule="auto"/>
      </w:pPr>
      <w:r>
        <w:t>The distribution of growth of EXPY is very different across the regions. The world sample is heavy tailed, which is mostly caused by Sub-Saharan African countries’ EXPY growth rates, as most of the world’s outliers and extremes, belong to that region.These outliers and extremes are represented by the numbers in figure 9.</w:t>
      </w:r>
      <w:r>
        <w:rPr>
          <w:rStyle w:val="FootnoteReference"/>
        </w:rPr>
        <w:footnoteReference w:id="16"/>
      </w:r>
      <w:r>
        <w:t>In addition, the Sub-Saharan African boxplots cover a larger growth scale than the other regions, meaning that the variation within Sub-Saharan Africa is much larger. Furthermore, for 1999 and 2004, the distribution of this region is skewed to the right; there are relatively few high values and most Sub-Saharan African countries have lower EXPY growth rates than the mean EXPY growth of Sub-Saharan Africa.</w:t>
      </w:r>
    </w:p>
    <w:p w:rsidR="00964452" w:rsidRPr="00DF1562" w:rsidRDefault="00964452" w:rsidP="00D5650A">
      <w:pPr>
        <w:spacing w:line="360" w:lineRule="auto"/>
      </w:pPr>
      <w:r>
        <w:t>The size of the South and East Asian sample is rather small for boxplots to make definite statements</w:t>
      </w:r>
      <w:r w:rsidRPr="00DF1562">
        <w:t>. For 2004 the size is the largest, and the distribution seems to be skewed to the left, meaning that most South</w:t>
      </w:r>
      <w:r>
        <w:t xml:space="preserve"> and</w:t>
      </w:r>
      <w:r w:rsidRPr="00DF1562">
        <w:t xml:space="preserve"> East Asian countries have </w:t>
      </w:r>
      <w:r>
        <w:t>higher</w:t>
      </w:r>
      <w:r w:rsidRPr="00DF1562">
        <w:t xml:space="preserve"> EXPY growth rates than the region’s mean of 1.22%. </w:t>
      </w:r>
    </w:p>
    <w:p w:rsidR="00964452" w:rsidRDefault="00964452" w:rsidP="00D5650A">
      <w:pPr>
        <w:spacing w:line="360" w:lineRule="auto"/>
      </w:pPr>
      <w:r>
        <w:t>The outliers and extremes of Sub-Saharan Africa and South and East Asia are shown in table 8, some of these were removed from the graph in figure 9. The Gambia has very high EXPY growth rates in 1999 and 2008. However, for other years the country also has very low (negative) growth rates. In addition, the Gambia has very low total exports (e.g. $5 millionin 2005), which is also true for Senegal and Rwanda. Nonetheless, Senegal’s export productivity increased by 112% from 1996 to 2008, to $10,245.</w:t>
      </w:r>
    </w:p>
    <w:p w:rsidR="00964452" w:rsidRPr="008D3FB8" w:rsidRDefault="00964452" w:rsidP="008D3FB8">
      <w:pPr>
        <w:pStyle w:val="NoSpacing"/>
        <w:spacing w:line="360" w:lineRule="auto"/>
        <w:rPr>
          <w:sz w:val="18"/>
          <w:szCs w:val="18"/>
          <w:lang w:eastAsia="nl-NL"/>
        </w:rPr>
      </w:pPr>
      <w:r>
        <w:rPr>
          <w:sz w:val="18"/>
          <w:szCs w:val="18"/>
          <w:lang w:eastAsia="nl-NL"/>
        </w:rPr>
        <w:t>Table 8</w:t>
      </w:r>
      <w:r w:rsidRPr="008D3FB8">
        <w:rPr>
          <w:sz w:val="18"/>
          <w:szCs w:val="18"/>
          <w:lang w:eastAsia="nl-NL"/>
        </w:rPr>
        <w:t>: Outliers and extremes within the 2 regions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35"/>
        <w:gridCol w:w="1535"/>
        <w:gridCol w:w="1535"/>
        <w:gridCol w:w="1535"/>
        <w:gridCol w:w="1536"/>
        <w:gridCol w:w="1536"/>
      </w:tblGrid>
      <w:tr w:rsidR="00964452" w:rsidRPr="0043108B" w:rsidTr="009C5F11">
        <w:tc>
          <w:tcPr>
            <w:tcW w:w="4605" w:type="dxa"/>
            <w:gridSpan w:val="3"/>
            <w:tcBorders>
              <w:bottom w:val="single" w:sz="12" w:space="0" w:color="000000"/>
              <w:right w:val="single" w:sz="12" w:space="0" w:color="000000"/>
            </w:tcBorders>
          </w:tcPr>
          <w:p w:rsidR="00964452" w:rsidRPr="009D5E48" w:rsidRDefault="00964452" w:rsidP="009C5F11">
            <w:pPr>
              <w:autoSpaceDE w:val="0"/>
              <w:autoSpaceDN w:val="0"/>
              <w:adjustRightInd w:val="0"/>
              <w:spacing w:after="0" w:line="240" w:lineRule="auto"/>
              <w:rPr>
                <w:rFonts w:ascii="Arial" w:hAnsi="Arial" w:cs="Arial"/>
                <w:b/>
                <w:sz w:val="18"/>
                <w:szCs w:val="18"/>
                <w:lang w:eastAsia="nl-NL"/>
              </w:rPr>
            </w:pPr>
            <w:r w:rsidRPr="009D5E48">
              <w:rPr>
                <w:rFonts w:ascii="Arial" w:hAnsi="Arial" w:cs="Arial"/>
                <w:b/>
                <w:sz w:val="18"/>
                <w:szCs w:val="18"/>
                <w:lang w:eastAsia="nl-NL"/>
              </w:rPr>
              <w:t>Sub-Saharan Africa</w:t>
            </w:r>
          </w:p>
        </w:tc>
        <w:tc>
          <w:tcPr>
            <w:tcW w:w="4607" w:type="dxa"/>
            <w:gridSpan w:val="3"/>
            <w:tcBorders>
              <w:left w:val="single" w:sz="12" w:space="0" w:color="000000"/>
              <w:bottom w:val="single" w:sz="12" w:space="0" w:color="000000"/>
            </w:tcBorders>
          </w:tcPr>
          <w:p w:rsidR="00964452" w:rsidRPr="009D5E48" w:rsidRDefault="00964452" w:rsidP="009C5F11">
            <w:pPr>
              <w:autoSpaceDE w:val="0"/>
              <w:autoSpaceDN w:val="0"/>
              <w:adjustRightInd w:val="0"/>
              <w:spacing w:after="0" w:line="240" w:lineRule="auto"/>
              <w:rPr>
                <w:rFonts w:ascii="Arial" w:hAnsi="Arial" w:cs="Arial"/>
                <w:b/>
                <w:sz w:val="18"/>
                <w:szCs w:val="18"/>
                <w:lang w:eastAsia="nl-NL"/>
              </w:rPr>
            </w:pPr>
            <w:r w:rsidRPr="009D5E48">
              <w:rPr>
                <w:rFonts w:ascii="Arial" w:hAnsi="Arial" w:cs="Arial"/>
                <w:b/>
                <w:sz w:val="18"/>
                <w:szCs w:val="18"/>
                <w:lang w:eastAsia="nl-NL"/>
              </w:rPr>
              <w:t>South and East Asia</w:t>
            </w:r>
          </w:p>
        </w:tc>
      </w:tr>
      <w:tr w:rsidR="00964452" w:rsidRPr="0043108B" w:rsidTr="009C5F11">
        <w:tc>
          <w:tcPr>
            <w:tcW w:w="1535" w:type="dxa"/>
            <w:tcBorders>
              <w:top w:val="single" w:sz="12" w:space="0" w:color="000000"/>
            </w:tcBorders>
          </w:tcPr>
          <w:p w:rsidR="00964452" w:rsidRPr="009D5E48" w:rsidRDefault="00964452" w:rsidP="009C5F11">
            <w:pPr>
              <w:autoSpaceDE w:val="0"/>
              <w:autoSpaceDN w:val="0"/>
              <w:adjustRightInd w:val="0"/>
              <w:spacing w:after="0" w:line="240" w:lineRule="auto"/>
              <w:rPr>
                <w:rFonts w:ascii="Arial" w:hAnsi="Arial" w:cs="Arial"/>
                <w:sz w:val="18"/>
                <w:szCs w:val="18"/>
                <w:lang w:eastAsia="nl-NL"/>
              </w:rPr>
            </w:pPr>
            <w:r w:rsidRPr="009D5E48">
              <w:rPr>
                <w:rFonts w:ascii="Arial" w:hAnsi="Arial" w:cs="Arial"/>
                <w:sz w:val="18"/>
                <w:szCs w:val="18"/>
                <w:lang w:eastAsia="nl-NL"/>
              </w:rPr>
              <w:t>Year</w:t>
            </w:r>
          </w:p>
        </w:tc>
        <w:tc>
          <w:tcPr>
            <w:tcW w:w="1535" w:type="dxa"/>
            <w:tcBorders>
              <w:top w:val="single" w:sz="12" w:space="0" w:color="000000"/>
            </w:tcBorders>
          </w:tcPr>
          <w:p w:rsidR="00964452" w:rsidRPr="009D5E48" w:rsidRDefault="00964452" w:rsidP="009C5F11">
            <w:pPr>
              <w:autoSpaceDE w:val="0"/>
              <w:autoSpaceDN w:val="0"/>
              <w:adjustRightInd w:val="0"/>
              <w:spacing w:after="0" w:line="240" w:lineRule="auto"/>
              <w:rPr>
                <w:rFonts w:ascii="Arial" w:hAnsi="Arial" w:cs="Arial"/>
                <w:sz w:val="18"/>
                <w:szCs w:val="18"/>
                <w:lang w:eastAsia="nl-NL"/>
              </w:rPr>
            </w:pPr>
            <w:r w:rsidRPr="009D5E48">
              <w:rPr>
                <w:rFonts w:ascii="Arial" w:hAnsi="Arial" w:cs="Arial"/>
                <w:sz w:val="18"/>
                <w:szCs w:val="18"/>
                <w:lang w:eastAsia="nl-NL"/>
              </w:rPr>
              <w:t>Country</w:t>
            </w:r>
          </w:p>
        </w:tc>
        <w:tc>
          <w:tcPr>
            <w:tcW w:w="1535" w:type="dxa"/>
            <w:tcBorders>
              <w:top w:val="single" w:sz="12" w:space="0" w:color="000000"/>
              <w:right w:val="single" w:sz="12" w:space="0" w:color="000000"/>
            </w:tcBorders>
          </w:tcPr>
          <w:p w:rsidR="00964452" w:rsidRPr="009D5E48" w:rsidRDefault="00964452" w:rsidP="009C5F11">
            <w:pPr>
              <w:autoSpaceDE w:val="0"/>
              <w:autoSpaceDN w:val="0"/>
              <w:adjustRightInd w:val="0"/>
              <w:spacing w:after="0" w:line="240" w:lineRule="auto"/>
              <w:rPr>
                <w:rFonts w:ascii="Arial" w:hAnsi="Arial" w:cs="Arial"/>
                <w:sz w:val="18"/>
                <w:szCs w:val="18"/>
                <w:lang w:eastAsia="nl-NL"/>
              </w:rPr>
            </w:pPr>
            <w:r w:rsidRPr="009D5E48">
              <w:rPr>
                <w:rFonts w:ascii="Arial" w:hAnsi="Arial" w:cs="Arial"/>
                <w:sz w:val="18"/>
                <w:szCs w:val="18"/>
                <w:lang w:eastAsia="nl-NL"/>
              </w:rPr>
              <w:t>EXPY growth</w:t>
            </w:r>
          </w:p>
        </w:tc>
        <w:tc>
          <w:tcPr>
            <w:tcW w:w="1535" w:type="dxa"/>
            <w:tcBorders>
              <w:top w:val="single" w:sz="12" w:space="0" w:color="000000"/>
              <w:left w:val="single" w:sz="12" w:space="0" w:color="000000"/>
            </w:tcBorders>
          </w:tcPr>
          <w:p w:rsidR="00964452" w:rsidRPr="009D5E48" w:rsidRDefault="00964452" w:rsidP="009C5F11">
            <w:pPr>
              <w:autoSpaceDE w:val="0"/>
              <w:autoSpaceDN w:val="0"/>
              <w:adjustRightInd w:val="0"/>
              <w:spacing w:after="0" w:line="240" w:lineRule="auto"/>
              <w:rPr>
                <w:rFonts w:ascii="Arial" w:hAnsi="Arial" w:cs="Arial"/>
                <w:sz w:val="18"/>
                <w:szCs w:val="18"/>
                <w:lang w:eastAsia="nl-NL"/>
              </w:rPr>
            </w:pPr>
            <w:r w:rsidRPr="009D5E48">
              <w:rPr>
                <w:rFonts w:ascii="Arial" w:hAnsi="Arial" w:cs="Arial"/>
                <w:sz w:val="18"/>
                <w:szCs w:val="18"/>
                <w:lang w:eastAsia="nl-NL"/>
              </w:rPr>
              <w:t>Year</w:t>
            </w:r>
          </w:p>
        </w:tc>
        <w:tc>
          <w:tcPr>
            <w:tcW w:w="1536" w:type="dxa"/>
            <w:tcBorders>
              <w:top w:val="single" w:sz="12" w:space="0" w:color="000000"/>
            </w:tcBorders>
          </w:tcPr>
          <w:p w:rsidR="00964452" w:rsidRPr="009D5E48" w:rsidRDefault="00964452" w:rsidP="009C5F11">
            <w:pPr>
              <w:autoSpaceDE w:val="0"/>
              <w:autoSpaceDN w:val="0"/>
              <w:adjustRightInd w:val="0"/>
              <w:spacing w:after="0" w:line="240" w:lineRule="auto"/>
              <w:rPr>
                <w:rFonts w:ascii="Arial" w:hAnsi="Arial" w:cs="Arial"/>
                <w:sz w:val="18"/>
                <w:szCs w:val="18"/>
                <w:lang w:eastAsia="nl-NL"/>
              </w:rPr>
            </w:pPr>
            <w:r w:rsidRPr="009D5E48">
              <w:rPr>
                <w:rFonts w:ascii="Arial" w:hAnsi="Arial" w:cs="Arial"/>
                <w:sz w:val="18"/>
                <w:szCs w:val="18"/>
                <w:lang w:eastAsia="nl-NL"/>
              </w:rPr>
              <w:t>Country</w:t>
            </w:r>
          </w:p>
        </w:tc>
        <w:tc>
          <w:tcPr>
            <w:tcW w:w="1536" w:type="dxa"/>
            <w:tcBorders>
              <w:top w:val="single" w:sz="12" w:space="0" w:color="000000"/>
            </w:tcBorders>
          </w:tcPr>
          <w:p w:rsidR="00964452" w:rsidRPr="009D5E48" w:rsidRDefault="00964452" w:rsidP="009C5F11">
            <w:pPr>
              <w:autoSpaceDE w:val="0"/>
              <w:autoSpaceDN w:val="0"/>
              <w:adjustRightInd w:val="0"/>
              <w:spacing w:after="0" w:line="240" w:lineRule="auto"/>
              <w:rPr>
                <w:rFonts w:ascii="Arial" w:hAnsi="Arial" w:cs="Arial"/>
                <w:sz w:val="18"/>
                <w:szCs w:val="18"/>
                <w:lang w:eastAsia="nl-NL"/>
              </w:rPr>
            </w:pPr>
            <w:r w:rsidRPr="009D5E48">
              <w:rPr>
                <w:rFonts w:ascii="Arial" w:hAnsi="Arial" w:cs="Arial"/>
                <w:sz w:val="18"/>
                <w:szCs w:val="18"/>
                <w:lang w:eastAsia="nl-NL"/>
              </w:rPr>
              <w:t>EXPY growth</w:t>
            </w:r>
          </w:p>
        </w:tc>
      </w:tr>
      <w:tr w:rsidR="00964452" w:rsidRPr="0043108B" w:rsidTr="009C5F11">
        <w:tc>
          <w:tcPr>
            <w:tcW w:w="1535" w:type="dxa"/>
          </w:tcPr>
          <w:p w:rsidR="00964452" w:rsidRPr="009D5E48" w:rsidRDefault="00964452" w:rsidP="009C5F11">
            <w:pPr>
              <w:autoSpaceDE w:val="0"/>
              <w:autoSpaceDN w:val="0"/>
              <w:adjustRightInd w:val="0"/>
              <w:spacing w:after="0" w:line="240" w:lineRule="auto"/>
              <w:rPr>
                <w:rFonts w:ascii="Arial" w:hAnsi="Arial" w:cs="Arial"/>
                <w:sz w:val="18"/>
                <w:szCs w:val="18"/>
                <w:lang w:eastAsia="nl-NL"/>
              </w:rPr>
            </w:pPr>
            <w:r w:rsidRPr="009D5E48">
              <w:rPr>
                <w:rFonts w:ascii="Arial" w:hAnsi="Arial" w:cs="Arial"/>
                <w:sz w:val="18"/>
                <w:szCs w:val="18"/>
                <w:lang w:eastAsia="nl-NL"/>
              </w:rPr>
              <w:t>1999</w:t>
            </w:r>
          </w:p>
        </w:tc>
        <w:tc>
          <w:tcPr>
            <w:tcW w:w="1535" w:type="dxa"/>
          </w:tcPr>
          <w:p w:rsidR="00964452" w:rsidRPr="009D5E48" w:rsidRDefault="00964452" w:rsidP="009C5F11">
            <w:pPr>
              <w:autoSpaceDE w:val="0"/>
              <w:autoSpaceDN w:val="0"/>
              <w:adjustRightInd w:val="0"/>
              <w:spacing w:after="0" w:line="240" w:lineRule="auto"/>
              <w:rPr>
                <w:rFonts w:ascii="Arial" w:hAnsi="Arial" w:cs="Arial"/>
                <w:sz w:val="18"/>
                <w:szCs w:val="18"/>
                <w:lang w:eastAsia="nl-NL"/>
              </w:rPr>
            </w:pPr>
            <w:r w:rsidRPr="009D5E48">
              <w:rPr>
                <w:rFonts w:ascii="Arial" w:hAnsi="Arial" w:cs="Arial"/>
                <w:sz w:val="18"/>
                <w:szCs w:val="18"/>
                <w:lang w:eastAsia="nl-NL"/>
              </w:rPr>
              <w:t>The Gambia</w:t>
            </w:r>
          </w:p>
        </w:tc>
        <w:tc>
          <w:tcPr>
            <w:tcW w:w="1535" w:type="dxa"/>
            <w:tcBorders>
              <w:right w:val="single" w:sz="12" w:space="0" w:color="000000"/>
            </w:tcBorders>
          </w:tcPr>
          <w:p w:rsidR="00964452" w:rsidRPr="009D5E48" w:rsidRDefault="00964452" w:rsidP="009C5F11">
            <w:pPr>
              <w:autoSpaceDE w:val="0"/>
              <w:autoSpaceDN w:val="0"/>
              <w:adjustRightInd w:val="0"/>
              <w:spacing w:after="0" w:line="240" w:lineRule="auto"/>
              <w:rPr>
                <w:rFonts w:ascii="Arial" w:hAnsi="Arial" w:cs="Arial"/>
                <w:sz w:val="18"/>
                <w:szCs w:val="18"/>
                <w:lang w:eastAsia="nl-NL"/>
              </w:rPr>
            </w:pPr>
            <w:r w:rsidRPr="009D5E48">
              <w:rPr>
                <w:rFonts w:ascii="Arial" w:hAnsi="Arial" w:cs="Arial"/>
                <w:sz w:val="18"/>
                <w:szCs w:val="18"/>
                <w:lang w:eastAsia="nl-NL"/>
              </w:rPr>
              <w:t>32.8%</w:t>
            </w:r>
          </w:p>
        </w:tc>
        <w:tc>
          <w:tcPr>
            <w:tcW w:w="1535" w:type="dxa"/>
            <w:tcBorders>
              <w:left w:val="single" w:sz="12" w:space="0" w:color="000000"/>
            </w:tcBorders>
          </w:tcPr>
          <w:p w:rsidR="00964452" w:rsidRPr="009D5E48" w:rsidRDefault="00964452" w:rsidP="009C5F11">
            <w:pPr>
              <w:autoSpaceDE w:val="0"/>
              <w:autoSpaceDN w:val="0"/>
              <w:adjustRightInd w:val="0"/>
              <w:spacing w:after="0" w:line="240" w:lineRule="auto"/>
              <w:rPr>
                <w:rFonts w:ascii="Arial" w:hAnsi="Arial" w:cs="Arial"/>
                <w:sz w:val="18"/>
                <w:szCs w:val="18"/>
                <w:lang w:eastAsia="nl-NL"/>
              </w:rPr>
            </w:pPr>
            <w:r w:rsidRPr="009D5E48">
              <w:rPr>
                <w:rFonts w:ascii="Arial" w:hAnsi="Arial" w:cs="Arial"/>
                <w:sz w:val="18"/>
                <w:szCs w:val="18"/>
                <w:lang w:eastAsia="nl-NL"/>
              </w:rPr>
              <w:t>2004</w:t>
            </w:r>
          </w:p>
        </w:tc>
        <w:tc>
          <w:tcPr>
            <w:tcW w:w="1536" w:type="dxa"/>
          </w:tcPr>
          <w:p w:rsidR="00964452" w:rsidRPr="009D5E48" w:rsidRDefault="00964452" w:rsidP="009C5F11">
            <w:pPr>
              <w:autoSpaceDE w:val="0"/>
              <w:autoSpaceDN w:val="0"/>
              <w:adjustRightInd w:val="0"/>
              <w:spacing w:after="0" w:line="240" w:lineRule="auto"/>
              <w:rPr>
                <w:rFonts w:ascii="Arial" w:hAnsi="Arial" w:cs="Arial"/>
                <w:sz w:val="18"/>
                <w:szCs w:val="18"/>
                <w:lang w:eastAsia="nl-NL"/>
              </w:rPr>
            </w:pPr>
            <w:r w:rsidRPr="009D5E48">
              <w:rPr>
                <w:rFonts w:ascii="Arial" w:hAnsi="Arial" w:cs="Arial"/>
                <w:sz w:val="18"/>
                <w:szCs w:val="18"/>
                <w:lang w:eastAsia="nl-NL"/>
              </w:rPr>
              <w:t>Philippines</w:t>
            </w:r>
          </w:p>
        </w:tc>
        <w:tc>
          <w:tcPr>
            <w:tcW w:w="1536" w:type="dxa"/>
          </w:tcPr>
          <w:p w:rsidR="00964452" w:rsidRPr="009D5E48" w:rsidRDefault="00964452" w:rsidP="009C5F11">
            <w:pPr>
              <w:autoSpaceDE w:val="0"/>
              <w:autoSpaceDN w:val="0"/>
              <w:adjustRightInd w:val="0"/>
              <w:spacing w:after="0" w:line="240" w:lineRule="auto"/>
              <w:rPr>
                <w:rFonts w:ascii="Arial" w:hAnsi="Arial" w:cs="Arial"/>
                <w:sz w:val="18"/>
                <w:szCs w:val="18"/>
                <w:lang w:eastAsia="nl-NL"/>
              </w:rPr>
            </w:pPr>
            <w:r w:rsidRPr="009D5E48">
              <w:rPr>
                <w:rFonts w:ascii="Arial" w:hAnsi="Arial" w:cs="Arial"/>
                <w:sz w:val="18"/>
                <w:szCs w:val="18"/>
                <w:lang w:eastAsia="nl-NL"/>
              </w:rPr>
              <w:t>8.7%</w:t>
            </w:r>
          </w:p>
        </w:tc>
      </w:tr>
      <w:tr w:rsidR="00964452" w:rsidRPr="0043108B" w:rsidTr="009C5F11">
        <w:tc>
          <w:tcPr>
            <w:tcW w:w="1535" w:type="dxa"/>
          </w:tcPr>
          <w:p w:rsidR="00964452" w:rsidRPr="009D5E48" w:rsidRDefault="00964452" w:rsidP="009C5F11">
            <w:pPr>
              <w:autoSpaceDE w:val="0"/>
              <w:autoSpaceDN w:val="0"/>
              <w:adjustRightInd w:val="0"/>
              <w:spacing w:after="0" w:line="240" w:lineRule="auto"/>
              <w:rPr>
                <w:rFonts w:ascii="Arial" w:hAnsi="Arial" w:cs="Arial"/>
                <w:sz w:val="18"/>
                <w:szCs w:val="18"/>
                <w:lang w:eastAsia="nl-NL"/>
              </w:rPr>
            </w:pPr>
            <w:r w:rsidRPr="009D5E48">
              <w:rPr>
                <w:rFonts w:ascii="Arial" w:hAnsi="Arial" w:cs="Arial"/>
                <w:sz w:val="18"/>
                <w:szCs w:val="18"/>
                <w:lang w:eastAsia="nl-NL"/>
              </w:rPr>
              <w:t>1999</w:t>
            </w:r>
          </w:p>
        </w:tc>
        <w:tc>
          <w:tcPr>
            <w:tcW w:w="1535" w:type="dxa"/>
          </w:tcPr>
          <w:p w:rsidR="00964452" w:rsidRPr="009D5E48" w:rsidRDefault="00964452" w:rsidP="009C5F11">
            <w:pPr>
              <w:autoSpaceDE w:val="0"/>
              <w:autoSpaceDN w:val="0"/>
              <w:adjustRightInd w:val="0"/>
              <w:spacing w:after="0" w:line="240" w:lineRule="auto"/>
              <w:rPr>
                <w:rFonts w:ascii="Arial" w:hAnsi="Arial" w:cs="Arial"/>
                <w:sz w:val="18"/>
                <w:szCs w:val="18"/>
                <w:lang w:eastAsia="nl-NL"/>
              </w:rPr>
            </w:pPr>
            <w:r w:rsidRPr="009D5E48">
              <w:rPr>
                <w:rFonts w:ascii="Arial" w:hAnsi="Arial" w:cs="Arial"/>
                <w:sz w:val="18"/>
                <w:szCs w:val="18"/>
                <w:lang w:eastAsia="nl-NL"/>
              </w:rPr>
              <w:t>Senegal</w:t>
            </w:r>
          </w:p>
        </w:tc>
        <w:tc>
          <w:tcPr>
            <w:tcW w:w="1535" w:type="dxa"/>
            <w:tcBorders>
              <w:right w:val="single" w:sz="12" w:space="0" w:color="000000"/>
            </w:tcBorders>
          </w:tcPr>
          <w:p w:rsidR="00964452" w:rsidRPr="009D5E48" w:rsidRDefault="00964452" w:rsidP="009C5F11">
            <w:pPr>
              <w:autoSpaceDE w:val="0"/>
              <w:autoSpaceDN w:val="0"/>
              <w:adjustRightInd w:val="0"/>
              <w:spacing w:after="0" w:line="240" w:lineRule="auto"/>
              <w:rPr>
                <w:rFonts w:ascii="Arial" w:hAnsi="Arial" w:cs="Arial"/>
                <w:sz w:val="18"/>
                <w:szCs w:val="18"/>
                <w:lang w:eastAsia="nl-NL"/>
              </w:rPr>
            </w:pPr>
            <w:r w:rsidRPr="009D5E48">
              <w:rPr>
                <w:rFonts w:ascii="Arial" w:hAnsi="Arial" w:cs="Arial"/>
                <w:sz w:val="18"/>
                <w:szCs w:val="18"/>
                <w:lang w:eastAsia="nl-NL"/>
              </w:rPr>
              <w:t>-19.5%</w:t>
            </w:r>
          </w:p>
        </w:tc>
        <w:tc>
          <w:tcPr>
            <w:tcW w:w="1535" w:type="dxa"/>
            <w:tcBorders>
              <w:left w:val="single" w:sz="12" w:space="0" w:color="000000"/>
            </w:tcBorders>
          </w:tcPr>
          <w:p w:rsidR="00964452" w:rsidRPr="009D5E48" w:rsidRDefault="00964452" w:rsidP="009C5F11">
            <w:pPr>
              <w:autoSpaceDE w:val="0"/>
              <w:autoSpaceDN w:val="0"/>
              <w:adjustRightInd w:val="0"/>
              <w:spacing w:after="0" w:line="240" w:lineRule="auto"/>
              <w:rPr>
                <w:rFonts w:ascii="Arial" w:hAnsi="Arial" w:cs="Arial"/>
                <w:sz w:val="18"/>
                <w:szCs w:val="18"/>
                <w:lang w:eastAsia="nl-NL"/>
              </w:rPr>
            </w:pPr>
            <w:r w:rsidRPr="009D5E48">
              <w:rPr>
                <w:rFonts w:ascii="Arial" w:hAnsi="Arial" w:cs="Arial"/>
                <w:sz w:val="18"/>
                <w:szCs w:val="18"/>
                <w:lang w:eastAsia="nl-NL"/>
              </w:rPr>
              <w:t>2008</w:t>
            </w:r>
          </w:p>
        </w:tc>
        <w:tc>
          <w:tcPr>
            <w:tcW w:w="1536" w:type="dxa"/>
          </w:tcPr>
          <w:p w:rsidR="00964452" w:rsidRPr="009D5E48" w:rsidRDefault="00964452" w:rsidP="009C5F11">
            <w:pPr>
              <w:autoSpaceDE w:val="0"/>
              <w:autoSpaceDN w:val="0"/>
              <w:adjustRightInd w:val="0"/>
              <w:spacing w:after="0" w:line="240" w:lineRule="auto"/>
              <w:rPr>
                <w:rFonts w:ascii="Arial" w:hAnsi="Arial" w:cs="Arial"/>
                <w:sz w:val="18"/>
                <w:szCs w:val="18"/>
                <w:lang w:eastAsia="nl-NL"/>
              </w:rPr>
            </w:pPr>
            <w:r w:rsidRPr="009D5E48">
              <w:rPr>
                <w:rFonts w:ascii="Arial" w:hAnsi="Arial" w:cs="Arial"/>
                <w:sz w:val="18"/>
                <w:szCs w:val="18"/>
                <w:lang w:eastAsia="nl-NL"/>
              </w:rPr>
              <w:t>Malaysia</w:t>
            </w:r>
          </w:p>
        </w:tc>
        <w:tc>
          <w:tcPr>
            <w:tcW w:w="1536" w:type="dxa"/>
          </w:tcPr>
          <w:p w:rsidR="00964452" w:rsidRPr="009D5E48" w:rsidRDefault="00964452" w:rsidP="009C5F11">
            <w:pPr>
              <w:autoSpaceDE w:val="0"/>
              <w:autoSpaceDN w:val="0"/>
              <w:adjustRightInd w:val="0"/>
              <w:spacing w:after="0" w:line="240" w:lineRule="auto"/>
              <w:rPr>
                <w:rFonts w:ascii="Arial" w:hAnsi="Arial" w:cs="Arial"/>
                <w:sz w:val="18"/>
                <w:szCs w:val="18"/>
                <w:lang w:eastAsia="nl-NL"/>
              </w:rPr>
            </w:pPr>
            <w:r w:rsidRPr="009D5E48">
              <w:rPr>
                <w:rFonts w:ascii="Arial" w:hAnsi="Arial" w:cs="Arial"/>
                <w:sz w:val="18"/>
                <w:szCs w:val="18"/>
                <w:lang w:eastAsia="nl-NL"/>
              </w:rPr>
              <w:t>-15.7%</w:t>
            </w:r>
          </w:p>
        </w:tc>
      </w:tr>
      <w:tr w:rsidR="00964452" w:rsidRPr="0043108B" w:rsidTr="009C5F11">
        <w:tc>
          <w:tcPr>
            <w:tcW w:w="1535" w:type="dxa"/>
          </w:tcPr>
          <w:p w:rsidR="00964452" w:rsidRPr="009D5E48" w:rsidRDefault="00964452" w:rsidP="009C5F11">
            <w:pPr>
              <w:autoSpaceDE w:val="0"/>
              <w:autoSpaceDN w:val="0"/>
              <w:adjustRightInd w:val="0"/>
              <w:spacing w:after="0" w:line="240" w:lineRule="auto"/>
              <w:rPr>
                <w:rFonts w:ascii="Arial" w:hAnsi="Arial" w:cs="Arial"/>
                <w:sz w:val="18"/>
                <w:szCs w:val="18"/>
                <w:lang w:eastAsia="nl-NL"/>
              </w:rPr>
            </w:pPr>
            <w:r w:rsidRPr="009D5E48">
              <w:rPr>
                <w:rFonts w:ascii="Arial" w:hAnsi="Arial" w:cs="Arial"/>
                <w:sz w:val="18"/>
                <w:szCs w:val="18"/>
                <w:lang w:eastAsia="nl-NL"/>
              </w:rPr>
              <w:t>2004</w:t>
            </w:r>
          </w:p>
        </w:tc>
        <w:tc>
          <w:tcPr>
            <w:tcW w:w="1535" w:type="dxa"/>
          </w:tcPr>
          <w:p w:rsidR="00964452" w:rsidRPr="009D5E48" w:rsidRDefault="00964452" w:rsidP="009C5F11">
            <w:pPr>
              <w:autoSpaceDE w:val="0"/>
              <w:autoSpaceDN w:val="0"/>
              <w:adjustRightInd w:val="0"/>
              <w:spacing w:after="0" w:line="240" w:lineRule="auto"/>
              <w:rPr>
                <w:rFonts w:ascii="Arial" w:hAnsi="Arial" w:cs="Arial"/>
                <w:sz w:val="18"/>
                <w:szCs w:val="18"/>
                <w:lang w:eastAsia="nl-NL"/>
              </w:rPr>
            </w:pPr>
            <w:r w:rsidRPr="009D5E48">
              <w:rPr>
                <w:rFonts w:ascii="Arial" w:hAnsi="Arial" w:cs="Arial"/>
                <w:sz w:val="18"/>
                <w:szCs w:val="18"/>
                <w:lang w:eastAsia="nl-NL"/>
              </w:rPr>
              <w:t>Rwanda</w:t>
            </w:r>
          </w:p>
        </w:tc>
        <w:tc>
          <w:tcPr>
            <w:tcW w:w="1535" w:type="dxa"/>
            <w:tcBorders>
              <w:right w:val="single" w:sz="12" w:space="0" w:color="000000"/>
            </w:tcBorders>
          </w:tcPr>
          <w:p w:rsidR="00964452" w:rsidRPr="009D5E48" w:rsidRDefault="00964452" w:rsidP="009C5F11">
            <w:pPr>
              <w:autoSpaceDE w:val="0"/>
              <w:autoSpaceDN w:val="0"/>
              <w:adjustRightInd w:val="0"/>
              <w:spacing w:after="0" w:line="240" w:lineRule="auto"/>
              <w:rPr>
                <w:rFonts w:ascii="Arial" w:hAnsi="Arial" w:cs="Arial"/>
                <w:sz w:val="18"/>
                <w:szCs w:val="18"/>
                <w:lang w:eastAsia="nl-NL"/>
              </w:rPr>
            </w:pPr>
            <w:r w:rsidRPr="009D5E48">
              <w:rPr>
                <w:rFonts w:ascii="Arial" w:hAnsi="Arial" w:cs="Arial"/>
                <w:sz w:val="18"/>
                <w:szCs w:val="18"/>
                <w:lang w:eastAsia="nl-NL"/>
              </w:rPr>
              <w:t>-40.5%</w:t>
            </w:r>
          </w:p>
        </w:tc>
        <w:tc>
          <w:tcPr>
            <w:tcW w:w="1535" w:type="dxa"/>
            <w:tcBorders>
              <w:left w:val="single" w:sz="12" w:space="0" w:color="000000"/>
            </w:tcBorders>
          </w:tcPr>
          <w:p w:rsidR="00964452" w:rsidRPr="009D5E48" w:rsidRDefault="00964452" w:rsidP="009C5F11">
            <w:pPr>
              <w:autoSpaceDE w:val="0"/>
              <w:autoSpaceDN w:val="0"/>
              <w:adjustRightInd w:val="0"/>
              <w:spacing w:after="0" w:line="240" w:lineRule="auto"/>
              <w:rPr>
                <w:rFonts w:ascii="Arial" w:hAnsi="Arial" w:cs="Arial"/>
                <w:sz w:val="18"/>
                <w:szCs w:val="18"/>
                <w:lang w:eastAsia="nl-NL"/>
              </w:rPr>
            </w:pPr>
          </w:p>
        </w:tc>
        <w:tc>
          <w:tcPr>
            <w:tcW w:w="1536" w:type="dxa"/>
          </w:tcPr>
          <w:p w:rsidR="00964452" w:rsidRPr="009D5E48" w:rsidRDefault="00964452" w:rsidP="009C5F11">
            <w:pPr>
              <w:autoSpaceDE w:val="0"/>
              <w:autoSpaceDN w:val="0"/>
              <w:adjustRightInd w:val="0"/>
              <w:spacing w:after="0" w:line="240" w:lineRule="auto"/>
              <w:rPr>
                <w:rFonts w:ascii="Arial" w:hAnsi="Arial" w:cs="Arial"/>
                <w:sz w:val="18"/>
                <w:szCs w:val="18"/>
                <w:lang w:eastAsia="nl-NL"/>
              </w:rPr>
            </w:pPr>
          </w:p>
        </w:tc>
        <w:tc>
          <w:tcPr>
            <w:tcW w:w="1536" w:type="dxa"/>
          </w:tcPr>
          <w:p w:rsidR="00964452" w:rsidRPr="009D5E48" w:rsidRDefault="00964452" w:rsidP="009C5F11">
            <w:pPr>
              <w:autoSpaceDE w:val="0"/>
              <w:autoSpaceDN w:val="0"/>
              <w:adjustRightInd w:val="0"/>
              <w:spacing w:after="0" w:line="240" w:lineRule="auto"/>
              <w:rPr>
                <w:rFonts w:ascii="Arial" w:hAnsi="Arial" w:cs="Arial"/>
                <w:sz w:val="18"/>
                <w:szCs w:val="18"/>
                <w:lang w:eastAsia="nl-NL"/>
              </w:rPr>
            </w:pPr>
          </w:p>
        </w:tc>
      </w:tr>
      <w:tr w:rsidR="00964452" w:rsidRPr="0043108B" w:rsidTr="009C5F11">
        <w:tc>
          <w:tcPr>
            <w:tcW w:w="1535" w:type="dxa"/>
          </w:tcPr>
          <w:p w:rsidR="00964452" w:rsidRPr="009D5E48" w:rsidRDefault="00964452" w:rsidP="009C5F11">
            <w:pPr>
              <w:autoSpaceDE w:val="0"/>
              <w:autoSpaceDN w:val="0"/>
              <w:adjustRightInd w:val="0"/>
              <w:spacing w:after="0" w:line="240" w:lineRule="auto"/>
              <w:rPr>
                <w:rFonts w:ascii="Arial" w:hAnsi="Arial" w:cs="Arial"/>
                <w:sz w:val="18"/>
                <w:szCs w:val="18"/>
                <w:lang w:eastAsia="nl-NL"/>
              </w:rPr>
            </w:pPr>
            <w:r w:rsidRPr="009D5E48">
              <w:rPr>
                <w:rFonts w:ascii="Arial" w:hAnsi="Arial" w:cs="Arial"/>
                <w:sz w:val="18"/>
                <w:szCs w:val="18"/>
                <w:lang w:eastAsia="nl-NL"/>
              </w:rPr>
              <w:t>2008</w:t>
            </w:r>
          </w:p>
        </w:tc>
        <w:tc>
          <w:tcPr>
            <w:tcW w:w="1535" w:type="dxa"/>
          </w:tcPr>
          <w:p w:rsidR="00964452" w:rsidRPr="009D5E48" w:rsidRDefault="00964452" w:rsidP="009C5F11">
            <w:pPr>
              <w:autoSpaceDE w:val="0"/>
              <w:autoSpaceDN w:val="0"/>
              <w:adjustRightInd w:val="0"/>
              <w:spacing w:after="0" w:line="240" w:lineRule="auto"/>
              <w:rPr>
                <w:rFonts w:ascii="Arial" w:hAnsi="Arial" w:cs="Arial"/>
                <w:sz w:val="18"/>
                <w:szCs w:val="18"/>
                <w:lang w:eastAsia="nl-NL"/>
              </w:rPr>
            </w:pPr>
            <w:r w:rsidRPr="009D5E48">
              <w:rPr>
                <w:rFonts w:ascii="Arial" w:hAnsi="Arial" w:cs="Arial"/>
                <w:sz w:val="18"/>
                <w:szCs w:val="18"/>
                <w:lang w:eastAsia="nl-NL"/>
              </w:rPr>
              <w:t>The Gambia</w:t>
            </w:r>
          </w:p>
        </w:tc>
        <w:tc>
          <w:tcPr>
            <w:tcW w:w="1535" w:type="dxa"/>
            <w:tcBorders>
              <w:right w:val="single" w:sz="12" w:space="0" w:color="000000"/>
            </w:tcBorders>
          </w:tcPr>
          <w:p w:rsidR="00964452" w:rsidRPr="009D5E48" w:rsidRDefault="00964452" w:rsidP="009C5F11">
            <w:pPr>
              <w:autoSpaceDE w:val="0"/>
              <w:autoSpaceDN w:val="0"/>
              <w:adjustRightInd w:val="0"/>
              <w:spacing w:after="0" w:line="240" w:lineRule="auto"/>
              <w:rPr>
                <w:rFonts w:ascii="Arial" w:hAnsi="Arial" w:cs="Arial"/>
                <w:sz w:val="18"/>
                <w:szCs w:val="18"/>
                <w:lang w:eastAsia="nl-NL"/>
              </w:rPr>
            </w:pPr>
            <w:r w:rsidRPr="009D5E48">
              <w:rPr>
                <w:rFonts w:ascii="Arial" w:hAnsi="Arial" w:cs="Arial"/>
                <w:sz w:val="18"/>
                <w:szCs w:val="18"/>
                <w:lang w:eastAsia="nl-NL"/>
              </w:rPr>
              <w:t>75.9%</w:t>
            </w:r>
          </w:p>
        </w:tc>
        <w:tc>
          <w:tcPr>
            <w:tcW w:w="1535" w:type="dxa"/>
            <w:tcBorders>
              <w:left w:val="single" w:sz="12" w:space="0" w:color="000000"/>
            </w:tcBorders>
          </w:tcPr>
          <w:p w:rsidR="00964452" w:rsidRPr="009D5E48" w:rsidRDefault="00964452" w:rsidP="009C5F11">
            <w:pPr>
              <w:autoSpaceDE w:val="0"/>
              <w:autoSpaceDN w:val="0"/>
              <w:adjustRightInd w:val="0"/>
              <w:spacing w:after="0" w:line="240" w:lineRule="auto"/>
              <w:rPr>
                <w:rFonts w:ascii="Arial" w:hAnsi="Arial" w:cs="Arial"/>
                <w:sz w:val="18"/>
                <w:szCs w:val="18"/>
                <w:lang w:eastAsia="nl-NL"/>
              </w:rPr>
            </w:pPr>
          </w:p>
        </w:tc>
        <w:tc>
          <w:tcPr>
            <w:tcW w:w="1536" w:type="dxa"/>
          </w:tcPr>
          <w:p w:rsidR="00964452" w:rsidRPr="009D5E48" w:rsidRDefault="00964452" w:rsidP="009C5F11">
            <w:pPr>
              <w:autoSpaceDE w:val="0"/>
              <w:autoSpaceDN w:val="0"/>
              <w:adjustRightInd w:val="0"/>
              <w:spacing w:after="0" w:line="240" w:lineRule="auto"/>
              <w:rPr>
                <w:rFonts w:ascii="Arial" w:hAnsi="Arial" w:cs="Arial"/>
                <w:sz w:val="18"/>
                <w:szCs w:val="18"/>
                <w:lang w:eastAsia="nl-NL"/>
              </w:rPr>
            </w:pPr>
          </w:p>
        </w:tc>
        <w:tc>
          <w:tcPr>
            <w:tcW w:w="1536" w:type="dxa"/>
          </w:tcPr>
          <w:p w:rsidR="00964452" w:rsidRPr="009D5E48" w:rsidRDefault="00964452" w:rsidP="009C5F11">
            <w:pPr>
              <w:autoSpaceDE w:val="0"/>
              <w:autoSpaceDN w:val="0"/>
              <w:adjustRightInd w:val="0"/>
              <w:spacing w:after="0" w:line="240" w:lineRule="auto"/>
              <w:rPr>
                <w:rFonts w:ascii="Arial" w:hAnsi="Arial" w:cs="Arial"/>
                <w:sz w:val="18"/>
                <w:szCs w:val="18"/>
                <w:lang w:eastAsia="nl-NL"/>
              </w:rPr>
            </w:pPr>
          </w:p>
        </w:tc>
      </w:tr>
    </w:tbl>
    <w:p w:rsidR="00964452" w:rsidRPr="00886FE7" w:rsidRDefault="00964452" w:rsidP="00886FE7">
      <w:pPr>
        <w:pStyle w:val="NoSpacing"/>
        <w:rPr>
          <w:sz w:val="20"/>
          <w:szCs w:val="20"/>
        </w:rPr>
      </w:pPr>
    </w:p>
    <w:p w:rsidR="00964452" w:rsidRPr="00ED5F3C" w:rsidRDefault="00964452" w:rsidP="00D5650A">
      <w:pPr>
        <w:pStyle w:val="Heading2"/>
        <w:spacing w:line="360" w:lineRule="auto"/>
      </w:pPr>
      <w:bookmarkStart w:id="39" w:name="_Toc299481900"/>
      <w:r w:rsidRPr="00ED5F3C">
        <w:t>South Africa versus Gabon</w:t>
      </w:r>
      <w:bookmarkEnd w:id="39"/>
    </w:p>
    <w:p w:rsidR="00964452" w:rsidRPr="00CE526F" w:rsidRDefault="00964452" w:rsidP="00D5650A">
      <w:pPr>
        <w:spacing w:line="360" w:lineRule="auto"/>
        <w:rPr>
          <w:color w:val="FF0000"/>
          <w:lang w:val="en-US"/>
        </w:rPr>
      </w:pPr>
      <w:r w:rsidRPr="00886FE7">
        <w:rPr>
          <w:lang w:val="en-US"/>
        </w:rPr>
        <w:t>This section gives insight into the differences and similarities between South Africa and Gabon</w:t>
      </w:r>
      <w:r>
        <w:rPr>
          <w:lang w:val="en-US"/>
        </w:rPr>
        <w:t xml:space="preserve">, as they have </w:t>
      </w:r>
      <w:r w:rsidRPr="0026010E">
        <w:rPr>
          <w:lang w:val="en-US"/>
        </w:rPr>
        <w:t>the largest EXPY</w:t>
      </w:r>
      <w:r>
        <w:rPr>
          <w:lang w:val="en-US"/>
        </w:rPr>
        <w:t>’s</w:t>
      </w:r>
      <w:r w:rsidRPr="0026010E">
        <w:rPr>
          <w:lang w:val="en-US"/>
        </w:rPr>
        <w:t xml:space="preserve"> within Sub-Saharan Africa</w:t>
      </w:r>
      <w:r>
        <w:rPr>
          <w:lang w:val="en-US"/>
        </w:rPr>
        <w:t>, but also differ in their development</w:t>
      </w:r>
      <w:r w:rsidRPr="0026010E">
        <w:rPr>
          <w:lang w:val="en-US"/>
        </w:rPr>
        <w:t>.</w:t>
      </w:r>
      <w:r w:rsidRPr="00BE7E2A">
        <w:rPr>
          <w:lang w:val="en-US"/>
        </w:rPr>
        <w:t>Figure 10</w:t>
      </w:r>
      <w:r>
        <w:rPr>
          <w:lang w:val="en-US"/>
        </w:rPr>
        <w:t xml:space="preserve">illustrate the differences between South Africa and Gabon in terms of their development of EXPY and GDP per capita. </w:t>
      </w:r>
      <w:r w:rsidRPr="00950B59">
        <w:t>South Africa’sEXPY value increased from $</w:t>
      </w:r>
      <w:r>
        <w:t>7,300 in 1992</w:t>
      </w:r>
      <w:r w:rsidRPr="00950B59">
        <w:t xml:space="preserve"> to $14,658 in 2006</w:t>
      </w:r>
      <w:r>
        <w:t>,</w:t>
      </w:r>
      <w:r w:rsidRPr="00950B59">
        <w:t xml:space="preserve"> but then fell slightly to $14,124 in 2008</w:t>
      </w:r>
      <w:r w:rsidRPr="00203A34">
        <w:t>. The graph shows a decrease of South Africa’s EXPY in 2000; 13.9%, which was followed by an increase of 18.3% in 2001. Conversely</w:t>
      </w:r>
      <w:r>
        <w:t xml:space="preserve">, Gabon’s EXPY remained around $12,500 over the years, except for the dip in 2003. As a consequence, from 2001, South Africa’s export productivity is higher than that of Gabon. In contrast, Gabon’s GDP per capita was generally twice as large as South Africa’s. South Africa’s income level seems to increase linearly, whereas that of Gabon is not.  </w:t>
      </w:r>
    </w:p>
    <w:p w:rsidR="00964452" w:rsidRPr="0074159D" w:rsidRDefault="00964452" w:rsidP="0074159D">
      <w:pPr>
        <w:pStyle w:val="NoSpacing"/>
        <w:rPr>
          <w:sz w:val="18"/>
          <w:szCs w:val="18"/>
        </w:rPr>
      </w:pPr>
      <w:r w:rsidRPr="0074159D">
        <w:rPr>
          <w:sz w:val="18"/>
          <w:szCs w:val="18"/>
        </w:rPr>
        <w:t>Figure 10: EXPY and GDP per capitadevelopment of Gabon and South Africa</w:t>
      </w:r>
    </w:p>
    <w:p w:rsidR="00964452" w:rsidRDefault="00964452" w:rsidP="00D5650A">
      <w:pPr>
        <w:spacing w:line="360" w:lineRule="auto"/>
        <w:rPr>
          <w:sz w:val="18"/>
          <w:szCs w:val="18"/>
        </w:rPr>
      </w:pPr>
      <w:r w:rsidRPr="002638B5">
        <w:rPr>
          <w:noProof/>
          <w:sz w:val="18"/>
          <w:szCs w:val="18"/>
          <w:lang w:val="en-US"/>
        </w:rPr>
        <w:pict>
          <v:shape id="Afbeelding 5" o:spid="_x0000_i1037" type="#_x0000_t75" style="width:477pt;height:218.25pt;visibility:visible">
            <v:imagedata r:id="rId23" o:title=""/>
          </v:shape>
        </w:pict>
      </w:r>
    </w:p>
    <w:p w:rsidR="00964452" w:rsidRDefault="00964452" w:rsidP="0074159D">
      <w:pPr>
        <w:pStyle w:val="NoSpacing"/>
        <w:rPr>
          <w:sz w:val="18"/>
          <w:szCs w:val="18"/>
          <w:lang w:eastAsia="nl-NL"/>
        </w:rPr>
      </w:pPr>
    </w:p>
    <w:p w:rsidR="00964452" w:rsidRPr="0074159D" w:rsidRDefault="00964452" w:rsidP="0074159D">
      <w:pPr>
        <w:pStyle w:val="NoSpacing"/>
        <w:rPr>
          <w:sz w:val="18"/>
          <w:szCs w:val="18"/>
          <w:lang w:eastAsia="nl-NL"/>
        </w:rPr>
      </w:pPr>
      <w:r w:rsidRPr="0074159D">
        <w:rPr>
          <w:sz w:val="18"/>
          <w:szCs w:val="18"/>
          <w:lang w:eastAsia="nl-NL"/>
        </w:rPr>
        <w:t>Table 9: Export shares of GDP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78"/>
        <w:gridCol w:w="2427"/>
        <w:gridCol w:w="2163"/>
        <w:gridCol w:w="2444"/>
      </w:tblGrid>
      <w:tr w:rsidR="00964452" w:rsidRPr="00510F36" w:rsidTr="009C5F11">
        <w:tc>
          <w:tcPr>
            <w:tcW w:w="4605" w:type="dxa"/>
            <w:gridSpan w:val="2"/>
            <w:tcBorders>
              <w:bottom w:val="single" w:sz="12" w:space="0" w:color="000000"/>
              <w:right w:val="single" w:sz="12" w:space="0" w:color="000000"/>
            </w:tcBorders>
          </w:tcPr>
          <w:p w:rsidR="00964452" w:rsidRPr="009D5E48" w:rsidRDefault="00964452" w:rsidP="009C5F11">
            <w:pPr>
              <w:autoSpaceDE w:val="0"/>
              <w:autoSpaceDN w:val="0"/>
              <w:adjustRightInd w:val="0"/>
              <w:spacing w:after="0" w:line="240" w:lineRule="auto"/>
              <w:rPr>
                <w:rFonts w:ascii="Arial" w:hAnsi="Arial" w:cs="Arial"/>
                <w:b/>
                <w:sz w:val="18"/>
                <w:szCs w:val="18"/>
                <w:lang w:eastAsia="nl-NL"/>
              </w:rPr>
            </w:pPr>
            <w:r w:rsidRPr="009D5E48">
              <w:rPr>
                <w:rFonts w:ascii="Arial" w:hAnsi="Arial" w:cs="Arial"/>
                <w:b/>
                <w:sz w:val="18"/>
                <w:szCs w:val="18"/>
                <w:lang w:eastAsia="nl-NL"/>
              </w:rPr>
              <w:t>Gabon</w:t>
            </w:r>
          </w:p>
        </w:tc>
        <w:tc>
          <w:tcPr>
            <w:tcW w:w="4607" w:type="dxa"/>
            <w:gridSpan w:val="2"/>
            <w:tcBorders>
              <w:left w:val="single" w:sz="12" w:space="0" w:color="000000"/>
              <w:bottom w:val="single" w:sz="12" w:space="0" w:color="000000"/>
            </w:tcBorders>
          </w:tcPr>
          <w:p w:rsidR="00964452" w:rsidRPr="009D5E48" w:rsidRDefault="00964452" w:rsidP="009C5F11">
            <w:pPr>
              <w:autoSpaceDE w:val="0"/>
              <w:autoSpaceDN w:val="0"/>
              <w:adjustRightInd w:val="0"/>
              <w:spacing w:after="0" w:line="240" w:lineRule="auto"/>
              <w:rPr>
                <w:rFonts w:ascii="Arial" w:hAnsi="Arial" w:cs="Arial"/>
                <w:b/>
                <w:sz w:val="18"/>
                <w:szCs w:val="18"/>
                <w:lang w:eastAsia="nl-NL"/>
              </w:rPr>
            </w:pPr>
            <w:r w:rsidRPr="009D5E48">
              <w:rPr>
                <w:rFonts w:ascii="Arial" w:hAnsi="Arial" w:cs="Arial"/>
                <w:b/>
                <w:sz w:val="18"/>
                <w:szCs w:val="18"/>
                <w:lang w:eastAsia="nl-NL"/>
              </w:rPr>
              <w:t>South Africa</w:t>
            </w:r>
          </w:p>
        </w:tc>
      </w:tr>
      <w:tr w:rsidR="00964452" w:rsidRPr="00510F36" w:rsidTr="009C5F11">
        <w:tc>
          <w:tcPr>
            <w:tcW w:w="2178" w:type="dxa"/>
            <w:tcBorders>
              <w:top w:val="single" w:sz="12" w:space="0" w:color="000000"/>
            </w:tcBorders>
          </w:tcPr>
          <w:p w:rsidR="00964452" w:rsidRPr="009D5E48" w:rsidRDefault="00964452" w:rsidP="009C5F11">
            <w:pPr>
              <w:autoSpaceDE w:val="0"/>
              <w:autoSpaceDN w:val="0"/>
              <w:adjustRightInd w:val="0"/>
              <w:spacing w:after="0" w:line="240" w:lineRule="auto"/>
              <w:rPr>
                <w:rFonts w:ascii="Arial" w:hAnsi="Arial" w:cs="Arial"/>
                <w:sz w:val="20"/>
                <w:szCs w:val="20"/>
                <w:lang w:eastAsia="nl-NL"/>
              </w:rPr>
            </w:pPr>
            <w:r w:rsidRPr="009D5E48">
              <w:rPr>
                <w:rFonts w:ascii="Arial" w:hAnsi="Arial" w:cs="Arial"/>
                <w:sz w:val="20"/>
                <w:szCs w:val="20"/>
                <w:lang w:eastAsia="nl-NL"/>
              </w:rPr>
              <w:t>Year</w:t>
            </w:r>
          </w:p>
        </w:tc>
        <w:tc>
          <w:tcPr>
            <w:tcW w:w="2427" w:type="dxa"/>
            <w:tcBorders>
              <w:top w:val="single" w:sz="12" w:space="0" w:color="000000"/>
              <w:right w:val="single" w:sz="12" w:space="0" w:color="000000"/>
            </w:tcBorders>
          </w:tcPr>
          <w:p w:rsidR="00964452" w:rsidRPr="009D5E48" w:rsidRDefault="00964452" w:rsidP="009C5F11">
            <w:pPr>
              <w:autoSpaceDE w:val="0"/>
              <w:autoSpaceDN w:val="0"/>
              <w:adjustRightInd w:val="0"/>
              <w:spacing w:after="0" w:line="240" w:lineRule="auto"/>
              <w:rPr>
                <w:rFonts w:ascii="Arial" w:hAnsi="Arial" w:cs="Arial"/>
                <w:sz w:val="20"/>
                <w:szCs w:val="20"/>
                <w:lang w:eastAsia="nl-NL"/>
              </w:rPr>
            </w:pPr>
            <w:r w:rsidRPr="009D5E48">
              <w:rPr>
                <w:rFonts w:ascii="Arial" w:hAnsi="Arial" w:cs="Arial"/>
                <w:sz w:val="20"/>
                <w:szCs w:val="20"/>
                <w:lang w:eastAsia="nl-NL"/>
              </w:rPr>
              <w:t>Export share of GDP</w:t>
            </w:r>
          </w:p>
        </w:tc>
        <w:tc>
          <w:tcPr>
            <w:tcW w:w="2163" w:type="dxa"/>
            <w:tcBorders>
              <w:top w:val="single" w:sz="12" w:space="0" w:color="000000"/>
              <w:left w:val="single" w:sz="12" w:space="0" w:color="000000"/>
            </w:tcBorders>
          </w:tcPr>
          <w:p w:rsidR="00964452" w:rsidRPr="009D5E48" w:rsidRDefault="00964452" w:rsidP="009C5F11">
            <w:pPr>
              <w:autoSpaceDE w:val="0"/>
              <w:autoSpaceDN w:val="0"/>
              <w:adjustRightInd w:val="0"/>
              <w:spacing w:after="0" w:line="240" w:lineRule="auto"/>
              <w:rPr>
                <w:rFonts w:ascii="Arial" w:hAnsi="Arial" w:cs="Arial"/>
                <w:sz w:val="20"/>
                <w:szCs w:val="20"/>
                <w:lang w:eastAsia="nl-NL"/>
              </w:rPr>
            </w:pPr>
            <w:r w:rsidRPr="009D5E48">
              <w:rPr>
                <w:rFonts w:ascii="Arial" w:hAnsi="Arial" w:cs="Arial"/>
                <w:sz w:val="20"/>
                <w:szCs w:val="20"/>
                <w:lang w:eastAsia="nl-NL"/>
              </w:rPr>
              <w:t>Year</w:t>
            </w:r>
          </w:p>
        </w:tc>
        <w:tc>
          <w:tcPr>
            <w:tcW w:w="2444" w:type="dxa"/>
            <w:tcBorders>
              <w:top w:val="single" w:sz="12" w:space="0" w:color="000000"/>
            </w:tcBorders>
          </w:tcPr>
          <w:p w:rsidR="00964452" w:rsidRPr="009D5E48" w:rsidRDefault="00964452" w:rsidP="009C5F11">
            <w:pPr>
              <w:autoSpaceDE w:val="0"/>
              <w:autoSpaceDN w:val="0"/>
              <w:adjustRightInd w:val="0"/>
              <w:spacing w:after="0" w:line="240" w:lineRule="auto"/>
              <w:rPr>
                <w:rFonts w:ascii="Arial" w:hAnsi="Arial" w:cs="Arial"/>
                <w:sz w:val="20"/>
                <w:szCs w:val="20"/>
                <w:lang w:eastAsia="nl-NL"/>
              </w:rPr>
            </w:pPr>
            <w:r w:rsidRPr="009D5E48">
              <w:rPr>
                <w:rFonts w:ascii="Arial" w:hAnsi="Arial" w:cs="Arial"/>
                <w:sz w:val="20"/>
                <w:szCs w:val="20"/>
                <w:lang w:eastAsia="nl-NL"/>
              </w:rPr>
              <w:t>Export share of GDP</w:t>
            </w:r>
          </w:p>
        </w:tc>
      </w:tr>
      <w:tr w:rsidR="00964452" w:rsidRPr="00510F36" w:rsidTr="009C5F11">
        <w:tc>
          <w:tcPr>
            <w:tcW w:w="2178" w:type="dxa"/>
          </w:tcPr>
          <w:p w:rsidR="00964452" w:rsidRPr="009D5E48" w:rsidRDefault="00964452" w:rsidP="009C5F11">
            <w:pPr>
              <w:autoSpaceDE w:val="0"/>
              <w:autoSpaceDN w:val="0"/>
              <w:adjustRightInd w:val="0"/>
              <w:spacing w:after="0" w:line="240" w:lineRule="auto"/>
              <w:rPr>
                <w:rFonts w:ascii="Arial" w:hAnsi="Arial" w:cs="Arial"/>
                <w:sz w:val="20"/>
                <w:szCs w:val="20"/>
                <w:lang w:eastAsia="nl-NL"/>
              </w:rPr>
            </w:pPr>
            <w:r w:rsidRPr="009D5E48">
              <w:rPr>
                <w:rFonts w:ascii="Arial" w:hAnsi="Arial" w:cs="Arial"/>
                <w:sz w:val="20"/>
                <w:szCs w:val="20"/>
                <w:lang w:eastAsia="nl-NL"/>
              </w:rPr>
              <w:t>1997</w:t>
            </w:r>
          </w:p>
        </w:tc>
        <w:tc>
          <w:tcPr>
            <w:tcW w:w="2427" w:type="dxa"/>
            <w:tcBorders>
              <w:right w:val="single" w:sz="12" w:space="0" w:color="000000"/>
            </w:tcBorders>
          </w:tcPr>
          <w:p w:rsidR="00964452" w:rsidRPr="009D5E48" w:rsidRDefault="00964452" w:rsidP="009C5F11">
            <w:pPr>
              <w:autoSpaceDE w:val="0"/>
              <w:autoSpaceDN w:val="0"/>
              <w:adjustRightInd w:val="0"/>
              <w:spacing w:after="0" w:line="240" w:lineRule="auto"/>
              <w:rPr>
                <w:rFonts w:ascii="Arial" w:hAnsi="Arial" w:cs="Arial"/>
                <w:sz w:val="20"/>
                <w:szCs w:val="20"/>
                <w:lang w:eastAsia="nl-NL"/>
              </w:rPr>
            </w:pPr>
            <w:r w:rsidRPr="009D5E48">
              <w:rPr>
                <w:rFonts w:ascii="Arial" w:hAnsi="Arial" w:cs="Arial"/>
                <w:sz w:val="20"/>
                <w:szCs w:val="20"/>
              </w:rPr>
              <w:t>49.4%</w:t>
            </w:r>
          </w:p>
        </w:tc>
        <w:tc>
          <w:tcPr>
            <w:tcW w:w="2163" w:type="dxa"/>
            <w:tcBorders>
              <w:left w:val="single" w:sz="12" w:space="0" w:color="000000"/>
            </w:tcBorders>
          </w:tcPr>
          <w:p w:rsidR="00964452" w:rsidRPr="009D5E48" w:rsidRDefault="00964452" w:rsidP="009C5F11">
            <w:pPr>
              <w:autoSpaceDE w:val="0"/>
              <w:autoSpaceDN w:val="0"/>
              <w:adjustRightInd w:val="0"/>
              <w:spacing w:after="0" w:line="240" w:lineRule="auto"/>
              <w:rPr>
                <w:rFonts w:ascii="Arial" w:hAnsi="Arial" w:cs="Arial"/>
                <w:sz w:val="20"/>
                <w:szCs w:val="20"/>
                <w:lang w:eastAsia="nl-NL"/>
              </w:rPr>
            </w:pPr>
            <w:r w:rsidRPr="009D5E48">
              <w:rPr>
                <w:rFonts w:ascii="Arial" w:hAnsi="Arial" w:cs="Arial"/>
                <w:sz w:val="20"/>
                <w:szCs w:val="20"/>
                <w:lang w:eastAsia="nl-NL"/>
              </w:rPr>
              <w:t>1997</w:t>
            </w:r>
          </w:p>
        </w:tc>
        <w:tc>
          <w:tcPr>
            <w:tcW w:w="2444" w:type="dxa"/>
          </w:tcPr>
          <w:p w:rsidR="00964452" w:rsidRPr="009D5E48" w:rsidRDefault="00964452" w:rsidP="009C5F11">
            <w:pPr>
              <w:autoSpaceDE w:val="0"/>
              <w:autoSpaceDN w:val="0"/>
              <w:adjustRightInd w:val="0"/>
              <w:spacing w:after="0" w:line="240" w:lineRule="auto"/>
              <w:rPr>
                <w:rFonts w:ascii="Arial" w:hAnsi="Arial" w:cs="Arial"/>
                <w:sz w:val="20"/>
                <w:szCs w:val="20"/>
                <w:lang w:eastAsia="nl-NL"/>
              </w:rPr>
            </w:pPr>
            <w:r w:rsidRPr="009D5E48">
              <w:rPr>
                <w:rFonts w:ascii="Arial" w:hAnsi="Arial" w:cs="Arial"/>
                <w:sz w:val="20"/>
                <w:szCs w:val="20"/>
              </w:rPr>
              <w:t>15.1%</w:t>
            </w:r>
          </w:p>
        </w:tc>
      </w:tr>
      <w:tr w:rsidR="00964452" w:rsidRPr="00510F36" w:rsidTr="009C5F11">
        <w:tc>
          <w:tcPr>
            <w:tcW w:w="2178" w:type="dxa"/>
          </w:tcPr>
          <w:p w:rsidR="00964452" w:rsidRPr="009D5E48" w:rsidRDefault="00964452" w:rsidP="009C5F11">
            <w:pPr>
              <w:autoSpaceDE w:val="0"/>
              <w:autoSpaceDN w:val="0"/>
              <w:adjustRightInd w:val="0"/>
              <w:spacing w:after="0" w:line="240" w:lineRule="auto"/>
              <w:rPr>
                <w:rFonts w:ascii="Arial" w:hAnsi="Arial" w:cs="Arial"/>
                <w:sz w:val="20"/>
                <w:szCs w:val="20"/>
                <w:lang w:eastAsia="nl-NL"/>
              </w:rPr>
            </w:pPr>
            <w:r w:rsidRPr="009D5E48">
              <w:rPr>
                <w:rFonts w:ascii="Arial" w:hAnsi="Arial" w:cs="Arial"/>
                <w:sz w:val="20"/>
                <w:szCs w:val="20"/>
                <w:lang w:eastAsia="nl-NL"/>
              </w:rPr>
              <w:t>2006</w:t>
            </w:r>
          </w:p>
        </w:tc>
        <w:tc>
          <w:tcPr>
            <w:tcW w:w="2427" w:type="dxa"/>
            <w:tcBorders>
              <w:right w:val="single" w:sz="12" w:space="0" w:color="000000"/>
            </w:tcBorders>
          </w:tcPr>
          <w:p w:rsidR="00964452" w:rsidRPr="009D5E48" w:rsidRDefault="00964452" w:rsidP="009C5F11">
            <w:pPr>
              <w:autoSpaceDE w:val="0"/>
              <w:autoSpaceDN w:val="0"/>
              <w:adjustRightInd w:val="0"/>
              <w:spacing w:after="0" w:line="240" w:lineRule="auto"/>
              <w:rPr>
                <w:rFonts w:ascii="Arial" w:hAnsi="Arial" w:cs="Arial"/>
                <w:sz w:val="20"/>
                <w:szCs w:val="20"/>
                <w:lang w:eastAsia="nl-NL"/>
              </w:rPr>
            </w:pPr>
            <w:r w:rsidRPr="009D5E48">
              <w:rPr>
                <w:rFonts w:ascii="Arial" w:hAnsi="Arial" w:cs="Arial"/>
                <w:sz w:val="20"/>
                <w:szCs w:val="20"/>
              </w:rPr>
              <w:t>63.0%</w:t>
            </w:r>
          </w:p>
        </w:tc>
        <w:tc>
          <w:tcPr>
            <w:tcW w:w="2163" w:type="dxa"/>
            <w:tcBorders>
              <w:left w:val="single" w:sz="12" w:space="0" w:color="000000"/>
            </w:tcBorders>
          </w:tcPr>
          <w:p w:rsidR="00964452" w:rsidRPr="009D5E48" w:rsidRDefault="00964452" w:rsidP="009C5F11">
            <w:pPr>
              <w:autoSpaceDE w:val="0"/>
              <w:autoSpaceDN w:val="0"/>
              <w:adjustRightInd w:val="0"/>
              <w:spacing w:after="0" w:line="240" w:lineRule="auto"/>
              <w:rPr>
                <w:rFonts w:ascii="Arial" w:hAnsi="Arial" w:cs="Arial"/>
                <w:sz w:val="20"/>
                <w:szCs w:val="20"/>
                <w:lang w:eastAsia="nl-NL"/>
              </w:rPr>
            </w:pPr>
            <w:r w:rsidRPr="009D5E48">
              <w:rPr>
                <w:rFonts w:ascii="Arial" w:hAnsi="Arial" w:cs="Arial"/>
                <w:sz w:val="20"/>
                <w:szCs w:val="20"/>
                <w:lang w:eastAsia="nl-NL"/>
              </w:rPr>
              <w:t>2006</w:t>
            </w:r>
          </w:p>
        </w:tc>
        <w:tc>
          <w:tcPr>
            <w:tcW w:w="2444" w:type="dxa"/>
          </w:tcPr>
          <w:p w:rsidR="00964452" w:rsidRPr="009D5E48" w:rsidRDefault="00964452" w:rsidP="009C5F11">
            <w:pPr>
              <w:autoSpaceDE w:val="0"/>
              <w:autoSpaceDN w:val="0"/>
              <w:adjustRightInd w:val="0"/>
              <w:spacing w:after="0" w:line="240" w:lineRule="auto"/>
              <w:rPr>
                <w:rFonts w:ascii="Arial" w:hAnsi="Arial" w:cs="Arial"/>
                <w:sz w:val="20"/>
                <w:szCs w:val="20"/>
                <w:lang w:eastAsia="nl-NL"/>
              </w:rPr>
            </w:pPr>
            <w:r w:rsidRPr="009D5E48">
              <w:rPr>
                <w:rFonts w:ascii="Arial" w:hAnsi="Arial" w:cs="Arial"/>
                <w:sz w:val="20"/>
                <w:szCs w:val="20"/>
              </w:rPr>
              <w:t>20.2%</w:t>
            </w:r>
          </w:p>
        </w:tc>
      </w:tr>
    </w:tbl>
    <w:p w:rsidR="00964452" w:rsidRPr="0074159D" w:rsidRDefault="00964452" w:rsidP="0074159D">
      <w:pPr>
        <w:pStyle w:val="NoSpacing"/>
        <w:rPr>
          <w:sz w:val="20"/>
          <w:szCs w:val="20"/>
        </w:rPr>
      </w:pPr>
    </w:p>
    <w:p w:rsidR="00964452" w:rsidRPr="00510F36" w:rsidRDefault="00964452" w:rsidP="00AB3217">
      <w:pPr>
        <w:spacing w:line="360" w:lineRule="auto"/>
      </w:pPr>
      <w:r w:rsidRPr="00510F36">
        <w:t xml:space="preserve">In addition, </w:t>
      </w:r>
      <w:r w:rsidRPr="0074159D">
        <w:t xml:space="preserve">table 9 shows the </w:t>
      </w:r>
      <w:r w:rsidRPr="00510F36">
        <w:t>exports-to-GDP-ratio’s for both countries. Exports is more important to Gabon’s economy than to</w:t>
      </w:r>
      <w:r>
        <w:t xml:space="preserve"> that of South Africa</w:t>
      </w:r>
      <w:r w:rsidRPr="00510F36">
        <w:t>; the export share of GDP of Gabon is much larger. Furthermore, the export shares of both countries have increased over time.</w:t>
      </w:r>
      <w:r>
        <w:rPr>
          <w:rStyle w:val="FootnoteReference"/>
        </w:rPr>
        <w:footnoteReference w:id="17"/>
      </w:r>
    </w:p>
    <w:p w:rsidR="00964452" w:rsidRDefault="00964452" w:rsidP="00AB3217">
      <w:pPr>
        <w:spacing w:line="360" w:lineRule="auto"/>
      </w:pPr>
    </w:p>
    <w:p w:rsidR="00964452" w:rsidRPr="00510F36" w:rsidRDefault="00964452" w:rsidP="00AB3217">
      <w:pPr>
        <w:spacing w:line="360" w:lineRule="auto"/>
      </w:pPr>
      <w:r w:rsidRPr="00510F36">
        <w:t xml:space="preserve">The products with the largest export shares of Gabon and South Africa are illustrated </w:t>
      </w:r>
      <w:r w:rsidRPr="00AB3217">
        <w:t xml:space="preserve">in figure 11. By far the largest share of Gabon’sexport basket consists of petroleum oils, with a </w:t>
      </w:r>
      <w:r w:rsidRPr="00510F36">
        <w:t>PRODY of $12,818.In 2006 the export share of this product even increased to 84.4%. Moreover, the oil revenues comprised 53.2% of Gabon’s GDP. The stability of Gabon’s export productivity can, thus, be explained by the fact that one product is responsible for the majority of the county’s exports.</w:t>
      </w:r>
      <w:r>
        <w:t xml:space="preserve"> However, Gabon’s diminishing oil reserves will in all probability result in a changing export structure in the next decade. Timber exports is likely to become of increased importance (Laurance, Alonso, Lee &amp; Campbell, 2006). </w:t>
      </w:r>
    </w:p>
    <w:p w:rsidR="00964452" w:rsidRDefault="00964452" w:rsidP="00AB3217">
      <w:pPr>
        <w:spacing w:line="360" w:lineRule="auto"/>
      </w:pPr>
      <w:r>
        <w:t xml:space="preserve">South Africa’s export is much more divided over various products. Furthermore, </w:t>
      </w:r>
      <w:r w:rsidRPr="00510F36">
        <w:t xml:space="preserve">South Africa’s exports composition changed over the years. In 1999, </w:t>
      </w:r>
      <w:r>
        <w:t>coal had the largest export share, with</w:t>
      </w:r>
      <w:r w:rsidRPr="00510F36">
        <w:t xml:space="preserve"> a PRODY of </w:t>
      </w:r>
      <w:r>
        <w:t>$</w:t>
      </w:r>
      <w:r w:rsidRPr="00510F36">
        <w:t xml:space="preserve">13,987.In 2006, this product still had the largest share of South Africa’s exports, but was </w:t>
      </w:r>
      <w:r>
        <w:t>then</w:t>
      </w:r>
      <w:r w:rsidRPr="00510F36">
        <w:t xml:space="preserve"> followed by </w:t>
      </w:r>
      <w:r>
        <w:t>unwrought platinum</w:t>
      </w:r>
      <w:r w:rsidRPr="00510F36">
        <w:t xml:space="preserve">, </w:t>
      </w:r>
      <w:r>
        <w:t>which has a considerably larger PRODY;$20,897</w:t>
      </w:r>
      <w:r w:rsidRPr="00510F36">
        <w:t xml:space="preserve">. </w:t>
      </w:r>
      <w:r>
        <w:t xml:space="preserve">The product’s share of total exports increased from 2.5% in 1999 to 5.0% in 2006. Furthermore, in 2007, more platinum than coalwas exported. </w:t>
      </w:r>
    </w:p>
    <w:p w:rsidR="00964452" w:rsidRPr="00AB3217" w:rsidRDefault="00964452" w:rsidP="00AB3217">
      <w:pPr>
        <w:pStyle w:val="NoSpacing"/>
        <w:rPr>
          <w:sz w:val="20"/>
          <w:szCs w:val="20"/>
        </w:rPr>
      </w:pPr>
    </w:p>
    <w:p w:rsidR="00964452" w:rsidRPr="00AB3217" w:rsidRDefault="00964452" w:rsidP="00AB3217">
      <w:pPr>
        <w:pStyle w:val="NoSpacing"/>
        <w:rPr>
          <w:sz w:val="18"/>
          <w:szCs w:val="18"/>
        </w:rPr>
      </w:pPr>
      <w:r w:rsidRPr="00AB3217">
        <w:rPr>
          <w:sz w:val="18"/>
          <w:szCs w:val="18"/>
        </w:rPr>
        <w:t>Figure 11: Shares of total exports</w:t>
      </w:r>
    </w:p>
    <w:p w:rsidR="00964452" w:rsidRDefault="00964452" w:rsidP="00D5650A">
      <w:pPr>
        <w:pStyle w:val="NoSpacing"/>
        <w:spacing w:line="360" w:lineRule="auto"/>
      </w:pPr>
      <w:r w:rsidRPr="002638B5">
        <w:rPr>
          <w:noProof/>
          <w:lang w:val="en-US"/>
        </w:rPr>
        <w:pict>
          <v:shape id="Afbeelding 4" o:spid="_x0000_i1038" type="#_x0000_t75" style="width:452.25pt;height:135pt;visibility:visible">
            <v:imagedata r:id="rId24" o:title=""/>
          </v:shape>
        </w:pict>
      </w:r>
    </w:p>
    <w:p w:rsidR="00964452" w:rsidRDefault="00964452" w:rsidP="00AB3217"/>
    <w:p w:rsidR="00964452" w:rsidRPr="00A27D70" w:rsidRDefault="00964452" w:rsidP="00D5650A">
      <w:pPr>
        <w:pStyle w:val="Heading1"/>
        <w:numPr>
          <w:ilvl w:val="0"/>
          <w:numId w:val="2"/>
        </w:numPr>
        <w:spacing w:line="360" w:lineRule="auto"/>
      </w:pPr>
      <w:bookmarkStart w:id="40" w:name="_Toc286688952"/>
      <w:bookmarkStart w:id="41" w:name="_Toc299481901"/>
      <w:r>
        <w:t>Distribution of productivity levels within countries’ specialisation patterns</w:t>
      </w:r>
      <w:bookmarkEnd w:id="40"/>
      <w:bookmarkEnd w:id="41"/>
    </w:p>
    <w:p w:rsidR="00964452" w:rsidRDefault="00964452" w:rsidP="00D5650A">
      <w:pPr>
        <w:spacing w:line="360" w:lineRule="auto"/>
      </w:pPr>
      <w:r>
        <w:t xml:space="preserve">EXPY measures the productivity of a country’s total export basket, but does not clarify how the products in this export basket are distributed in terms of PRODY. How are the productivity levels of products distributed within countries’ exports? Is there a difference in this distribution between rich countries and developing countries? In order to have a closer look at the productivity structure of products that countries export, this part focuses on the categorisation of PRODY’s within a country’s exports; the exported commodities are now categorised by PRODY values. For a selection of countries, graphs are made with the PRODY categories on the x-axis and the corresponding export value on the y-axis, so that thecountry’s composition of exports in terms of productivity levels of products is revealed. </w:t>
      </w:r>
    </w:p>
    <w:p w:rsidR="00964452" w:rsidRPr="00001F2B" w:rsidRDefault="00964452" w:rsidP="00D5650A">
      <w:pPr>
        <w:pStyle w:val="Heading2"/>
        <w:spacing w:line="360" w:lineRule="auto"/>
      </w:pPr>
      <w:bookmarkStart w:id="42" w:name="_Toc286688953"/>
      <w:bookmarkStart w:id="43" w:name="_Toc299481902"/>
      <w:r w:rsidRPr="00001F2B">
        <w:t>Method</w:t>
      </w:r>
      <w:bookmarkEnd w:id="42"/>
      <w:bookmarkEnd w:id="43"/>
    </w:p>
    <w:p w:rsidR="00964452" w:rsidRPr="008C2655" w:rsidRDefault="00964452" w:rsidP="00D5650A">
      <w:pPr>
        <w:spacing w:line="360" w:lineRule="auto"/>
      </w:pPr>
      <w:r>
        <w:t>Countries with various income levels were selected.</w:t>
      </w:r>
      <w:r>
        <w:rPr>
          <w:rStyle w:val="FootnoteReference"/>
        </w:rPr>
        <w:footnoteReference w:id="18"/>
      </w:r>
      <w:r>
        <w:t>In order to look at the development of the productivity levels of these countries’ export baskets, graphs of this PRODY categorisation were made for 4 years, if data was available, being; 1992, 1996, 2004 and 2008. For this way of time series analysis, GDP deflators were used to adjust the export values for inflation; the export values in the graphs are measured in 2008 US dollars.</w:t>
      </w:r>
      <w:r w:rsidRPr="008C2655">
        <w:t xml:space="preserve">Additionally, all values mentioned in this part, total exports as well as exports </w:t>
      </w:r>
      <w:r>
        <w:t>a</w:t>
      </w:r>
      <w:r w:rsidRPr="008C2655">
        <w:t>re corrected for inflation.</w:t>
      </w:r>
    </w:p>
    <w:p w:rsidR="00964452" w:rsidRDefault="00964452" w:rsidP="00D5650A">
      <w:pPr>
        <w:spacing w:line="360" w:lineRule="auto"/>
      </w:pPr>
      <w:r>
        <w:t xml:space="preserve">The PRODY values were split into 10 equal categories. The first category contains all products a country exports with a PRODY value of 1 to 6,000 dollars and the last category contains all exported products with a PRODY of 54,000 to 60,000 dollars. The corresponding export values belonging to each PRODY category were plotted against these categories.This was done for several countries for the 4 years. As a result, it is easy to observe what export valuesa country has within each certain PRODY category. Furthermore, the composition of the export baskets can be compared easily among countries. </w:t>
      </w:r>
    </w:p>
    <w:p w:rsidR="00964452" w:rsidRDefault="00964452" w:rsidP="00D5650A">
      <w:pPr>
        <w:pStyle w:val="Heading2"/>
        <w:spacing w:line="360" w:lineRule="auto"/>
      </w:pPr>
      <w:bookmarkStart w:id="44" w:name="_Toc299481903"/>
      <w:r>
        <w:t>Rich countries</w:t>
      </w:r>
      <w:bookmarkEnd w:id="44"/>
    </w:p>
    <w:p w:rsidR="00964452" w:rsidRDefault="00964452" w:rsidP="00D5650A">
      <w:pPr>
        <w:spacing w:line="360" w:lineRule="auto"/>
      </w:pPr>
      <w:r>
        <w:t xml:space="preserve">Rich countries </w:t>
      </w:r>
      <w:r w:rsidRPr="00EA4997">
        <w:t>specialise</w:t>
      </w:r>
      <w:r>
        <w:t xml:space="preserve"> in the exports of products with PRODY’s between $18,000 and $24,000. They have large export shares in computer parts, iron, medicaments and parts of aeroplanes. Furthermore, rich countries export products with all types of PRODY levels,but mainly between $6,000 and $42000.</w:t>
      </w:r>
      <w:r>
        <w:rPr>
          <w:rStyle w:val="FootnoteReference"/>
        </w:rPr>
        <w:footnoteReference w:id="19"/>
      </w:r>
    </w:p>
    <w:p w:rsidR="00964452" w:rsidRDefault="00964452" w:rsidP="00D5650A">
      <w:pPr>
        <w:spacing w:line="360" w:lineRule="auto"/>
      </w:pPr>
      <w:r w:rsidRPr="00A121C2">
        <w:t xml:space="preserve">A </w:t>
      </w:r>
      <w:r>
        <w:t xml:space="preserve">comparison of the export structures between the outliers Luxembourg and Switzerland can be found in appendix 4. </w:t>
      </w:r>
      <w:r w:rsidRPr="00A121C2">
        <w:t>Figure 12 illustrates the distribution of products in terms of PRODY values within the United States’ and Japan’s export basket.</w:t>
      </w:r>
      <w:r>
        <w:t xml:space="preserve">49% of Japan’s, and 39% of the United States’ total exports, comes from $18,000-$24,000 PRODY products. For Japan these are, for example, vehicles and machines, and for the United States helicopter and aeroplanes parts, vehicles, machinery and medicaments.  </w:t>
      </w:r>
    </w:p>
    <w:p w:rsidR="00964452" w:rsidRDefault="00964452" w:rsidP="00D5650A">
      <w:pPr>
        <w:spacing w:line="360" w:lineRule="auto"/>
      </w:pPr>
      <w:r>
        <w:t xml:space="preserve">In 2008, the export share of this category decreased for both countries in relative terms, whereas the shares of smaller PRODY categories increased, resulting in declining EXPY’s. For example, both countries’ export shares of petroleum oils increased, which has a PRODY of $12,400. In addition, in absolute terms, the United States’ exports of this product increased by 400% from 2004 to 2008. </w:t>
      </w:r>
    </w:p>
    <w:p w:rsidR="00964452" w:rsidRDefault="00964452" w:rsidP="00D5650A">
      <w:pPr>
        <w:spacing w:line="360" w:lineRule="auto"/>
      </w:pPr>
      <w:r>
        <w:t xml:space="preserve">However, both countries have been exporting relatively more products with PRODY’s between $24,000 and $30,000 over time; from 15% of total exports in 1996 to 21% in 2008. Japan has been exporting relatively more machinery with higher PRODY values, and the United States relatively more aeroplanes and other aircrafts, vehicles and turbo-jets. </w:t>
      </w:r>
    </w:p>
    <w:p w:rsidR="00964452" w:rsidRPr="00504AC4" w:rsidRDefault="00964452" w:rsidP="006E57F0">
      <w:pPr>
        <w:pStyle w:val="NoSpacing"/>
        <w:rPr>
          <w:sz w:val="18"/>
          <w:szCs w:val="18"/>
        </w:rPr>
      </w:pPr>
      <w:r w:rsidRPr="00504AC4">
        <w:rPr>
          <w:sz w:val="18"/>
          <w:szCs w:val="18"/>
        </w:rPr>
        <w:t>Figure 12: PRODY distribution within the United States’ and Japan’s exports</w:t>
      </w:r>
    </w:p>
    <w:p w:rsidR="00964452" w:rsidRDefault="00964452" w:rsidP="00D5650A">
      <w:pPr>
        <w:spacing w:line="360" w:lineRule="auto"/>
      </w:pPr>
      <w:r w:rsidRPr="002638B5">
        <w:rPr>
          <w:noProof/>
          <w:lang w:val="en-US"/>
        </w:rPr>
        <w:pict>
          <v:shape id="Afbeelding 7" o:spid="_x0000_i1039" type="#_x0000_t75" style="width:470.25pt;height:231.75pt;visibility:visible">
            <v:imagedata r:id="rId25" o:title=""/>
          </v:shape>
        </w:pict>
      </w:r>
    </w:p>
    <w:p w:rsidR="00964452" w:rsidRDefault="00964452" w:rsidP="00D5650A">
      <w:pPr>
        <w:spacing w:line="360" w:lineRule="auto"/>
      </w:pPr>
    </w:p>
    <w:p w:rsidR="00964452" w:rsidRDefault="00964452" w:rsidP="00D5650A">
      <w:pPr>
        <w:pStyle w:val="Heading2"/>
        <w:spacing w:line="360" w:lineRule="auto"/>
      </w:pPr>
      <w:bookmarkStart w:id="45" w:name="_Toc299481904"/>
      <w:bookmarkStart w:id="46" w:name="_Toc286688954"/>
      <w:r>
        <w:t>Emerging countries</w:t>
      </w:r>
      <w:bookmarkEnd w:id="45"/>
    </w:p>
    <w:p w:rsidR="00964452" w:rsidRDefault="00964452" w:rsidP="00D5650A">
      <w:pPr>
        <w:spacing w:line="360" w:lineRule="auto"/>
      </w:pPr>
      <w:r w:rsidRPr="000E588D">
        <w:t xml:space="preserve">The emerging countries are mainly specialised in the exports of products </w:t>
      </w:r>
      <w:r>
        <w:t>of</w:t>
      </w:r>
      <w:r w:rsidRPr="000E588D">
        <w:t xml:space="preserve"> a lower PRODY category than rich countries; $12,000 to $18,000. </w:t>
      </w:r>
      <w:r>
        <w:t xml:space="preserve">Petroleum oils and TV receivers have large export shares within the BRICs. Soya-bean oil-cake, petroleum oils, computer parts and coal are important export products of the other emerging countries. Whereas most emerging countries still have relatively high export shares in the lowest PRODY category, </w:t>
      </w:r>
      <w:r w:rsidRPr="003864F0">
        <w:t>China’sPRODY distribution is more in line with the ones of ex-developing OECD countries.</w:t>
      </w:r>
      <w:r w:rsidRPr="00EA3B2C">
        <w:t xml:space="preserve">40% </w:t>
      </w:r>
      <w:r>
        <w:t xml:space="preserve">of China’s exports in 2008 was generated by products with PRODY’s between </w:t>
      </w:r>
      <w:r>
        <w:rPr>
          <w:b/>
        </w:rPr>
        <w:t>$</w:t>
      </w:r>
      <w:r w:rsidRPr="00EA3B2C">
        <w:t xml:space="preserve">12,000 </w:t>
      </w:r>
      <w:r>
        <w:t>and$</w:t>
      </w:r>
      <w:r w:rsidRPr="00EA3B2C">
        <w:t>18,000</w:t>
      </w:r>
      <w:r>
        <w:t xml:space="preserve">, and also $18,000-$ 24,000 PRODY products were very important; forming 31% </w:t>
      </w:r>
      <w:r w:rsidRPr="003864F0">
        <w:t>of</w:t>
      </w:r>
      <w:r>
        <w:t xml:space="preserve"> total exports. </w:t>
      </w:r>
    </w:p>
    <w:p w:rsidR="00964452" w:rsidRDefault="00964452" w:rsidP="00D5650A">
      <w:pPr>
        <w:spacing w:line="360" w:lineRule="auto"/>
      </w:pPr>
      <w:r w:rsidRPr="00A72A85">
        <w:t>Table 10</w:t>
      </w:r>
      <w:r>
        <w:t xml:space="preserve">shows some export figures of the 3 Emerging Tigers(Malaysia, Thailand and Indonesia) and the Philippines. Although Malaysia’s GDP per capita is twice the size of that of Thailand, Thailand has a higher export productivity. Furthermore, the income levels and export shares of GDP of Indonesia and the Philippines are considerably smaller than those of the 2 other countries, but their EXPY’s are not very different from Malaysia and Thailand. </w:t>
      </w:r>
    </w:p>
    <w:p w:rsidR="00964452" w:rsidRPr="00A72A85" w:rsidRDefault="00964452" w:rsidP="00D5650A">
      <w:pPr>
        <w:spacing w:line="360" w:lineRule="auto"/>
        <w:rPr>
          <w:sz w:val="18"/>
          <w:szCs w:val="18"/>
          <w:lang w:eastAsia="nl-NL"/>
        </w:rPr>
      </w:pPr>
      <w:r w:rsidRPr="00A72A85">
        <w:rPr>
          <w:sz w:val="18"/>
          <w:szCs w:val="18"/>
          <w:lang w:eastAsia="nl-NL"/>
        </w:rPr>
        <w:t>Table 10: Export figures of 4 countries for 2008</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25"/>
        <w:gridCol w:w="973"/>
        <w:gridCol w:w="1239"/>
        <w:gridCol w:w="2162"/>
        <w:gridCol w:w="3689"/>
      </w:tblGrid>
      <w:tr w:rsidR="00964452" w:rsidRPr="00207203" w:rsidTr="009C5F11">
        <w:tc>
          <w:tcPr>
            <w:tcW w:w="659" w:type="pct"/>
            <w:tcBorders>
              <w:bottom w:val="single" w:sz="12" w:space="0" w:color="auto"/>
              <w:right w:val="single" w:sz="12" w:space="0" w:color="auto"/>
            </w:tcBorders>
          </w:tcPr>
          <w:p w:rsidR="00964452" w:rsidRPr="009D5E48" w:rsidRDefault="00964452" w:rsidP="009C5F11">
            <w:pPr>
              <w:spacing w:after="0" w:line="240" w:lineRule="auto"/>
              <w:rPr>
                <w:rFonts w:ascii="Arial" w:hAnsi="Arial" w:cs="Arial"/>
                <w:sz w:val="20"/>
                <w:szCs w:val="20"/>
              </w:rPr>
            </w:pPr>
            <w:r w:rsidRPr="009D5E48">
              <w:rPr>
                <w:rFonts w:ascii="Arial" w:hAnsi="Arial" w:cs="Arial"/>
                <w:sz w:val="20"/>
                <w:szCs w:val="20"/>
              </w:rPr>
              <w:t>Country</w:t>
            </w:r>
          </w:p>
        </w:tc>
        <w:tc>
          <w:tcPr>
            <w:tcW w:w="524" w:type="pct"/>
            <w:tcBorders>
              <w:left w:val="single" w:sz="12" w:space="0" w:color="auto"/>
              <w:bottom w:val="single" w:sz="12" w:space="0" w:color="auto"/>
            </w:tcBorders>
          </w:tcPr>
          <w:p w:rsidR="00964452" w:rsidRPr="009D5E48" w:rsidRDefault="00964452" w:rsidP="009C5F11">
            <w:pPr>
              <w:spacing w:after="0" w:line="240" w:lineRule="auto"/>
              <w:rPr>
                <w:rFonts w:ascii="Arial" w:hAnsi="Arial" w:cs="Arial"/>
                <w:sz w:val="20"/>
                <w:szCs w:val="20"/>
              </w:rPr>
            </w:pPr>
            <w:r w:rsidRPr="009D5E48">
              <w:rPr>
                <w:rFonts w:ascii="Arial" w:hAnsi="Arial" w:cs="Arial"/>
                <w:sz w:val="20"/>
                <w:szCs w:val="20"/>
              </w:rPr>
              <w:t>EXPY</w:t>
            </w:r>
          </w:p>
        </w:tc>
        <w:tc>
          <w:tcPr>
            <w:tcW w:w="667" w:type="pct"/>
            <w:tcBorders>
              <w:bottom w:val="single" w:sz="12" w:space="0" w:color="auto"/>
            </w:tcBorders>
          </w:tcPr>
          <w:p w:rsidR="00964452" w:rsidRPr="009D5E48" w:rsidRDefault="00964452" w:rsidP="009C5F11">
            <w:pPr>
              <w:spacing w:after="0" w:line="240" w:lineRule="auto"/>
              <w:rPr>
                <w:rFonts w:ascii="Arial" w:hAnsi="Arial" w:cs="Arial"/>
                <w:sz w:val="20"/>
                <w:szCs w:val="20"/>
              </w:rPr>
            </w:pPr>
            <w:r w:rsidRPr="009D5E48">
              <w:rPr>
                <w:rFonts w:ascii="Arial" w:hAnsi="Arial" w:cs="Arial"/>
                <w:sz w:val="20"/>
                <w:szCs w:val="20"/>
              </w:rPr>
              <w:t>GDP/capita</w:t>
            </w:r>
          </w:p>
        </w:tc>
        <w:tc>
          <w:tcPr>
            <w:tcW w:w="1164" w:type="pct"/>
            <w:tcBorders>
              <w:bottom w:val="single" w:sz="12" w:space="0" w:color="auto"/>
            </w:tcBorders>
          </w:tcPr>
          <w:p w:rsidR="00964452" w:rsidRPr="009D5E48" w:rsidRDefault="00964452" w:rsidP="009C5F11">
            <w:pPr>
              <w:spacing w:after="0" w:line="240" w:lineRule="auto"/>
              <w:rPr>
                <w:rFonts w:ascii="Arial" w:hAnsi="Arial" w:cs="Arial"/>
                <w:sz w:val="20"/>
                <w:szCs w:val="20"/>
              </w:rPr>
            </w:pPr>
            <w:r w:rsidRPr="009D5E48">
              <w:rPr>
                <w:rFonts w:ascii="Arial" w:hAnsi="Arial" w:cs="Arial"/>
                <w:sz w:val="20"/>
                <w:szCs w:val="20"/>
              </w:rPr>
              <w:t>Exports share of GDP</w:t>
            </w:r>
          </w:p>
        </w:tc>
        <w:tc>
          <w:tcPr>
            <w:tcW w:w="1986" w:type="pct"/>
            <w:tcBorders>
              <w:bottom w:val="single" w:sz="12" w:space="0" w:color="auto"/>
            </w:tcBorders>
          </w:tcPr>
          <w:p w:rsidR="00964452" w:rsidRPr="009D5E48" w:rsidRDefault="00964452" w:rsidP="009C5F11">
            <w:pPr>
              <w:spacing w:after="0" w:line="240" w:lineRule="auto"/>
              <w:rPr>
                <w:rFonts w:ascii="Arial" w:hAnsi="Arial" w:cs="Arial"/>
                <w:sz w:val="20"/>
                <w:szCs w:val="20"/>
              </w:rPr>
            </w:pPr>
            <w:r w:rsidRPr="009D5E48">
              <w:rPr>
                <w:rFonts w:ascii="Arial" w:hAnsi="Arial" w:cs="Arial"/>
                <w:sz w:val="20"/>
                <w:szCs w:val="20"/>
              </w:rPr>
              <w:t>Most important export product</w:t>
            </w:r>
          </w:p>
        </w:tc>
      </w:tr>
      <w:tr w:rsidR="00964452" w:rsidRPr="00207203" w:rsidTr="009C5F11">
        <w:tc>
          <w:tcPr>
            <w:tcW w:w="659" w:type="pct"/>
            <w:tcBorders>
              <w:top w:val="single" w:sz="12" w:space="0" w:color="auto"/>
              <w:right w:val="single" w:sz="12" w:space="0" w:color="auto"/>
            </w:tcBorders>
          </w:tcPr>
          <w:p w:rsidR="00964452" w:rsidRPr="009D5E48" w:rsidRDefault="00964452" w:rsidP="009C5F11">
            <w:pPr>
              <w:spacing w:after="0" w:line="240" w:lineRule="auto"/>
              <w:rPr>
                <w:rFonts w:ascii="Arial" w:hAnsi="Arial" w:cs="Arial"/>
                <w:sz w:val="20"/>
                <w:szCs w:val="20"/>
              </w:rPr>
            </w:pPr>
            <w:r w:rsidRPr="009D5E48">
              <w:rPr>
                <w:rFonts w:ascii="Arial" w:hAnsi="Arial" w:cs="Arial"/>
                <w:sz w:val="20"/>
                <w:szCs w:val="20"/>
              </w:rPr>
              <w:t>Malaysia</w:t>
            </w:r>
          </w:p>
        </w:tc>
        <w:tc>
          <w:tcPr>
            <w:tcW w:w="524" w:type="pct"/>
            <w:tcBorders>
              <w:top w:val="single" w:sz="12" w:space="0" w:color="auto"/>
              <w:left w:val="single" w:sz="12" w:space="0" w:color="auto"/>
            </w:tcBorders>
          </w:tcPr>
          <w:p w:rsidR="00964452" w:rsidRPr="009D5E48" w:rsidRDefault="00964452" w:rsidP="009C5F11">
            <w:pPr>
              <w:spacing w:after="0" w:line="240" w:lineRule="auto"/>
              <w:rPr>
                <w:rFonts w:ascii="Arial" w:hAnsi="Arial" w:cs="Arial"/>
                <w:sz w:val="20"/>
                <w:szCs w:val="20"/>
              </w:rPr>
            </w:pPr>
            <w:r w:rsidRPr="009D5E48">
              <w:rPr>
                <w:rFonts w:ascii="Arial" w:hAnsi="Arial" w:cs="Arial"/>
                <w:sz w:val="20"/>
                <w:szCs w:val="20"/>
              </w:rPr>
              <w:t>$13,945</w:t>
            </w:r>
          </w:p>
        </w:tc>
        <w:tc>
          <w:tcPr>
            <w:tcW w:w="667" w:type="pct"/>
            <w:tcBorders>
              <w:top w:val="single" w:sz="12" w:space="0" w:color="auto"/>
            </w:tcBorders>
          </w:tcPr>
          <w:p w:rsidR="00964452" w:rsidRPr="009D5E48" w:rsidRDefault="00964452" w:rsidP="009C5F11">
            <w:pPr>
              <w:spacing w:after="0" w:line="240" w:lineRule="auto"/>
              <w:rPr>
                <w:rFonts w:ascii="Arial" w:hAnsi="Arial" w:cs="Arial"/>
                <w:sz w:val="20"/>
                <w:szCs w:val="20"/>
              </w:rPr>
            </w:pPr>
            <w:r w:rsidRPr="009D5E48">
              <w:rPr>
                <w:rFonts w:ascii="Arial" w:hAnsi="Arial" w:cs="Arial"/>
                <w:sz w:val="20"/>
                <w:szCs w:val="20"/>
              </w:rPr>
              <w:t>$14,215</w:t>
            </w:r>
          </w:p>
        </w:tc>
        <w:tc>
          <w:tcPr>
            <w:tcW w:w="1164" w:type="pct"/>
            <w:tcBorders>
              <w:top w:val="single" w:sz="12" w:space="0" w:color="auto"/>
            </w:tcBorders>
          </w:tcPr>
          <w:p w:rsidR="00964452" w:rsidRPr="009D5E48" w:rsidRDefault="00964452" w:rsidP="009C5F11">
            <w:pPr>
              <w:spacing w:after="0" w:line="240" w:lineRule="auto"/>
              <w:rPr>
                <w:rFonts w:ascii="Arial" w:hAnsi="Arial" w:cs="Arial"/>
                <w:sz w:val="20"/>
                <w:szCs w:val="20"/>
              </w:rPr>
            </w:pPr>
            <w:r w:rsidRPr="009D5E48">
              <w:rPr>
                <w:rFonts w:ascii="Arial" w:hAnsi="Arial" w:cs="Arial"/>
                <w:sz w:val="20"/>
                <w:szCs w:val="20"/>
              </w:rPr>
              <w:t>89.6%</w:t>
            </w:r>
          </w:p>
        </w:tc>
        <w:tc>
          <w:tcPr>
            <w:tcW w:w="1986" w:type="pct"/>
            <w:tcBorders>
              <w:top w:val="single" w:sz="12" w:space="0" w:color="auto"/>
            </w:tcBorders>
          </w:tcPr>
          <w:p w:rsidR="00964452" w:rsidRPr="009D5E48" w:rsidRDefault="00964452" w:rsidP="009C5F11">
            <w:pPr>
              <w:spacing w:after="0" w:line="240" w:lineRule="auto"/>
              <w:rPr>
                <w:rFonts w:ascii="Arial" w:hAnsi="Arial" w:cs="Arial"/>
                <w:sz w:val="20"/>
                <w:szCs w:val="20"/>
              </w:rPr>
            </w:pPr>
            <w:r w:rsidRPr="009D5E48">
              <w:rPr>
                <w:rFonts w:ascii="Arial" w:hAnsi="Arial" w:cs="Arial"/>
                <w:sz w:val="20"/>
                <w:szCs w:val="20"/>
              </w:rPr>
              <w:t>Petroleum oils, natural gas</w:t>
            </w:r>
          </w:p>
        </w:tc>
      </w:tr>
      <w:tr w:rsidR="00964452" w:rsidRPr="00207203" w:rsidTr="009C5F11">
        <w:tc>
          <w:tcPr>
            <w:tcW w:w="659" w:type="pct"/>
            <w:tcBorders>
              <w:right w:val="single" w:sz="12" w:space="0" w:color="auto"/>
            </w:tcBorders>
          </w:tcPr>
          <w:p w:rsidR="00964452" w:rsidRPr="009D5E48" w:rsidRDefault="00964452" w:rsidP="009C5F11">
            <w:pPr>
              <w:spacing w:after="0" w:line="240" w:lineRule="auto"/>
              <w:rPr>
                <w:rFonts w:ascii="Arial" w:hAnsi="Arial" w:cs="Arial"/>
                <w:sz w:val="20"/>
                <w:szCs w:val="20"/>
              </w:rPr>
            </w:pPr>
            <w:r w:rsidRPr="009D5E48">
              <w:rPr>
                <w:rFonts w:ascii="Arial" w:hAnsi="Arial" w:cs="Arial"/>
                <w:sz w:val="20"/>
                <w:szCs w:val="20"/>
              </w:rPr>
              <w:t>Thailand</w:t>
            </w:r>
          </w:p>
        </w:tc>
        <w:tc>
          <w:tcPr>
            <w:tcW w:w="524" w:type="pct"/>
            <w:tcBorders>
              <w:left w:val="single" w:sz="12" w:space="0" w:color="auto"/>
            </w:tcBorders>
          </w:tcPr>
          <w:p w:rsidR="00964452" w:rsidRPr="009D5E48" w:rsidRDefault="00964452" w:rsidP="009C5F11">
            <w:pPr>
              <w:spacing w:after="0" w:line="240" w:lineRule="auto"/>
              <w:rPr>
                <w:rFonts w:ascii="Arial" w:hAnsi="Arial" w:cs="Arial"/>
                <w:sz w:val="20"/>
                <w:szCs w:val="20"/>
              </w:rPr>
            </w:pPr>
            <w:r w:rsidRPr="009D5E48">
              <w:rPr>
                <w:rFonts w:ascii="Arial" w:hAnsi="Arial" w:cs="Arial"/>
                <w:sz w:val="20"/>
                <w:szCs w:val="20"/>
              </w:rPr>
              <w:t>$15,009</w:t>
            </w:r>
          </w:p>
        </w:tc>
        <w:tc>
          <w:tcPr>
            <w:tcW w:w="667" w:type="pct"/>
          </w:tcPr>
          <w:p w:rsidR="00964452" w:rsidRPr="009D5E48" w:rsidRDefault="00964452" w:rsidP="009C5F11">
            <w:pPr>
              <w:spacing w:after="0" w:line="240" w:lineRule="auto"/>
              <w:rPr>
                <w:rFonts w:ascii="Arial" w:hAnsi="Arial" w:cs="Arial"/>
                <w:sz w:val="20"/>
                <w:szCs w:val="20"/>
              </w:rPr>
            </w:pPr>
            <w:r w:rsidRPr="009D5E48">
              <w:rPr>
                <w:rFonts w:ascii="Arial" w:hAnsi="Arial" w:cs="Arial"/>
                <w:sz w:val="20"/>
                <w:szCs w:val="20"/>
              </w:rPr>
              <w:t>$  7,703</w:t>
            </w:r>
          </w:p>
        </w:tc>
        <w:tc>
          <w:tcPr>
            <w:tcW w:w="1164" w:type="pct"/>
          </w:tcPr>
          <w:p w:rsidR="00964452" w:rsidRPr="009D5E48" w:rsidRDefault="00964452" w:rsidP="009C5F11">
            <w:pPr>
              <w:spacing w:after="0" w:line="240" w:lineRule="auto"/>
              <w:rPr>
                <w:rFonts w:ascii="Arial" w:hAnsi="Arial" w:cs="Arial"/>
                <w:sz w:val="20"/>
                <w:szCs w:val="20"/>
              </w:rPr>
            </w:pPr>
            <w:r w:rsidRPr="009D5E48">
              <w:rPr>
                <w:rFonts w:ascii="Arial" w:hAnsi="Arial" w:cs="Arial"/>
                <w:sz w:val="20"/>
                <w:szCs w:val="20"/>
              </w:rPr>
              <w:t>64.6%</w:t>
            </w:r>
          </w:p>
        </w:tc>
        <w:tc>
          <w:tcPr>
            <w:tcW w:w="1986" w:type="pct"/>
          </w:tcPr>
          <w:p w:rsidR="00964452" w:rsidRPr="009D5E48" w:rsidRDefault="00964452" w:rsidP="009C5F11">
            <w:pPr>
              <w:spacing w:after="0" w:line="240" w:lineRule="auto"/>
              <w:rPr>
                <w:rFonts w:ascii="Arial" w:hAnsi="Arial" w:cs="Arial"/>
                <w:sz w:val="20"/>
                <w:szCs w:val="20"/>
              </w:rPr>
            </w:pPr>
            <w:r w:rsidRPr="009D5E48">
              <w:rPr>
                <w:rFonts w:ascii="Arial" w:hAnsi="Arial" w:cs="Arial"/>
                <w:sz w:val="20"/>
                <w:szCs w:val="20"/>
              </w:rPr>
              <w:t>Storage units of computers</w:t>
            </w:r>
          </w:p>
        </w:tc>
      </w:tr>
      <w:tr w:rsidR="00964452" w:rsidRPr="00207203" w:rsidTr="009C5F11">
        <w:tc>
          <w:tcPr>
            <w:tcW w:w="659" w:type="pct"/>
            <w:tcBorders>
              <w:right w:val="single" w:sz="12" w:space="0" w:color="auto"/>
            </w:tcBorders>
          </w:tcPr>
          <w:p w:rsidR="00964452" w:rsidRPr="009D5E48" w:rsidRDefault="00964452" w:rsidP="009C5F11">
            <w:pPr>
              <w:spacing w:after="0" w:line="240" w:lineRule="auto"/>
              <w:rPr>
                <w:rFonts w:ascii="Arial" w:hAnsi="Arial" w:cs="Arial"/>
                <w:sz w:val="20"/>
                <w:szCs w:val="20"/>
              </w:rPr>
            </w:pPr>
            <w:r w:rsidRPr="009D5E48">
              <w:rPr>
                <w:rFonts w:ascii="Arial" w:hAnsi="Arial" w:cs="Arial"/>
                <w:sz w:val="20"/>
                <w:szCs w:val="20"/>
              </w:rPr>
              <w:t>Indonesia</w:t>
            </w:r>
          </w:p>
        </w:tc>
        <w:tc>
          <w:tcPr>
            <w:tcW w:w="524" w:type="pct"/>
            <w:tcBorders>
              <w:left w:val="single" w:sz="12" w:space="0" w:color="auto"/>
            </w:tcBorders>
          </w:tcPr>
          <w:p w:rsidR="00964452" w:rsidRPr="009D5E48" w:rsidRDefault="00964452" w:rsidP="009C5F11">
            <w:pPr>
              <w:spacing w:after="0" w:line="240" w:lineRule="auto"/>
              <w:rPr>
                <w:rFonts w:ascii="Arial" w:hAnsi="Arial" w:cs="Arial"/>
                <w:sz w:val="20"/>
                <w:szCs w:val="20"/>
              </w:rPr>
            </w:pPr>
            <w:r w:rsidRPr="009D5E48">
              <w:rPr>
                <w:rFonts w:ascii="Arial" w:hAnsi="Arial" w:cs="Arial"/>
                <w:sz w:val="20"/>
                <w:szCs w:val="20"/>
              </w:rPr>
              <w:t>$12,995</w:t>
            </w:r>
          </w:p>
        </w:tc>
        <w:tc>
          <w:tcPr>
            <w:tcW w:w="667" w:type="pct"/>
          </w:tcPr>
          <w:p w:rsidR="00964452" w:rsidRPr="009D5E48" w:rsidRDefault="00964452" w:rsidP="009C5F11">
            <w:pPr>
              <w:spacing w:after="0" w:line="240" w:lineRule="auto"/>
              <w:rPr>
                <w:rFonts w:ascii="Arial" w:hAnsi="Arial" w:cs="Arial"/>
                <w:sz w:val="20"/>
                <w:szCs w:val="20"/>
              </w:rPr>
            </w:pPr>
            <w:r w:rsidRPr="009D5E48">
              <w:rPr>
                <w:rFonts w:ascii="Arial" w:hAnsi="Arial" w:cs="Arial"/>
                <w:sz w:val="20"/>
                <w:szCs w:val="20"/>
              </w:rPr>
              <w:t>$  3,975</w:t>
            </w:r>
          </w:p>
        </w:tc>
        <w:tc>
          <w:tcPr>
            <w:tcW w:w="1164" w:type="pct"/>
          </w:tcPr>
          <w:p w:rsidR="00964452" w:rsidRPr="009D5E48" w:rsidRDefault="00964452" w:rsidP="009C5F11">
            <w:pPr>
              <w:spacing w:after="0" w:line="240" w:lineRule="auto"/>
              <w:rPr>
                <w:rFonts w:ascii="Arial" w:hAnsi="Arial" w:cs="Arial"/>
                <w:sz w:val="20"/>
                <w:szCs w:val="20"/>
              </w:rPr>
            </w:pPr>
            <w:r w:rsidRPr="009D5E48">
              <w:rPr>
                <w:rFonts w:ascii="Arial" w:hAnsi="Arial" w:cs="Arial"/>
                <w:sz w:val="20"/>
                <w:szCs w:val="20"/>
              </w:rPr>
              <w:t>26.8%</w:t>
            </w:r>
          </w:p>
        </w:tc>
        <w:tc>
          <w:tcPr>
            <w:tcW w:w="1986" w:type="pct"/>
          </w:tcPr>
          <w:p w:rsidR="00964452" w:rsidRPr="009D5E48" w:rsidRDefault="00964452" w:rsidP="009C5F11">
            <w:pPr>
              <w:spacing w:after="0" w:line="240" w:lineRule="auto"/>
              <w:rPr>
                <w:rFonts w:ascii="Arial" w:hAnsi="Arial" w:cs="Arial"/>
                <w:sz w:val="20"/>
                <w:szCs w:val="20"/>
              </w:rPr>
            </w:pPr>
            <w:r w:rsidRPr="009D5E48">
              <w:rPr>
                <w:rFonts w:ascii="Arial" w:hAnsi="Arial" w:cs="Arial"/>
                <w:sz w:val="20"/>
                <w:szCs w:val="20"/>
              </w:rPr>
              <w:t>Petroleum oils, natural gas</w:t>
            </w:r>
          </w:p>
        </w:tc>
      </w:tr>
      <w:tr w:rsidR="00964452" w:rsidRPr="00207203" w:rsidTr="009C5F11">
        <w:tc>
          <w:tcPr>
            <w:tcW w:w="659" w:type="pct"/>
            <w:tcBorders>
              <w:right w:val="single" w:sz="12" w:space="0" w:color="auto"/>
            </w:tcBorders>
          </w:tcPr>
          <w:p w:rsidR="00964452" w:rsidRPr="009D5E48" w:rsidRDefault="00964452" w:rsidP="009C5F11">
            <w:pPr>
              <w:spacing w:after="0" w:line="240" w:lineRule="auto"/>
              <w:rPr>
                <w:rFonts w:ascii="Arial" w:hAnsi="Arial" w:cs="Arial"/>
                <w:sz w:val="20"/>
                <w:szCs w:val="20"/>
              </w:rPr>
            </w:pPr>
            <w:r w:rsidRPr="009D5E48">
              <w:rPr>
                <w:rFonts w:ascii="Arial" w:hAnsi="Arial" w:cs="Arial"/>
                <w:sz w:val="20"/>
                <w:szCs w:val="20"/>
              </w:rPr>
              <w:t>Philippines</w:t>
            </w:r>
          </w:p>
        </w:tc>
        <w:tc>
          <w:tcPr>
            <w:tcW w:w="524" w:type="pct"/>
            <w:tcBorders>
              <w:left w:val="single" w:sz="12" w:space="0" w:color="auto"/>
            </w:tcBorders>
          </w:tcPr>
          <w:p w:rsidR="00964452" w:rsidRPr="009D5E48" w:rsidRDefault="00964452" w:rsidP="009C5F11">
            <w:pPr>
              <w:spacing w:after="0" w:line="240" w:lineRule="auto"/>
              <w:rPr>
                <w:rFonts w:ascii="Arial" w:hAnsi="Arial" w:cs="Arial"/>
                <w:sz w:val="20"/>
                <w:szCs w:val="20"/>
              </w:rPr>
            </w:pPr>
            <w:r w:rsidRPr="009D5E48">
              <w:rPr>
                <w:rFonts w:ascii="Arial" w:hAnsi="Arial" w:cs="Arial"/>
                <w:sz w:val="20"/>
                <w:szCs w:val="20"/>
              </w:rPr>
              <w:t>$12,281</w:t>
            </w:r>
          </w:p>
        </w:tc>
        <w:tc>
          <w:tcPr>
            <w:tcW w:w="667" w:type="pct"/>
          </w:tcPr>
          <w:p w:rsidR="00964452" w:rsidRPr="009D5E48" w:rsidRDefault="00964452" w:rsidP="009C5F11">
            <w:pPr>
              <w:spacing w:after="0" w:line="240" w:lineRule="auto"/>
              <w:rPr>
                <w:rFonts w:ascii="Arial" w:hAnsi="Arial" w:cs="Arial"/>
                <w:sz w:val="20"/>
                <w:szCs w:val="20"/>
              </w:rPr>
            </w:pPr>
            <w:r w:rsidRPr="009D5E48">
              <w:rPr>
                <w:rFonts w:ascii="Arial" w:hAnsi="Arial" w:cs="Arial"/>
                <w:sz w:val="20"/>
                <w:szCs w:val="20"/>
              </w:rPr>
              <w:t>$  3,510</w:t>
            </w:r>
          </w:p>
        </w:tc>
        <w:tc>
          <w:tcPr>
            <w:tcW w:w="1164" w:type="pct"/>
          </w:tcPr>
          <w:p w:rsidR="00964452" w:rsidRPr="009D5E48" w:rsidRDefault="00964452" w:rsidP="009C5F11">
            <w:pPr>
              <w:spacing w:after="0" w:line="240" w:lineRule="auto"/>
              <w:rPr>
                <w:rFonts w:ascii="Arial" w:hAnsi="Arial" w:cs="Arial"/>
                <w:sz w:val="20"/>
                <w:szCs w:val="20"/>
              </w:rPr>
            </w:pPr>
            <w:r w:rsidRPr="009D5E48">
              <w:rPr>
                <w:rFonts w:ascii="Arial" w:hAnsi="Arial" w:cs="Arial"/>
                <w:sz w:val="20"/>
                <w:szCs w:val="20"/>
              </w:rPr>
              <w:t>29.5%</w:t>
            </w:r>
          </w:p>
        </w:tc>
        <w:tc>
          <w:tcPr>
            <w:tcW w:w="1986" w:type="pct"/>
          </w:tcPr>
          <w:p w:rsidR="00964452" w:rsidRPr="009D5E48" w:rsidRDefault="00964452" w:rsidP="009C5F11">
            <w:pPr>
              <w:spacing w:after="0" w:line="240" w:lineRule="auto"/>
              <w:rPr>
                <w:rFonts w:ascii="Arial" w:hAnsi="Arial" w:cs="Arial"/>
                <w:sz w:val="20"/>
                <w:szCs w:val="20"/>
              </w:rPr>
            </w:pPr>
            <w:r w:rsidRPr="009D5E48">
              <w:rPr>
                <w:rFonts w:ascii="Arial" w:hAnsi="Arial" w:cs="Arial"/>
                <w:sz w:val="20"/>
                <w:szCs w:val="20"/>
              </w:rPr>
              <w:t>Parts of electronic equipment</w:t>
            </w:r>
          </w:p>
        </w:tc>
      </w:tr>
    </w:tbl>
    <w:p w:rsidR="00964452" w:rsidRDefault="00964452" w:rsidP="00A72A85">
      <w:pPr>
        <w:spacing w:line="360" w:lineRule="auto"/>
        <w:rPr>
          <w:sz w:val="18"/>
          <w:szCs w:val="18"/>
        </w:rPr>
      </w:pPr>
    </w:p>
    <w:p w:rsidR="00964452" w:rsidRPr="00E664C3" w:rsidRDefault="00964452" w:rsidP="00D5650A">
      <w:pPr>
        <w:spacing w:line="360" w:lineRule="auto"/>
        <w:ind w:left="4248" w:firstLine="708"/>
        <w:rPr>
          <w:sz w:val="18"/>
          <w:szCs w:val="18"/>
        </w:rPr>
      </w:pPr>
      <w:r>
        <w:rPr>
          <w:noProof/>
          <w:lang w:val="en-US"/>
        </w:rPr>
        <w:pict>
          <v:shape id="Afbeelding 15" o:spid="_x0000_s1027" type="#_x0000_t75" style="position:absolute;left:0;text-align:left;margin-left:225.7pt;margin-top:13.5pt;width:226.05pt;height:232.55pt;z-index:-251659264;visibility:visible" wrapcoords="-72 0 -72 21530 21600 21530 21600 0 -72 0">
            <v:imagedata r:id="rId26" o:title=""/>
            <w10:wrap type="tight"/>
          </v:shape>
        </w:pict>
      </w:r>
      <w:r w:rsidRPr="00A72A85">
        <w:rPr>
          <w:sz w:val="18"/>
          <w:szCs w:val="18"/>
        </w:rPr>
        <w:t xml:space="preserve">Figure 13: EXPY </w:t>
      </w:r>
      <w:r>
        <w:rPr>
          <w:sz w:val="18"/>
          <w:szCs w:val="18"/>
        </w:rPr>
        <w:t>development over time</w:t>
      </w:r>
    </w:p>
    <w:p w:rsidR="00964452" w:rsidRDefault="00964452" w:rsidP="00D5650A">
      <w:pPr>
        <w:spacing w:line="360" w:lineRule="auto"/>
      </w:pPr>
      <w:r>
        <w:t xml:space="preserve">In addition, </w:t>
      </w:r>
      <w:r w:rsidRPr="00A72A85">
        <w:t xml:space="preserve">these countries </w:t>
      </w:r>
      <w:r>
        <w:t>experienced</w:t>
      </w:r>
      <w:r w:rsidRPr="00A72A85">
        <w:t xml:space="preserve"> rapid EXPY growth over the years, as illustrated in figure 13. However</w:t>
      </w:r>
      <w:r>
        <w:t>, in 2008 each of the 4 countries’ export productivity decreased, which was likely triggered by the latest financial crisis. Malaysia’s EXPY decreased the most; by 15.7%.</w:t>
      </w:r>
    </w:p>
    <w:p w:rsidR="00964452" w:rsidRDefault="00964452" w:rsidP="00D5650A">
      <w:pPr>
        <w:spacing w:line="360" w:lineRule="auto"/>
      </w:pPr>
    </w:p>
    <w:p w:rsidR="00964452" w:rsidRDefault="00964452" w:rsidP="00D5650A">
      <w:pPr>
        <w:spacing w:line="360" w:lineRule="auto"/>
      </w:pPr>
    </w:p>
    <w:p w:rsidR="00964452" w:rsidRDefault="00964452" w:rsidP="00D5650A">
      <w:pPr>
        <w:spacing w:line="360" w:lineRule="auto"/>
      </w:pPr>
    </w:p>
    <w:p w:rsidR="00964452" w:rsidRDefault="00964452" w:rsidP="00D5650A">
      <w:pPr>
        <w:spacing w:line="360" w:lineRule="auto"/>
      </w:pPr>
      <w:r w:rsidRPr="00EB2C58">
        <w:t>Figure 14</w:t>
      </w:r>
      <w:r>
        <w:t>illustrates the distribution of products in terms of PRODY within the countries’ exports. The shapes of the distributions of Indonesia and the Philippines differ from those of Malaysia and Thailand. In 2008, 32%of the Philippines’ exports was generated by products with PRODY’s smaller than $6,000, and 32% of the export products had PRODY’s between $12,000 and $18,000. Four years earlier, the product category with the smallest PRODY’s had a larger share; 38%. Electronic micro assemblies, with a PRODY of only $3,620, covers</w:t>
      </w:r>
      <w:r w:rsidRPr="00E0161D">
        <w:t xml:space="preserve"> 22% of the Philippines’ exports in</w:t>
      </w:r>
      <w:r>
        <w:t xml:space="preserve"> both 2004 and</w:t>
      </w:r>
      <w:r w:rsidRPr="00E0161D">
        <w:t xml:space="preserve"> 2008</w:t>
      </w:r>
      <w:r>
        <w:t>. In addition, four other electronic products</w:t>
      </w:r>
      <w:r>
        <w:rPr>
          <w:rStyle w:val="FootnoteReference"/>
        </w:rPr>
        <w:footnoteReference w:id="20"/>
      </w:r>
      <w:r>
        <w:t>, are responsible for 20% of total exports in 2008. These products have PRODY’s between $16,000 and $23,000.</w:t>
      </w:r>
    </w:p>
    <w:p w:rsidR="00964452" w:rsidRPr="00EB2C58" w:rsidRDefault="00964452" w:rsidP="00EB2C58">
      <w:pPr>
        <w:spacing w:line="360" w:lineRule="auto"/>
        <w:rPr>
          <w:sz w:val="18"/>
          <w:szCs w:val="18"/>
        </w:rPr>
      </w:pPr>
      <w:r w:rsidRPr="00EB2C58">
        <w:rPr>
          <w:sz w:val="18"/>
          <w:szCs w:val="18"/>
        </w:rPr>
        <w:t>Figure 14: PRODY distribution within Malaysia’s, Thailand’s, Indonesia’s and the Philippines’ exports</w:t>
      </w:r>
    </w:p>
    <w:p w:rsidR="00964452" w:rsidRPr="000E588D" w:rsidRDefault="00964452" w:rsidP="00EB2C58">
      <w:pPr>
        <w:spacing w:line="360" w:lineRule="auto"/>
      </w:pPr>
      <w:r w:rsidRPr="002638B5">
        <w:rPr>
          <w:noProof/>
          <w:lang w:val="en-US"/>
        </w:rPr>
        <w:pict>
          <v:shape id="Afbeelding 2" o:spid="_x0000_i1040" type="#_x0000_t75" style="width:459.75pt;height:466.5pt;visibility:visible">
            <v:imagedata r:id="rId27" o:title=""/>
          </v:shape>
        </w:pict>
      </w:r>
    </w:p>
    <w:p w:rsidR="00964452" w:rsidRDefault="00964452" w:rsidP="00D5650A">
      <w:pPr>
        <w:spacing w:line="360" w:lineRule="auto"/>
      </w:pPr>
      <w:r>
        <w:t xml:space="preserve">Like the Philippines, Indonesia still has a large export share in low-income products. Furthermore, the exports share of $12,000 to $18,000 products decreased from 37% in 2004, to 34% in 2008. Petroleum oils and coal have the highest export values within this category. Opposed to the Philippines and Thailand, and similar to Malaysia, 11% of Indonesia’s export products have $24,000 to $30,000 PRODY levels. This is almost entirely a result of natural gas exports. </w:t>
      </w:r>
    </w:p>
    <w:p w:rsidR="00964452" w:rsidRDefault="00964452" w:rsidP="00D5650A">
      <w:pPr>
        <w:spacing w:line="360" w:lineRule="auto"/>
      </w:pPr>
      <w:r>
        <w:t xml:space="preserve">The decreased EXPY of Malaysia in 2008 is mainly caused by products with PRODY’s between </w:t>
      </w:r>
      <w:r w:rsidRPr="00C11EC1">
        <w:t>$18,000 and $24,000</w:t>
      </w:r>
      <w:r>
        <w:t xml:space="preserve">; the export share of these products decreased from 29% in 2004, to 20% in 2008. </w:t>
      </w:r>
      <w:r w:rsidRPr="000523E3">
        <w:t>Though Malaysia’s total exports increased from 2007 to 2008, the export value of electrical machinery equipment, measured at 2-digi</w:t>
      </w:r>
      <w:r>
        <w:t xml:space="preserve">t level, decreased by39%; </w:t>
      </w:r>
      <w:r w:rsidRPr="000523E3">
        <w:t xml:space="preserve">from </w:t>
      </w:r>
      <w:r>
        <w:t>$</w:t>
      </w:r>
      <w:r w:rsidRPr="000523E3">
        <w:t xml:space="preserve">51.79 billion to </w:t>
      </w:r>
      <w:r>
        <w:t>$</w:t>
      </w:r>
      <w:r w:rsidRPr="000523E3">
        <w:t xml:space="preserve">31.65 </w:t>
      </w:r>
      <w:r>
        <w:t>billion.</w:t>
      </w:r>
      <w:r>
        <w:rPr>
          <w:rStyle w:val="FootnoteReference"/>
        </w:rPr>
        <w:footnoteReference w:id="21"/>
      </w:r>
      <w:r>
        <w:t xml:space="preserve"> This enormous drop had</w:t>
      </w:r>
      <w:r w:rsidRPr="000523E3">
        <w:t xml:space="preserve"> a large effec</w:t>
      </w:r>
      <w:r>
        <w:t xml:space="preserve">t on Malaysia’s EXPY, since these products </w:t>
      </w:r>
      <w:r w:rsidRPr="000523E3">
        <w:t xml:space="preserve">have large PRODY’s. </w:t>
      </w:r>
      <w:r>
        <w:t xml:space="preserve">On the contrary, the exports shares (both absolute and relative) of some products with smaller PRODY’s increased, e.g. petroleum oils and palm oil. </w:t>
      </w:r>
    </w:p>
    <w:p w:rsidR="00964452" w:rsidRDefault="00964452" w:rsidP="00D5650A">
      <w:pPr>
        <w:spacing w:line="360" w:lineRule="auto"/>
      </w:pPr>
      <w:r>
        <w:t xml:space="preserve">Over time, Thailand has been exporting relatively more $18,000-$24,000 PRODY products. The exports of these products has increased from 24% of the country’s total exports in 2004 to 30% of 2008’s exports. Moreover, storage units of computers, which belongs to this category, had the largest export value of all products, containing 7% of Thailand’s exports. Nevertheless, $12,000-$18,000 PRODY products are still the most exported products. </w:t>
      </w:r>
    </w:p>
    <w:p w:rsidR="00964452" w:rsidRDefault="00964452" w:rsidP="00D5650A">
      <w:pPr>
        <w:pStyle w:val="Heading2"/>
        <w:spacing w:line="360" w:lineRule="auto"/>
      </w:pPr>
      <w:bookmarkStart w:id="47" w:name="_Toc299481905"/>
      <w:r>
        <w:t>SSA bottom billion countries</w:t>
      </w:r>
      <w:bookmarkEnd w:id="47"/>
    </w:p>
    <w:p w:rsidR="00964452" w:rsidRDefault="00964452" w:rsidP="00D5650A">
      <w:pPr>
        <w:spacing w:line="360" w:lineRule="auto"/>
      </w:pPr>
      <w:r>
        <w:t xml:space="preserve">The </w:t>
      </w:r>
      <w:r w:rsidRPr="002F7748">
        <w:t>entire top 6 of the smallest EXPY’s in the years 1995, 1999, 2004 and 2008 are values of Sub-Saharan African countries. This means that the Sub-Saharan African region includes countries with extremely low export productivities; the lowest of the world. Sub-Saharan Africa bottom billion countries have a very narrow distribution; they</w:t>
      </w:r>
      <w:r>
        <w:t xml:space="preserve"> export almost only products with PRODY’s smaller than 6,000 dollars. They mainly export tobacco, coffee, tea, clothes and uranium ores. </w:t>
      </w:r>
    </w:p>
    <w:p w:rsidR="00964452" w:rsidRDefault="00964452" w:rsidP="00D5650A">
      <w:pPr>
        <w:spacing w:line="360" w:lineRule="auto"/>
      </w:pPr>
    </w:p>
    <w:p w:rsidR="00964452" w:rsidRPr="002F7748" w:rsidRDefault="00964452" w:rsidP="00D5650A">
      <w:pPr>
        <w:spacing w:line="360" w:lineRule="auto"/>
      </w:pPr>
      <w:r w:rsidRPr="002856B4">
        <w:t xml:space="preserve">Figure 15 illustrates the distributions within Niger’s and Rwanda’s exports, which are </w:t>
      </w:r>
      <w:r>
        <w:t xml:space="preserve">obviously very different from those of rich and emerging countries. Whereas Niger has increased its export share of products with PRODY’s smaller than $6,000 in 2008, Rwanda has expanded the share of products within the PRODY category of $6,000-$12,000 to 10% in 2008. Tea and coffee are still the most important to Rwanda’s exports, however, the exports of malt beer and mineral waters have increased. In contrast, 65% of Niger’s exports is generated by uranium ores, with a PRODY of $983. </w:t>
      </w:r>
      <w:r w:rsidRPr="002F7748">
        <w:t>The country also relies on agriculture, which is affected by varying rainfall. Th</w:t>
      </w:r>
      <w:r>
        <w:t>e below average harvest of 2007</w:t>
      </w:r>
      <w:r w:rsidRPr="002F7748">
        <w:t xml:space="preserve"> had a large influence on Niger. Furthermore, in February 2007, the criminal group Movement of Nigeriens for Justice initiated a combat in northern Niger, which discouraged investments in oil and mining </w:t>
      </w:r>
      <w:r w:rsidRPr="002F7748">
        <w:rPr>
          <w:lang w:val="en-US"/>
        </w:rPr>
        <w:t>(Background Note: Niger, 2010)</w:t>
      </w:r>
      <w:r w:rsidRPr="002F7748">
        <w:t>. The poor infrastructure is also a problem for investors.</w:t>
      </w:r>
    </w:p>
    <w:p w:rsidR="00964452" w:rsidRPr="002856B4" w:rsidRDefault="00964452" w:rsidP="00D5650A">
      <w:pPr>
        <w:spacing w:line="360" w:lineRule="auto"/>
        <w:rPr>
          <w:sz w:val="18"/>
          <w:szCs w:val="18"/>
        </w:rPr>
      </w:pPr>
      <w:r w:rsidRPr="002856B4">
        <w:rPr>
          <w:sz w:val="18"/>
          <w:szCs w:val="18"/>
        </w:rPr>
        <w:t>Figure 15: PRODY distribution within Niger’s and Rwanda’s exports</w:t>
      </w:r>
    </w:p>
    <w:p w:rsidR="00964452" w:rsidRDefault="00964452" w:rsidP="00D5650A">
      <w:pPr>
        <w:spacing w:line="360" w:lineRule="auto"/>
      </w:pPr>
      <w:r w:rsidRPr="002638B5">
        <w:rPr>
          <w:noProof/>
          <w:lang w:val="en-US"/>
        </w:rPr>
        <w:pict>
          <v:shape id="Afbeelding 1" o:spid="_x0000_i1041" type="#_x0000_t75" style="width:450.75pt;height:226.5pt;visibility:visible">
            <v:imagedata r:id="rId28" o:title=""/>
          </v:shape>
        </w:pict>
      </w:r>
    </w:p>
    <w:p w:rsidR="00964452" w:rsidRDefault="00964452">
      <w:pPr>
        <w:rPr>
          <w:rFonts w:ascii="Cambria" w:hAnsi="Cambria"/>
          <w:b/>
          <w:bCs/>
          <w:kern w:val="32"/>
          <w:sz w:val="32"/>
          <w:szCs w:val="32"/>
        </w:rPr>
      </w:pPr>
      <w:bookmarkStart w:id="48" w:name="_Toc286688961"/>
      <w:bookmarkEnd w:id="46"/>
      <w:r>
        <w:br w:type="page"/>
      </w:r>
    </w:p>
    <w:p w:rsidR="00964452" w:rsidRDefault="00964452" w:rsidP="00D5650A">
      <w:pPr>
        <w:pStyle w:val="Heading1"/>
        <w:numPr>
          <w:ilvl w:val="0"/>
          <w:numId w:val="2"/>
        </w:numPr>
        <w:spacing w:line="360" w:lineRule="auto"/>
      </w:pPr>
      <w:bookmarkStart w:id="49" w:name="_Toc299481906"/>
      <w:r>
        <w:t>Conclusion</w:t>
      </w:r>
      <w:bookmarkEnd w:id="48"/>
      <w:bookmarkEnd w:id="49"/>
    </w:p>
    <w:p w:rsidR="00964452" w:rsidRDefault="00964452" w:rsidP="002A1E44">
      <w:pPr>
        <w:spacing w:line="360" w:lineRule="auto"/>
      </w:pPr>
      <w:r>
        <w:t xml:space="preserve">Shifting countries’ export structures towards higher productivityproducts has certain implications. First of all, each product requires a unique set of inputs and capabilities, however, some products are closer to one another, in terms of input similarities, than others. As a result, some countries are able to transform their export structures faster, depending on the products in which they have a comparative advantage. Second, cost discovery is needed to start the production of a good that has not been produced before in the particular country, asthe production might require adaptations to the local environment. These costs and the subsequent information externalities could prevent firms from examining the opportunities for the production or exports of higher productivity goods in or to the developing country. Third, countries that improve the productivity level of their exports tend to have a large manufacturing sector as there are more input similarities within manufacturing. Nevertheless, poor countries are mainly specialised in agriculture and natural resources. Fourth, transforming their export structure to a higher productivity level implies for poor countries diversification of their product range. </w:t>
      </w:r>
      <w:r w:rsidRPr="00814D63">
        <w:t>It is only from a certain</w:t>
      </w:r>
      <w:r>
        <w:t xml:space="preserve"> income level that countries start to concentrate their economic activities. Furthermore, the quality of infrastructure and institutions determines whethershifting towards higher-income products isfeasible. </w:t>
      </w:r>
    </w:p>
    <w:p w:rsidR="00964452" w:rsidRDefault="00964452" w:rsidP="00AF4511">
      <w:pPr>
        <w:spacing w:line="360" w:lineRule="auto"/>
      </w:pPr>
      <w:r w:rsidRPr="006B5EAC">
        <w:t>There is a large difference in export productivity across countries. The index ‘EXPY’</w:t>
      </w:r>
      <w:r>
        <w:t xml:space="preserve"> measures the income or </w:t>
      </w:r>
      <w:r w:rsidRPr="008709A9">
        <w:rPr>
          <w:lang w:val="en-US"/>
        </w:rPr>
        <w:t>productivity</w:t>
      </w:r>
      <w:r>
        <w:t xml:space="preserve"> level that is associated to a country’s export basket and was introduced by Hausmann et al. (2007). </w:t>
      </w:r>
      <w:r w:rsidRPr="00910DC2">
        <w:t>Rich countries</w:t>
      </w:r>
      <w:r>
        <w:t xml:space="preserve"> like Ireland and Japanhave a ten times higher EXPY than </w:t>
      </w:r>
      <w:r w:rsidRPr="00910DC2">
        <w:t>poor countries</w:t>
      </w:r>
      <w:r>
        <w:t xml:space="preserve"> like Niger and Rwanda. Rich countries mainly export industrial products that have high productivity levels; for example iron and steel products. Conversely, the poorest countries mainly export primary products, which have the lowest productivity levels.</w:t>
      </w:r>
    </w:p>
    <w:p w:rsidR="00964452" w:rsidRDefault="00964452" w:rsidP="00D5650A">
      <w:pPr>
        <w:spacing w:line="360" w:lineRule="auto"/>
      </w:pPr>
      <w:r>
        <w:t xml:space="preserve">In addition, the difference in export productivity levels as well as growth rates of EXPY </w:t>
      </w:r>
      <w:r w:rsidRPr="00910DC2">
        <w:t>among developing countries</w:t>
      </w:r>
      <w:r>
        <w:t xml:space="preserve"> is substantial too. Certain countries have rather stable export productivity levels over time. Nonetheless, many developing countries have the highest positive, as well as negative growth rates in EXPY of the entire sample. For some countries this can be explained by volatility in their exports along with small export values, however, other countries have increased their export productivity continuously.  </w:t>
      </w:r>
    </w:p>
    <w:p w:rsidR="00964452" w:rsidRDefault="00964452" w:rsidP="00D5650A">
      <w:pPr>
        <w:spacing w:line="360" w:lineRule="auto"/>
      </w:pPr>
    </w:p>
    <w:p w:rsidR="00964452" w:rsidRDefault="00964452" w:rsidP="00D5650A">
      <w:pPr>
        <w:spacing w:line="360" w:lineRule="auto"/>
      </w:pPr>
      <w:r>
        <w:t xml:space="preserve">Furthermore, the productivity levels of the exports of developing countries in </w:t>
      </w:r>
      <w:r w:rsidRPr="00910DC2">
        <w:t>Sub-Saharan Africa differ from those in South and East Asia. Niger and Rwanda are the poorest</w:t>
      </w:r>
      <w:r>
        <w:t xml:space="preserve"> countries of the world and have the lowest export productivities. In contrast, various developing South and East Asian countries are emerging economies and have very high export productivity levels compared to their income levels. However, there are also South and East Asian countries that have low and decreasing export productivity values over time, like Cambodia. </w:t>
      </w:r>
    </w:p>
    <w:p w:rsidR="00964452" w:rsidRDefault="00964452" w:rsidP="00D5650A">
      <w:pPr>
        <w:spacing w:line="360" w:lineRule="auto"/>
      </w:pPr>
      <w:r>
        <w:t xml:space="preserve">When categorising a country’s export products by their productivity levels with the corresponding export values, it can be concluded that the resulting export structure varies noticeably across country groups. Rich countries tend to be specialised in products with productivity levels between $18,000 and $24,000.The poorest countries of the world, on the other hand, produce and export mainly products with productivity values smaller than $6,000. Emerging economies, like the Emerging Tigers, the Philippines and China, still have rather large export shares in lower-income goods, however, they have diversified their exports and now export mainly $12,000 to $18,000 PRODY products. These countries have very large EXPY’s compared to their GDP’s per capita. </w:t>
      </w:r>
    </w:p>
    <w:p w:rsidR="00964452" w:rsidRPr="003C31B6" w:rsidRDefault="00964452" w:rsidP="00D5650A">
      <w:pPr>
        <w:rPr>
          <w:lang w:val="en-US"/>
        </w:rPr>
      </w:pPr>
    </w:p>
    <w:p w:rsidR="00964452" w:rsidRPr="003C31B6" w:rsidRDefault="00964452" w:rsidP="00D5650A">
      <w:pPr>
        <w:rPr>
          <w:lang w:val="en-US"/>
        </w:rPr>
      </w:pPr>
    </w:p>
    <w:p w:rsidR="00964452" w:rsidRPr="00C14741" w:rsidRDefault="00964452" w:rsidP="00D5650A">
      <w:pPr>
        <w:pStyle w:val="Heading1"/>
        <w:spacing w:line="360" w:lineRule="auto"/>
        <w:rPr>
          <w:lang w:val="en-US"/>
        </w:rPr>
      </w:pPr>
      <w:r w:rsidRPr="000D4713">
        <w:rPr>
          <w:lang w:val="en-US"/>
        </w:rPr>
        <w:br w:type="page"/>
      </w:r>
      <w:bookmarkStart w:id="50" w:name="_Toc286688962"/>
      <w:bookmarkStart w:id="51" w:name="_Toc299481907"/>
      <w:r w:rsidRPr="002027BA">
        <w:rPr>
          <w:lang w:val="en-US"/>
        </w:rPr>
        <w:t>References</w:t>
      </w:r>
      <w:bookmarkEnd w:id="50"/>
      <w:bookmarkEnd w:id="51"/>
    </w:p>
    <w:p w:rsidR="00964452" w:rsidRDefault="00964452" w:rsidP="00D5650A">
      <w:pPr>
        <w:pStyle w:val="NoSpacing"/>
        <w:spacing w:line="360" w:lineRule="auto"/>
        <w:rPr>
          <w:lang w:val="en-US"/>
        </w:rPr>
      </w:pPr>
      <w:r w:rsidRPr="003B4462">
        <w:rPr>
          <w:lang w:val="en-US"/>
        </w:rPr>
        <w:t>Agnarsson, S., Hall, A., Herbertsson, T.T., Ingólfsson, S., Magnússon, G. &amp;Zoega, G.</w:t>
      </w:r>
    </w:p>
    <w:p w:rsidR="00964452" w:rsidRPr="003B4462" w:rsidRDefault="00964452" w:rsidP="00D5650A">
      <w:pPr>
        <w:pStyle w:val="NoSpacing"/>
        <w:spacing w:line="360" w:lineRule="auto"/>
        <w:rPr>
          <w:lang w:val="en-US"/>
        </w:rPr>
      </w:pPr>
      <w:r>
        <w:rPr>
          <w:lang w:val="en-US"/>
        </w:rPr>
        <w:tab/>
      </w:r>
      <w:r w:rsidRPr="003B4462">
        <w:rPr>
          <w:lang w:val="en-US"/>
        </w:rPr>
        <w:t xml:space="preserve">(1999). </w:t>
      </w:r>
      <w:r w:rsidRPr="003B4462">
        <w:rPr>
          <w:i/>
          <w:lang w:val="en-US"/>
        </w:rPr>
        <w:t>EMU and the Icelandic Labour Market.</w:t>
      </w:r>
      <w:r>
        <w:rPr>
          <w:lang w:val="en-US"/>
        </w:rPr>
        <w:t>Central Bank of Iceland.</w:t>
      </w:r>
    </w:p>
    <w:p w:rsidR="00964452" w:rsidRDefault="00964452" w:rsidP="00D5650A">
      <w:pPr>
        <w:pStyle w:val="NoSpacing"/>
        <w:spacing w:line="360" w:lineRule="auto"/>
        <w:rPr>
          <w:lang w:val="en-US"/>
        </w:rPr>
      </w:pPr>
      <w:r w:rsidRPr="008678F6">
        <w:rPr>
          <w:lang w:val="en-US"/>
        </w:rPr>
        <w:t>Albornoz, F</w:t>
      </w:r>
      <w:r>
        <w:rPr>
          <w:lang w:val="en-US"/>
        </w:rPr>
        <w:t>.</w:t>
      </w:r>
      <w:r w:rsidRPr="008678F6">
        <w:rPr>
          <w:lang w:val="en-US"/>
        </w:rPr>
        <w:t>, CalvoPardo, H</w:t>
      </w:r>
      <w:r>
        <w:rPr>
          <w:lang w:val="en-US"/>
        </w:rPr>
        <w:t>.</w:t>
      </w:r>
      <w:r w:rsidRPr="008678F6">
        <w:rPr>
          <w:lang w:val="en-US"/>
        </w:rPr>
        <w:t>F., Corcos, G</w:t>
      </w:r>
      <w:r>
        <w:rPr>
          <w:lang w:val="en-US"/>
        </w:rPr>
        <w:t>. &amp;</w:t>
      </w:r>
      <w:r w:rsidRPr="008678F6">
        <w:rPr>
          <w:lang w:val="en-US"/>
        </w:rPr>
        <w:t>Ornelas, E</w:t>
      </w:r>
      <w:r>
        <w:rPr>
          <w:lang w:val="en-US"/>
        </w:rPr>
        <w:t>. (2010).‘</w:t>
      </w:r>
      <w:r w:rsidRPr="008678F6">
        <w:rPr>
          <w:lang w:val="en-US"/>
        </w:rPr>
        <w:t>Sequential Exporting</w:t>
      </w:r>
      <w:r>
        <w:rPr>
          <w:lang w:val="en-US"/>
        </w:rPr>
        <w:t xml:space="preserve">’ </w:t>
      </w:r>
    </w:p>
    <w:p w:rsidR="00964452" w:rsidRDefault="00964452" w:rsidP="00D5650A">
      <w:pPr>
        <w:pStyle w:val="NoSpacing"/>
        <w:spacing w:line="360" w:lineRule="auto"/>
        <w:rPr>
          <w:lang w:val="en-US"/>
        </w:rPr>
      </w:pPr>
      <w:r>
        <w:rPr>
          <w:lang w:val="en-US"/>
        </w:rPr>
        <w:tab/>
      </w:r>
      <w:r w:rsidRPr="008678F6">
        <w:rPr>
          <w:lang w:val="en-US"/>
        </w:rPr>
        <w:t>CEPR Discussion Paper No. DP8103.</w:t>
      </w:r>
    </w:p>
    <w:p w:rsidR="00964452" w:rsidRDefault="00964452" w:rsidP="007B1DD7">
      <w:pPr>
        <w:pStyle w:val="NoSpacing"/>
        <w:spacing w:line="360" w:lineRule="auto"/>
        <w:rPr>
          <w:lang w:val="en-US"/>
        </w:rPr>
      </w:pPr>
      <w:r w:rsidRPr="007B1DD7">
        <w:rPr>
          <w:lang w:val="en-US"/>
        </w:rPr>
        <w:t>Anderson</w:t>
      </w:r>
      <w:r>
        <w:rPr>
          <w:lang w:val="en-US"/>
        </w:rPr>
        <w:t>, K. (1995). ‘</w:t>
      </w:r>
      <w:r w:rsidRPr="007B1DD7">
        <w:rPr>
          <w:lang w:val="en-US"/>
        </w:rPr>
        <w:t xml:space="preserve">Lobbying Incentives and the Pattern of Protection in Rich and Poor </w:t>
      </w:r>
    </w:p>
    <w:p w:rsidR="00964452" w:rsidRDefault="00964452" w:rsidP="007B1DD7">
      <w:pPr>
        <w:pStyle w:val="NoSpacing"/>
        <w:spacing w:line="360" w:lineRule="auto"/>
        <w:rPr>
          <w:lang w:val="en-US"/>
        </w:rPr>
      </w:pPr>
      <w:r>
        <w:rPr>
          <w:lang w:val="en-US"/>
        </w:rPr>
        <w:tab/>
      </w:r>
      <w:r w:rsidRPr="007B1DD7">
        <w:rPr>
          <w:lang w:val="en-US"/>
        </w:rPr>
        <w:t>Countries</w:t>
      </w:r>
      <w:r>
        <w:rPr>
          <w:lang w:val="en-US"/>
        </w:rPr>
        <w:t xml:space="preserve">.’ </w:t>
      </w:r>
      <w:r w:rsidRPr="007B1DD7">
        <w:rPr>
          <w:i/>
          <w:lang w:val="en-US"/>
        </w:rPr>
        <w:t>Economic Development and Cultural Change</w:t>
      </w:r>
      <w:r w:rsidRPr="007B1DD7">
        <w:rPr>
          <w:lang w:val="en-US"/>
        </w:rPr>
        <w:t>, 43</w:t>
      </w:r>
      <w:r>
        <w:rPr>
          <w:lang w:val="en-US"/>
        </w:rPr>
        <w:t>(2):</w:t>
      </w:r>
      <w:r w:rsidRPr="007B1DD7">
        <w:rPr>
          <w:lang w:val="en-US"/>
        </w:rPr>
        <w:t xml:space="preserve"> pp. 401-423</w:t>
      </w:r>
      <w:r>
        <w:rPr>
          <w:lang w:val="en-US"/>
        </w:rPr>
        <w:t xml:space="preserve">. </w:t>
      </w:r>
      <w:r w:rsidRPr="007B1DD7">
        <w:rPr>
          <w:lang w:val="en-US"/>
        </w:rPr>
        <w:t xml:space="preserve">The </w:t>
      </w:r>
    </w:p>
    <w:p w:rsidR="00964452" w:rsidRDefault="00964452" w:rsidP="00D5650A">
      <w:pPr>
        <w:pStyle w:val="NoSpacing"/>
        <w:spacing w:line="360" w:lineRule="auto"/>
        <w:rPr>
          <w:lang w:val="en-US"/>
        </w:rPr>
      </w:pPr>
      <w:r>
        <w:rPr>
          <w:lang w:val="en-US"/>
        </w:rPr>
        <w:tab/>
      </w:r>
      <w:r w:rsidRPr="007B1DD7">
        <w:rPr>
          <w:lang w:val="en-US"/>
        </w:rPr>
        <w:t>University of Chicago Press</w:t>
      </w:r>
    </w:p>
    <w:p w:rsidR="00964452" w:rsidRDefault="00964452" w:rsidP="009570C3">
      <w:pPr>
        <w:pStyle w:val="NoSpacing"/>
        <w:spacing w:line="360" w:lineRule="auto"/>
        <w:rPr>
          <w:lang w:val="en-US"/>
        </w:rPr>
      </w:pPr>
      <w:r>
        <w:rPr>
          <w:lang w:val="en-US"/>
        </w:rPr>
        <w:t xml:space="preserve">Apartheid FAQ. (n.d.) About.com. </w:t>
      </w:r>
      <w:r>
        <w:rPr>
          <w:lang w:val="en-US"/>
        </w:rPr>
        <w:tab/>
      </w:r>
      <w:r w:rsidRPr="00E76DFA">
        <w:rPr>
          <w:lang w:val="en-US"/>
        </w:rPr>
        <w:t>http://africanhistory.about.com/library/bl/blSA</w:t>
      </w:r>
    </w:p>
    <w:p w:rsidR="00964452" w:rsidRPr="003B4462" w:rsidRDefault="00964452" w:rsidP="009570C3">
      <w:pPr>
        <w:pStyle w:val="NoSpacing"/>
        <w:spacing w:line="360" w:lineRule="auto"/>
        <w:rPr>
          <w:lang w:val="en-US"/>
        </w:rPr>
      </w:pPr>
      <w:r>
        <w:rPr>
          <w:lang w:val="en-US"/>
        </w:rPr>
        <w:tab/>
      </w:r>
      <w:r w:rsidRPr="00E76DFA">
        <w:rPr>
          <w:lang w:val="en-US"/>
        </w:rPr>
        <w:t>ApartheidFAQ.htm</w:t>
      </w:r>
      <w:r w:rsidRPr="003B4462">
        <w:rPr>
          <w:lang w:val="en-US"/>
        </w:rPr>
        <w:t xml:space="preserve"> 10-01-2011</w:t>
      </w:r>
    </w:p>
    <w:p w:rsidR="00964452" w:rsidRPr="00E76DFA" w:rsidRDefault="00964452" w:rsidP="00D5650A">
      <w:pPr>
        <w:pStyle w:val="NoSpacing"/>
        <w:spacing w:line="360" w:lineRule="auto"/>
        <w:rPr>
          <w:lang w:val="en-US"/>
        </w:rPr>
      </w:pPr>
      <w:r w:rsidRPr="003B4462">
        <w:rPr>
          <w:lang w:val="en-US"/>
        </w:rPr>
        <w:t>Background Note: Niger. (2010). U.S. Department of State.</w:t>
      </w:r>
      <w:r w:rsidRPr="00E76DFA">
        <w:rPr>
          <w:lang w:val="en-US"/>
        </w:rPr>
        <w:t>http://www.state.gov/r/pa/ei/bgn/</w:t>
      </w:r>
      <w:r w:rsidRPr="00E76DFA">
        <w:rPr>
          <w:lang w:val="en-US"/>
        </w:rPr>
        <w:tab/>
        <w:t>5474.htm 06-01-2011</w:t>
      </w:r>
    </w:p>
    <w:p w:rsidR="00964452" w:rsidRDefault="00964452" w:rsidP="00D5650A">
      <w:pPr>
        <w:pStyle w:val="NoSpacing"/>
        <w:spacing w:line="360" w:lineRule="auto"/>
        <w:rPr>
          <w:lang w:val="en-US"/>
        </w:rPr>
      </w:pPr>
      <w:r>
        <w:rPr>
          <w:lang w:val="en-US"/>
        </w:rPr>
        <w:t xml:space="preserve">Bora, B., Grynberg, R. Razzaque, M.A. (2004). ‘Marginalisation of LDCs and Small </w:t>
      </w:r>
    </w:p>
    <w:p w:rsidR="00964452" w:rsidRDefault="00964452" w:rsidP="00D5650A">
      <w:pPr>
        <w:pStyle w:val="NoSpacing"/>
        <w:spacing w:line="360" w:lineRule="auto"/>
        <w:rPr>
          <w:lang w:val="en-US"/>
        </w:rPr>
      </w:pPr>
      <w:r>
        <w:rPr>
          <w:lang w:val="en-US"/>
        </w:rPr>
        <w:tab/>
        <w:t xml:space="preserve">Vulnerable States in World Trade.’ Commonwealth Economic Paper Series. </w:t>
      </w:r>
    </w:p>
    <w:p w:rsidR="00964452" w:rsidRDefault="00964452" w:rsidP="00D5650A">
      <w:pPr>
        <w:pStyle w:val="NoSpacing"/>
        <w:spacing w:line="360" w:lineRule="auto"/>
        <w:rPr>
          <w:lang w:val="en-US"/>
        </w:rPr>
      </w:pPr>
      <w:r>
        <w:rPr>
          <w:lang w:val="en-US"/>
        </w:rPr>
        <w:tab/>
        <w:t xml:space="preserve">Commonwealth Secretariat, London. </w:t>
      </w:r>
    </w:p>
    <w:p w:rsidR="00964452" w:rsidRDefault="00964452" w:rsidP="00D5650A">
      <w:pPr>
        <w:pStyle w:val="NoSpacing"/>
        <w:spacing w:line="360" w:lineRule="auto"/>
        <w:rPr>
          <w:lang w:val="en-US"/>
        </w:rPr>
      </w:pPr>
      <w:r>
        <w:rPr>
          <w:lang w:val="en-US"/>
        </w:rPr>
        <w:t xml:space="preserve">Brenton, P. &amp;Newfarmer, R. (2007). ‘Watching More Than The Discovery Channel: Export </w:t>
      </w:r>
    </w:p>
    <w:p w:rsidR="00964452" w:rsidRDefault="00964452" w:rsidP="0083163B">
      <w:pPr>
        <w:pStyle w:val="NoSpacing"/>
        <w:spacing w:line="360" w:lineRule="auto"/>
        <w:ind w:left="708"/>
        <w:rPr>
          <w:lang w:val="en-US"/>
        </w:rPr>
      </w:pPr>
      <w:r>
        <w:rPr>
          <w:lang w:val="en-US"/>
        </w:rPr>
        <w:t>Cycles and Diversification in Development.’ World Bank Policy Research Working Paper 4302., The World Bank, Washington, D.C.</w:t>
      </w:r>
    </w:p>
    <w:p w:rsidR="00964452" w:rsidRDefault="00964452" w:rsidP="00D5650A">
      <w:pPr>
        <w:pStyle w:val="NoSpacing"/>
        <w:spacing w:line="360" w:lineRule="auto"/>
        <w:rPr>
          <w:lang w:val="en-US"/>
        </w:rPr>
      </w:pPr>
      <w:r w:rsidRPr="008B15D6">
        <w:rPr>
          <w:lang w:val="en-US"/>
        </w:rPr>
        <w:t>Brenton, P</w:t>
      </w:r>
      <w:r>
        <w:rPr>
          <w:lang w:val="en-US"/>
        </w:rPr>
        <w:t>.</w:t>
      </w:r>
      <w:r w:rsidRPr="008B15D6">
        <w:rPr>
          <w:lang w:val="en-US"/>
        </w:rPr>
        <w:t>, Saborowski, C</w:t>
      </w:r>
      <w:r>
        <w:rPr>
          <w:lang w:val="en-US"/>
        </w:rPr>
        <w:t>. &amp;</w:t>
      </w:r>
      <w:r w:rsidRPr="008B15D6">
        <w:rPr>
          <w:lang w:val="en-US"/>
        </w:rPr>
        <w:t xml:space="preserve"> Von Uexkull, E</w:t>
      </w:r>
      <w:r>
        <w:rPr>
          <w:lang w:val="en-US"/>
        </w:rPr>
        <w:t>. (2009). ‘</w:t>
      </w:r>
      <w:r w:rsidRPr="008B15D6">
        <w:rPr>
          <w:lang w:val="en-US"/>
        </w:rPr>
        <w:t xml:space="preserve">What Explains the Low Survival </w:t>
      </w:r>
    </w:p>
    <w:p w:rsidR="00964452" w:rsidRDefault="00964452" w:rsidP="00D5650A">
      <w:pPr>
        <w:pStyle w:val="NoSpacing"/>
        <w:spacing w:line="360" w:lineRule="auto"/>
        <w:rPr>
          <w:lang w:val="en-US"/>
        </w:rPr>
      </w:pPr>
      <w:r>
        <w:rPr>
          <w:lang w:val="en-US"/>
        </w:rPr>
        <w:tab/>
      </w:r>
      <w:r w:rsidRPr="008B15D6">
        <w:rPr>
          <w:lang w:val="en-US"/>
        </w:rPr>
        <w:t>Rate of Developing Country Export Flows?</w:t>
      </w:r>
      <w:r>
        <w:rPr>
          <w:lang w:val="en-US"/>
        </w:rPr>
        <w:t xml:space="preserve">’World Bank </w:t>
      </w:r>
      <w:r w:rsidRPr="008B15D6">
        <w:rPr>
          <w:lang w:val="en-US"/>
        </w:rPr>
        <w:t xml:space="preserve">Policy Research Working </w:t>
      </w:r>
    </w:p>
    <w:p w:rsidR="00964452" w:rsidRDefault="00964452" w:rsidP="00D5650A">
      <w:pPr>
        <w:pStyle w:val="NoSpacing"/>
        <w:spacing w:line="360" w:lineRule="auto"/>
        <w:rPr>
          <w:lang w:val="en-US"/>
        </w:rPr>
      </w:pPr>
      <w:r>
        <w:rPr>
          <w:lang w:val="en-US"/>
        </w:rPr>
        <w:tab/>
      </w:r>
      <w:r w:rsidRPr="008B15D6">
        <w:rPr>
          <w:lang w:val="en-US"/>
        </w:rPr>
        <w:t xml:space="preserve">Paper </w:t>
      </w:r>
      <w:r>
        <w:rPr>
          <w:lang w:val="en-US"/>
        </w:rPr>
        <w:t>4951., The World Bank,Washington, D.C.</w:t>
      </w:r>
    </w:p>
    <w:p w:rsidR="00964452" w:rsidRDefault="00964452" w:rsidP="00D5650A">
      <w:pPr>
        <w:pStyle w:val="NoSpacing"/>
        <w:spacing w:line="360" w:lineRule="auto"/>
        <w:rPr>
          <w:lang w:val="en-US"/>
        </w:rPr>
      </w:pPr>
      <w:r w:rsidRPr="003B4462">
        <w:rPr>
          <w:lang w:val="en-US"/>
        </w:rPr>
        <w:t xml:space="preserve">Cashin, P., Liang, H. &amp; McDermott, J. (2000). ‘How Persistent Are Shocks to World </w:t>
      </w:r>
    </w:p>
    <w:p w:rsidR="00964452" w:rsidRPr="00727909" w:rsidRDefault="00964452" w:rsidP="00D5650A">
      <w:pPr>
        <w:pStyle w:val="NoSpacing"/>
        <w:spacing w:line="360" w:lineRule="auto"/>
        <w:rPr>
          <w:lang w:val="en-US"/>
        </w:rPr>
      </w:pPr>
      <w:r>
        <w:rPr>
          <w:lang w:val="en-US"/>
        </w:rPr>
        <w:tab/>
      </w:r>
      <w:r w:rsidRPr="003B4462">
        <w:rPr>
          <w:lang w:val="en-US"/>
        </w:rPr>
        <w:t>Commodity Prices?’</w:t>
      </w:r>
      <w:r w:rsidRPr="003B4462">
        <w:rPr>
          <w:i/>
          <w:lang w:val="en-US"/>
        </w:rPr>
        <w:t>IMF Staff Papers</w:t>
      </w:r>
      <w:r>
        <w:rPr>
          <w:lang w:val="en-US"/>
        </w:rPr>
        <w:t xml:space="preserve"> 47(2), 177-217.</w:t>
      </w:r>
    </w:p>
    <w:p w:rsidR="00964452" w:rsidRPr="003B4462" w:rsidRDefault="00964452" w:rsidP="00D5650A">
      <w:pPr>
        <w:pStyle w:val="NoSpacing"/>
        <w:spacing w:line="360" w:lineRule="auto"/>
        <w:rPr>
          <w:i/>
          <w:lang w:val="en-US"/>
        </w:rPr>
      </w:pPr>
      <w:r w:rsidRPr="003B4462">
        <w:rPr>
          <w:lang w:val="en-US"/>
        </w:rPr>
        <w:t>Coelli, T.J., PrasadaRao, D.S., O’Donnell, C.J., &amp;Battese, G.E. (2005</w:t>
      </w:r>
      <w:r w:rsidRPr="003B4462">
        <w:rPr>
          <w:i/>
          <w:lang w:val="en-US"/>
        </w:rPr>
        <w:t xml:space="preserve">). An </w:t>
      </w:r>
    </w:p>
    <w:p w:rsidR="00964452" w:rsidRDefault="00964452" w:rsidP="00D5650A">
      <w:pPr>
        <w:pStyle w:val="NoSpacing"/>
        <w:spacing w:line="360" w:lineRule="auto"/>
        <w:rPr>
          <w:lang w:val="en-US"/>
        </w:rPr>
      </w:pPr>
      <w:r w:rsidRPr="003B4462">
        <w:rPr>
          <w:i/>
          <w:lang w:val="en-US"/>
        </w:rPr>
        <w:tab/>
        <w:t>introduction to efficiency and productivity analysis.</w:t>
      </w:r>
      <w:r w:rsidRPr="003B4462">
        <w:rPr>
          <w:lang w:val="en-US"/>
        </w:rPr>
        <w:t xml:space="preserve">(2nd ed.). New York: Springer </w:t>
      </w:r>
    </w:p>
    <w:p w:rsidR="00964452" w:rsidRPr="003B4462" w:rsidRDefault="00964452" w:rsidP="00D5650A">
      <w:pPr>
        <w:pStyle w:val="NoSpacing"/>
        <w:spacing w:line="360" w:lineRule="auto"/>
        <w:rPr>
          <w:lang w:val="en-US"/>
        </w:rPr>
      </w:pPr>
      <w:r>
        <w:rPr>
          <w:lang w:val="en-US"/>
        </w:rPr>
        <w:tab/>
      </w:r>
      <w:r w:rsidRPr="003B4462">
        <w:rPr>
          <w:lang w:val="en-US"/>
        </w:rPr>
        <w:t>Science + Business media.</w:t>
      </w:r>
    </w:p>
    <w:p w:rsidR="00964452" w:rsidRDefault="00964452" w:rsidP="000F70DA">
      <w:pPr>
        <w:pStyle w:val="NoSpacing"/>
        <w:spacing w:line="360" w:lineRule="auto"/>
        <w:rPr>
          <w:lang w:val="en-US"/>
        </w:rPr>
      </w:pPr>
      <w:r>
        <w:rPr>
          <w:lang w:val="en-US"/>
        </w:rPr>
        <w:t xml:space="preserve">Export.gov (2011). </w:t>
      </w:r>
      <w:r w:rsidRPr="00E76DFA">
        <w:rPr>
          <w:lang w:val="en-US"/>
        </w:rPr>
        <w:t>http://export.gov/logistics/eg_main_018119.asp</w:t>
      </w:r>
      <w:r>
        <w:rPr>
          <w:lang w:val="en-US"/>
        </w:rPr>
        <w:t xml:space="preserve"> 20-07-2011</w:t>
      </w:r>
    </w:p>
    <w:p w:rsidR="00964452" w:rsidRDefault="00964452" w:rsidP="000F70DA">
      <w:pPr>
        <w:pStyle w:val="NoSpacing"/>
        <w:spacing w:line="360" w:lineRule="auto"/>
        <w:rPr>
          <w:lang w:val="en-US"/>
        </w:rPr>
      </w:pPr>
      <w:r w:rsidRPr="000F70DA">
        <w:rPr>
          <w:lang w:val="en-US"/>
        </w:rPr>
        <w:t>Gehlhar,</w:t>
      </w:r>
      <w:r>
        <w:rPr>
          <w:lang w:val="en-US"/>
        </w:rPr>
        <w:t xml:space="preserve"> M.J.,</w:t>
      </w:r>
      <w:r w:rsidRPr="000F70DA">
        <w:rPr>
          <w:lang w:val="en-US"/>
        </w:rPr>
        <w:t>Hertel</w:t>
      </w:r>
      <w:r>
        <w:rPr>
          <w:lang w:val="en-US"/>
        </w:rPr>
        <w:t>, T.W. &amp;</w:t>
      </w:r>
      <w:r w:rsidRPr="000F70DA">
        <w:rPr>
          <w:lang w:val="en-US"/>
        </w:rPr>
        <w:t xml:space="preserve"> Martin</w:t>
      </w:r>
      <w:r>
        <w:rPr>
          <w:lang w:val="en-US"/>
        </w:rPr>
        <w:t>, W. (1994).‘</w:t>
      </w:r>
      <w:r w:rsidRPr="000F70DA">
        <w:rPr>
          <w:lang w:val="en-US"/>
        </w:rPr>
        <w:t xml:space="preserve">Economic Growth and the Changing </w:t>
      </w:r>
    </w:p>
    <w:p w:rsidR="00964452" w:rsidRDefault="00964452" w:rsidP="000F70DA">
      <w:pPr>
        <w:pStyle w:val="NoSpacing"/>
        <w:spacing w:line="360" w:lineRule="auto"/>
        <w:rPr>
          <w:i/>
          <w:lang w:val="en-US"/>
        </w:rPr>
      </w:pPr>
      <w:r>
        <w:rPr>
          <w:lang w:val="en-US"/>
        </w:rPr>
        <w:tab/>
      </w:r>
      <w:r w:rsidRPr="000F70DA">
        <w:rPr>
          <w:lang w:val="en-US"/>
        </w:rPr>
        <w:t>Structure of Trade and Production in the Pacific Rim</w:t>
      </w:r>
      <w:r>
        <w:rPr>
          <w:lang w:val="en-US"/>
        </w:rPr>
        <w:t xml:space="preserve">.’ </w:t>
      </w:r>
      <w:r w:rsidRPr="000F70DA">
        <w:rPr>
          <w:i/>
          <w:lang w:val="en-US"/>
        </w:rPr>
        <w:t xml:space="preserve">American Journal of </w:t>
      </w:r>
    </w:p>
    <w:p w:rsidR="00964452" w:rsidRDefault="00964452" w:rsidP="000F70DA">
      <w:pPr>
        <w:pStyle w:val="NoSpacing"/>
        <w:spacing w:line="360" w:lineRule="auto"/>
        <w:rPr>
          <w:lang w:val="en-US"/>
        </w:rPr>
      </w:pPr>
      <w:r>
        <w:rPr>
          <w:i/>
          <w:lang w:val="en-US"/>
        </w:rPr>
        <w:tab/>
      </w:r>
      <w:r w:rsidRPr="000F70DA">
        <w:rPr>
          <w:i/>
          <w:lang w:val="en-US"/>
        </w:rPr>
        <w:t>Agricultural Economics</w:t>
      </w:r>
      <w:r w:rsidRPr="000F70DA">
        <w:rPr>
          <w:lang w:val="en-US"/>
        </w:rPr>
        <w:t>, 76</w:t>
      </w:r>
      <w:r>
        <w:rPr>
          <w:lang w:val="en-US"/>
        </w:rPr>
        <w:t>(5)</w:t>
      </w:r>
      <w:r w:rsidRPr="000F70DA">
        <w:rPr>
          <w:lang w:val="en-US"/>
        </w:rPr>
        <w:t>, Proceedings Issue</w:t>
      </w:r>
      <w:r>
        <w:rPr>
          <w:lang w:val="en-US"/>
        </w:rPr>
        <w:t>,</w:t>
      </w:r>
      <w:r w:rsidRPr="000F70DA">
        <w:rPr>
          <w:lang w:val="en-US"/>
        </w:rPr>
        <w:t xml:space="preserve"> pp. 1101-1110</w:t>
      </w:r>
      <w:r>
        <w:rPr>
          <w:lang w:val="en-US"/>
        </w:rPr>
        <w:t xml:space="preserve">. </w:t>
      </w:r>
      <w:r w:rsidRPr="000F70DA">
        <w:rPr>
          <w:lang w:val="en-US"/>
        </w:rPr>
        <w:t>Agricultural &amp;</w:t>
      </w:r>
    </w:p>
    <w:p w:rsidR="00964452" w:rsidRDefault="00964452" w:rsidP="00D5650A">
      <w:pPr>
        <w:pStyle w:val="NoSpacing"/>
        <w:spacing w:line="360" w:lineRule="auto"/>
        <w:rPr>
          <w:lang w:val="en-US"/>
        </w:rPr>
      </w:pPr>
      <w:r>
        <w:rPr>
          <w:lang w:val="en-US"/>
        </w:rPr>
        <w:tab/>
      </w:r>
      <w:r w:rsidRPr="000F70DA">
        <w:rPr>
          <w:lang w:val="en-US"/>
        </w:rPr>
        <w:t>Applied Economics Association</w:t>
      </w:r>
      <w:r>
        <w:rPr>
          <w:lang w:val="en-US"/>
        </w:rPr>
        <w:t>. Oxford University Press, New York.</w:t>
      </w:r>
    </w:p>
    <w:p w:rsidR="00964452" w:rsidRDefault="00964452" w:rsidP="00D5650A">
      <w:pPr>
        <w:pStyle w:val="NoSpacing"/>
        <w:spacing w:line="360" w:lineRule="auto"/>
        <w:rPr>
          <w:lang w:val="en-US"/>
        </w:rPr>
      </w:pPr>
    </w:p>
    <w:p w:rsidR="00964452" w:rsidRDefault="00964452" w:rsidP="00D5650A">
      <w:pPr>
        <w:pStyle w:val="NoSpacing"/>
        <w:spacing w:line="360" w:lineRule="auto"/>
        <w:rPr>
          <w:lang w:val="en-US"/>
        </w:rPr>
      </w:pPr>
      <w:r w:rsidRPr="003B4462">
        <w:rPr>
          <w:lang w:val="en-US"/>
        </w:rPr>
        <w:t>Global Economic Prospects 2009, Forecast Update (2009).World Bank.</w:t>
      </w:r>
    </w:p>
    <w:p w:rsidR="00964452" w:rsidRPr="003B4462" w:rsidRDefault="00964452" w:rsidP="00D5650A">
      <w:pPr>
        <w:pStyle w:val="NoSpacing"/>
        <w:spacing w:line="360" w:lineRule="auto"/>
        <w:ind w:left="708"/>
        <w:rPr>
          <w:lang w:val="en-US"/>
        </w:rPr>
      </w:pPr>
      <w:r w:rsidRPr="00E76DFA">
        <w:rPr>
          <w:lang w:val="en-US"/>
        </w:rPr>
        <w:t>http://siteresources.worldbank.org/INTGEP2009/Resources/5530448-1238466339289/GEP-Update-March30.pdf</w:t>
      </w:r>
      <w:r w:rsidRPr="003B4462">
        <w:rPr>
          <w:lang w:val="en-US"/>
        </w:rPr>
        <w:t xml:space="preserve"> 29-11-2010</w:t>
      </w:r>
    </w:p>
    <w:p w:rsidR="00964452" w:rsidRDefault="00964452" w:rsidP="00186491">
      <w:pPr>
        <w:pStyle w:val="NoSpacing"/>
        <w:spacing w:line="360" w:lineRule="auto"/>
        <w:rPr>
          <w:lang w:val="en-US"/>
        </w:rPr>
      </w:pPr>
      <w:r>
        <w:rPr>
          <w:lang w:val="en-US"/>
        </w:rPr>
        <w:t xml:space="preserve">Gwartney, J.D., Holcombe, R.G. &amp; Lawson, R.A. (2004). ‘Economic Freedom, Institutional </w:t>
      </w:r>
    </w:p>
    <w:p w:rsidR="00964452" w:rsidRDefault="00964452" w:rsidP="00186491">
      <w:pPr>
        <w:pStyle w:val="NoSpacing"/>
        <w:spacing w:line="360" w:lineRule="auto"/>
        <w:rPr>
          <w:lang w:val="en-US"/>
        </w:rPr>
      </w:pPr>
      <w:r>
        <w:rPr>
          <w:lang w:val="en-US"/>
        </w:rPr>
        <w:tab/>
        <w:t xml:space="preserve">Quality, and Cross-Country Differences in Income and Growth.’ </w:t>
      </w:r>
      <w:r w:rsidRPr="00403983">
        <w:rPr>
          <w:i/>
          <w:lang w:val="en-US"/>
        </w:rPr>
        <w:t>Cato Journal</w:t>
      </w:r>
      <w:r w:rsidRPr="00403983">
        <w:rPr>
          <w:lang w:val="en-US"/>
        </w:rPr>
        <w:t>, 24</w:t>
      </w:r>
      <w:r>
        <w:rPr>
          <w:lang w:val="en-US"/>
        </w:rPr>
        <w:t>(</w:t>
      </w:r>
      <w:r w:rsidRPr="00403983">
        <w:rPr>
          <w:lang w:val="en-US"/>
        </w:rPr>
        <w:t>3</w:t>
      </w:r>
      <w:r>
        <w:rPr>
          <w:lang w:val="en-US"/>
        </w:rPr>
        <w:t xml:space="preserve">): </w:t>
      </w:r>
    </w:p>
    <w:p w:rsidR="00964452" w:rsidRDefault="00964452" w:rsidP="00186491">
      <w:pPr>
        <w:pStyle w:val="NoSpacing"/>
        <w:spacing w:line="360" w:lineRule="auto"/>
        <w:rPr>
          <w:lang w:val="en-US"/>
        </w:rPr>
      </w:pPr>
      <w:r>
        <w:rPr>
          <w:lang w:val="en-US"/>
        </w:rPr>
        <w:tab/>
        <w:t xml:space="preserve">205-233. </w:t>
      </w:r>
    </w:p>
    <w:p w:rsidR="00964452" w:rsidRDefault="00964452" w:rsidP="00186491">
      <w:pPr>
        <w:pStyle w:val="NoSpacing"/>
        <w:spacing w:line="360" w:lineRule="auto"/>
        <w:rPr>
          <w:lang w:val="en-US"/>
        </w:rPr>
      </w:pPr>
      <w:r w:rsidRPr="00186491">
        <w:rPr>
          <w:lang w:val="en-US"/>
        </w:rPr>
        <w:t>Hallward-Driemeier, M., Iarossi, G. &amp;Sokoloff, K.L. (2002). ‘</w:t>
      </w:r>
      <w:r>
        <w:rPr>
          <w:lang w:val="en-US"/>
        </w:rPr>
        <w:t xml:space="preserve">Export and Manufacturing </w:t>
      </w:r>
    </w:p>
    <w:p w:rsidR="00964452" w:rsidRDefault="00964452" w:rsidP="00F66FCA">
      <w:pPr>
        <w:pStyle w:val="NoSpacing"/>
        <w:spacing w:line="360" w:lineRule="auto"/>
        <w:rPr>
          <w:lang w:val="en-US"/>
        </w:rPr>
      </w:pPr>
      <w:r>
        <w:rPr>
          <w:lang w:val="en-US"/>
        </w:rPr>
        <w:tab/>
        <w:t>Productivity in East Asia: a Comparative Analysis with Firm-level Data.’ NBER</w:t>
      </w:r>
    </w:p>
    <w:p w:rsidR="00964452" w:rsidRPr="00186491" w:rsidRDefault="00964452" w:rsidP="00FD64A6">
      <w:pPr>
        <w:pStyle w:val="NoSpacing"/>
        <w:spacing w:line="360" w:lineRule="auto"/>
        <w:ind w:firstLine="708"/>
        <w:rPr>
          <w:lang w:val="en-US"/>
        </w:rPr>
      </w:pPr>
      <w:r>
        <w:rPr>
          <w:lang w:val="en-US"/>
        </w:rPr>
        <w:t xml:space="preserve">Working Paper 8894., National Bureau of Economic Research, Cambridge MA. </w:t>
      </w:r>
    </w:p>
    <w:p w:rsidR="00964452" w:rsidRDefault="00964452" w:rsidP="00FD64A6">
      <w:pPr>
        <w:pStyle w:val="NoSpacing"/>
        <w:spacing w:line="360" w:lineRule="auto"/>
        <w:rPr>
          <w:lang w:val="en-US"/>
        </w:rPr>
      </w:pPr>
      <w:r w:rsidRPr="00104A35">
        <w:rPr>
          <w:lang w:val="en-US"/>
        </w:rPr>
        <w:t>Hanson,</w:t>
      </w:r>
      <w:r>
        <w:rPr>
          <w:lang w:val="en-US"/>
        </w:rPr>
        <w:t xml:space="preserve"> G.H.&amp;</w:t>
      </w:r>
      <w:r w:rsidRPr="00104A35">
        <w:rPr>
          <w:lang w:val="en-US"/>
        </w:rPr>
        <w:t>Robertson</w:t>
      </w:r>
      <w:r>
        <w:rPr>
          <w:lang w:val="en-US"/>
        </w:rPr>
        <w:t>, R. (2008). ‘</w:t>
      </w:r>
      <w:r w:rsidRPr="00104A35">
        <w:rPr>
          <w:lang w:val="en-US"/>
        </w:rPr>
        <w:t xml:space="preserve">China and the Manufacturing Exports of Other </w:t>
      </w:r>
    </w:p>
    <w:p w:rsidR="00964452" w:rsidRDefault="00964452" w:rsidP="00FD64A6">
      <w:pPr>
        <w:pStyle w:val="NoSpacing"/>
        <w:spacing w:line="360" w:lineRule="auto"/>
        <w:rPr>
          <w:lang w:val="en-US"/>
        </w:rPr>
      </w:pPr>
      <w:r>
        <w:rPr>
          <w:lang w:val="en-US"/>
        </w:rPr>
        <w:tab/>
      </w:r>
      <w:r w:rsidRPr="00104A35">
        <w:rPr>
          <w:lang w:val="en-US"/>
        </w:rPr>
        <w:t>Developing Countries</w:t>
      </w:r>
      <w:r>
        <w:rPr>
          <w:lang w:val="en-US"/>
        </w:rPr>
        <w:t>’</w:t>
      </w:r>
      <w:r w:rsidRPr="00FD64A6">
        <w:rPr>
          <w:lang w:val="en-US"/>
        </w:rPr>
        <w:t>NBER Working Paper No. 14497</w:t>
      </w:r>
      <w:r>
        <w:rPr>
          <w:lang w:val="en-US"/>
        </w:rPr>
        <w:t xml:space="preserve">., National Bureau of </w:t>
      </w:r>
    </w:p>
    <w:p w:rsidR="00964452" w:rsidRDefault="00964452" w:rsidP="00104A35">
      <w:pPr>
        <w:pStyle w:val="NoSpacing"/>
        <w:spacing w:line="360" w:lineRule="auto"/>
        <w:rPr>
          <w:lang w:val="en-US"/>
        </w:rPr>
      </w:pPr>
      <w:r>
        <w:rPr>
          <w:lang w:val="en-US"/>
        </w:rPr>
        <w:tab/>
        <w:t xml:space="preserve">Economic Research, Cambridge MA. </w:t>
      </w:r>
    </w:p>
    <w:p w:rsidR="00964452" w:rsidRPr="003B4462" w:rsidRDefault="00964452" w:rsidP="00D5650A">
      <w:pPr>
        <w:pStyle w:val="NoSpacing"/>
        <w:spacing w:line="360" w:lineRule="auto"/>
        <w:rPr>
          <w:lang w:val="en-US"/>
        </w:rPr>
      </w:pPr>
      <w:r w:rsidRPr="00186491">
        <w:rPr>
          <w:lang w:val="en-US"/>
        </w:rPr>
        <w:t xml:space="preserve">Harsch, E. (2001). </w:t>
      </w:r>
      <w:r w:rsidRPr="003B4462">
        <w:rPr>
          <w:lang w:val="en-US"/>
        </w:rPr>
        <w:t xml:space="preserve">‘South Africa tackles social inequalities.’ </w:t>
      </w:r>
      <w:r w:rsidRPr="003B4462">
        <w:rPr>
          <w:i/>
          <w:lang w:val="en-US"/>
        </w:rPr>
        <w:t>Africa Recovery</w:t>
      </w:r>
      <w:r w:rsidRPr="003B4462">
        <w:rPr>
          <w:lang w:val="en-US"/>
        </w:rPr>
        <w:t>, 14(4), 12.</w:t>
      </w:r>
    </w:p>
    <w:p w:rsidR="00964452" w:rsidRPr="00194B22" w:rsidRDefault="00964452" w:rsidP="00D5650A">
      <w:pPr>
        <w:pStyle w:val="NoSpacing"/>
        <w:spacing w:line="360" w:lineRule="auto"/>
        <w:rPr>
          <w:i/>
          <w:lang w:val="en-US"/>
        </w:rPr>
      </w:pPr>
      <w:r w:rsidRPr="00194B22">
        <w:t>Hausmann, R., Hwang, J. &amp;Rodrik, D. (2007).</w:t>
      </w:r>
      <w:r w:rsidRPr="003B4462">
        <w:rPr>
          <w:lang w:val="en-US"/>
        </w:rPr>
        <w:t xml:space="preserve">‘What you export matters.’ </w:t>
      </w:r>
      <w:r w:rsidRPr="00194B22">
        <w:rPr>
          <w:i/>
          <w:lang w:val="en-US"/>
        </w:rPr>
        <w:t xml:space="preserve">Journal of </w:t>
      </w:r>
    </w:p>
    <w:p w:rsidR="00964452" w:rsidRDefault="00964452" w:rsidP="00D5650A">
      <w:pPr>
        <w:pStyle w:val="NoSpacing"/>
        <w:spacing w:line="360" w:lineRule="auto"/>
        <w:rPr>
          <w:lang w:val="en-US"/>
        </w:rPr>
      </w:pPr>
      <w:r w:rsidRPr="00194B22">
        <w:rPr>
          <w:i/>
          <w:lang w:val="en-US"/>
        </w:rPr>
        <w:tab/>
        <w:t>Economic Growth</w:t>
      </w:r>
      <w:r w:rsidRPr="00194B22">
        <w:rPr>
          <w:lang w:val="en-US"/>
        </w:rPr>
        <w:t>.</w:t>
      </w:r>
      <w:r w:rsidRPr="003B4462">
        <w:rPr>
          <w:lang w:val="en-US"/>
        </w:rPr>
        <w:t xml:space="preserve">12(1), 1-25. DOI: 10.1007/s10887-006-9009-4 </w:t>
      </w:r>
    </w:p>
    <w:p w:rsidR="00964452" w:rsidRDefault="00964452" w:rsidP="00D5650A">
      <w:pPr>
        <w:pStyle w:val="NoSpacing"/>
        <w:spacing w:line="360" w:lineRule="auto"/>
        <w:rPr>
          <w:lang w:val="en-US"/>
        </w:rPr>
      </w:pPr>
      <w:r>
        <w:rPr>
          <w:lang w:val="en-US"/>
        </w:rPr>
        <w:t xml:space="preserve">Hausmann, R. &amp; Klinger, B. (2006). ‘Structural Transformation and Patterns of Comparative </w:t>
      </w:r>
    </w:p>
    <w:p w:rsidR="00964452" w:rsidRDefault="00964452" w:rsidP="00D5650A">
      <w:pPr>
        <w:pStyle w:val="NoSpacing"/>
        <w:spacing w:line="360" w:lineRule="auto"/>
        <w:rPr>
          <w:lang w:val="en-US"/>
        </w:rPr>
      </w:pPr>
      <w:r>
        <w:rPr>
          <w:lang w:val="en-US"/>
        </w:rPr>
        <w:tab/>
        <w:t xml:space="preserve">Advantage in the Product Space.’ </w:t>
      </w:r>
      <w:r w:rsidRPr="00C02ECB">
        <w:rPr>
          <w:lang w:val="en-US"/>
        </w:rPr>
        <w:t xml:space="preserve">KSG Working Paper No. RWP06-041; CID </w:t>
      </w:r>
    </w:p>
    <w:p w:rsidR="00964452" w:rsidRDefault="00964452" w:rsidP="00D5650A">
      <w:pPr>
        <w:pStyle w:val="NoSpacing"/>
        <w:spacing w:line="360" w:lineRule="auto"/>
        <w:rPr>
          <w:lang w:val="en-US"/>
        </w:rPr>
      </w:pPr>
      <w:r>
        <w:rPr>
          <w:lang w:val="en-US"/>
        </w:rPr>
        <w:tab/>
      </w:r>
      <w:r w:rsidRPr="00C02ECB">
        <w:rPr>
          <w:lang w:val="en-US"/>
        </w:rPr>
        <w:t>Working Paper No. 128.</w:t>
      </w:r>
      <w:r>
        <w:rPr>
          <w:lang w:val="en-US"/>
        </w:rPr>
        <w:t xml:space="preserve"> Cambridge, MA. </w:t>
      </w:r>
    </w:p>
    <w:p w:rsidR="00964452" w:rsidRPr="003B4462" w:rsidRDefault="00964452" w:rsidP="00D5650A">
      <w:pPr>
        <w:pStyle w:val="NoSpacing"/>
        <w:spacing w:line="360" w:lineRule="auto"/>
        <w:rPr>
          <w:lang w:val="en-US"/>
        </w:rPr>
      </w:pPr>
      <w:r w:rsidRPr="003B4462">
        <w:rPr>
          <w:lang w:val="en-US"/>
        </w:rPr>
        <w:t xml:space="preserve">Hausmann, R. </w:t>
      </w:r>
      <w:r>
        <w:rPr>
          <w:lang w:val="en-US"/>
        </w:rPr>
        <w:t>&amp;Rodrik, D. (2003). ‘</w:t>
      </w:r>
      <w:r w:rsidRPr="003B4462">
        <w:rPr>
          <w:lang w:val="en-US"/>
        </w:rPr>
        <w:t>Economic</w:t>
      </w:r>
      <w:r>
        <w:rPr>
          <w:lang w:val="en-US"/>
        </w:rPr>
        <w:t xml:space="preserve"> Development as Self Discovery.’</w:t>
      </w:r>
    </w:p>
    <w:p w:rsidR="00964452" w:rsidRPr="003B4462" w:rsidRDefault="00964452" w:rsidP="00D5650A">
      <w:pPr>
        <w:pStyle w:val="NoSpacing"/>
        <w:spacing w:line="360" w:lineRule="auto"/>
        <w:ind w:firstLine="708"/>
        <w:rPr>
          <w:lang w:val="en-US"/>
        </w:rPr>
      </w:pPr>
      <w:r w:rsidRPr="003B4462">
        <w:rPr>
          <w:i/>
          <w:lang w:val="en-US"/>
        </w:rPr>
        <w:t>Journal of Development Economics</w:t>
      </w:r>
      <w:r w:rsidRPr="003B4462">
        <w:rPr>
          <w:lang w:val="en-US"/>
        </w:rPr>
        <w:t xml:space="preserve">, 72(2), 603-633 </w:t>
      </w:r>
    </w:p>
    <w:p w:rsidR="00964452" w:rsidRPr="00AC028D" w:rsidRDefault="00964452" w:rsidP="00D5650A">
      <w:pPr>
        <w:pStyle w:val="NoSpacing"/>
        <w:spacing w:line="360" w:lineRule="auto"/>
        <w:rPr>
          <w:lang w:val="en-US"/>
        </w:rPr>
      </w:pPr>
      <w:r w:rsidRPr="00AC028D">
        <w:rPr>
          <w:lang w:val="en-US"/>
        </w:rPr>
        <w:t>Hidalgo</w:t>
      </w:r>
      <w:r>
        <w:rPr>
          <w:lang w:val="en-US"/>
        </w:rPr>
        <w:t>,</w:t>
      </w:r>
      <w:r w:rsidRPr="00AC028D">
        <w:rPr>
          <w:lang w:val="en-US"/>
        </w:rPr>
        <w:t xml:space="preserve"> C</w:t>
      </w:r>
      <w:r>
        <w:rPr>
          <w:lang w:val="en-US"/>
        </w:rPr>
        <w:t>.</w:t>
      </w:r>
      <w:r w:rsidRPr="00AC028D">
        <w:rPr>
          <w:lang w:val="en-US"/>
        </w:rPr>
        <w:t>A.</w:t>
      </w:r>
      <w:r>
        <w:rPr>
          <w:lang w:val="en-US"/>
        </w:rPr>
        <w:t>,</w:t>
      </w:r>
      <w:r w:rsidRPr="00AC028D">
        <w:rPr>
          <w:lang w:val="en-US"/>
        </w:rPr>
        <w:t xml:space="preserve"> Klinger</w:t>
      </w:r>
      <w:r>
        <w:rPr>
          <w:lang w:val="en-US"/>
        </w:rPr>
        <w:t>,</w:t>
      </w:r>
      <w:r w:rsidRPr="00AC028D">
        <w:rPr>
          <w:lang w:val="en-US"/>
        </w:rPr>
        <w:t xml:space="preserve"> B</w:t>
      </w:r>
      <w:r>
        <w:rPr>
          <w:lang w:val="en-US"/>
        </w:rPr>
        <w:t>.</w:t>
      </w:r>
      <w:r w:rsidRPr="00AC028D">
        <w:rPr>
          <w:lang w:val="en-US"/>
        </w:rPr>
        <w:t>, Barabasi</w:t>
      </w:r>
      <w:r>
        <w:rPr>
          <w:lang w:val="en-US"/>
        </w:rPr>
        <w:t>, A-L &amp;</w:t>
      </w:r>
      <w:r w:rsidRPr="00AC028D">
        <w:rPr>
          <w:lang w:val="en-US"/>
        </w:rPr>
        <w:t>Hausmann</w:t>
      </w:r>
      <w:r>
        <w:rPr>
          <w:lang w:val="en-US"/>
        </w:rPr>
        <w:t>, R. (2007).</w:t>
      </w:r>
      <w:r w:rsidRPr="00AC028D">
        <w:rPr>
          <w:i/>
          <w:lang w:val="en-US"/>
        </w:rPr>
        <w:t>Science</w:t>
      </w:r>
      <w:r>
        <w:rPr>
          <w:i/>
          <w:lang w:val="en-US"/>
        </w:rPr>
        <w:t>,</w:t>
      </w:r>
      <w:r w:rsidRPr="00AC028D">
        <w:rPr>
          <w:lang w:val="en-US"/>
        </w:rPr>
        <w:t xml:space="preserve">317, 482-487 </w:t>
      </w:r>
    </w:p>
    <w:p w:rsidR="00964452" w:rsidRDefault="00964452" w:rsidP="00D5650A">
      <w:pPr>
        <w:pStyle w:val="NoSpacing"/>
        <w:spacing w:line="360" w:lineRule="auto"/>
        <w:rPr>
          <w:lang w:val="en-US"/>
        </w:rPr>
      </w:pPr>
      <w:r w:rsidRPr="000D4713">
        <w:rPr>
          <w:lang w:val="nl-NL"/>
        </w:rPr>
        <w:t xml:space="preserve">Hoogeveen, J.G. &amp;Özler, B. (2005). </w:t>
      </w:r>
      <w:r w:rsidRPr="003B4462">
        <w:rPr>
          <w:lang w:val="en-US"/>
        </w:rPr>
        <w:t>‘Not Separate, Not Equal: Poverty and Inequality in</w:t>
      </w:r>
    </w:p>
    <w:p w:rsidR="00964452" w:rsidRPr="003B4462" w:rsidRDefault="00964452" w:rsidP="00D5650A">
      <w:pPr>
        <w:pStyle w:val="NoSpacing"/>
        <w:spacing w:line="360" w:lineRule="auto"/>
        <w:ind w:firstLine="708"/>
        <w:rPr>
          <w:lang w:val="en-US"/>
        </w:rPr>
      </w:pPr>
      <w:r w:rsidRPr="003B4462">
        <w:rPr>
          <w:lang w:val="en-US"/>
        </w:rPr>
        <w:t xml:space="preserve">Post-Apartheid South Africa.’ </w:t>
      </w:r>
      <w:r w:rsidRPr="00E76DFA">
        <w:rPr>
          <w:lang w:val="en-US"/>
        </w:rPr>
        <w:t>http://hdl.handle.net/2027.42/40125</w:t>
      </w:r>
      <w:r w:rsidRPr="003B4462">
        <w:rPr>
          <w:lang w:val="en-US"/>
        </w:rPr>
        <w:t xml:space="preserve"> 09-01-2011    </w:t>
      </w:r>
    </w:p>
    <w:p w:rsidR="00964452" w:rsidRDefault="00964452" w:rsidP="00D5650A">
      <w:pPr>
        <w:pStyle w:val="NoSpacing"/>
        <w:spacing w:line="360" w:lineRule="auto"/>
        <w:rPr>
          <w:lang w:val="en-US"/>
        </w:rPr>
      </w:pPr>
      <w:r w:rsidRPr="003B4462">
        <w:rPr>
          <w:lang w:val="en-US"/>
        </w:rPr>
        <w:t>Imbs, J. &amp;Wacziarg, R. (2003).‘Stages of Diversification.’</w:t>
      </w:r>
      <w:r w:rsidRPr="003B4462">
        <w:rPr>
          <w:i/>
          <w:lang w:val="en-US"/>
        </w:rPr>
        <w:t>American Economic Review</w:t>
      </w:r>
      <w:r w:rsidRPr="003B4462">
        <w:rPr>
          <w:lang w:val="en-US"/>
        </w:rPr>
        <w:t xml:space="preserve">, </w:t>
      </w:r>
    </w:p>
    <w:p w:rsidR="00964452" w:rsidRPr="003B4462" w:rsidRDefault="00964452" w:rsidP="00D5650A">
      <w:pPr>
        <w:pStyle w:val="NoSpacing"/>
        <w:spacing w:line="360" w:lineRule="auto"/>
        <w:rPr>
          <w:lang w:val="en-US"/>
        </w:rPr>
      </w:pPr>
      <w:r>
        <w:rPr>
          <w:lang w:val="en-US"/>
        </w:rPr>
        <w:tab/>
      </w:r>
      <w:r w:rsidRPr="003B4462">
        <w:rPr>
          <w:lang w:val="en-US"/>
        </w:rPr>
        <w:t xml:space="preserve">93(1), 63-86. </w:t>
      </w:r>
    </w:p>
    <w:p w:rsidR="00964452" w:rsidRDefault="00964452" w:rsidP="00D5650A">
      <w:pPr>
        <w:pStyle w:val="NoSpacing"/>
        <w:spacing w:line="360" w:lineRule="auto"/>
        <w:rPr>
          <w:lang w:val="en-US"/>
        </w:rPr>
      </w:pPr>
      <w:r w:rsidRPr="003B4462">
        <w:rPr>
          <w:lang w:val="en-US"/>
        </w:rPr>
        <w:t>Impact of EU membership on Ireland.(2010). European Commission.</w:t>
      </w:r>
    </w:p>
    <w:p w:rsidR="00964452" w:rsidRPr="00194B22" w:rsidRDefault="00964452" w:rsidP="00D5650A">
      <w:pPr>
        <w:pStyle w:val="NoSpacing"/>
        <w:spacing w:line="360" w:lineRule="auto"/>
        <w:ind w:left="708"/>
        <w:rPr>
          <w:lang w:val="en-US"/>
        </w:rPr>
      </w:pPr>
      <w:r w:rsidRPr="00E76DFA">
        <w:rPr>
          <w:lang w:val="en-US"/>
        </w:rPr>
        <w:t>http://ec.europa.eu/ireland/ireland_in_the_eu/impact_of_membership_on_ireland/index_en.htm</w:t>
      </w:r>
      <w:r w:rsidRPr="00194B22">
        <w:rPr>
          <w:lang w:val="en-US"/>
        </w:rPr>
        <w:t>03-12-2010</w:t>
      </w:r>
    </w:p>
    <w:p w:rsidR="00964452" w:rsidRDefault="00964452" w:rsidP="00D5650A">
      <w:pPr>
        <w:pStyle w:val="NoSpacing"/>
        <w:spacing w:line="360" w:lineRule="auto"/>
        <w:rPr>
          <w:lang w:val="en-US"/>
        </w:rPr>
      </w:pPr>
      <w:r w:rsidRPr="003B4462">
        <w:rPr>
          <w:lang w:val="en-US"/>
        </w:rPr>
        <w:t>Ireland: a Trading Nation. (1998). Department of Enterprise, Trade and Employment.</w:t>
      </w:r>
    </w:p>
    <w:p w:rsidR="00964452" w:rsidRPr="003B4462" w:rsidRDefault="00964452" w:rsidP="00D5650A">
      <w:pPr>
        <w:pStyle w:val="NoSpacing"/>
        <w:spacing w:line="360" w:lineRule="auto"/>
        <w:ind w:firstLine="708"/>
        <w:rPr>
          <w:lang w:val="en-US"/>
        </w:rPr>
      </w:pPr>
      <w:r w:rsidRPr="00E76DFA">
        <w:rPr>
          <w:lang w:val="en-US"/>
        </w:rPr>
        <w:t>http://www.deti.ie/publications/trade/1998/tradepolicy/ireland.htm</w:t>
      </w:r>
      <w:r w:rsidRPr="003B4462">
        <w:rPr>
          <w:lang w:val="en-US"/>
        </w:rPr>
        <w:t xml:space="preserve"> 13-04-2010</w:t>
      </w:r>
    </w:p>
    <w:p w:rsidR="00964452" w:rsidRDefault="00964452" w:rsidP="00D5650A">
      <w:pPr>
        <w:pStyle w:val="NoSpacing"/>
        <w:spacing w:line="360" w:lineRule="auto"/>
        <w:rPr>
          <w:lang w:val="en-US"/>
        </w:rPr>
      </w:pPr>
      <w:r w:rsidRPr="003B4462">
        <w:rPr>
          <w:lang w:val="en-US"/>
        </w:rPr>
        <w:t xml:space="preserve">Johnson, S., Ostry, J.D. &amp; Subramanian, A. (2010). ‘Prospects for Sustainable  Growth in </w:t>
      </w:r>
    </w:p>
    <w:p w:rsidR="00964452" w:rsidRDefault="00964452" w:rsidP="00D5650A">
      <w:pPr>
        <w:pStyle w:val="NoSpacing"/>
        <w:spacing w:line="360" w:lineRule="auto"/>
        <w:rPr>
          <w:lang w:val="en-US"/>
        </w:rPr>
      </w:pPr>
      <w:r>
        <w:rPr>
          <w:lang w:val="en-US"/>
        </w:rPr>
        <w:tab/>
      </w:r>
      <w:r w:rsidRPr="003B4462">
        <w:rPr>
          <w:lang w:val="en-US"/>
        </w:rPr>
        <w:t xml:space="preserve">Africa: Benchmarking the Constraints.’ </w:t>
      </w:r>
      <w:r w:rsidRPr="003B4462">
        <w:rPr>
          <w:i/>
          <w:lang w:val="en-US"/>
        </w:rPr>
        <w:t>IMF Staff Papers</w:t>
      </w:r>
      <w:r w:rsidRPr="003B4462">
        <w:rPr>
          <w:lang w:val="en-US"/>
        </w:rPr>
        <w:t xml:space="preserve"> 57, 119–171. DOI: </w:t>
      </w:r>
    </w:p>
    <w:p w:rsidR="00964452" w:rsidRDefault="00964452" w:rsidP="00D5650A">
      <w:pPr>
        <w:pStyle w:val="NoSpacing"/>
        <w:spacing w:line="360" w:lineRule="auto"/>
        <w:rPr>
          <w:lang w:val="en-US"/>
        </w:rPr>
      </w:pPr>
      <w:r>
        <w:rPr>
          <w:lang w:val="en-US"/>
        </w:rPr>
        <w:tab/>
      </w:r>
      <w:r w:rsidRPr="003B4462">
        <w:rPr>
          <w:lang w:val="en-US"/>
        </w:rPr>
        <w:t>10.1057/imfsp.2009.22</w:t>
      </w:r>
    </w:p>
    <w:p w:rsidR="00964452" w:rsidRDefault="00964452" w:rsidP="00E743A8">
      <w:pPr>
        <w:pStyle w:val="NoSpacing"/>
        <w:spacing w:line="360" w:lineRule="auto"/>
        <w:rPr>
          <w:i/>
          <w:lang w:val="en-US"/>
        </w:rPr>
      </w:pPr>
      <w:r>
        <w:rPr>
          <w:lang w:val="en-US"/>
        </w:rPr>
        <w:t>Jovanovic, B. &amp; Gilbert, R.J. (1993). ‘</w:t>
      </w:r>
      <w:r w:rsidRPr="00E743A8">
        <w:rPr>
          <w:lang w:val="en-US"/>
        </w:rPr>
        <w:t>The Diversification of Production</w:t>
      </w:r>
      <w:r>
        <w:rPr>
          <w:lang w:val="en-US"/>
        </w:rPr>
        <w:t>.’</w:t>
      </w:r>
      <w:r w:rsidRPr="00E743A8">
        <w:rPr>
          <w:i/>
          <w:lang w:val="en-US"/>
        </w:rPr>
        <w:t xml:space="preserve">Brookings Papers </w:t>
      </w:r>
    </w:p>
    <w:p w:rsidR="00964452" w:rsidRDefault="00964452" w:rsidP="00E743A8">
      <w:pPr>
        <w:pStyle w:val="NoSpacing"/>
        <w:spacing w:line="360" w:lineRule="auto"/>
        <w:rPr>
          <w:lang w:val="en-US"/>
        </w:rPr>
      </w:pPr>
      <w:r>
        <w:rPr>
          <w:i/>
          <w:lang w:val="en-US"/>
        </w:rPr>
        <w:tab/>
      </w:r>
      <w:r w:rsidRPr="00E743A8">
        <w:rPr>
          <w:i/>
          <w:lang w:val="en-US"/>
        </w:rPr>
        <w:t>on Economic Activity. Microeconomics</w:t>
      </w:r>
      <w:r>
        <w:rPr>
          <w:lang w:val="en-US"/>
        </w:rPr>
        <w:t xml:space="preserve">, </w:t>
      </w:r>
      <w:r w:rsidRPr="00E743A8">
        <w:rPr>
          <w:lang w:val="en-US"/>
        </w:rPr>
        <w:t>1993</w:t>
      </w:r>
      <w:r>
        <w:rPr>
          <w:lang w:val="en-US"/>
        </w:rPr>
        <w:t>(1),</w:t>
      </w:r>
      <w:r w:rsidRPr="00E743A8">
        <w:rPr>
          <w:lang w:val="en-US"/>
        </w:rPr>
        <w:t xml:space="preserve"> pp.197-247</w:t>
      </w:r>
      <w:r>
        <w:rPr>
          <w:lang w:val="en-US"/>
        </w:rPr>
        <w:t xml:space="preserve">, </w:t>
      </w:r>
      <w:r w:rsidRPr="00E743A8">
        <w:rPr>
          <w:lang w:val="en-US"/>
        </w:rPr>
        <w:t xml:space="preserve">The Brookings </w:t>
      </w:r>
    </w:p>
    <w:p w:rsidR="00964452" w:rsidRDefault="00964452" w:rsidP="00E743A8">
      <w:pPr>
        <w:pStyle w:val="NoSpacing"/>
        <w:spacing w:line="360" w:lineRule="auto"/>
        <w:rPr>
          <w:lang w:val="en-US"/>
        </w:rPr>
      </w:pPr>
      <w:r>
        <w:rPr>
          <w:lang w:val="en-US"/>
        </w:rPr>
        <w:tab/>
      </w:r>
      <w:r w:rsidRPr="00E743A8">
        <w:rPr>
          <w:lang w:val="en-US"/>
        </w:rPr>
        <w:t>Institution</w:t>
      </w:r>
      <w:r>
        <w:rPr>
          <w:lang w:val="en-US"/>
        </w:rPr>
        <w:t xml:space="preserve">. </w:t>
      </w:r>
    </w:p>
    <w:p w:rsidR="00964452" w:rsidRDefault="00964452" w:rsidP="00AB1CD3">
      <w:pPr>
        <w:pStyle w:val="NoSpacing"/>
        <w:spacing w:line="360" w:lineRule="auto"/>
        <w:rPr>
          <w:lang w:val="en-US"/>
        </w:rPr>
      </w:pPr>
      <w:r>
        <w:rPr>
          <w:lang w:val="en-US"/>
        </w:rPr>
        <w:t>Klinger, B. &amp; Lederman, D. (2004). ‘</w:t>
      </w:r>
      <w:r w:rsidRPr="00AB1CD3">
        <w:rPr>
          <w:lang w:val="en-US"/>
        </w:rPr>
        <w:t>Discovery and Develo</w:t>
      </w:r>
      <w:r>
        <w:rPr>
          <w:lang w:val="en-US"/>
        </w:rPr>
        <w:t xml:space="preserve">pment: An Empirical Exploration </w:t>
      </w:r>
      <w:r>
        <w:rPr>
          <w:lang w:val="en-US"/>
        </w:rPr>
        <w:tab/>
      </w:r>
      <w:r w:rsidRPr="00AB1CD3">
        <w:rPr>
          <w:lang w:val="en-US"/>
        </w:rPr>
        <w:t>of ‘New’ Products</w:t>
      </w:r>
      <w:r>
        <w:rPr>
          <w:lang w:val="en-US"/>
        </w:rPr>
        <w:t>.’</w:t>
      </w:r>
      <w:r w:rsidRPr="00AB1CD3">
        <w:rPr>
          <w:lang w:val="en-US"/>
        </w:rPr>
        <w:t xml:space="preserve"> World Bank Policy Research Working Paper 3450</w:t>
      </w:r>
      <w:r>
        <w:rPr>
          <w:lang w:val="en-US"/>
        </w:rPr>
        <w:t xml:space="preserve">., The World </w:t>
      </w:r>
    </w:p>
    <w:p w:rsidR="00964452" w:rsidRDefault="00964452" w:rsidP="00AB1CD3">
      <w:pPr>
        <w:pStyle w:val="NoSpacing"/>
        <w:spacing w:line="360" w:lineRule="auto"/>
        <w:rPr>
          <w:lang w:val="en-US"/>
        </w:rPr>
      </w:pPr>
      <w:r>
        <w:rPr>
          <w:lang w:val="en-US"/>
        </w:rPr>
        <w:tab/>
        <w:t>Bank,Washington, D.C.</w:t>
      </w:r>
    </w:p>
    <w:p w:rsidR="00964452" w:rsidRDefault="00964452" w:rsidP="00711317">
      <w:pPr>
        <w:pStyle w:val="NoSpacing"/>
        <w:spacing w:line="360" w:lineRule="auto"/>
        <w:rPr>
          <w:lang w:val="en-US"/>
        </w:rPr>
      </w:pPr>
      <w:r>
        <w:rPr>
          <w:lang w:val="en-US"/>
        </w:rPr>
        <w:t xml:space="preserve">Krugman, P.R. (1979). ‘Increasing Returns, Monopolistic Competition, and International </w:t>
      </w:r>
    </w:p>
    <w:p w:rsidR="00964452" w:rsidRDefault="00964452" w:rsidP="00711317">
      <w:pPr>
        <w:pStyle w:val="NoSpacing"/>
        <w:spacing w:line="360" w:lineRule="auto"/>
        <w:rPr>
          <w:lang w:val="en-US"/>
        </w:rPr>
      </w:pPr>
      <w:r>
        <w:rPr>
          <w:lang w:val="en-US"/>
        </w:rPr>
        <w:tab/>
        <w:t xml:space="preserve">Trade.’ </w:t>
      </w:r>
      <w:r w:rsidRPr="00711317">
        <w:rPr>
          <w:i/>
          <w:lang w:val="en-US"/>
        </w:rPr>
        <w:t>Journal of International Economics</w:t>
      </w:r>
      <w:r>
        <w:rPr>
          <w:lang w:val="en-US"/>
        </w:rPr>
        <w:t>, 9</w:t>
      </w:r>
      <w:r w:rsidRPr="00711317">
        <w:rPr>
          <w:lang w:val="en-US"/>
        </w:rPr>
        <w:t>(1979)</w:t>
      </w:r>
      <w:r>
        <w:rPr>
          <w:lang w:val="en-US"/>
        </w:rPr>
        <w:t>:</w:t>
      </w:r>
      <w:r w:rsidRPr="00711317">
        <w:rPr>
          <w:lang w:val="en-US"/>
        </w:rPr>
        <w:t xml:space="preserve"> 469-479</w:t>
      </w:r>
      <w:r>
        <w:rPr>
          <w:lang w:val="en-US"/>
        </w:rPr>
        <w:t xml:space="preserve">. North-Holland </w:t>
      </w:r>
    </w:p>
    <w:p w:rsidR="00964452" w:rsidRDefault="00964452" w:rsidP="00711317">
      <w:pPr>
        <w:pStyle w:val="NoSpacing"/>
        <w:spacing w:line="360" w:lineRule="auto"/>
        <w:rPr>
          <w:lang w:val="en-US"/>
        </w:rPr>
      </w:pPr>
      <w:r>
        <w:rPr>
          <w:lang w:val="en-US"/>
        </w:rPr>
        <w:tab/>
        <w:t xml:space="preserve">Publishing Company. </w:t>
      </w:r>
    </w:p>
    <w:p w:rsidR="00964452" w:rsidRDefault="00964452" w:rsidP="00F66FCA">
      <w:pPr>
        <w:pStyle w:val="NoSpacing"/>
        <w:spacing w:line="360" w:lineRule="auto"/>
        <w:rPr>
          <w:lang w:val="en-US"/>
        </w:rPr>
      </w:pPr>
      <w:r>
        <w:rPr>
          <w:lang w:val="en-US"/>
        </w:rPr>
        <w:t xml:space="preserve">Laurance, W.F., Alonso, A., Lee, M. &amp; Campbell, P. (2006). ‘Challenges for Forest </w:t>
      </w:r>
    </w:p>
    <w:p w:rsidR="00964452" w:rsidRDefault="00964452" w:rsidP="00F66FCA">
      <w:pPr>
        <w:pStyle w:val="NoSpacing"/>
        <w:spacing w:line="360" w:lineRule="auto"/>
        <w:rPr>
          <w:lang w:val="en-US"/>
        </w:rPr>
      </w:pPr>
      <w:r>
        <w:rPr>
          <w:lang w:val="en-US"/>
        </w:rPr>
        <w:tab/>
        <w:t xml:space="preserve">Conservation in Gabon, Central Africa.’ </w:t>
      </w:r>
      <w:r w:rsidRPr="00703569">
        <w:rPr>
          <w:i/>
          <w:lang w:val="en-US"/>
        </w:rPr>
        <w:t>Futures</w:t>
      </w:r>
      <w:r>
        <w:rPr>
          <w:lang w:val="en-US"/>
        </w:rPr>
        <w:t xml:space="preserve">, 38 (4): 454-470. Futures of </w:t>
      </w:r>
    </w:p>
    <w:p w:rsidR="00964452" w:rsidRDefault="00964452" w:rsidP="00F66FCA">
      <w:pPr>
        <w:pStyle w:val="NoSpacing"/>
        <w:spacing w:line="360" w:lineRule="auto"/>
        <w:rPr>
          <w:lang w:val="en-US"/>
        </w:rPr>
      </w:pPr>
      <w:r>
        <w:rPr>
          <w:lang w:val="en-US"/>
        </w:rPr>
        <w:tab/>
        <w:t xml:space="preserve">Bioregions. </w:t>
      </w:r>
    </w:p>
    <w:p w:rsidR="00964452" w:rsidRDefault="00964452" w:rsidP="00F66FCA">
      <w:pPr>
        <w:pStyle w:val="NoSpacing"/>
        <w:spacing w:line="360" w:lineRule="auto"/>
        <w:rPr>
          <w:lang w:val="en-US"/>
        </w:rPr>
      </w:pPr>
      <w:r>
        <w:rPr>
          <w:lang w:val="en-US"/>
        </w:rPr>
        <w:t xml:space="preserve">Levchenko, A.A. (2004). ‘Institutional Quality and International Trade.’ </w:t>
      </w:r>
      <w:r w:rsidRPr="001A014A">
        <w:rPr>
          <w:lang w:val="en-US"/>
        </w:rPr>
        <w:t>WP/04/231</w:t>
      </w:r>
      <w:r>
        <w:rPr>
          <w:lang w:val="en-US"/>
        </w:rPr>
        <w:t xml:space="preserve">. IMF </w:t>
      </w:r>
    </w:p>
    <w:p w:rsidR="00964452" w:rsidRDefault="00964452" w:rsidP="00F66FCA">
      <w:pPr>
        <w:pStyle w:val="NoSpacing"/>
        <w:spacing w:line="360" w:lineRule="auto"/>
        <w:rPr>
          <w:lang w:val="en-US"/>
        </w:rPr>
      </w:pPr>
      <w:r>
        <w:rPr>
          <w:lang w:val="en-US"/>
        </w:rPr>
        <w:tab/>
        <w:t>Working Paper.</w:t>
      </w:r>
    </w:p>
    <w:p w:rsidR="00964452" w:rsidRPr="00F66FCA" w:rsidRDefault="00964452" w:rsidP="00F66FCA">
      <w:pPr>
        <w:pStyle w:val="NoSpacing"/>
        <w:spacing w:line="360" w:lineRule="auto"/>
        <w:rPr>
          <w:lang w:val="en-US"/>
        </w:rPr>
      </w:pPr>
      <w:r>
        <w:rPr>
          <w:lang w:val="en-US"/>
        </w:rPr>
        <w:t>Mayer, T. &amp;Ottaviano, G.I.P. ‘The Happy F</w:t>
      </w:r>
      <w:r w:rsidRPr="00F66FCA">
        <w:rPr>
          <w:lang w:val="en-US"/>
        </w:rPr>
        <w:t>ew: the</w:t>
      </w:r>
      <w:r>
        <w:rPr>
          <w:lang w:val="en-US"/>
        </w:rPr>
        <w:t>I</w:t>
      </w:r>
      <w:r w:rsidRPr="00F66FCA">
        <w:rPr>
          <w:lang w:val="en-US"/>
        </w:rPr>
        <w:t>nternationalisation of</w:t>
      </w:r>
      <w:r>
        <w:rPr>
          <w:lang w:val="en-US"/>
        </w:rPr>
        <w:t>European F</w:t>
      </w:r>
      <w:r w:rsidRPr="00F66FCA">
        <w:rPr>
          <w:lang w:val="en-US"/>
        </w:rPr>
        <w:t>irms</w:t>
      </w:r>
    </w:p>
    <w:p w:rsidR="00964452" w:rsidRDefault="00964452" w:rsidP="00F66FCA">
      <w:pPr>
        <w:pStyle w:val="NoSpacing"/>
        <w:spacing w:line="360" w:lineRule="auto"/>
        <w:ind w:firstLine="708"/>
        <w:rPr>
          <w:lang w:val="en-US"/>
        </w:rPr>
      </w:pPr>
      <w:r w:rsidRPr="00F66FCA">
        <w:rPr>
          <w:lang w:val="en-US"/>
        </w:rPr>
        <w:t>N</w:t>
      </w:r>
      <w:r>
        <w:rPr>
          <w:lang w:val="en-US"/>
        </w:rPr>
        <w:t>ew facts Based on firm-Level E</w:t>
      </w:r>
      <w:r w:rsidRPr="00F66FCA">
        <w:rPr>
          <w:lang w:val="en-US"/>
        </w:rPr>
        <w:t>vidence</w:t>
      </w:r>
      <w:r>
        <w:rPr>
          <w:lang w:val="en-US"/>
        </w:rPr>
        <w:t xml:space="preserve">.’ Bruegel Blueprint Series Volume III. </w:t>
      </w:r>
    </w:p>
    <w:p w:rsidR="00964452" w:rsidRDefault="00964452" w:rsidP="00F66FCA">
      <w:pPr>
        <w:pStyle w:val="NoSpacing"/>
        <w:spacing w:line="360" w:lineRule="auto"/>
        <w:ind w:firstLine="708"/>
        <w:rPr>
          <w:lang w:val="en-US"/>
        </w:rPr>
      </w:pPr>
      <w:r>
        <w:rPr>
          <w:lang w:val="en-US"/>
        </w:rPr>
        <w:t xml:space="preserve">Bruegel, Brussels. </w:t>
      </w:r>
    </w:p>
    <w:p w:rsidR="00964452" w:rsidRDefault="00964452" w:rsidP="00FD1F93">
      <w:pPr>
        <w:pStyle w:val="NoSpacing"/>
        <w:spacing w:line="360" w:lineRule="auto"/>
        <w:rPr>
          <w:lang w:val="en-US"/>
        </w:rPr>
      </w:pPr>
      <w:r w:rsidRPr="00FD1F93">
        <w:rPr>
          <w:lang w:val="en-US"/>
        </w:rPr>
        <w:t>Mishra</w:t>
      </w:r>
      <w:r>
        <w:rPr>
          <w:lang w:val="en-US"/>
        </w:rPr>
        <w:t xml:space="preserve">, S., </w:t>
      </w:r>
      <w:r w:rsidRPr="00FD1F93">
        <w:rPr>
          <w:lang w:val="en-US"/>
        </w:rPr>
        <w:t>Lundstrom</w:t>
      </w:r>
      <w:r>
        <w:rPr>
          <w:lang w:val="en-US"/>
        </w:rPr>
        <w:t>, S. &amp;</w:t>
      </w:r>
      <w:r w:rsidRPr="00FD1F93">
        <w:rPr>
          <w:lang w:val="en-US"/>
        </w:rPr>
        <w:t>Anand</w:t>
      </w:r>
      <w:r>
        <w:rPr>
          <w:lang w:val="en-US"/>
        </w:rPr>
        <w:t>, R. (2011). ‘S</w:t>
      </w:r>
      <w:r w:rsidRPr="00FD1F93">
        <w:rPr>
          <w:lang w:val="en-US"/>
        </w:rPr>
        <w:t>ervice Export Sophistication and Economic</w:t>
      </w:r>
    </w:p>
    <w:p w:rsidR="00964452" w:rsidRPr="00FD1F93" w:rsidRDefault="00964452" w:rsidP="00FD1F93">
      <w:pPr>
        <w:pStyle w:val="NoSpacing"/>
        <w:spacing w:line="360" w:lineRule="auto"/>
        <w:ind w:left="708"/>
        <w:rPr>
          <w:lang w:val="en-US"/>
        </w:rPr>
      </w:pPr>
      <w:r w:rsidRPr="00FD1F93">
        <w:rPr>
          <w:lang w:val="en-US"/>
        </w:rPr>
        <w:t>Growth</w:t>
      </w:r>
      <w:r>
        <w:rPr>
          <w:lang w:val="en-US"/>
        </w:rPr>
        <w:t>.’</w:t>
      </w:r>
      <w:r w:rsidRPr="00AB1CD3">
        <w:rPr>
          <w:lang w:val="en-US"/>
        </w:rPr>
        <w:t xml:space="preserve">World Bank Policy Research Working Paper </w:t>
      </w:r>
      <w:r>
        <w:rPr>
          <w:lang w:val="en-US"/>
        </w:rPr>
        <w:t xml:space="preserve">5606., The World </w:t>
      </w:r>
      <w:r>
        <w:rPr>
          <w:lang w:val="en-US"/>
        </w:rPr>
        <w:tab/>
        <w:t>Bank,Washington, D.C.</w:t>
      </w:r>
    </w:p>
    <w:p w:rsidR="00964452" w:rsidRDefault="00964452" w:rsidP="00D5650A">
      <w:pPr>
        <w:pStyle w:val="NoSpacing"/>
        <w:spacing w:line="360" w:lineRule="auto"/>
        <w:rPr>
          <w:lang w:val="en-US"/>
        </w:rPr>
      </w:pPr>
      <w:r>
        <w:rPr>
          <w:lang w:val="en-US"/>
        </w:rPr>
        <w:t>North, D.C. (1990). ‘</w:t>
      </w:r>
      <w:r w:rsidRPr="004E3D37">
        <w:rPr>
          <w:lang w:val="en-US"/>
        </w:rPr>
        <w:t>Institutions, institutional change, and economic performance</w:t>
      </w:r>
      <w:r>
        <w:rPr>
          <w:lang w:val="en-US"/>
        </w:rPr>
        <w:t xml:space="preserve">.’ </w:t>
      </w:r>
    </w:p>
    <w:p w:rsidR="00964452" w:rsidRDefault="00964452" w:rsidP="004E3D37">
      <w:pPr>
        <w:pStyle w:val="NoSpacing"/>
        <w:spacing w:line="360" w:lineRule="auto"/>
        <w:ind w:firstLine="708"/>
        <w:rPr>
          <w:lang w:val="en-US"/>
        </w:rPr>
      </w:pPr>
      <w:r>
        <w:rPr>
          <w:lang w:val="en-US"/>
        </w:rPr>
        <w:t>Cambridge University Press.</w:t>
      </w:r>
    </w:p>
    <w:p w:rsidR="00964452" w:rsidRDefault="00964452" w:rsidP="00AC028D">
      <w:pPr>
        <w:pStyle w:val="NoSpacing"/>
        <w:spacing w:line="360" w:lineRule="auto"/>
        <w:rPr>
          <w:lang w:val="nl-NL"/>
        </w:rPr>
      </w:pPr>
      <w:r w:rsidRPr="009570C3">
        <w:rPr>
          <w:lang w:val="nl-NL"/>
        </w:rPr>
        <w:t xml:space="preserve">OECD (n.d.). </w:t>
      </w:r>
      <w:r w:rsidRPr="00E76DFA">
        <w:rPr>
          <w:lang w:val="nl-NL"/>
        </w:rPr>
        <w:t>http://www.oecd.org/pages/0,3417,en_36734052_36734103_1_1_1_1</w:t>
      </w:r>
    </w:p>
    <w:p w:rsidR="00964452" w:rsidRPr="009570C3" w:rsidRDefault="00964452" w:rsidP="00AC028D">
      <w:pPr>
        <w:pStyle w:val="NoSpacing"/>
        <w:spacing w:line="360" w:lineRule="auto"/>
        <w:rPr>
          <w:lang w:val="nl-NL"/>
        </w:rPr>
      </w:pPr>
      <w:r>
        <w:rPr>
          <w:lang w:val="nl-NL"/>
        </w:rPr>
        <w:tab/>
      </w:r>
      <w:r w:rsidRPr="009570C3">
        <w:rPr>
          <w:lang w:val="nl-NL"/>
        </w:rPr>
        <w:t>_1,00.html</w:t>
      </w:r>
      <w:r>
        <w:rPr>
          <w:lang w:val="nl-NL"/>
        </w:rPr>
        <w:t xml:space="preserve"> 28-06-2011</w:t>
      </w:r>
    </w:p>
    <w:p w:rsidR="00964452" w:rsidRDefault="00964452" w:rsidP="00AC028D">
      <w:pPr>
        <w:pStyle w:val="NoSpacing"/>
        <w:spacing w:line="360" w:lineRule="auto"/>
        <w:rPr>
          <w:lang w:val="en-US"/>
        </w:rPr>
      </w:pPr>
      <w:r w:rsidRPr="00AC028D">
        <w:rPr>
          <w:lang w:val="en-US"/>
        </w:rPr>
        <w:t>Paul, C.J.M.</w:t>
      </w:r>
      <w:r>
        <w:rPr>
          <w:lang w:val="en-US"/>
        </w:rPr>
        <w:t>&amp;</w:t>
      </w:r>
      <w:r w:rsidRPr="00AC028D">
        <w:rPr>
          <w:lang w:val="en-US"/>
        </w:rPr>
        <w:t>Nehring</w:t>
      </w:r>
      <w:r>
        <w:rPr>
          <w:lang w:val="en-US"/>
        </w:rPr>
        <w:t>,</w:t>
      </w:r>
      <w:r w:rsidRPr="00AC028D">
        <w:rPr>
          <w:lang w:val="en-US"/>
        </w:rPr>
        <w:t xml:space="preserve"> R. </w:t>
      </w:r>
      <w:r>
        <w:rPr>
          <w:lang w:val="en-US"/>
        </w:rPr>
        <w:t xml:space="preserve">(2005).‘Product Diversiﬁcation, Production Systems, and </w:t>
      </w:r>
    </w:p>
    <w:p w:rsidR="00964452" w:rsidRDefault="00964452" w:rsidP="00AC028D">
      <w:pPr>
        <w:pStyle w:val="NoSpacing"/>
        <w:spacing w:line="360" w:lineRule="auto"/>
        <w:rPr>
          <w:i/>
          <w:lang w:val="en-US"/>
        </w:rPr>
      </w:pPr>
      <w:r>
        <w:rPr>
          <w:lang w:val="en-US"/>
        </w:rPr>
        <w:tab/>
        <w:t>Economic P</w:t>
      </w:r>
      <w:r w:rsidRPr="00AC028D">
        <w:rPr>
          <w:lang w:val="en-US"/>
        </w:rPr>
        <w:t>erformance in U.S.</w:t>
      </w:r>
      <w:r>
        <w:rPr>
          <w:lang w:val="en-US"/>
        </w:rPr>
        <w:t xml:space="preserve"> Agricultural P</w:t>
      </w:r>
      <w:r w:rsidRPr="00AC028D">
        <w:rPr>
          <w:lang w:val="en-US"/>
        </w:rPr>
        <w:t>roduction</w:t>
      </w:r>
      <w:r>
        <w:rPr>
          <w:lang w:val="en-US"/>
        </w:rPr>
        <w:t>.’</w:t>
      </w:r>
      <w:r w:rsidRPr="00AC028D">
        <w:rPr>
          <w:i/>
          <w:lang w:val="en-US"/>
        </w:rPr>
        <w:t>Journal of Econometrics</w:t>
      </w:r>
      <w:r>
        <w:rPr>
          <w:i/>
          <w:lang w:val="en-US"/>
        </w:rPr>
        <w:t>,</w:t>
      </w:r>
    </w:p>
    <w:p w:rsidR="00964452" w:rsidRDefault="00964452" w:rsidP="00AC028D">
      <w:pPr>
        <w:pStyle w:val="NoSpacing"/>
        <w:spacing w:line="360" w:lineRule="auto"/>
        <w:ind w:firstLine="708"/>
        <w:rPr>
          <w:lang w:val="en-US"/>
        </w:rPr>
      </w:pPr>
      <w:r w:rsidRPr="00AC028D">
        <w:rPr>
          <w:lang w:val="en-US"/>
        </w:rPr>
        <w:t xml:space="preserve"> 126 (2005)</w:t>
      </w:r>
      <w:r>
        <w:rPr>
          <w:lang w:val="en-US"/>
        </w:rPr>
        <w:t>:</w:t>
      </w:r>
      <w:r w:rsidRPr="00AC028D">
        <w:rPr>
          <w:lang w:val="en-US"/>
        </w:rPr>
        <w:t xml:space="preserve"> 525–548</w:t>
      </w:r>
      <w:r>
        <w:rPr>
          <w:lang w:val="en-US"/>
        </w:rPr>
        <w:t>.</w:t>
      </w:r>
    </w:p>
    <w:p w:rsidR="00964452" w:rsidRDefault="00964452" w:rsidP="008101C5">
      <w:pPr>
        <w:pStyle w:val="NoSpacing"/>
        <w:spacing w:line="360" w:lineRule="auto"/>
        <w:rPr>
          <w:lang w:val="en-US"/>
        </w:rPr>
      </w:pPr>
      <w:r w:rsidRPr="008101C5">
        <w:rPr>
          <w:lang w:val="en-US"/>
        </w:rPr>
        <w:t xml:space="preserve">Rahmiati, </w:t>
      </w:r>
      <w:r>
        <w:rPr>
          <w:lang w:val="en-US"/>
        </w:rPr>
        <w:t xml:space="preserve">F., </w:t>
      </w:r>
      <w:r w:rsidRPr="008101C5">
        <w:rPr>
          <w:lang w:val="en-US"/>
        </w:rPr>
        <w:t>Mulyaningrum</w:t>
      </w:r>
      <w:r>
        <w:rPr>
          <w:lang w:val="en-US"/>
        </w:rPr>
        <w:t>&amp;</w:t>
      </w:r>
      <w:r w:rsidRPr="008101C5">
        <w:rPr>
          <w:lang w:val="en-US"/>
        </w:rPr>
        <w:t>Tahir</w:t>
      </w:r>
      <w:r>
        <w:rPr>
          <w:lang w:val="en-US"/>
        </w:rPr>
        <w:t xml:space="preserve">, M.N.H. (2010). ‘How Malaysian Manufacturing </w:t>
      </w:r>
    </w:p>
    <w:p w:rsidR="00964452" w:rsidRDefault="00964452" w:rsidP="008101C5">
      <w:pPr>
        <w:pStyle w:val="NoSpacing"/>
        <w:spacing w:line="360" w:lineRule="auto"/>
        <w:rPr>
          <w:lang w:val="en-US"/>
        </w:rPr>
      </w:pPr>
      <w:r>
        <w:rPr>
          <w:lang w:val="en-US"/>
        </w:rPr>
        <w:tab/>
        <w:t xml:space="preserve">Exports Have Reacted to the Global Economic Crisis.’ AFBE 2010 Conference </w:t>
      </w:r>
    </w:p>
    <w:p w:rsidR="00964452" w:rsidRDefault="00964452" w:rsidP="008101C5">
      <w:pPr>
        <w:pStyle w:val="NoSpacing"/>
        <w:spacing w:line="360" w:lineRule="auto"/>
        <w:rPr>
          <w:lang w:val="en-US"/>
        </w:rPr>
      </w:pPr>
      <w:r>
        <w:rPr>
          <w:lang w:val="en-US"/>
        </w:rPr>
        <w:tab/>
        <w:t xml:space="preserve">Papers, </w:t>
      </w:r>
      <w:r w:rsidRPr="008101C5">
        <w:rPr>
          <w:lang w:val="en-US"/>
        </w:rPr>
        <w:t>452</w:t>
      </w:r>
      <w:r>
        <w:rPr>
          <w:lang w:val="en-US"/>
        </w:rPr>
        <w:t xml:space="preserve">-463. </w:t>
      </w:r>
    </w:p>
    <w:p w:rsidR="00964452" w:rsidRDefault="00964452" w:rsidP="00D5650A">
      <w:pPr>
        <w:pStyle w:val="NoSpacing"/>
        <w:spacing w:line="360" w:lineRule="auto"/>
        <w:rPr>
          <w:i/>
          <w:lang w:val="en-US"/>
        </w:rPr>
      </w:pPr>
      <w:r w:rsidRPr="003B4462">
        <w:rPr>
          <w:lang w:val="en-US"/>
        </w:rPr>
        <w:t xml:space="preserve">Rodrik, D. (2006). </w:t>
      </w:r>
      <w:r w:rsidRPr="003B4462">
        <w:rPr>
          <w:i/>
          <w:lang w:val="en-US"/>
        </w:rPr>
        <w:t>Industrial Development for the 21</w:t>
      </w:r>
      <w:r w:rsidRPr="003B4462">
        <w:rPr>
          <w:i/>
          <w:vertAlign w:val="superscript"/>
          <w:lang w:val="en-US"/>
        </w:rPr>
        <w:t>st</w:t>
      </w:r>
      <w:r w:rsidRPr="003B4462">
        <w:rPr>
          <w:i/>
          <w:lang w:val="en-US"/>
        </w:rPr>
        <w:t xml:space="preserve"> Century: Sustainable Development </w:t>
      </w:r>
    </w:p>
    <w:p w:rsidR="00964452" w:rsidRDefault="00964452" w:rsidP="00D5650A">
      <w:pPr>
        <w:pStyle w:val="NoSpacing"/>
        <w:spacing w:line="360" w:lineRule="auto"/>
        <w:rPr>
          <w:lang w:val="en-US"/>
        </w:rPr>
      </w:pPr>
      <w:r>
        <w:rPr>
          <w:i/>
          <w:lang w:val="en-US"/>
        </w:rPr>
        <w:tab/>
      </w:r>
      <w:r w:rsidRPr="003B4462">
        <w:rPr>
          <w:i/>
          <w:lang w:val="en-US"/>
        </w:rPr>
        <w:t>Perspectives.</w:t>
      </w:r>
      <w:r w:rsidRPr="003B4462">
        <w:rPr>
          <w:lang w:val="en-US"/>
        </w:rPr>
        <w:t>United Nations.</w:t>
      </w:r>
    </w:p>
    <w:p w:rsidR="00964452" w:rsidRDefault="00964452" w:rsidP="0080354D">
      <w:pPr>
        <w:pStyle w:val="NoSpacing"/>
        <w:spacing w:line="360" w:lineRule="auto"/>
        <w:rPr>
          <w:lang w:val="en-US"/>
        </w:rPr>
      </w:pPr>
    </w:p>
    <w:p w:rsidR="00964452" w:rsidRDefault="00964452" w:rsidP="0080354D">
      <w:pPr>
        <w:pStyle w:val="NoSpacing"/>
        <w:spacing w:line="360" w:lineRule="auto"/>
        <w:rPr>
          <w:lang w:val="en-US"/>
        </w:rPr>
      </w:pPr>
      <w:r>
        <w:rPr>
          <w:lang w:val="en-US"/>
        </w:rPr>
        <w:t>Sachs, J. (1998). ‘</w:t>
      </w:r>
      <w:r w:rsidRPr="0080354D">
        <w:rPr>
          <w:lang w:val="en-US"/>
        </w:rPr>
        <w:t>International Economics: Unlocking the Mysteries of Globalization</w:t>
      </w:r>
      <w:r>
        <w:rPr>
          <w:lang w:val="en-US"/>
        </w:rPr>
        <w:t xml:space="preserve">.’ </w:t>
      </w:r>
    </w:p>
    <w:p w:rsidR="00964452" w:rsidRDefault="00964452" w:rsidP="0080354D">
      <w:pPr>
        <w:pStyle w:val="NoSpacing"/>
        <w:spacing w:line="360" w:lineRule="auto"/>
        <w:rPr>
          <w:lang w:val="en-US"/>
        </w:rPr>
      </w:pPr>
      <w:r>
        <w:rPr>
          <w:lang w:val="en-US"/>
        </w:rPr>
        <w:tab/>
      </w:r>
      <w:r w:rsidRPr="0080354D">
        <w:rPr>
          <w:i/>
          <w:lang w:val="en-US"/>
        </w:rPr>
        <w:t>Foreign Policy</w:t>
      </w:r>
      <w:r>
        <w:rPr>
          <w:lang w:val="en-US"/>
        </w:rPr>
        <w:t>,1998 (</w:t>
      </w:r>
      <w:r w:rsidRPr="0080354D">
        <w:rPr>
          <w:lang w:val="en-US"/>
        </w:rPr>
        <w:t>110</w:t>
      </w:r>
      <w:r>
        <w:rPr>
          <w:lang w:val="en-US"/>
        </w:rPr>
        <w:t>)</w:t>
      </w:r>
      <w:r w:rsidRPr="0080354D">
        <w:rPr>
          <w:lang w:val="en-US"/>
        </w:rPr>
        <w:t>, Special Edition: Frontiers of Knowledge, pp. 97-</w:t>
      </w:r>
      <w:r>
        <w:rPr>
          <w:lang w:val="en-US"/>
        </w:rPr>
        <w:t xml:space="preserve">111. </w:t>
      </w:r>
    </w:p>
    <w:p w:rsidR="00964452" w:rsidRDefault="00964452" w:rsidP="0080354D">
      <w:pPr>
        <w:pStyle w:val="NoSpacing"/>
        <w:spacing w:line="360" w:lineRule="auto"/>
        <w:rPr>
          <w:lang w:val="en-US"/>
        </w:rPr>
      </w:pPr>
      <w:r>
        <w:rPr>
          <w:lang w:val="en-US"/>
        </w:rPr>
        <w:tab/>
      </w:r>
      <w:r w:rsidRPr="0080354D">
        <w:rPr>
          <w:lang w:val="en-US"/>
        </w:rPr>
        <w:t>Washingtonpost.Newsweek Interactive, LLC</w:t>
      </w:r>
    </w:p>
    <w:p w:rsidR="00964452" w:rsidRDefault="00964452" w:rsidP="00D5650A">
      <w:pPr>
        <w:pStyle w:val="NoSpacing"/>
        <w:spacing w:line="360" w:lineRule="auto"/>
        <w:rPr>
          <w:lang w:val="en-US"/>
        </w:rPr>
      </w:pPr>
      <w:r>
        <w:rPr>
          <w:lang w:val="en-US"/>
        </w:rPr>
        <w:t xml:space="preserve">Spence, M. (2007). ‘Wealth of Nations: How Poor Countries Get Richer.’ Dow Jones Reuters </w:t>
      </w:r>
    </w:p>
    <w:p w:rsidR="00964452" w:rsidRDefault="00964452" w:rsidP="00D5650A">
      <w:pPr>
        <w:pStyle w:val="NoSpacing"/>
        <w:spacing w:line="360" w:lineRule="auto"/>
        <w:rPr>
          <w:lang w:val="en-US"/>
        </w:rPr>
      </w:pPr>
      <w:r>
        <w:rPr>
          <w:lang w:val="en-US"/>
        </w:rPr>
        <w:tab/>
        <w:t>Business Interactive LLC</w:t>
      </w:r>
    </w:p>
    <w:p w:rsidR="00964452" w:rsidRDefault="00964452" w:rsidP="00175A72">
      <w:pPr>
        <w:pStyle w:val="NoSpacing"/>
        <w:spacing w:line="360" w:lineRule="auto"/>
        <w:rPr>
          <w:i/>
          <w:lang w:val="en-US"/>
        </w:rPr>
      </w:pPr>
      <w:r w:rsidRPr="00175A72">
        <w:rPr>
          <w:lang w:val="en-US"/>
        </w:rPr>
        <w:t>Stiglitz</w:t>
      </w:r>
      <w:r>
        <w:rPr>
          <w:lang w:val="en-US"/>
        </w:rPr>
        <w:t xml:space="preserve">, J.E. (1996). ‘Some Lessons From The East Asian Miracle.’ </w:t>
      </w:r>
      <w:r w:rsidRPr="00175A72">
        <w:rPr>
          <w:i/>
          <w:lang w:val="en-US"/>
        </w:rPr>
        <w:t xml:space="preserve">The World Bank </w:t>
      </w:r>
    </w:p>
    <w:p w:rsidR="00964452" w:rsidRDefault="00964452" w:rsidP="00175A72">
      <w:pPr>
        <w:pStyle w:val="NoSpacing"/>
        <w:spacing w:line="360" w:lineRule="auto"/>
        <w:rPr>
          <w:lang w:val="en-US"/>
        </w:rPr>
      </w:pPr>
      <w:r>
        <w:rPr>
          <w:i/>
          <w:lang w:val="en-US"/>
        </w:rPr>
        <w:tab/>
      </w:r>
      <w:r w:rsidRPr="00175A72">
        <w:rPr>
          <w:i/>
          <w:lang w:val="en-US"/>
        </w:rPr>
        <w:t>Research Observer</w:t>
      </w:r>
      <w:r w:rsidRPr="00175A72">
        <w:rPr>
          <w:lang w:val="en-US"/>
        </w:rPr>
        <w:t>, 11</w:t>
      </w:r>
      <w:r>
        <w:rPr>
          <w:lang w:val="en-US"/>
        </w:rPr>
        <w:t>(2):</w:t>
      </w:r>
      <w:r w:rsidRPr="00175A72">
        <w:rPr>
          <w:lang w:val="en-US"/>
        </w:rPr>
        <w:t xml:space="preserve"> pp. 151-</w:t>
      </w:r>
      <w:r>
        <w:rPr>
          <w:lang w:val="en-US"/>
        </w:rPr>
        <w:t>1</w:t>
      </w:r>
      <w:r w:rsidRPr="00175A72">
        <w:rPr>
          <w:lang w:val="en-US"/>
        </w:rPr>
        <w:t>77</w:t>
      </w:r>
      <w:r>
        <w:rPr>
          <w:lang w:val="en-US"/>
        </w:rPr>
        <w:t xml:space="preserve">. </w:t>
      </w:r>
      <w:r w:rsidRPr="00175A72">
        <w:rPr>
          <w:lang w:val="en-US"/>
        </w:rPr>
        <w:t xml:space="preserve">The International Bank for Reconstruction </w:t>
      </w:r>
    </w:p>
    <w:p w:rsidR="00964452" w:rsidRDefault="00964452" w:rsidP="00175A72">
      <w:pPr>
        <w:pStyle w:val="NoSpacing"/>
        <w:spacing w:line="360" w:lineRule="auto"/>
        <w:rPr>
          <w:lang w:val="en-US"/>
        </w:rPr>
      </w:pPr>
      <w:r>
        <w:rPr>
          <w:lang w:val="en-US"/>
        </w:rPr>
        <w:tab/>
        <w:t xml:space="preserve">and Development/The World Bank. </w:t>
      </w:r>
    </w:p>
    <w:p w:rsidR="00964452" w:rsidRDefault="00964452" w:rsidP="005F4C7D">
      <w:pPr>
        <w:pStyle w:val="NoSpacing"/>
        <w:spacing w:line="360" w:lineRule="auto"/>
        <w:rPr>
          <w:lang w:val="en-US"/>
        </w:rPr>
      </w:pPr>
      <w:r>
        <w:rPr>
          <w:lang w:val="en-US"/>
        </w:rPr>
        <w:t xml:space="preserve">The World Factbook (2004). </w:t>
      </w:r>
      <w:r w:rsidRPr="005429D1">
        <w:rPr>
          <w:lang w:val="en-US"/>
        </w:rPr>
        <w:t>https://www.cia.gov/library/publications/the-world-</w:t>
      </w:r>
      <w:r w:rsidRPr="005429D1">
        <w:rPr>
          <w:lang w:val="en-US"/>
        </w:rPr>
        <w:tab/>
        <w:t>factbook/geos/sz.html</w:t>
      </w:r>
      <w:r>
        <w:rPr>
          <w:lang w:val="en-US"/>
        </w:rPr>
        <w:t xml:space="preserve"> 23-07-2011</w:t>
      </w:r>
    </w:p>
    <w:p w:rsidR="00964452" w:rsidRDefault="00964452" w:rsidP="005F4C7D">
      <w:pPr>
        <w:pStyle w:val="NoSpacing"/>
        <w:spacing w:line="360" w:lineRule="auto"/>
        <w:rPr>
          <w:lang w:val="en-US"/>
        </w:rPr>
      </w:pPr>
      <w:r w:rsidRPr="005F4C7D">
        <w:rPr>
          <w:lang w:val="en-US"/>
        </w:rPr>
        <w:t>Tybout</w:t>
      </w:r>
      <w:r>
        <w:rPr>
          <w:lang w:val="en-US"/>
        </w:rPr>
        <w:t>, J.R. (2000). ‘</w:t>
      </w:r>
      <w:r w:rsidRPr="005F4C7D">
        <w:rPr>
          <w:lang w:val="en-US"/>
        </w:rPr>
        <w:t xml:space="preserve">Manufacturing Firms in Developing Countries: How Well Do They Do, </w:t>
      </w:r>
    </w:p>
    <w:p w:rsidR="00964452" w:rsidRDefault="00964452" w:rsidP="005F4C7D">
      <w:pPr>
        <w:pStyle w:val="NoSpacing"/>
        <w:spacing w:line="360" w:lineRule="auto"/>
        <w:rPr>
          <w:lang w:val="en-US"/>
        </w:rPr>
      </w:pPr>
      <w:r>
        <w:rPr>
          <w:lang w:val="en-US"/>
        </w:rPr>
        <w:tab/>
      </w:r>
      <w:r w:rsidRPr="005F4C7D">
        <w:rPr>
          <w:lang w:val="en-US"/>
        </w:rPr>
        <w:t>and Why?</w:t>
      </w:r>
      <w:r>
        <w:rPr>
          <w:lang w:val="en-US"/>
        </w:rPr>
        <w:t xml:space="preserve">’ </w:t>
      </w:r>
      <w:r w:rsidRPr="005F4C7D">
        <w:rPr>
          <w:i/>
          <w:lang w:val="en-US"/>
        </w:rPr>
        <w:t>Journal of Economic Literature</w:t>
      </w:r>
      <w:r w:rsidRPr="005F4C7D">
        <w:rPr>
          <w:lang w:val="en-US"/>
        </w:rPr>
        <w:t>, 38</w:t>
      </w:r>
      <w:r>
        <w:rPr>
          <w:lang w:val="en-US"/>
        </w:rPr>
        <w:t>(</w:t>
      </w:r>
      <w:r w:rsidRPr="005F4C7D">
        <w:rPr>
          <w:lang w:val="en-US"/>
        </w:rPr>
        <w:t>1</w:t>
      </w:r>
      <w:r>
        <w:rPr>
          <w:lang w:val="en-US"/>
        </w:rPr>
        <w:t>):</w:t>
      </w:r>
      <w:r w:rsidRPr="005F4C7D">
        <w:rPr>
          <w:lang w:val="en-US"/>
        </w:rPr>
        <w:t xml:space="preserve"> pp. 11-44</w:t>
      </w:r>
      <w:r>
        <w:rPr>
          <w:lang w:val="en-US"/>
        </w:rPr>
        <w:t xml:space="preserve">. </w:t>
      </w:r>
      <w:r w:rsidRPr="005F4C7D">
        <w:rPr>
          <w:lang w:val="en-US"/>
        </w:rPr>
        <w:t xml:space="preserve">American Economic </w:t>
      </w:r>
    </w:p>
    <w:p w:rsidR="00964452" w:rsidRDefault="00964452" w:rsidP="007F1068">
      <w:pPr>
        <w:pStyle w:val="NoSpacing"/>
        <w:spacing w:line="360" w:lineRule="auto"/>
        <w:rPr>
          <w:lang w:val="en-US"/>
        </w:rPr>
      </w:pPr>
      <w:r>
        <w:rPr>
          <w:lang w:val="en-US"/>
        </w:rPr>
        <w:tab/>
      </w:r>
      <w:r w:rsidRPr="005F4C7D">
        <w:rPr>
          <w:lang w:val="en-US"/>
        </w:rPr>
        <w:t>Association</w:t>
      </w:r>
      <w:r>
        <w:rPr>
          <w:lang w:val="en-US"/>
        </w:rPr>
        <w:t>.</w:t>
      </w:r>
    </w:p>
    <w:p w:rsidR="00964452" w:rsidRDefault="00964452" w:rsidP="007F1068">
      <w:pPr>
        <w:pStyle w:val="NoSpacing"/>
        <w:spacing w:line="360" w:lineRule="auto"/>
        <w:rPr>
          <w:lang w:val="en-US"/>
        </w:rPr>
      </w:pPr>
      <w:r>
        <w:rPr>
          <w:lang w:val="en-US"/>
        </w:rPr>
        <w:t xml:space="preserve">U.S. Census Bureau (2011). </w:t>
      </w:r>
      <w:r w:rsidRPr="00E76DFA">
        <w:rPr>
          <w:lang w:val="en-US"/>
        </w:rPr>
        <w:t>http://www.census.gov/foreign-trade/schedules/b/</w:t>
      </w:r>
      <w:r>
        <w:rPr>
          <w:lang w:val="en-US"/>
        </w:rPr>
        <w:t xml:space="preserve"> 20-07-2011</w:t>
      </w:r>
    </w:p>
    <w:p w:rsidR="00964452" w:rsidRDefault="00964452" w:rsidP="007F1068">
      <w:pPr>
        <w:pStyle w:val="NoSpacing"/>
        <w:spacing w:line="360" w:lineRule="auto"/>
        <w:rPr>
          <w:lang w:val="en-US"/>
        </w:rPr>
      </w:pPr>
      <w:r>
        <w:rPr>
          <w:lang w:val="en-US"/>
        </w:rPr>
        <w:t>World Development Report 1994. ‘Infrastructure for Development.’ The International</w:t>
      </w:r>
      <w:r w:rsidRPr="007F1068">
        <w:rPr>
          <w:lang w:val="en-US"/>
        </w:rPr>
        <w:t xml:space="preserve"> Bank</w:t>
      </w:r>
    </w:p>
    <w:p w:rsidR="00964452" w:rsidRDefault="00964452" w:rsidP="007F1068">
      <w:pPr>
        <w:pStyle w:val="NoSpacing"/>
        <w:spacing w:line="360" w:lineRule="auto"/>
        <w:rPr>
          <w:lang w:val="en-US"/>
        </w:rPr>
      </w:pPr>
      <w:r>
        <w:rPr>
          <w:lang w:val="en-US"/>
        </w:rPr>
        <w:tab/>
        <w:t xml:space="preserve">for </w:t>
      </w:r>
      <w:r w:rsidRPr="007F1068">
        <w:rPr>
          <w:lang w:val="en-US"/>
        </w:rPr>
        <w:t>Re</w:t>
      </w:r>
      <w:r>
        <w:rPr>
          <w:lang w:val="en-US"/>
        </w:rPr>
        <w:t xml:space="preserve">construction  and Development </w:t>
      </w:r>
      <w:r w:rsidRPr="007F1068">
        <w:rPr>
          <w:lang w:val="en-US"/>
        </w:rPr>
        <w:t>/</w:t>
      </w:r>
      <w:r>
        <w:rPr>
          <w:lang w:val="en-US"/>
        </w:rPr>
        <w:t xml:space="preserve">The World Bank. Oxford University Press, </w:t>
      </w:r>
    </w:p>
    <w:p w:rsidR="00964452" w:rsidRDefault="00964452" w:rsidP="007F1068">
      <w:pPr>
        <w:pStyle w:val="NoSpacing"/>
        <w:spacing w:line="360" w:lineRule="auto"/>
        <w:rPr>
          <w:lang w:val="en-US"/>
        </w:rPr>
      </w:pPr>
      <w:r>
        <w:rPr>
          <w:lang w:val="en-US"/>
        </w:rPr>
        <w:tab/>
        <w:t xml:space="preserve">New York. </w:t>
      </w:r>
    </w:p>
    <w:p w:rsidR="00964452" w:rsidRDefault="00964452" w:rsidP="00615DE7">
      <w:pPr>
        <w:pStyle w:val="NoSpacing"/>
        <w:spacing w:line="360" w:lineRule="auto"/>
        <w:rPr>
          <w:lang w:val="en-US"/>
        </w:rPr>
      </w:pPr>
      <w:r>
        <w:rPr>
          <w:lang w:val="en-US"/>
        </w:rPr>
        <w:t>World Development Report 2009. ‘Reshaping Economic Geography.’ The International</w:t>
      </w:r>
      <w:r w:rsidRPr="007F1068">
        <w:rPr>
          <w:lang w:val="en-US"/>
        </w:rPr>
        <w:t xml:space="preserve"> Bank</w:t>
      </w:r>
    </w:p>
    <w:p w:rsidR="00964452" w:rsidRDefault="00964452" w:rsidP="00615DE7">
      <w:pPr>
        <w:pStyle w:val="NoSpacing"/>
        <w:spacing w:line="360" w:lineRule="auto"/>
        <w:rPr>
          <w:lang w:val="en-US"/>
        </w:rPr>
      </w:pPr>
      <w:r>
        <w:rPr>
          <w:lang w:val="en-US"/>
        </w:rPr>
        <w:tab/>
        <w:t xml:space="preserve">for </w:t>
      </w:r>
      <w:r w:rsidRPr="007F1068">
        <w:rPr>
          <w:lang w:val="en-US"/>
        </w:rPr>
        <w:t>Re</w:t>
      </w:r>
      <w:r>
        <w:rPr>
          <w:lang w:val="en-US"/>
        </w:rPr>
        <w:t xml:space="preserve">construction  and Development </w:t>
      </w:r>
      <w:r w:rsidRPr="007F1068">
        <w:rPr>
          <w:lang w:val="en-US"/>
        </w:rPr>
        <w:t>/</w:t>
      </w:r>
      <w:r>
        <w:rPr>
          <w:lang w:val="en-US"/>
        </w:rPr>
        <w:t xml:space="preserve">The World Bank. Oxford University Press, </w:t>
      </w:r>
    </w:p>
    <w:p w:rsidR="00964452" w:rsidRDefault="00964452" w:rsidP="00615DE7">
      <w:pPr>
        <w:pStyle w:val="NoSpacing"/>
        <w:spacing w:line="360" w:lineRule="auto"/>
        <w:rPr>
          <w:lang w:val="en-US"/>
        </w:rPr>
      </w:pPr>
      <w:r>
        <w:rPr>
          <w:lang w:val="en-US"/>
        </w:rPr>
        <w:tab/>
        <w:t xml:space="preserve">New York. </w:t>
      </w:r>
    </w:p>
    <w:p w:rsidR="00964452" w:rsidRPr="005A1B4D" w:rsidRDefault="00964452" w:rsidP="005A1B4D">
      <w:pPr>
        <w:rPr>
          <w:lang w:val="en-US"/>
        </w:rPr>
      </w:pPr>
      <w:r>
        <w:rPr>
          <w:lang w:val="en-US"/>
        </w:rPr>
        <w:t xml:space="preserve">WTO (2006). ‘Trade Policy Review Report by the Secretariat People’s Republic of China.’ </w:t>
      </w:r>
      <w:r>
        <w:rPr>
          <w:lang w:val="en-US"/>
        </w:rPr>
        <w:tab/>
      </w:r>
      <w:r w:rsidRPr="005A1B4D">
        <w:rPr>
          <w:lang w:val="en-US"/>
        </w:rPr>
        <w:fldChar w:fldCharType="begin"/>
      </w:r>
      <w:r w:rsidRPr="005A1B4D">
        <w:rPr>
          <w:lang w:val="en-US"/>
        </w:rPr>
        <w:instrText xml:space="preserve"> DOCPROPERTY "Symbol1" </w:instrText>
      </w:r>
      <w:r w:rsidRPr="005A1B4D">
        <w:rPr>
          <w:lang w:val="en-US"/>
        </w:rPr>
        <w:fldChar w:fldCharType="separate"/>
      </w:r>
      <w:r w:rsidRPr="005A1B4D">
        <w:rPr>
          <w:lang w:val="en-US"/>
        </w:rPr>
        <w:t>WT/TPR/S/</w:t>
      </w:r>
      <w:r w:rsidRPr="005A1B4D">
        <w:rPr>
          <w:lang w:val="en-US"/>
        </w:rPr>
        <w:fldChar w:fldCharType="end"/>
      </w:r>
      <w:r>
        <w:rPr>
          <w:lang w:val="en-US"/>
        </w:rPr>
        <w:t xml:space="preserve">161. World Trade Organization. </w:t>
      </w:r>
    </w:p>
    <w:p w:rsidR="00964452" w:rsidRDefault="00964452" w:rsidP="005A1B4D">
      <w:pPr>
        <w:pStyle w:val="NoSpacing"/>
        <w:spacing w:line="360" w:lineRule="auto"/>
        <w:rPr>
          <w:lang w:val="en-US"/>
        </w:rPr>
      </w:pPr>
    </w:p>
    <w:p w:rsidR="00964452" w:rsidRPr="003B4462" w:rsidRDefault="00964452" w:rsidP="00D5650A">
      <w:pPr>
        <w:pStyle w:val="NoSpacing"/>
        <w:spacing w:line="360" w:lineRule="auto"/>
        <w:rPr>
          <w:lang w:val="en-US"/>
        </w:rPr>
      </w:pPr>
    </w:p>
    <w:p w:rsidR="00964452" w:rsidRDefault="00964452" w:rsidP="00D5650A">
      <w:pPr>
        <w:pStyle w:val="Heading1"/>
        <w:spacing w:line="360" w:lineRule="auto"/>
      </w:pPr>
      <w:r>
        <w:br w:type="page"/>
      </w:r>
      <w:bookmarkStart w:id="52" w:name="_Toc299481908"/>
      <w:r>
        <w:t>Appendix 1</w:t>
      </w:r>
      <w:bookmarkEnd w:id="52"/>
    </w:p>
    <w:p w:rsidR="00964452" w:rsidRPr="00EC1EC1" w:rsidRDefault="00964452" w:rsidP="00EC1EC1">
      <w:pPr>
        <w:rPr>
          <w:u w:val="single"/>
        </w:rPr>
      </w:pPr>
      <w:r w:rsidRPr="00EC1EC1">
        <w:rPr>
          <w:u w:val="single"/>
        </w:rPr>
        <w:t>Countries within the sample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42"/>
        <w:gridCol w:w="1842"/>
        <w:gridCol w:w="1842"/>
        <w:gridCol w:w="1843"/>
        <w:gridCol w:w="1843"/>
      </w:tblGrid>
      <w:tr w:rsidR="00964452" w:rsidRPr="00C558D3" w:rsidTr="002638B5">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Albania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Algeria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Argentina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Armenia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Australia                     </w:t>
            </w:r>
          </w:p>
        </w:tc>
      </w:tr>
      <w:tr w:rsidR="00964452" w:rsidRPr="00C558D3" w:rsidTr="002638B5">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Austria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Azerbaijan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Bahrain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Bangladesh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Belarus                       </w:t>
            </w:r>
          </w:p>
        </w:tc>
      </w:tr>
      <w:tr w:rsidR="00964452" w:rsidRPr="00C558D3" w:rsidTr="002638B5">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Belgium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Belize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Benin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Bolivia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Botswana                      </w:t>
            </w:r>
          </w:p>
        </w:tc>
      </w:tr>
      <w:tr w:rsidR="00964452" w:rsidRPr="00C558D3" w:rsidTr="002638B5">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Brazil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Bulgaria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Burkina Faso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Cambodia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Cameroon                      </w:t>
            </w:r>
          </w:p>
        </w:tc>
      </w:tr>
      <w:tr w:rsidR="00964452" w:rsidRPr="00C558D3" w:rsidTr="002638B5">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Canada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Cape Verde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Chile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China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Colombia                      </w:t>
            </w:r>
          </w:p>
        </w:tc>
      </w:tr>
      <w:tr w:rsidR="00964452" w:rsidRPr="00C558D3" w:rsidTr="002638B5">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Costa Rica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Croatia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Cyprus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Czech Republic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Denmark                       </w:t>
            </w:r>
          </w:p>
        </w:tc>
      </w:tr>
      <w:tr w:rsidR="00964452" w:rsidRPr="00C558D3" w:rsidTr="002638B5">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Dominica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Ecuador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El Salvador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Estonia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Ethiopia (excludes Eritrea)    </w:t>
            </w:r>
          </w:p>
        </w:tc>
      </w:tr>
      <w:tr w:rsidR="00964452" w:rsidRPr="00C558D3" w:rsidTr="002638B5">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Fiji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Finland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France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Gabon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Gambia, The                   </w:t>
            </w:r>
          </w:p>
        </w:tc>
      </w:tr>
      <w:tr w:rsidR="00964452" w:rsidRPr="00C558D3" w:rsidTr="002638B5">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Georgia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Germany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Greece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Grenada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Guatemala                     </w:t>
            </w:r>
          </w:p>
        </w:tc>
      </w:tr>
      <w:tr w:rsidR="00964452" w:rsidRPr="00C558D3" w:rsidTr="002638B5">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Guyana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Honduras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Hong Kong, China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Hungary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Iceland                       </w:t>
            </w:r>
          </w:p>
        </w:tc>
      </w:tr>
      <w:tr w:rsidR="00964452" w:rsidRPr="00C558D3" w:rsidTr="002638B5">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India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Indonesia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Iran, Islamic Rep.            </w:t>
            </w:r>
          </w:p>
        </w:tc>
        <w:tc>
          <w:tcPr>
            <w:tcW w:w="1843" w:type="dxa"/>
          </w:tcPr>
          <w:p w:rsidR="00964452" w:rsidRPr="002638B5" w:rsidRDefault="00964452" w:rsidP="00C558D3">
            <w:pPr>
              <w:pStyle w:val="NoSpacing"/>
              <w:rPr>
                <w:rFonts w:ascii="Arial" w:hAnsi="Arial" w:cs="Arial"/>
                <w:sz w:val="18"/>
                <w:szCs w:val="18"/>
              </w:rPr>
            </w:pPr>
            <w:r w:rsidRPr="002638B5">
              <w:rPr>
                <w:rFonts w:ascii="Arial" w:hAnsi="Arial" w:cs="Arial"/>
                <w:sz w:val="18"/>
                <w:szCs w:val="18"/>
              </w:rPr>
              <w:t xml:space="preserve">Ireland                       </w:t>
            </w:r>
          </w:p>
        </w:tc>
        <w:tc>
          <w:tcPr>
            <w:tcW w:w="1843" w:type="dxa"/>
          </w:tcPr>
          <w:p w:rsidR="00964452" w:rsidRPr="002638B5" w:rsidRDefault="00964452" w:rsidP="00C558D3">
            <w:pPr>
              <w:pStyle w:val="NoSpacing"/>
              <w:rPr>
                <w:rFonts w:ascii="Arial" w:hAnsi="Arial" w:cs="Arial"/>
                <w:sz w:val="18"/>
                <w:szCs w:val="18"/>
              </w:rPr>
            </w:pPr>
            <w:r w:rsidRPr="002638B5">
              <w:rPr>
                <w:rFonts w:ascii="Arial" w:hAnsi="Arial" w:cs="Arial"/>
                <w:sz w:val="18"/>
                <w:szCs w:val="18"/>
              </w:rPr>
              <w:t xml:space="preserve">Israel                        </w:t>
            </w:r>
          </w:p>
        </w:tc>
      </w:tr>
      <w:tr w:rsidR="00964452" w:rsidRPr="00C558D3" w:rsidTr="002638B5">
        <w:tc>
          <w:tcPr>
            <w:tcW w:w="1842" w:type="dxa"/>
          </w:tcPr>
          <w:p w:rsidR="00964452" w:rsidRPr="002638B5" w:rsidRDefault="00964452" w:rsidP="00C558D3">
            <w:pPr>
              <w:pStyle w:val="NoSpacing"/>
              <w:rPr>
                <w:rFonts w:ascii="Arial" w:hAnsi="Arial" w:cs="Arial"/>
                <w:sz w:val="18"/>
                <w:szCs w:val="18"/>
              </w:rPr>
            </w:pPr>
            <w:r w:rsidRPr="002638B5">
              <w:rPr>
                <w:rFonts w:ascii="Arial" w:hAnsi="Arial" w:cs="Arial"/>
                <w:sz w:val="18"/>
                <w:szCs w:val="18"/>
              </w:rPr>
              <w:t xml:space="preserve">Italy                         </w:t>
            </w:r>
          </w:p>
        </w:tc>
        <w:tc>
          <w:tcPr>
            <w:tcW w:w="1842" w:type="dxa"/>
          </w:tcPr>
          <w:p w:rsidR="00964452" w:rsidRPr="002638B5" w:rsidRDefault="00964452" w:rsidP="00C558D3">
            <w:pPr>
              <w:pStyle w:val="NoSpacing"/>
              <w:rPr>
                <w:rFonts w:ascii="Arial" w:hAnsi="Arial" w:cs="Arial"/>
                <w:sz w:val="18"/>
                <w:szCs w:val="18"/>
              </w:rPr>
            </w:pPr>
            <w:r w:rsidRPr="002638B5">
              <w:rPr>
                <w:rFonts w:ascii="Arial" w:hAnsi="Arial" w:cs="Arial"/>
                <w:sz w:val="18"/>
                <w:szCs w:val="18"/>
              </w:rPr>
              <w:t xml:space="preserve">Jamaica                       </w:t>
            </w:r>
          </w:p>
        </w:tc>
        <w:tc>
          <w:tcPr>
            <w:tcW w:w="1842" w:type="dxa"/>
          </w:tcPr>
          <w:p w:rsidR="00964452" w:rsidRPr="002638B5" w:rsidRDefault="00964452" w:rsidP="00C558D3">
            <w:pPr>
              <w:pStyle w:val="NoSpacing"/>
              <w:rPr>
                <w:rFonts w:ascii="Arial" w:hAnsi="Arial" w:cs="Arial"/>
                <w:sz w:val="18"/>
                <w:szCs w:val="18"/>
              </w:rPr>
            </w:pPr>
            <w:r w:rsidRPr="002638B5">
              <w:rPr>
                <w:rFonts w:ascii="Arial" w:hAnsi="Arial" w:cs="Arial"/>
                <w:sz w:val="18"/>
                <w:szCs w:val="18"/>
              </w:rPr>
              <w:t xml:space="preserve">Japan                         </w:t>
            </w:r>
          </w:p>
        </w:tc>
        <w:tc>
          <w:tcPr>
            <w:tcW w:w="1843" w:type="dxa"/>
          </w:tcPr>
          <w:p w:rsidR="00964452" w:rsidRPr="002638B5" w:rsidRDefault="00964452" w:rsidP="00C558D3">
            <w:pPr>
              <w:pStyle w:val="NoSpacing"/>
              <w:rPr>
                <w:rFonts w:ascii="Arial" w:hAnsi="Arial" w:cs="Arial"/>
                <w:sz w:val="18"/>
                <w:szCs w:val="18"/>
              </w:rPr>
            </w:pPr>
            <w:r w:rsidRPr="002638B5">
              <w:rPr>
                <w:rFonts w:ascii="Arial" w:hAnsi="Arial" w:cs="Arial"/>
                <w:sz w:val="18"/>
                <w:szCs w:val="18"/>
              </w:rPr>
              <w:t xml:space="preserve">Jordan                        </w:t>
            </w:r>
          </w:p>
        </w:tc>
        <w:tc>
          <w:tcPr>
            <w:tcW w:w="1843" w:type="dxa"/>
          </w:tcPr>
          <w:p w:rsidR="00964452" w:rsidRPr="002638B5" w:rsidRDefault="00964452" w:rsidP="00C558D3">
            <w:pPr>
              <w:pStyle w:val="NoSpacing"/>
              <w:rPr>
                <w:rFonts w:ascii="Arial" w:hAnsi="Arial" w:cs="Arial"/>
                <w:sz w:val="18"/>
                <w:szCs w:val="18"/>
              </w:rPr>
            </w:pPr>
            <w:r w:rsidRPr="002638B5">
              <w:rPr>
                <w:rFonts w:ascii="Arial" w:hAnsi="Arial" w:cs="Arial"/>
                <w:sz w:val="18"/>
                <w:szCs w:val="18"/>
              </w:rPr>
              <w:t xml:space="preserve">Kazakhstan                    </w:t>
            </w:r>
          </w:p>
        </w:tc>
      </w:tr>
      <w:tr w:rsidR="00964452" w:rsidRPr="00C558D3" w:rsidTr="002638B5">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Kenya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Korea, Rep.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Kyrgyz Republic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Latvia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Lebanon                       </w:t>
            </w:r>
          </w:p>
        </w:tc>
      </w:tr>
      <w:tr w:rsidR="00964452" w:rsidRPr="00C558D3" w:rsidTr="002638B5">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Lithuania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Luxembourg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Macao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Macedonia, FYR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Madagascar                    </w:t>
            </w:r>
          </w:p>
        </w:tc>
      </w:tr>
      <w:tr w:rsidR="00964452" w:rsidRPr="00C558D3" w:rsidTr="002638B5">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Malawi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Malaysia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Maldives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Mali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Malta                         </w:t>
            </w:r>
          </w:p>
        </w:tc>
      </w:tr>
      <w:tr w:rsidR="00964452" w:rsidRPr="00C558D3" w:rsidTr="002638B5">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Mauritania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Mauritius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Mexico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Moldova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Mongolia                      </w:t>
            </w:r>
          </w:p>
        </w:tc>
      </w:tr>
      <w:tr w:rsidR="00964452" w:rsidRPr="00C558D3" w:rsidTr="002638B5">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Morocco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Mozambique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Namibia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Netherlands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New Zealand                   </w:t>
            </w:r>
          </w:p>
        </w:tc>
      </w:tr>
      <w:tr w:rsidR="00964452" w:rsidRPr="00C558D3" w:rsidTr="002638B5">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Nicaragua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Niger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Norway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Oman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Panama                        </w:t>
            </w:r>
          </w:p>
        </w:tc>
      </w:tr>
      <w:tr w:rsidR="00964452" w:rsidRPr="00C558D3" w:rsidTr="002638B5">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Papua New Guinea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Paraguay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Peru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Philippines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Poland                        </w:t>
            </w:r>
          </w:p>
        </w:tc>
      </w:tr>
      <w:tr w:rsidR="00964452" w:rsidRPr="00C558D3" w:rsidTr="002638B5">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Portugal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Qatar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Romania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Russian Federation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Rwanda                        </w:t>
            </w:r>
          </w:p>
        </w:tc>
      </w:tr>
      <w:tr w:rsidR="00964452" w:rsidRPr="00C558D3" w:rsidTr="002638B5">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Samoa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Sao Tome and Principe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Saudi Arabia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Senegal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Singapore                     </w:t>
            </w:r>
          </w:p>
        </w:tc>
      </w:tr>
      <w:tr w:rsidR="00964452" w:rsidRPr="00C558D3" w:rsidTr="002638B5">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Slovak Republic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Slovenia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South Africa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Spain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Sri Lanka                     </w:t>
            </w:r>
          </w:p>
        </w:tc>
      </w:tr>
      <w:tr w:rsidR="00964452" w:rsidRPr="00C558D3" w:rsidTr="002638B5">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St. Kitts and Nevis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St. Lucia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St. Vincent and the Grenadines</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Sudan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Swaziland                     </w:t>
            </w:r>
          </w:p>
        </w:tc>
      </w:tr>
      <w:tr w:rsidR="00964452" w:rsidRPr="00C558D3" w:rsidTr="002638B5">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Sweden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Switzerland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Syrian Arab Republic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Tanzania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Thailand                      </w:t>
            </w:r>
          </w:p>
        </w:tc>
      </w:tr>
      <w:tr w:rsidR="00964452" w:rsidRPr="00C558D3" w:rsidTr="002638B5">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Togo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Trinidad and Tobago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Tunisia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Turkey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Uganda                        </w:t>
            </w:r>
          </w:p>
        </w:tc>
      </w:tr>
      <w:tr w:rsidR="00964452" w:rsidRPr="00C558D3" w:rsidTr="002638B5">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Ukraine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United Kingdom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United States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Uruguay                       </w:t>
            </w:r>
          </w:p>
        </w:tc>
        <w:tc>
          <w:tcPr>
            <w:tcW w:w="1843"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Venezuela                     </w:t>
            </w:r>
          </w:p>
        </w:tc>
      </w:tr>
      <w:tr w:rsidR="00964452" w:rsidRPr="00C558D3" w:rsidTr="002638B5">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Vietnam                       </w:t>
            </w:r>
          </w:p>
        </w:tc>
        <w:tc>
          <w:tcPr>
            <w:tcW w:w="1842" w:type="dxa"/>
          </w:tcPr>
          <w:p w:rsidR="00964452" w:rsidRPr="002638B5" w:rsidRDefault="00964452" w:rsidP="00C558D3">
            <w:pPr>
              <w:pStyle w:val="NoSpacing"/>
              <w:rPr>
                <w:rFonts w:ascii="Arial" w:hAnsi="Arial" w:cs="Arial"/>
                <w:sz w:val="18"/>
                <w:szCs w:val="18"/>
                <w:lang w:val="en-US"/>
              </w:rPr>
            </w:pPr>
            <w:r w:rsidRPr="002638B5">
              <w:rPr>
                <w:rFonts w:ascii="Arial" w:hAnsi="Arial" w:cs="Arial"/>
                <w:sz w:val="18"/>
                <w:szCs w:val="18"/>
                <w:lang w:val="en-US"/>
              </w:rPr>
              <w:t xml:space="preserve">Zambia                        </w:t>
            </w:r>
          </w:p>
        </w:tc>
        <w:tc>
          <w:tcPr>
            <w:tcW w:w="1842" w:type="dxa"/>
          </w:tcPr>
          <w:p w:rsidR="00964452" w:rsidRPr="002638B5" w:rsidRDefault="00964452" w:rsidP="00C558D3">
            <w:pPr>
              <w:pStyle w:val="NoSpacing"/>
              <w:rPr>
                <w:rFonts w:ascii="Arial" w:hAnsi="Arial" w:cs="Arial"/>
                <w:sz w:val="18"/>
                <w:szCs w:val="18"/>
                <w:lang w:val="en-US"/>
              </w:rPr>
            </w:pPr>
          </w:p>
        </w:tc>
        <w:tc>
          <w:tcPr>
            <w:tcW w:w="1843" w:type="dxa"/>
          </w:tcPr>
          <w:p w:rsidR="00964452" w:rsidRPr="002638B5" w:rsidRDefault="00964452" w:rsidP="00C558D3">
            <w:pPr>
              <w:pStyle w:val="NoSpacing"/>
              <w:rPr>
                <w:rFonts w:ascii="Arial" w:hAnsi="Arial" w:cs="Arial"/>
                <w:sz w:val="18"/>
                <w:szCs w:val="18"/>
                <w:lang w:val="en-US"/>
              </w:rPr>
            </w:pPr>
          </w:p>
        </w:tc>
        <w:tc>
          <w:tcPr>
            <w:tcW w:w="1843" w:type="dxa"/>
          </w:tcPr>
          <w:p w:rsidR="00964452" w:rsidRPr="002638B5" w:rsidRDefault="00964452" w:rsidP="00C558D3">
            <w:pPr>
              <w:pStyle w:val="NoSpacing"/>
              <w:rPr>
                <w:rFonts w:ascii="Arial" w:hAnsi="Arial" w:cs="Arial"/>
                <w:sz w:val="18"/>
                <w:szCs w:val="18"/>
                <w:lang w:val="en-US"/>
              </w:rPr>
            </w:pPr>
          </w:p>
        </w:tc>
      </w:tr>
    </w:tbl>
    <w:p w:rsidR="00964452" w:rsidRDefault="00964452" w:rsidP="00EC1EC1">
      <w:pPr>
        <w:pStyle w:val="Heading1"/>
        <w:spacing w:line="360" w:lineRule="auto"/>
      </w:pPr>
    </w:p>
    <w:p w:rsidR="00964452" w:rsidRDefault="00964452">
      <w:pPr>
        <w:rPr>
          <w:rFonts w:ascii="Cambria" w:hAnsi="Cambria"/>
          <w:b/>
          <w:bCs/>
          <w:kern w:val="32"/>
          <w:sz w:val="32"/>
          <w:szCs w:val="32"/>
        </w:rPr>
      </w:pPr>
      <w:r>
        <w:br w:type="page"/>
      </w:r>
    </w:p>
    <w:p w:rsidR="00964452" w:rsidRPr="00EC1EC1" w:rsidRDefault="00964452" w:rsidP="00EC1EC1">
      <w:pPr>
        <w:pStyle w:val="Heading1"/>
        <w:spacing w:line="360" w:lineRule="auto"/>
      </w:pPr>
      <w:bookmarkStart w:id="53" w:name="_Toc299481909"/>
      <w:r w:rsidRPr="00EC1EC1">
        <w:t>Appendix 2</w:t>
      </w:r>
      <w:bookmarkEnd w:id="53"/>
    </w:p>
    <w:p w:rsidR="00964452" w:rsidRPr="00EC1EC1" w:rsidRDefault="00964452" w:rsidP="00EC1EC1">
      <w:pPr>
        <w:rPr>
          <w:u w:val="single"/>
        </w:rPr>
      </w:pPr>
      <w:r w:rsidRPr="00EC1EC1">
        <w:rPr>
          <w:u w:val="single"/>
        </w:rPr>
        <w:t>Descriptive statistics EXPY</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35"/>
        <w:gridCol w:w="1535"/>
        <w:gridCol w:w="1535"/>
        <w:gridCol w:w="1535"/>
        <w:gridCol w:w="1536"/>
        <w:gridCol w:w="1646"/>
      </w:tblGrid>
      <w:tr w:rsidR="00964452" w:rsidRPr="00827F56" w:rsidTr="009C5F11">
        <w:tc>
          <w:tcPr>
            <w:tcW w:w="1535" w:type="dxa"/>
            <w:tcBorders>
              <w:bottom w:val="single" w:sz="12" w:space="0" w:color="000000"/>
            </w:tcBorders>
          </w:tcPr>
          <w:p w:rsidR="00964452" w:rsidRPr="00827F56" w:rsidRDefault="00964452" w:rsidP="009C5F11">
            <w:pPr>
              <w:pStyle w:val="NoSpacing"/>
              <w:rPr>
                <w:rFonts w:ascii="Arial" w:hAnsi="Arial" w:cs="Arial"/>
                <w:sz w:val="18"/>
                <w:szCs w:val="18"/>
              </w:rPr>
            </w:pPr>
            <w:r w:rsidRPr="00827F56">
              <w:rPr>
                <w:rFonts w:ascii="Arial" w:hAnsi="Arial" w:cs="Arial"/>
                <w:sz w:val="18"/>
                <w:szCs w:val="18"/>
              </w:rPr>
              <w:t>Year</w:t>
            </w:r>
          </w:p>
        </w:tc>
        <w:tc>
          <w:tcPr>
            <w:tcW w:w="1535" w:type="dxa"/>
            <w:tcBorders>
              <w:bottom w:val="single" w:sz="12" w:space="0" w:color="000000"/>
            </w:tcBorders>
          </w:tcPr>
          <w:p w:rsidR="00964452" w:rsidRPr="00827F56" w:rsidRDefault="00964452" w:rsidP="009C5F11">
            <w:pPr>
              <w:pStyle w:val="NoSpacing"/>
              <w:rPr>
                <w:rFonts w:ascii="Arial" w:hAnsi="Arial" w:cs="Arial"/>
                <w:sz w:val="18"/>
                <w:szCs w:val="18"/>
              </w:rPr>
            </w:pPr>
            <w:r w:rsidRPr="00827F56">
              <w:rPr>
                <w:rFonts w:ascii="Arial" w:hAnsi="Arial" w:cs="Arial"/>
                <w:sz w:val="18"/>
                <w:szCs w:val="18"/>
              </w:rPr>
              <w:t>Number of countries</w:t>
            </w:r>
          </w:p>
        </w:tc>
        <w:tc>
          <w:tcPr>
            <w:tcW w:w="1535" w:type="dxa"/>
            <w:tcBorders>
              <w:bottom w:val="single" w:sz="12" w:space="0" w:color="000000"/>
            </w:tcBorders>
          </w:tcPr>
          <w:p w:rsidR="00964452" w:rsidRPr="00827F56" w:rsidRDefault="00964452" w:rsidP="009C5F11">
            <w:pPr>
              <w:pStyle w:val="NoSpacing"/>
              <w:rPr>
                <w:rFonts w:ascii="Arial" w:hAnsi="Arial" w:cs="Arial"/>
                <w:sz w:val="18"/>
                <w:szCs w:val="18"/>
              </w:rPr>
            </w:pPr>
            <w:r w:rsidRPr="00827F56">
              <w:rPr>
                <w:rFonts w:ascii="Arial" w:hAnsi="Arial" w:cs="Arial"/>
                <w:sz w:val="18"/>
                <w:szCs w:val="18"/>
              </w:rPr>
              <w:t>Minimum</w:t>
            </w:r>
          </w:p>
        </w:tc>
        <w:tc>
          <w:tcPr>
            <w:tcW w:w="1535" w:type="dxa"/>
            <w:tcBorders>
              <w:bottom w:val="single" w:sz="12" w:space="0" w:color="000000"/>
            </w:tcBorders>
          </w:tcPr>
          <w:p w:rsidR="00964452" w:rsidRPr="00827F56" w:rsidRDefault="00964452" w:rsidP="009C5F11">
            <w:pPr>
              <w:pStyle w:val="NoSpacing"/>
              <w:rPr>
                <w:rFonts w:ascii="Arial" w:hAnsi="Arial" w:cs="Arial"/>
                <w:sz w:val="18"/>
                <w:szCs w:val="18"/>
              </w:rPr>
            </w:pPr>
            <w:r w:rsidRPr="00827F56">
              <w:rPr>
                <w:rFonts w:ascii="Arial" w:hAnsi="Arial" w:cs="Arial"/>
                <w:sz w:val="18"/>
                <w:szCs w:val="18"/>
              </w:rPr>
              <w:t>Maximum</w:t>
            </w:r>
          </w:p>
        </w:tc>
        <w:tc>
          <w:tcPr>
            <w:tcW w:w="1536" w:type="dxa"/>
            <w:tcBorders>
              <w:bottom w:val="single" w:sz="12" w:space="0" w:color="000000"/>
            </w:tcBorders>
          </w:tcPr>
          <w:p w:rsidR="00964452" w:rsidRPr="00827F56" w:rsidRDefault="00964452" w:rsidP="009C5F11">
            <w:pPr>
              <w:pStyle w:val="NoSpacing"/>
              <w:rPr>
                <w:rFonts w:ascii="Arial" w:hAnsi="Arial" w:cs="Arial"/>
                <w:sz w:val="18"/>
                <w:szCs w:val="18"/>
              </w:rPr>
            </w:pPr>
            <w:r w:rsidRPr="00827F56">
              <w:rPr>
                <w:rFonts w:ascii="Arial" w:hAnsi="Arial" w:cs="Arial"/>
                <w:sz w:val="18"/>
                <w:szCs w:val="18"/>
              </w:rPr>
              <w:t>Mean</w:t>
            </w:r>
          </w:p>
        </w:tc>
        <w:tc>
          <w:tcPr>
            <w:tcW w:w="1646" w:type="dxa"/>
            <w:tcBorders>
              <w:bottom w:val="single" w:sz="12" w:space="0" w:color="000000"/>
            </w:tcBorders>
          </w:tcPr>
          <w:p w:rsidR="00964452" w:rsidRPr="00827F56" w:rsidRDefault="00964452" w:rsidP="009C5F11">
            <w:pPr>
              <w:pStyle w:val="NoSpacing"/>
              <w:rPr>
                <w:rFonts w:ascii="Arial" w:hAnsi="Arial" w:cs="Arial"/>
                <w:sz w:val="18"/>
                <w:szCs w:val="18"/>
              </w:rPr>
            </w:pPr>
            <w:r w:rsidRPr="00827F56">
              <w:rPr>
                <w:rFonts w:ascii="Arial" w:hAnsi="Arial" w:cs="Arial"/>
                <w:sz w:val="18"/>
                <w:szCs w:val="18"/>
              </w:rPr>
              <w:t>Std. Deviation</w:t>
            </w:r>
          </w:p>
        </w:tc>
      </w:tr>
      <w:tr w:rsidR="00964452" w:rsidRPr="00827F56" w:rsidTr="009C5F11">
        <w:tc>
          <w:tcPr>
            <w:tcW w:w="1535" w:type="dxa"/>
            <w:tcBorders>
              <w:top w:val="single" w:sz="12" w:space="0" w:color="000000"/>
            </w:tcBorders>
          </w:tcPr>
          <w:p w:rsidR="00964452" w:rsidRPr="00827F56" w:rsidRDefault="00964452" w:rsidP="009C5F11">
            <w:pPr>
              <w:pStyle w:val="NoSpacing"/>
              <w:rPr>
                <w:rFonts w:ascii="Arial" w:hAnsi="Arial" w:cs="Arial"/>
                <w:sz w:val="18"/>
                <w:szCs w:val="18"/>
              </w:rPr>
            </w:pPr>
            <w:r w:rsidRPr="00827F56">
              <w:rPr>
                <w:rFonts w:ascii="Arial" w:hAnsi="Arial" w:cs="Arial"/>
                <w:sz w:val="18"/>
                <w:szCs w:val="18"/>
              </w:rPr>
              <w:t>1988</w:t>
            </w:r>
          </w:p>
        </w:tc>
        <w:tc>
          <w:tcPr>
            <w:tcW w:w="1535" w:type="dxa"/>
            <w:tcBorders>
              <w:top w:val="single" w:sz="12" w:space="0" w:color="000000"/>
            </w:tcBorders>
          </w:tcPr>
          <w:p w:rsidR="00964452" w:rsidRPr="00827F56" w:rsidRDefault="00964452" w:rsidP="009C5F11">
            <w:pPr>
              <w:pStyle w:val="NoSpacing"/>
              <w:rPr>
                <w:rFonts w:ascii="Arial" w:hAnsi="Arial" w:cs="Arial"/>
                <w:color w:val="000000"/>
                <w:sz w:val="18"/>
                <w:szCs w:val="18"/>
                <w:lang w:eastAsia="nl-NL"/>
              </w:rPr>
            </w:pPr>
            <w:r w:rsidRPr="00827F56">
              <w:rPr>
                <w:rFonts w:ascii="Arial" w:hAnsi="Arial" w:cs="Arial"/>
                <w:color w:val="000000"/>
                <w:sz w:val="18"/>
                <w:szCs w:val="18"/>
                <w:lang w:eastAsia="nl-NL"/>
              </w:rPr>
              <w:t>10</w:t>
            </w:r>
          </w:p>
        </w:tc>
        <w:tc>
          <w:tcPr>
            <w:tcW w:w="1535" w:type="dxa"/>
            <w:tcBorders>
              <w:top w:val="single" w:sz="12" w:space="0" w:color="000000"/>
            </w:tcBorders>
          </w:tcPr>
          <w:p w:rsidR="00964452" w:rsidRPr="00827F56" w:rsidRDefault="00964452" w:rsidP="009C5F11">
            <w:pPr>
              <w:pStyle w:val="NoSpacing"/>
              <w:rPr>
                <w:rFonts w:ascii="Arial" w:hAnsi="Arial" w:cs="Arial"/>
                <w:color w:val="000000"/>
                <w:sz w:val="18"/>
                <w:szCs w:val="18"/>
                <w:lang w:eastAsia="nl-NL"/>
              </w:rPr>
            </w:pPr>
            <w:r>
              <w:rPr>
                <w:rFonts w:ascii="Arial" w:hAnsi="Arial" w:cs="Arial"/>
                <w:color w:val="000000"/>
                <w:sz w:val="18"/>
                <w:szCs w:val="18"/>
                <w:lang w:eastAsia="nl-NL"/>
              </w:rPr>
              <w:t>$8,948</w:t>
            </w:r>
          </w:p>
        </w:tc>
        <w:tc>
          <w:tcPr>
            <w:tcW w:w="1535" w:type="dxa"/>
            <w:tcBorders>
              <w:top w:val="single" w:sz="12" w:space="0" w:color="000000"/>
            </w:tcBorders>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w:t>
            </w:r>
            <w:r w:rsidRPr="00827F56">
              <w:rPr>
                <w:rFonts w:ascii="Arial" w:hAnsi="Arial" w:cs="Arial"/>
                <w:color w:val="000000"/>
                <w:sz w:val="18"/>
                <w:szCs w:val="18"/>
                <w:lang w:eastAsia="nl-NL"/>
              </w:rPr>
              <w:t>19,450</w:t>
            </w:r>
          </w:p>
        </w:tc>
        <w:tc>
          <w:tcPr>
            <w:tcW w:w="1536" w:type="dxa"/>
            <w:tcBorders>
              <w:top w:val="single" w:sz="12" w:space="0" w:color="000000"/>
            </w:tcBorders>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w:t>
            </w:r>
            <w:r w:rsidRPr="00827F56">
              <w:rPr>
                <w:rFonts w:ascii="Arial" w:hAnsi="Arial" w:cs="Arial"/>
                <w:color w:val="000000"/>
                <w:sz w:val="18"/>
                <w:szCs w:val="18"/>
                <w:lang w:eastAsia="nl-NL"/>
              </w:rPr>
              <w:t>14,632</w:t>
            </w:r>
          </w:p>
        </w:tc>
        <w:tc>
          <w:tcPr>
            <w:tcW w:w="1646" w:type="dxa"/>
            <w:tcBorders>
              <w:top w:val="single" w:sz="12" w:space="0" w:color="000000"/>
            </w:tcBorders>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w:t>
            </w:r>
            <w:r w:rsidRPr="00827F56">
              <w:rPr>
                <w:rFonts w:ascii="Arial" w:hAnsi="Arial" w:cs="Arial"/>
                <w:color w:val="000000"/>
                <w:sz w:val="18"/>
                <w:szCs w:val="18"/>
                <w:lang w:eastAsia="nl-NL"/>
              </w:rPr>
              <w:t>3,682</w:t>
            </w:r>
          </w:p>
        </w:tc>
      </w:tr>
      <w:tr w:rsidR="00964452" w:rsidRPr="00827F56" w:rsidTr="009C5F11">
        <w:tc>
          <w:tcPr>
            <w:tcW w:w="1535" w:type="dxa"/>
          </w:tcPr>
          <w:p w:rsidR="00964452" w:rsidRPr="00827F56" w:rsidRDefault="00964452" w:rsidP="009C5F11">
            <w:pPr>
              <w:pStyle w:val="NoSpacing"/>
              <w:rPr>
                <w:rFonts w:ascii="Arial" w:hAnsi="Arial" w:cs="Arial"/>
                <w:sz w:val="18"/>
                <w:szCs w:val="18"/>
              </w:rPr>
            </w:pPr>
            <w:r w:rsidRPr="00827F56">
              <w:rPr>
                <w:rFonts w:ascii="Arial" w:hAnsi="Arial" w:cs="Arial"/>
                <w:sz w:val="18"/>
                <w:szCs w:val="18"/>
              </w:rPr>
              <w:t>1989</w:t>
            </w:r>
          </w:p>
        </w:tc>
        <w:tc>
          <w:tcPr>
            <w:tcW w:w="1535" w:type="dxa"/>
          </w:tcPr>
          <w:p w:rsidR="00964452" w:rsidRPr="00827F56" w:rsidRDefault="00964452" w:rsidP="009C5F11">
            <w:pPr>
              <w:pStyle w:val="NoSpacing"/>
              <w:rPr>
                <w:rFonts w:ascii="Arial" w:hAnsi="Arial" w:cs="Arial"/>
                <w:color w:val="000000"/>
                <w:sz w:val="18"/>
                <w:szCs w:val="18"/>
                <w:lang w:eastAsia="nl-NL"/>
              </w:rPr>
            </w:pPr>
            <w:r w:rsidRPr="00827F56">
              <w:rPr>
                <w:rFonts w:ascii="Arial" w:hAnsi="Arial" w:cs="Arial"/>
                <w:color w:val="000000"/>
                <w:sz w:val="18"/>
                <w:szCs w:val="18"/>
                <w:lang w:eastAsia="nl-NL"/>
              </w:rPr>
              <w:t>25</w:t>
            </w:r>
          </w:p>
        </w:tc>
        <w:tc>
          <w:tcPr>
            <w:tcW w:w="1535" w:type="dxa"/>
          </w:tcPr>
          <w:p w:rsidR="00964452" w:rsidRPr="00827F56" w:rsidRDefault="00964452" w:rsidP="009C5F11">
            <w:pPr>
              <w:pStyle w:val="NoSpacing"/>
              <w:rPr>
                <w:rFonts w:ascii="Arial" w:hAnsi="Arial" w:cs="Arial"/>
                <w:color w:val="000000"/>
                <w:sz w:val="18"/>
                <w:szCs w:val="18"/>
                <w:lang w:eastAsia="nl-NL"/>
              </w:rPr>
            </w:pPr>
            <w:r>
              <w:rPr>
                <w:rFonts w:ascii="Arial" w:hAnsi="Arial" w:cs="Arial"/>
                <w:color w:val="000000"/>
                <w:sz w:val="18"/>
                <w:szCs w:val="18"/>
                <w:lang w:eastAsia="nl-NL"/>
              </w:rPr>
              <w:t>$5,185</w:t>
            </w:r>
          </w:p>
        </w:tc>
        <w:tc>
          <w:tcPr>
            <w:tcW w:w="1535"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$19,605</w:t>
            </w:r>
          </w:p>
        </w:tc>
        <w:tc>
          <w:tcPr>
            <w:tcW w:w="1536"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w:t>
            </w:r>
            <w:r w:rsidRPr="00827F56">
              <w:rPr>
                <w:rFonts w:ascii="Arial" w:hAnsi="Arial" w:cs="Arial"/>
                <w:color w:val="000000"/>
                <w:sz w:val="18"/>
                <w:szCs w:val="18"/>
                <w:lang w:eastAsia="nl-NL"/>
              </w:rPr>
              <w:t>12,590</w:t>
            </w:r>
          </w:p>
        </w:tc>
        <w:tc>
          <w:tcPr>
            <w:tcW w:w="1646"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$3,848</w:t>
            </w:r>
          </w:p>
        </w:tc>
      </w:tr>
      <w:tr w:rsidR="00964452" w:rsidRPr="00827F56" w:rsidTr="009C5F11">
        <w:tc>
          <w:tcPr>
            <w:tcW w:w="1535" w:type="dxa"/>
          </w:tcPr>
          <w:p w:rsidR="00964452" w:rsidRPr="00827F56" w:rsidRDefault="00964452" w:rsidP="009C5F11">
            <w:pPr>
              <w:pStyle w:val="NoSpacing"/>
              <w:rPr>
                <w:rFonts w:ascii="Arial" w:hAnsi="Arial" w:cs="Arial"/>
                <w:sz w:val="18"/>
                <w:szCs w:val="18"/>
              </w:rPr>
            </w:pPr>
            <w:r w:rsidRPr="00827F56">
              <w:rPr>
                <w:rFonts w:ascii="Arial" w:hAnsi="Arial" w:cs="Arial"/>
                <w:sz w:val="18"/>
                <w:szCs w:val="18"/>
              </w:rPr>
              <w:t>1990</w:t>
            </w:r>
          </w:p>
        </w:tc>
        <w:tc>
          <w:tcPr>
            <w:tcW w:w="1535" w:type="dxa"/>
          </w:tcPr>
          <w:p w:rsidR="00964452" w:rsidRPr="00827F56" w:rsidRDefault="00964452" w:rsidP="009C5F11">
            <w:pPr>
              <w:pStyle w:val="NoSpacing"/>
              <w:rPr>
                <w:rFonts w:ascii="Arial" w:hAnsi="Arial" w:cs="Arial"/>
                <w:color w:val="000000"/>
                <w:sz w:val="18"/>
                <w:szCs w:val="18"/>
                <w:lang w:eastAsia="nl-NL"/>
              </w:rPr>
            </w:pPr>
            <w:r w:rsidRPr="00827F56">
              <w:rPr>
                <w:rFonts w:ascii="Arial" w:hAnsi="Arial" w:cs="Arial"/>
                <w:color w:val="000000"/>
                <w:sz w:val="18"/>
                <w:szCs w:val="18"/>
                <w:lang w:eastAsia="nl-NL"/>
              </w:rPr>
              <w:t>30</w:t>
            </w:r>
          </w:p>
        </w:tc>
        <w:tc>
          <w:tcPr>
            <w:tcW w:w="1535" w:type="dxa"/>
          </w:tcPr>
          <w:p w:rsidR="00964452" w:rsidRPr="00827F56" w:rsidRDefault="00964452" w:rsidP="00EC1EC1">
            <w:pPr>
              <w:pStyle w:val="NoSpacing"/>
              <w:rPr>
                <w:rFonts w:ascii="Arial" w:hAnsi="Arial" w:cs="Arial"/>
                <w:color w:val="000000"/>
                <w:sz w:val="18"/>
                <w:szCs w:val="18"/>
                <w:lang w:eastAsia="nl-NL"/>
              </w:rPr>
            </w:pPr>
            <w:r>
              <w:rPr>
                <w:rFonts w:ascii="Arial" w:hAnsi="Arial" w:cs="Arial"/>
                <w:color w:val="000000"/>
                <w:sz w:val="18"/>
                <w:szCs w:val="18"/>
                <w:lang w:eastAsia="nl-NL"/>
              </w:rPr>
              <w:t>$</w:t>
            </w:r>
            <w:r w:rsidRPr="00827F56">
              <w:rPr>
                <w:rFonts w:ascii="Arial" w:hAnsi="Arial" w:cs="Arial"/>
                <w:color w:val="000000"/>
                <w:sz w:val="18"/>
                <w:szCs w:val="18"/>
                <w:lang w:eastAsia="nl-NL"/>
              </w:rPr>
              <w:t>2,982</w:t>
            </w:r>
          </w:p>
        </w:tc>
        <w:tc>
          <w:tcPr>
            <w:tcW w:w="1535"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$19,740</w:t>
            </w:r>
          </w:p>
        </w:tc>
        <w:tc>
          <w:tcPr>
            <w:tcW w:w="1536"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$11,670</w:t>
            </w:r>
          </w:p>
        </w:tc>
        <w:tc>
          <w:tcPr>
            <w:tcW w:w="1646"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$4,360</w:t>
            </w:r>
          </w:p>
        </w:tc>
      </w:tr>
      <w:tr w:rsidR="00964452" w:rsidRPr="00827F56" w:rsidTr="009C5F11">
        <w:tc>
          <w:tcPr>
            <w:tcW w:w="1535" w:type="dxa"/>
          </w:tcPr>
          <w:p w:rsidR="00964452" w:rsidRPr="00827F56" w:rsidRDefault="00964452" w:rsidP="009C5F11">
            <w:pPr>
              <w:pStyle w:val="NoSpacing"/>
              <w:rPr>
                <w:rFonts w:ascii="Arial" w:hAnsi="Arial" w:cs="Arial"/>
                <w:sz w:val="18"/>
                <w:szCs w:val="18"/>
              </w:rPr>
            </w:pPr>
            <w:r w:rsidRPr="00827F56">
              <w:rPr>
                <w:rFonts w:ascii="Arial" w:hAnsi="Arial" w:cs="Arial"/>
                <w:sz w:val="18"/>
                <w:szCs w:val="18"/>
              </w:rPr>
              <w:t>1991</w:t>
            </w:r>
          </w:p>
        </w:tc>
        <w:tc>
          <w:tcPr>
            <w:tcW w:w="1535" w:type="dxa"/>
          </w:tcPr>
          <w:p w:rsidR="00964452" w:rsidRPr="00827F56" w:rsidRDefault="00964452" w:rsidP="009C5F11">
            <w:pPr>
              <w:pStyle w:val="NoSpacing"/>
              <w:rPr>
                <w:rFonts w:ascii="Arial" w:hAnsi="Arial" w:cs="Arial"/>
                <w:color w:val="000000"/>
                <w:sz w:val="18"/>
                <w:szCs w:val="18"/>
                <w:lang w:eastAsia="nl-NL"/>
              </w:rPr>
            </w:pPr>
            <w:r w:rsidRPr="00827F56">
              <w:rPr>
                <w:rFonts w:ascii="Arial" w:hAnsi="Arial" w:cs="Arial"/>
                <w:color w:val="000000"/>
                <w:sz w:val="18"/>
                <w:szCs w:val="18"/>
                <w:lang w:eastAsia="nl-NL"/>
              </w:rPr>
              <w:t>37</w:t>
            </w:r>
          </w:p>
        </w:tc>
        <w:tc>
          <w:tcPr>
            <w:tcW w:w="1535" w:type="dxa"/>
          </w:tcPr>
          <w:p w:rsidR="00964452" w:rsidRPr="00827F56" w:rsidRDefault="00964452" w:rsidP="00EC1EC1">
            <w:pPr>
              <w:pStyle w:val="NoSpacing"/>
              <w:rPr>
                <w:rFonts w:ascii="Arial" w:hAnsi="Arial" w:cs="Arial"/>
                <w:color w:val="000000"/>
                <w:sz w:val="18"/>
                <w:szCs w:val="18"/>
                <w:lang w:eastAsia="nl-NL"/>
              </w:rPr>
            </w:pPr>
            <w:r>
              <w:rPr>
                <w:rFonts w:ascii="Arial" w:hAnsi="Arial" w:cs="Arial"/>
                <w:color w:val="000000"/>
                <w:sz w:val="18"/>
                <w:szCs w:val="18"/>
                <w:lang w:eastAsia="nl-NL"/>
              </w:rPr>
              <w:t>$2,819</w:t>
            </w:r>
          </w:p>
        </w:tc>
        <w:tc>
          <w:tcPr>
            <w:tcW w:w="1535"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$19,731</w:t>
            </w:r>
          </w:p>
        </w:tc>
        <w:tc>
          <w:tcPr>
            <w:tcW w:w="1536"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$11,479</w:t>
            </w:r>
          </w:p>
        </w:tc>
        <w:tc>
          <w:tcPr>
            <w:tcW w:w="1646"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$4,099</w:t>
            </w:r>
          </w:p>
        </w:tc>
      </w:tr>
      <w:tr w:rsidR="00964452" w:rsidRPr="00827F56" w:rsidTr="009C5F11">
        <w:tc>
          <w:tcPr>
            <w:tcW w:w="1535" w:type="dxa"/>
          </w:tcPr>
          <w:p w:rsidR="00964452" w:rsidRPr="00827F56" w:rsidRDefault="00964452" w:rsidP="009C5F11">
            <w:pPr>
              <w:pStyle w:val="NoSpacing"/>
              <w:rPr>
                <w:rFonts w:ascii="Arial" w:hAnsi="Arial" w:cs="Arial"/>
                <w:sz w:val="18"/>
                <w:szCs w:val="18"/>
              </w:rPr>
            </w:pPr>
            <w:r w:rsidRPr="00827F56">
              <w:rPr>
                <w:rFonts w:ascii="Arial" w:hAnsi="Arial" w:cs="Arial"/>
                <w:sz w:val="18"/>
                <w:szCs w:val="18"/>
              </w:rPr>
              <w:t>1992</w:t>
            </w:r>
          </w:p>
        </w:tc>
        <w:tc>
          <w:tcPr>
            <w:tcW w:w="1535" w:type="dxa"/>
          </w:tcPr>
          <w:p w:rsidR="00964452" w:rsidRPr="00827F56" w:rsidRDefault="00964452" w:rsidP="009C5F11">
            <w:pPr>
              <w:pStyle w:val="NoSpacing"/>
              <w:rPr>
                <w:rFonts w:ascii="Arial" w:hAnsi="Arial" w:cs="Arial"/>
                <w:color w:val="000000"/>
                <w:sz w:val="18"/>
                <w:szCs w:val="18"/>
                <w:lang w:eastAsia="nl-NL"/>
              </w:rPr>
            </w:pPr>
            <w:r w:rsidRPr="00827F56">
              <w:rPr>
                <w:rFonts w:ascii="Arial" w:hAnsi="Arial" w:cs="Arial"/>
                <w:color w:val="000000"/>
                <w:sz w:val="18"/>
                <w:szCs w:val="18"/>
                <w:lang w:eastAsia="nl-NL"/>
              </w:rPr>
              <w:t>50</w:t>
            </w:r>
          </w:p>
        </w:tc>
        <w:tc>
          <w:tcPr>
            <w:tcW w:w="1535" w:type="dxa"/>
          </w:tcPr>
          <w:p w:rsidR="00964452" w:rsidRPr="00827F56" w:rsidRDefault="00964452" w:rsidP="00EC1EC1">
            <w:pPr>
              <w:pStyle w:val="NoSpacing"/>
              <w:rPr>
                <w:rFonts w:ascii="Arial" w:hAnsi="Arial" w:cs="Arial"/>
                <w:color w:val="000000"/>
                <w:sz w:val="18"/>
                <w:szCs w:val="18"/>
                <w:lang w:eastAsia="nl-NL"/>
              </w:rPr>
            </w:pPr>
            <w:r>
              <w:rPr>
                <w:rFonts w:ascii="Arial" w:hAnsi="Arial" w:cs="Arial"/>
                <w:color w:val="000000"/>
                <w:sz w:val="18"/>
                <w:szCs w:val="18"/>
                <w:lang w:eastAsia="nl-NL"/>
              </w:rPr>
              <w:t>$</w:t>
            </w:r>
            <w:r w:rsidRPr="00827F56">
              <w:rPr>
                <w:rFonts w:ascii="Arial" w:hAnsi="Arial" w:cs="Arial"/>
                <w:color w:val="000000"/>
                <w:sz w:val="18"/>
                <w:szCs w:val="18"/>
                <w:lang w:eastAsia="nl-NL"/>
              </w:rPr>
              <w:t>4,101</w:t>
            </w:r>
          </w:p>
        </w:tc>
        <w:tc>
          <w:tcPr>
            <w:tcW w:w="1535"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w:t>
            </w:r>
            <w:r w:rsidRPr="00827F56">
              <w:rPr>
                <w:rFonts w:ascii="Arial" w:hAnsi="Arial" w:cs="Arial"/>
                <w:color w:val="000000"/>
                <w:sz w:val="18"/>
                <w:szCs w:val="18"/>
                <w:lang w:eastAsia="nl-NL"/>
              </w:rPr>
              <w:t>19,968</w:t>
            </w:r>
          </w:p>
        </w:tc>
        <w:tc>
          <w:tcPr>
            <w:tcW w:w="1536"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w:t>
            </w:r>
            <w:r w:rsidRPr="00827F56">
              <w:rPr>
                <w:rFonts w:ascii="Arial" w:hAnsi="Arial" w:cs="Arial"/>
                <w:color w:val="000000"/>
                <w:sz w:val="18"/>
                <w:szCs w:val="18"/>
                <w:lang w:eastAsia="nl-NL"/>
              </w:rPr>
              <w:t>11,557</w:t>
            </w:r>
          </w:p>
        </w:tc>
        <w:tc>
          <w:tcPr>
            <w:tcW w:w="1646"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w:t>
            </w:r>
            <w:r w:rsidRPr="00827F56">
              <w:rPr>
                <w:rFonts w:ascii="Arial" w:hAnsi="Arial" w:cs="Arial"/>
                <w:color w:val="000000"/>
                <w:sz w:val="18"/>
                <w:szCs w:val="18"/>
                <w:lang w:eastAsia="nl-NL"/>
              </w:rPr>
              <w:t>3,657</w:t>
            </w:r>
          </w:p>
        </w:tc>
      </w:tr>
      <w:tr w:rsidR="00964452" w:rsidRPr="00827F56" w:rsidTr="009C5F11">
        <w:tc>
          <w:tcPr>
            <w:tcW w:w="1535" w:type="dxa"/>
          </w:tcPr>
          <w:p w:rsidR="00964452" w:rsidRPr="00827F56" w:rsidRDefault="00964452" w:rsidP="009C5F11">
            <w:pPr>
              <w:pStyle w:val="NoSpacing"/>
              <w:rPr>
                <w:rFonts w:ascii="Arial" w:hAnsi="Arial" w:cs="Arial"/>
                <w:sz w:val="18"/>
                <w:szCs w:val="18"/>
              </w:rPr>
            </w:pPr>
            <w:r w:rsidRPr="00827F56">
              <w:rPr>
                <w:rFonts w:ascii="Arial" w:hAnsi="Arial" w:cs="Arial"/>
                <w:sz w:val="18"/>
                <w:szCs w:val="18"/>
              </w:rPr>
              <w:t>1993</w:t>
            </w:r>
          </w:p>
        </w:tc>
        <w:tc>
          <w:tcPr>
            <w:tcW w:w="1535" w:type="dxa"/>
          </w:tcPr>
          <w:p w:rsidR="00964452" w:rsidRPr="00827F56" w:rsidRDefault="00964452" w:rsidP="009C5F11">
            <w:pPr>
              <w:pStyle w:val="NoSpacing"/>
              <w:rPr>
                <w:rFonts w:ascii="Arial" w:hAnsi="Arial" w:cs="Arial"/>
                <w:color w:val="000000"/>
                <w:sz w:val="18"/>
                <w:szCs w:val="18"/>
                <w:lang w:eastAsia="nl-NL"/>
              </w:rPr>
            </w:pPr>
            <w:r w:rsidRPr="00827F56">
              <w:rPr>
                <w:rFonts w:ascii="Arial" w:hAnsi="Arial" w:cs="Arial"/>
                <w:color w:val="000000"/>
                <w:sz w:val="18"/>
                <w:szCs w:val="18"/>
                <w:lang w:eastAsia="nl-NL"/>
              </w:rPr>
              <w:t>62</w:t>
            </w:r>
          </w:p>
        </w:tc>
        <w:tc>
          <w:tcPr>
            <w:tcW w:w="1535" w:type="dxa"/>
          </w:tcPr>
          <w:p w:rsidR="00964452" w:rsidRPr="00827F56" w:rsidRDefault="00964452" w:rsidP="00EC1EC1">
            <w:pPr>
              <w:pStyle w:val="NoSpacing"/>
              <w:rPr>
                <w:rFonts w:ascii="Arial" w:hAnsi="Arial" w:cs="Arial"/>
                <w:color w:val="000000"/>
                <w:sz w:val="18"/>
                <w:szCs w:val="18"/>
                <w:lang w:eastAsia="nl-NL"/>
              </w:rPr>
            </w:pPr>
            <w:r>
              <w:rPr>
                <w:rFonts w:ascii="Arial" w:hAnsi="Arial" w:cs="Arial"/>
                <w:color w:val="000000"/>
                <w:sz w:val="18"/>
                <w:szCs w:val="18"/>
                <w:lang w:eastAsia="nl-NL"/>
              </w:rPr>
              <w:t>$</w:t>
            </w:r>
            <w:r w:rsidRPr="00827F56">
              <w:rPr>
                <w:rFonts w:ascii="Arial" w:hAnsi="Arial" w:cs="Arial"/>
                <w:color w:val="000000"/>
                <w:sz w:val="18"/>
                <w:szCs w:val="18"/>
                <w:lang w:eastAsia="nl-NL"/>
              </w:rPr>
              <w:t>4,460</w:t>
            </w:r>
          </w:p>
        </w:tc>
        <w:tc>
          <w:tcPr>
            <w:tcW w:w="1535"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w:t>
            </w:r>
            <w:r w:rsidRPr="00827F56">
              <w:rPr>
                <w:rFonts w:ascii="Arial" w:hAnsi="Arial" w:cs="Arial"/>
                <w:color w:val="000000"/>
                <w:sz w:val="18"/>
                <w:szCs w:val="18"/>
                <w:lang w:eastAsia="nl-NL"/>
              </w:rPr>
              <w:t>19,816</w:t>
            </w:r>
          </w:p>
        </w:tc>
        <w:tc>
          <w:tcPr>
            <w:tcW w:w="1536"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w:t>
            </w:r>
            <w:r w:rsidRPr="00827F56">
              <w:rPr>
                <w:rFonts w:ascii="Arial" w:hAnsi="Arial" w:cs="Arial"/>
                <w:color w:val="000000"/>
                <w:sz w:val="18"/>
                <w:szCs w:val="18"/>
                <w:lang w:eastAsia="nl-NL"/>
              </w:rPr>
              <w:t>11,366</w:t>
            </w:r>
          </w:p>
        </w:tc>
        <w:tc>
          <w:tcPr>
            <w:tcW w:w="1646"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$3,557</w:t>
            </w:r>
          </w:p>
        </w:tc>
      </w:tr>
      <w:tr w:rsidR="00964452" w:rsidRPr="00827F56" w:rsidTr="009C5F11">
        <w:tc>
          <w:tcPr>
            <w:tcW w:w="1535" w:type="dxa"/>
          </w:tcPr>
          <w:p w:rsidR="00964452" w:rsidRPr="00827F56" w:rsidRDefault="00964452" w:rsidP="009C5F11">
            <w:pPr>
              <w:pStyle w:val="NoSpacing"/>
              <w:rPr>
                <w:rFonts w:ascii="Arial" w:hAnsi="Arial" w:cs="Arial"/>
                <w:sz w:val="18"/>
                <w:szCs w:val="18"/>
              </w:rPr>
            </w:pPr>
            <w:r w:rsidRPr="00827F56">
              <w:rPr>
                <w:rFonts w:ascii="Arial" w:hAnsi="Arial" w:cs="Arial"/>
                <w:sz w:val="18"/>
                <w:szCs w:val="18"/>
              </w:rPr>
              <w:t>1994</w:t>
            </w:r>
          </w:p>
        </w:tc>
        <w:tc>
          <w:tcPr>
            <w:tcW w:w="1535" w:type="dxa"/>
          </w:tcPr>
          <w:p w:rsidR="00964452" w:rsidRPr="00827F56" w:rsidRDefault="00964452" w:rsidP="009C5F11">
            <w:pPr>
              <w:pStyle w:val="NoSpacing"/>
              <w:rPr>
                <w:rFonts w:ascii="Arial" w:hAnsi="Arial" w:cs="Arial"/>
                <w:color w:val="000000"/>
                <w:sz w:val="18"/>
                <w:szCs w:val="18"/>
                <w:lang w:eastAsia="nl-NL"/>
              </w:rPr>
            </w:pPr>
            <w:r w:rsidRPr="00827F56">
              <w:rPr>
                <w:rFonts w:ascii="Arial" w:hAnsi="Arial" w:cs="Arial"/>
                <w:color w:val="000000"/>
                <w:sz w:val="18"/>
                <w:szCs w:val="18"/>
                <w:lang w:eastAsia="nl-NL"/>
              </w:rPr>
              <w:t>81</w:t>
            </w:r>
          </w:p>
        </w:tc>
        <w:tc>
          <w:tcPr>
            <w:tcW w:w="1535" w:type="dxa"/>
          </w:tcPr>
          <w:p w:rsidR="00964452" w:rsidRPr="00827F56" w:rsidRDefault="00964452" w:rsidP="00EC1EC1">
            <w:pPr>
              <w:pStyle w:val="NoSpacing"/>
              <w:rPr>
                <w:rFonts w:ascii="Arial" w:hAnsi="Arial" w:cs="Arial"/>
                <w:color w:val="000000"/>
                <w:sz w:val="18"/>
                <w:szCs w:val="18"/>
                <w:lang w:eastAsia="nl-NL"/>
              </w:rPr>
            </w:pPr>
            <w:r>
              <w:rPr>
                <w:rFonts w:ascii="Arial" w:hAnsi="Arial" w:cs="Arial"/>
                <w:color w:val="000000"/>
                <w:sz w:val="18"/>
                <w:szCs w:val="18"/>
                <w:lang w:eastAsia="nl-NL"/>
              </w:rPr>
              <w:t>$3,016</w:t>
            </w:r>
          </w:p>
        </w:tc>
        <w:tc>
          <w:tcPr>
            <w:tcW w:w="1535"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$20,098</w:t>
            </w:r>
          </w:p>
        </w:tc>
        <w:tc>
          <w:tcPr>
            <w:tcW w:w="1536"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$11,085</w:t>
            </w:r>
          </w:p>
        </w:tc>
        <w:tc>
          <w:tcPr>
            <w:tcW w:w="1646"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w:t>
            </w:r>
            <w:r w:rsidRPr="00827F56">
              <w:rPr>
                <w:rFonts w:ascii="Arial" w:hAnsi="Arial" w:cs="Arial"/>
                <w:color w:val="000000"/>
                <w:sz w:val="18"/>
                <w:szCs w:val="18"/>
                <w:lang w:eastAsia="nl-NL"/>
              </w:rPr>
              <w:t>3,796</w:t>
            </w:r>
          </w:p>
        </w:tc>
      </w:tr>
      <w:tr w:rsidR="00964452" w:rsidRPr="00827F56" w:rsidTr="009C5F11">
        <w:tc>
          <w:tcPr>
            <w:tcW w:w="1535" w:type="dxa"/>
          </w:tcPr>
          <w:p w:rsidR="00964452" w:rsidRPr="00827F56" w:rsidRDefault="00964452" w:rsidP="009C5F11">
            <w:pPr>
              <w:pStyle w:val="NoSpacing"/>
              <w:rPr>
                <w:rFonts w:ascii="Arial" w:hAnsi="Arial" w:cs="Arial"/>
                <w:sz w:val="18"/>
                <w:szCs w:val="18"/>
              </w:rPr>
            </w:pPr>
            <w:r w:rsidRPr="00827F56">
              <w:rPr>
                <w:rFonts w:ascii="Arial" w:hAnsi="Arial" w:cs="Arial"/>
                <w:sz w:val="18"/>
                <w:szCs w:val="18"/>
              </w:rPr>
              <w:t>1995</w:t>
            </w:r>
          </w:p>
        </w:tc>
        <w:tc>
          <w:tcPr>
            <w:tcW w:w="1535" w:type="dxa"/>
          </w:tcPr>
          <w:p w:rsidR="00964452" w:rsidRPr="00827F56" w:rsidRDefault="00964452" w:rsidP="009C5F11">
            <w:pPr>
              <w:pStyle w:val="NoSpacing"/>
              <w:rPr>
                <w:rFonts w:ascii="Arial" w:hAnsi="Arial" w:cs="Arial"/>
                <w:color w:val="000000"/>
                <w:sz w:val="18"/>
                <w:szCs w:val="18"/>
                <w:lang w:eastAsia="nl-NL"/>
              </w:rPr>
            </w:pPr>
            <w:r w:rsidRPr="00827F56">
              <w:rPr>
                <w:rFonts w:ascii="Arial" w:hAnsi="Arial" w:cs="Arial"/>
                <w:color w:val="000000"/>
                <w:sz w:val="18"/>
                <w:szCs w:val="18"/>
                <w:lang w:eastAsia="nl-NL"/>
              </w:rPr>
              <w:t>92</w:t>
            </w:r>
          </w:p>
        </w:tc>
        <w:tc>
          <w:tcPr>
            <w:tcW w:w="1535" w:type="dxa"/>
          </w:tcPr>
          <w:p w:rsidR="00964452" w:rsidRPr="00827F56" w:rsidRDefault="00964452" w:rsidP="00EC1EC1">
            <w:pPr>
              <w:pStyle w:val="NoSpacing"/>
              <w:rPr>
                <w:rFonts w:ascii="Arial" w:hAnsi="Arial" w:cs="Arial"/>
                <w:color w:val="000000"/>
                <w:sz w:val="18"/>
                <w:szCs w:val="18"/>
                <w:lang w:eastAsia="nl-NL"/>
              </w:rPr>
            </w:pPr>
            <w:r>
              <w:rPr>
                <w:rFonts w:ascii="Arial" w:hAnsi="Arial" w:cs="Arial"/>
                <w:color w:val="000000"/>
                <w:sz w:val="18"/>
                <w:szCs w:val="18"/>
                <w:lang w:eastAsia="nl-NL"/>
              </w:rPr>
              <w:t>$</w:t>
            </w:r>
            <w:r w:rsidRPr="00827F56">
              <w:rPr>
                <w:rFonts w:ascii="Arial" w:hAnsi="Arial" w:cs="Arial"/>
                <w:color w:val="000000"/>
                <w:sz w:val="18"/>
                <w:szCs w:val="18"/>
                <w:lang w:eastAsia="nl-NL"/>
              </w:rPr>
              <w:t>1,613</w:t>
            </w:r>
          </w:p>
        </w:tc>
        <w:tc>
          <w:tcPr>
            <w:tcW w:w="1535"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w:t>
            </w:r>
            <w:r w:rsidRPr="00827F56">
              <w:rPr>
                <w:rFonts w:ascii="Arial" w:hAnsi="Arial" w:cs="Arial"/>
                <w:color w:val="000000"/>
                <w:sz w:val="18"/>
                <w:szCs w:val="18"/>
                <w:lang w:eastAsia="nl-NL"/>
              </w:rPr>
              <w:t>20,257</w:t>
            </w:r>
          </w:p>
        </w:tc>
        <w:tc>
          <w:tcPr>
            <w:tcW w:w="1536"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$10,641</w:t>
            </w:r>
          </w:p>
        </w:tc>
        <w:tc>
          <w:tcPr>
            <w:tcW w:w="1646"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$4,064</w:t>
            </w:r>
          </w:p>
        </w:tc>
      </w:tr>
      <w:tr w:rsidR="00964452" w:rsidRPr="00827F56" w:rsidTr="009C5F11">
        <w:tc>
          <w:tcPr>
            <w:tcW w:w="1535" w:type="dxa"/>
          </w:tcPr>
          <w:p w:rsidR="00964452" w:rsidRPr="00827F56" w:rsidRDefault="00964452" w:rsidP="009C5F11">
            <w:pPr>
              <w:pStyle w:val="NoSpacing"/>
              <w:rPr>
                <w:rFonts w:ascii="Arial" w:hAnsi="Arial" w:cs="Arial"/>
                <w:sz w:val="18"/>
                <w:szCs w:val="18"/>
              </w:rPr>
            </w:pPr>
            <w:r w:rsidRPr="00827F56">
              <w:rPr>
                <w:rFonts w:ascii="Arial" w:hAnsi="Arial" w:cs="Arial"/>
                <w:sz w:val="18"/>
                <w:szCs w:val="18"/>
              </w:rPr>
              <w:t>1996</w:t>
            </w:r>
          </w:p>
        </w:tc>
        <w:tc>
          <w:tcPr>
            <w:tcW w:w="1535" w:type="dxa"/>
          </w:tcPr>
          <w:p w:rsidR="00964452" w:rsidRPr="00827F56" w:rsidRDefault="00964452" w:rsidP="009C5F11">
            <w:pPr>
              <w:pStyle w:val="NoSpacing"/>
              <w:rPr>
                <w:rFonts w:ascii="Arial" w:hAnsi="Arial" w:cs="Arial"/>
                <w:color w:val="000000"/>
                <w:sz w:val="18"/>
                <w:szCs w:val="18"/>
                <w:lang w:eastAsia="nl-NL"/>
              </w:rPr>
            </w:pPr>
            <w:r w:rsidRPr="00827F56">
              <w:rPr>
                <w:rFonts w:ascii="Arial" w:hAnsi="Arial" w:cs="Arial"/>
                <w:color w:val="000000"/>
                <w:sz w:val="18"/>
                <w:szCs w:val="18"/>
                <w:lang w:eastAsia="nl-NL"/>
              </w:rPr>
              <w:t>49</w:t>
            </w:r>
          </w:p>
        </w:tc>
        <w:tc>
          <w:tcPr>
            <w:tcW w:w="1535" w:type="dxa"/>
          </w:tcPr>
          <w:p w:rsidR="00964452" w:rsidRPr="00827F56" w:rsidRDefault="00964452" w:rsidP="00EC1EC1">
            <w:pPr>
              <w:pStyle w:val="NoSpacing"/>
              <w:rPr>
                <w:rFonts w:ascii="Arial" w:hAnsi="Arial" w:cs="Arial"/>
                <w:color w:val="000000"/>
                <w:sz w:val="18"/>
                <w:szCs w:val="18"/>
                <w:lang w:eastAsia="nl-NL"/>
              </w:rPr>
            </w:pPr>
            <w:r>
              <w:rPr>
                <w:rFonts w:ascii="Arial" w:hAnsi="Arial" w:cs="Arial"/>
                <w:color w:val="000000"/>
                <w:sz w:val="18"/>
                <w:szCs w:val="18"/>
                <w:lang w:eastAsia="nl-NL"/>
              </w:rPr>
              <w:t>$3,204</w:t>
            </w:r>
          </w:p>
        </w:tc>
        <w:tc>
          <w:tcPr>
            <w:tcW w:w="1535"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w:t>
            </w:r>
            <w:r w:rsidRPr="00827F56">
              <w:rPr>
                <w:rFonts w:ascii="Arial" w:hAnsi="Arial" w:cs="Arial"/>
                <w:color w:val="000000"/>
                <w:sz w:val="18"/>
                <w:szCs w:val="18"/>
                <w:lang w:eastAsia="nl-NL"/>
              </w:rPr>
              <w:t>21,253</w:t>
            </w:r>
          </w:p>
        </w:tc>
        <w:tc>
          <w:tcPr>
            <w:tcW w:w="1536"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$13,817</w:t>
            </w:r>
          </w:p>
        </w:tc>
        <w:tc>
          <w:tcPr>
            <w:tcW w:w="1646"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w:t>
            </w:r>
            <w:r w:rsidRPr="00827F56">
              <w:rPr>
                <w:rFonts w:ascii="Arial" w:hAnsi="Arial" w:cs="Arial"/>
                <w:color w:val="000000"/>
                <w:sz w:val="18"/>
                <w:szCs w:val="18"/>
                <w:lang w:eastAsia="nl-NL"/>
              </w:rPr>
              <w:t>4,328</w:t>
            </w:r>
          </w:p>
        </w:tc>
      </w:tr>
      <w:tr w:rsidR="00964452" w:rsidRPr="00827F56" w:rsidTr="009C5F11">
        <w:tc>
          <w:tcPr>
            <w:tcW w:w="1535" w:type="dxa"/>
          </w:tcPr>
          <w:p w:rsidR="00964452" w:rsidRPr="00827F56" w:rsidRDefault="00964452" w:rsidP="009C5F11">
            <w:pPr>
              <w:pStyle w:val="NoSpacing"/>
              <w:rPr>
                <w:rFonts w:ascii="Arial" w:hAnsi="Arial" w:cs="Arial"/>
                <w:sz w:val="18"/>
                <w:szCs w:val="18"/>
              </w:rPr>
            </w:pPr>
            <w:r w:rsidRPr="00827F56">
              <w:rPr>
                <w:rFonts w:ascii="Arial" w:hAnsi="Arial" w:cs="Arial"/>
                <w:sz w:val="18"/>
                <w:szCs w:val="18"/>
              </w:rPr>
              <w:t>1997</w:t>
            </w:r>
          </w:p>
        </w:tc>
        <w:tc>
          <w:tcPr>
            <w:tcW w:w="1535" w:type="dxa"/>
          </w:tcPr>
          <w:p w:rsidR="00964452" w:rsidRPr="00827F56" w:rsidRDefault="00964452" w:rsidP="009C5F11">
            <w:pPr>
              <w:pStyle w:val="NoSpacing"/>
              <w:rPr>
                <w:rFonts w:ascii="Arial" w:hAnsi="Arial" w:cs="Arial"/>
                <w:color w:val="000000"/>
                <w:sz w:val="18"/>
                <w:szCs w:val="18"/>
                <w:lang w:eastAsia="nl-NL"/>
              </w:rPr>
            </w:pPr>
            <w:r w:rsidRPr="00827F56">
              <w:rPr>
                <w:rFonts w:ascii="Arial" w:hAnsi="Arial" w:cs="Arial"/>
                <w:color w:val="000000"/>
                <w:sz w:val="18"/>
                <w:szCs w:val="18"/>
                <w:lang w:eastAsia="nl-NL"/>
              </w:rPr>
              <w:t>75</w:t>
            </w:r>
          </w:p>
        </w:tc>
        <w:tc>
          <w:tcPr>
            <w:tcW w:w="1535" w:type="dxa"/>
          </w:tcPr>
          <w:p w:rsidR="00964452" w:rsidRPr="00827F56" w:rsidRDefault="00964452" w:rsidP="00EC1EC1">
            <w:pPr>
              <w:pStyle w:val="NoSpacing"/>
              <w:rPr>
                <w:rFonts w:ascii="Arial" w:hAnsi="Arial" w:cs="Arial"/>
                <w:color w:val="000000"/>
                <w:sz w:val="18"/>
                <w:szCs w:val="18"/>
                <w:lang w:eastAsia="nl-NL"/>
              </w:rPr>
            </w:pPr>
            <w:r>
              <w:rPr>
                <w:rFonts w:ascii="Arial" w:hAnsi="Arial" w:cs="Arial"/>
                <w:color w:val="000000"/>
                <w:sz w:val="18"/>
                <w:szCs w:val="18"/>
                <w:lang w:eastAsia="nl-NL"/>
              </w:rPr>
              <w:t>$</w:t>
            </w:r>
            <w:r w:rsidRPr="00827F56">
              <w:rPr>
                <w:rFonts w:ascii="Arial" w:hAnsi="Arial" w:cs="Arial"/>
                <w:color w:val="000000"/>
                <w:sz w:val="18"/>
                <w:szCs w:val="18"/>
                <w:lang w:eastAsia="nl-NL"/>
              </w:rPr>
              <w:t>4,060</w:t>
            </w:r>
          </w:p>
        </w:tc>
        <w:tc>
          <w:tcPr>
            <w:tcW w:w="1535"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w:t>
            </w:r>
            <w:r w:rsidRPr="00827F56">
              <w:rPr>
                <w:rFonts w:ascii="Arial" w:hAnsi="Arial" w:cs="Arial"/>
                <w:color w:val="000000"/>
                <w:sz w:val="18"/>
                <w:szCs w:val="18"/>
                <w:lang w:eastAsia="nl-NL"/>
              </w:rPr>
              <w:t>21,374</w:t>
            </w:r>
          </w:p>
        </w:tc>
        <w:tc>
          <w:tcPr>
            <w:tcW w:w="1536"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$12,703</w:t>
            </w:r>
          </w:p>
        </w:tc>
        <w:tc>
          <w:tcPr>
            <w:tcW w:w="1646"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$4,153</w:t>
            </w:r>
          </w:p>
        </w:tc>
      </w:tr>
      <w:tr w:rsidR="00964452" w:rsidRPr="00827F56" w:rsidTr="009C5F11">
        <w:tc>
          <w:tcPr>
            <w:tcW w:w="1535" w:type="dxa"/>
          </w:tcPr>
          <w:p w:rsidR="00964452" w:rsidRPr="00827F56" w:rsidRDefault="00964452" w:rsidP="009C5F11">
            <w:pPr>
              <w:pStyle w:val="NoSpacing"/>
              <w:rPr>
                <w:rFonts w:ascii="Arial" w:hAnsi="Arial" w:cs="Arial"/>
                <w:sz w:val="18"/>
                <w:szCs w:val="18"/>
              </w:rPr>
            </w:pPr>
            <w:r w:rsidRPr="00827F56">
              <w:rPr>
                <w:rFonts w:ascii="Arial" w:hAnsi="Arial" w:cs="Arial"/>
                <w:sz w:val="18"/>
                <w:szCs w:val="18"/>
              </w:rPr>
              <w:t>1998</w:t>
            </w:r>
          </w:p>
        </w:tc>
        <w:tc>
          <w:tcPr>
            <w:tcW w:w="1535" w:type="dxa"/>
          </w:tcPr>
          <w:p w:rsidR="00964452" w:rsidRPr="00827F56" w:rsidRDefault="00964452" w:rsidP="009C5F11">
            <w:pPr>
              <w:pStyle w:val="NoSpacing"/>
              <w:rPr>
                <w:rFonts w:ascii="Arial" w:hAnsi="Arial" w:cs="Arial"/>
                <w:color w:val="000000"/>
                <w:sz w:val="18"/>
                <w:szCs w:val="18"/>
                <w:lang w:eastAsia="nl-NL"/>
              </w:rPr>
            </w:pPr>
            <w:r w:rsidRPr="00827F56">
              <w:rPr>
                <w:rFonts w:ascii="Arial" w:hAnsi="Arial" w:cs="Arial"/>
                <w:color w:val="000000"/>
                <w:sz w:val="18"/>
                <w:szCs w:val="18"/>
                <w:lang w:eastAsia="nl-NL"/>
              </w:rPr>
              <w:t>92</w:t>
            </w:r>
          </w:p>
        </w:tc>
        <w:tc>
          <w:tcPr>
            <w:tcW w:w="1535" w:type="dxa"/>
          </w:tcPr>
          <w:p w:rsidR="00964452" w:rsidRPr="00827F56" w:rsidRDefault="00964452" w:rsidP="00EC1EC1">
            <w:pPr>
              <w:pStyle w:val="NoSpacing"/>
              <w:rPr>
                <w:rFonts w:ascii="Arial" w:hAnsi="Arial" w:cs="Arial"/>
                <w:color w:val="000000"/>
                <w:sz w:val="18"/>
                <w:szCs w:val="18"/>
                <w:lang w:eastAsia="nl-NL"/>
              </w:rPr>
            </w:pPr>
            <w:r>
              <w:rPr>
                <w:rFonts w:ascii="Arial" w:hAnsi="Arial" w:cs="Arial"/>
                <w:color w:val="000000"/>
                <w:sz w:val="18"/>
                <w:szCs w:val="18"/>
                <w:lang w:eastAsia="nl-NL"/>
              </w:rPr>
              <w:t>$</w:t>
            </w:r>
            <w:r w:rsidRPr="00827F56">
              <w:rPr>
                <w:rFonts w:ascii="Arial" w:hAnsi="Arial" w:cs="Arial"/>
                <w:color w:val="000000"/>
                <w:sz w:val="18"/>
                <w:szCs w:val="18"/>
                <w:lang w:eastAsia="nl-NL"/>
              </w:rPr>
              <w:t>1,871</w:t>
            </w:r>
          </w:p>
        </w:tc>
        <w:tc>
          <w:tcPr>
            <w:tcW w:w="1535"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$21,474</w:t>
            </w:r>
          </w:p>
        </w:tc>
        <w:tc>
          <w:tcPr>
            <w:tcW w:w="1536"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w:t>
            </w:r>
            <w:r w:rsidRPr="00827F56">
              <w:rPr>
                <w:rFonts w:ascii="Arial" w:hAnsi="Arial" w:cs="Arial"/>
                <w:color w:val="000000"/>
                <w:sz w:val="18"/>
                <w:szCs w:val="18"/>
                <w:lang w:eastAsia="nl-NL"/>
              </w:rPr>
              <w:t>11,939</w:t>
            </w:r>
          </w:p>
        </w:tc>
        <w:tc>
          <w:tcPr>
            <w:tcW w:w="1646"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$4,691</w:t>
            </w:r>
          </w:p>
        </w:tc>
      </w:tr>
      <w:tr w:rsidR="00964452" w:rsidRPr="00827F56" w:rsidTr="009C5F11">
        <w:tc>
          <w:tcPr>
            <w:tcW w:w="1535" w:type="dxa"/>
          </w:tcPr>
          <w:p w:rsidR="00964452" w:rsidRPr="00827F56" w:rsidRDefault="00964452" w:rsidP="009C5F11">
            <w:pPr>
              <w:pStyle w:val="NoSpacing"/>
              <w:rPr>
                <w:rFonts w:ascii="Arial" w:hAnsi="Arial" w:cs="Arial"/>
                <w:sz w:val="18"/>
                <w:szCs w:val="18"/>
              </w:rPr>
            </w:pPr>
            <w:r w:rsidRPr="00827F56">
              <w:rPr>
                <w:rFonts w:ascii="Arial" w:hAnsi="Arial" w:cs="Arial"/>
                <w:sz w:val="18"/>
                <w:szCs w:val="18"/>
              </w:rPr>
              <w:t>1999</w:t>
            </w:r>
          </w:p>
        </w:tc>
        <w:tc>
          <w:tcPr>
            <w:tcW w:w="1535" w:type="dxa"/>
          </w:tcPr>
          <w:p w:rsidR="00964452" w:rsidRPr="00827F56" w:rsidRDefault="00964452" w:rsidP="009C5F11">
            <w:pPr>
              <w:pStyle w:val="NoSpacing"/>
              <w:rPr>
                <w:rFonts w:ascii="Arial" w:hAnsi="Arial" w:cs="Arial"/>
                <w:color w:val="000000"/>
                <w:sz w:val="18"/>
                <w:szCs w:val="18"/>
                <w:lang w:eastAsia="nl-NL"/>
              </w:rPr>
            </w:pPr>
            <w:r w:rsidRPr="00827F56">
              <w:rPr>
                <w:rFonts w:ascii="Arial" w:hAnsi="Arial" w:cs="Arial"/>
                <w:color w:val="000000"/>
                <w:sz w:val="18"/>
                <w:szCs w:val="18"/>
                <w:lang w:eastAsia="nl-NL"/>
              </w:rPr>
              <w:t>103</w:t>
            </w:r>
          </w:p>
        </w:tc>
        <w:tc>
          <w:tcPr>
            <w:tcW w:w="1535" w:type="dxa"/>
          </w:tcPr>
          <w:p w:rsidR="00964452" w:rsidRPr="00827F56" w:rsidRDefault="00964452" w:rsidP="00EC1EC1">
            <w:pPr>
              <w:pStyle w:val="NoSpacing"/>
              <w:rPr>
                <w:rFonts w:ascii="Arial" w:hAnsi="Arial" w:cs="Arial"/>
                <w:color w:val="000000"/>
                <w:sz w:val="18"/>
                <w:szCs w:val="18"/>
                <w:lang w:eastAsia="nl-NL"/>
              </w:rPr>
            </w:pPr>
            <w:r>
              <w:rPr>
                <w:rFonts w:ascii="Arial" w:hAnsi="Arial" w:cs="Arial"/>
                <w:color w:val="000000"/>
                <w:sz w:val="18"/>
                <w:szCs w:val="18"/>
                <w:lang w:eastAsia="nl-NL"/>
              </w:rPr>
              <w:t>$</w:t>
            </w:r>
            <w:r w:rsidRPr="00827F56">
              <w:rPr>
                <w:rFonts w:ascii="Arial" w:hAnsi="Arial" w:cs="Arial"/>
                <w:color w:val="000000"/>
                <w:sz w:val="18"/>
                <w:szCs w:val="18"/>
                <w:lang w:eastAsia="nl-NL"/>
              </w:rPr>
              <w:t>2,074</w:t>
            </w:r>
          </w:p>
        </w:tc>
        <w:tc>
          <w:tcPr>
            <w:tcW w:w="1535"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$26,697</w:t>
            </w:r>
          </w:p>
        </w:tc>
        <w:tc>
          <w:tcPr>
            <w:tcW w:w="1536"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$11,876</w:t>
            </w:r>
          </w:p>
        </w:tc>
        <w:tc>
          <w:tcPr>
            <w:tcW w:w="1646"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$4,941</w:t>
            </w:r>
          </w:p>
        </w:tc>
      </w:tr>
      <w:tr w:rsidR="00964452" w:rsidRPr="00827F56" w:rsidTr="009C5F11">
        <w:tc>
          <w:tcPr>
            <w:tcW w:w="1535" w:type="dxa"/>
          </w:tcPr>
          <w:p w:rsidR="00964452" w:rsidRPr="00827F56" w:rsidRDefault="00964452" w:rsidP="009C5F11">
            <w:pPr>
              <w:pStyle w:val="NoSpacing"/>
              <w:rPr>
                <w:rFonts w:ascii="Arial" w:hAnsi="Arial" w:cs="Arial"/>
                <w:sz w:val="18"/>
                <w:szCs w:val="18"/>
              </w:rPr>
            </w:pPr>
            <w:r w:rsidRPr="00827F56">
              <w:rPr>
                <w:rFonts w:ascii="Arial" w:hAnsi="Arial" w:cs="Arial"/>
                <w:sz w:val="18"/>
                <w:szCs w:val="18"/>
              </w:rPr>
              <w:t>2000</w:t>
            </w:r>
          </w:p>
        </w:tc>
        <w:tc>
          <w:tcPr>
            <w:tcW w:w="1535" w:type="dxa"/>
          </w:tcPr>
          <w:p w:rsidR="00964452" w:rsidRPr="00827F56" w:rsidRDefault="00964452" w:rsidP="009C5F11">
            <w:pPr>
              <w:pStyle w:val="NoSpacing"/>
              <w:rPr>
                <w:rFonts w:ascii="Arial" w:hAnsi="Arial" w:cs="Arial"/>
                <w:color w:val="000000"/>
                <w:sz w:val="18"/>
                <w:szCs w:val="18"/>
                <w:lang w:eastAsia="nl-NL"/>
              </w:rPr>
            </w:pPr>
            <w:r w:rsidRPr="00827F56">
              <w:rPr>
                <w:rFonts w:ascii="Arial" w:hAnsi="Arial" w:cs="Arial"/>
                <w:color w:val="000000"/>
                <w:sz w:val="18"/>
                <w:szCs w:val="18"/>
                <w:lang w:eastAsia="nl-NL"/>
              </w:rPr>
              <w:t>117</w:t>
            </w:r>
          </w:p>
        </w:tc>
        <w:tc>
          <w:tcPr>
            <w:tcW w:w="1535"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$2,230</w:t>
            </w:r>
          </w:p>
        </w:tc>
        <w:tc>
          <w:tcPr>
            <w:tcW w:w="1535"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$27,095</w:t>
            </w:r>
          </w:p>
        </w:tc>
        <w:tc>
          <w:tcPr>
            <w:tcW w:w="1536"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$11,733</w:t>
            </w:r>
          </w:p>
        </w:tc>
        <w:tc>
          <w:tcPr>
            <w:tcW w:w="1646"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w:t>
            </w:r>
            <w:r w:rsidRPr="00827F56">
              <w:rPr>
                <w:rFonts w:ascii="Arial" w:hAnsi="Arial" w:cs="Arial"/>
                <w:color w:val="000000"/>
                <w:sz w:val="18"/>
                <w:szCs w:val="18"/>
                <w:lang w:eastAsia="nl-NL"/>
              </w:rPr>
              <w:t>4,767</w:t>
            </w:r>
          </w:p>
        </w:tc>
      </w:tr>
      <w:tr w:rsidR="00964452" w:rsidRPr="00827F56" w:rsidTr="009C5F11">
        <w:tc>
          <w:tcPr>
            <w:tcW w:w="1535" w:type="dxa"/>
          </w:tcPr>
          <w:p w:rsidR="00964452" w:rsidRPr="00827F56" w:rsidRDefault="00964452" w:rsidP="009C5F11">
            <w:pPr>
              <w:pStyle w:val="NoSpacing"/>
              <w:rPr>
                <w:rFonts w:ascii="Arial" w:hAnsi="Arial" w:cs="Arial"/>
                <w:sz w:val="18"/>
                <w:szCs w:val="18"/>
              </w:rPr>
            </w:pPr>
            <w:r w:rsidRPr="00827F56">
              <w:rPr>
                <w:rFonts w:ascii="Arial" w:hAnsi="Arial" w:cs="Arial"/>
                <w:sz w:val="18"/>
                <w:szCs w:val="18"/>
              </w:rPr>
              <w:t>2001</w:t>
            </w:r>
          </w:p>
        </w:tc>
        <w:tc>
          <w:tcPr>
            <w:tcW w:w="1535" w:type="dxa"/>
          </w:tcPr>
          <w:p w:rsidR="00964452" w:rsidRPr="00827F56" w:rsidRDefault="00964452" w:rsidP="009C5F11">
            <w:pPr>
              <w:pStyle w:val="NoSpacing"/>
              <w:rPr>
                <w:rFonts w:ascii="Arial" w:hAnsi="Arial" w:cs="Arial"/>
                <w:color w:val="000000"/>
                <w:sz w:val="18"/>
                <w:szCs w:val="18"/>
                <w:lang w:eastAsia="nl-NL"/>
              </w:rPr>
            </w:pPr>
            <w:r w:rsidRPr="00827F56">
              <w:rPr>
                <w:rFonts w:ascii="Arial" w:hAnsi="Arial" w:cs="Arial"/>
                <w:color w:val="000000"/>
                <w:sz w:val="18"/>
                <w:szCs w:val="18"/>
                <w:lang w:eastAsia="nl-NL"/>
              </w:rPr>
              <w:t>128</w:t>
            </w:r>
          </w:p>
        </w:tc>
        <w:tc>
          <w:tcPr>
            <w:tcW w:w="1535"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$2,075</w:t>
            </w:r>
          </w:p>
        </w:tc>
        <w:tc>
          <w:tcPr>
            <w:tcW w:w="1535"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$26,862</w:t>
            </w:r>
          </w:p>
        </w:tc>
        <w:tc>
          <w:tcPr>
            <w:tcW w:w="1536"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w:t>
            </w:r>
            <w:r w:rsidRPr="00827F56">
              <w:rPr>
                <w:rFonts w:ascii="Arial" w:hAnsi="Arial" w:cs="Arial"/>
                <w:color w:val="000000"/>
                <w:sz w:val="18"/>
                <w:szCs w:val="18"/>
                <w:lang w:eastAsia="nl-NL"/>
              </w:rPr>
              <w:t>11,486</w:t>
            </w:r>
          </w:p>
        </w:tc>
        <w:tc>
          <w:tcPr>
            <w:tcW w:w="1646"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w:t>
            </w:r>
            <w:r w:rsidRPr="00827F56">
              <w:rPr>
                <w:rFonts w:ascii="Arial" w:hAnsi="Arial" w:cs="Arial"/>
                <w:color w:val="000000"/>
                <w:sz w:val="18"/>
                <w:szCs w:val="18"/>
                <w:lang w:eastAsia="nl-NL"/>
              </w:rPr>
              <w:t>4,955</w:t>
            </w:r>
          </w:p>
        </w:tc>
      </w:tr>
      <w:tr w:rsidR="00964452" w:rsidRPr="00827F56" w:rsidTr="009C5F11">
        <w:tc>
          <w:tcPr>
            <w:tcW w:w="1535" w:type="dxa"/>
          </w:tcPr>
          <w:p w:rsidR="00964452" w:rsidRPr="00827F56" w:rsidRDefault="00964452" w:rsidP="009C5F11">
            <w:pPr>
              <w:pStyle w:val="NoSpacing"/>
              <w:rPr>
                <w:rFonts w:ascii="Arial" w:hAnsi="Arial" w:cs="Arial"/>
                <w:sz w:val="18"/>
                <w:szCs w:val="18"/>
              </w:rPr>
            </w:pPr>
            <w:r w:rsidRPr="00827F56">
              <w:rPr>
                <w:rFonts w:ascii="Arial" w:hAnsi="Arial" w:cs="Arial"/>
                <w:sz w:val="18"/>
                <w:szCs w:val="18"/>
              </w:rPr>
              <w:t>2002</w:t>
            </w:r>
          </w:p>
        </w:tc>
        <w:tc>
          <w:tcPr>
            <w:tcW w:w="1535" w:type="dxa"/>
          </w:tcPr>
          <w:p w:rsidR="00964452" w:rsidRPr="00827F56" w:rsidRDefault="00964452" w:rsidP="009C5F11">
            <w:pPr>
              <w:pStyle w:val="NoSpacing"/>
              <w:rPr>
                <w:rFonts w:ascii="Arial" w:hAnsi="Arial" w:cs="Arial"/>
                <w:color w:val="000000"/>
                <w:sz w:val="18"/>
                <w:szCs w:val="18"/>
                <w:lang w:eastAsia="nl-NL"/>
              </w:rPr>
            </w:pPr>
            <w:r w:rsidRPr="00827F56">
              <w:rPr>
                <w:rFonts w:ascii="Arial" w:hAnsi="Arial" w:cs="Arial"/>
                <w:color w:val="000000"/>
                <w:sz w:val="18"/>
                <w:szCs w:val="18"/>
                <w:lang w:eastAsia="nl-NL"/>
              </w:rPr>
              <w:t>132</w:t>
            </w:r>
          </w:p>
        </w:tc>
        <w:tc>
          <w:tcPr>
            <w:tcW w:w="1535"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w:t>
            </w:r>
            <w:r w:rsidRPr="00827F56">
              <w:rPr>
                <w:rFonts w:ascii="Arial" w:hAnsi="Arial" w:cs="Arial"/>
                <w:color w:val="000000"/>
                <w:sz w:val="18"/>
                <w:szCs w:val="18"/>
                <w:lang w:eastAsia="nl-NL"/>
              </w:rPr>
              <w:t>1,683</w:t>
            </w:r>
          </w:p>
        </w:tc>
        <w:tc>
          <w:tcPr>
            <w:tcW w:w="1535"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$26,095</w:t>
            </w:r>
          </w:p>
        </w:tc>
        <w:tc>
          <w:tcPr>
            <w:tcW w:w="1536"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w:t>
            </w:r>
            <w:r w:rsidRPr="00827F56">
              <w:rPr>
                <w:rFonts w:ascii="Arial" w:hAnsi="Arial" w:cs="Arial"/>
                <w:color w:val="000000"/>
                <w:sz w:val="18"/>
                <w:szCs w:val="18"/>
                <w:lang w:eastAsia="nl-NL"/>
              </w:rPr>
              <w:t>11,427</w:t>
            </w:r>
          </w:p>
        </w:tc>
        <w:tc>
          <w:tcPr>
            <w:tcW w:w="1646"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$5,081</w:t>
            </w:r>
          </w:p>
        </w:tc>
      </w:tr>
      <w:tr w:rsidR="00964452" w:rsidRPr="00827F56" w:rsidTr="009C5F11">
        <w:tc>
          <w:tcPr>
            <w:tcW w:w="1535" w:type="dxa"/>
          </w:tcPr>
          <w:p w:rsidR="00964452" w:rsidRPr="00827F56" w:rsidRDefault="00964452" w:rsidP="009C5F11">
            <w:pPr>
              <w:pStyle w:val="NoSpacing"/>
              <w:rPr>
                <w:rFonts w:ascii="Arial" w:hAnsi="Arial" w:cs="Arial"/>
                <w:sz w:val="18"/>
                <w:szCs w:val="18"/>
              </w:rPr>
            </w:pPr>
            <w:r w:rsidRPr="00827F56">
              <w:rPr>
                <w:rFonts w:ascii="Arial" w:hAnsi="Arial" w:cs="Arial"/>
                <w:sz w:val="18"/>
                <w:szCs w:val="18"/>
              </w:rPr>
              <w:t>2003</w:t>
            </w:r>
          </w:p>
        </w:tc>
        <w:tc>
          <w:tcPr>
            <w:tcW w:w="1535" w:type="dxa"/>
          </w:tcPr>
          <w:p w:rsidR="00964452" w:rsidRPr="00827F56" w:rsidRDefault="00964452" w:rsidP="009C5F11">
            <w:pPr>
              <w:pStyle w:val="NoSpacing"/>
              <w:rPr>
                <w:rFonts w:ascii="Arial" w:hAnsi="Arial" w:cs="Arial"/>
                <w:color w:val="000000"/>
                <w:sz w:val="18"/>
                <w:szCs w:val="18"/>
                <w:lang w:eastAsia="nl-NL"/>
              </w:rPr>
            </w:pPr>
            <w:r w:rsidRPr="00827F56">
              <w:rPr>
                <w:rFonts w:ascii="Arial" w:hAnsi="Arial" w:cs="Arial"/>
                <w:color w:val="000000"/>
                <w:sz w:val="18"/>
                <w:szCs w:val="18"/>
                <w:lang w:eastAsia="nl-NL"/>
              </w:rPr>
              <w:t>132</w:t>
            </w:r>
          </w:p>
        </w:tc>
        <w:tc>
          <w:tcPr>
            <w:tcW w:w="1535"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$2,371</w:t>
            </w:r>
          </w:p>
        </w:tc>
        <w:tc>
          <w:tcPr>
            <w:tcW w:w="1535"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$26,478</w:t>
            </w:r>
          </w:p>
        </w:tc>
        <w:tc>
          <w:tcPr>
            <w:tcW w:w="1536"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$11,550</w:t>
            </w:r>
          </w:p>
        </w:tc>
        <w:tc>
          <w:tcPr>
            <w:tcW w:w="1646"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w:t>
            </w:r>
            <w:r w:rsidRPr="00827F56">
              <w:rPr>
                <w:rFonts w:ascii="Arial" w:hAnsi="Arial" w:cs="Arial"/>
                <w:color w:val="000000"/>
                <w:sz w:val="18"/>
                <w:szCs w:val="18"/>
                <w:lang w:eastAsia="nl-NL"/>
              </w:rPr>
              <w:t>4,971</w:t>
            </w:r>
          </w:p>
        </w:tc>
      </w:tr>
      <w:tr w:rsidR="00964452" w:rsidRPr="00827F56" w:rsidTr="009C5F11">
        <w:tc>
          <w:tcPr>
            <w:tcW w:w="1535" w:type="dxa"/>
          </w:tcPr>
          <w:p w:rsidR="00964452" w:rsidRPr="00827F56" w:rsidRDefault="00964452" w:rsidP="009C5F11">
            <w:pPr>
              <w:pStyle w:val="NoSpacing"/>
              <w:rPr>
                <w:rFonts w:ascii="Arial" w:hAnsi="Arial" w:cs="Arial"/>
                <w:sz w:val="18"/>
                <w:szCs w:val="18"/>
              </w:rPr>
            </w:pPr>
            <w:r w:rsidRPr="00827F56">
              <w:rPr>
                <w:rFonts w:ascii="Arial" w:hAnsi="Arial" w:cs="Arial"/>
                <w:sz w:val="18"/>
                <w:szCs w:val="18"/>
              </w:rPr>
              <w:t>2004</w:t>
            </w:r>
          </w:p>
        </w:tc>
        <w:tc>
          <w:tcPr>
            <w:tcW w:w="1535" w:type="dxa"/>
          </w:tcPr>
          <w:p w:rsidR="00964452" w:rsidRPr="00827F56" w:rsidRDefault="00964452" w:rsidP="009C5F11">
            <w:pPr>
              <w:pStyle w:val="NoSpacing"/>
              <w:rPr>
                <w:rFonts w:ascii="Arial" w:hAnsi="Arial" w:cs="Arial"/>
                <w:color w:val="000000"/>
                <w:sz w:val="18"/>
                <w:szCs w:val="18"/>
                <w:lang w:eastAsia="nl-NL"/>
              </w:rPr>
            </w:pPr>
            <w:r w:rsidRPr="00827F56">
              <w:rPr>
                <w:rFonts w:ascii="Arial" w:hAnsi="Arial" w:cs="Arial"/>
                <w:color w:val="000000"/>
                <w:sz w:val="18"/>
                <w:szCs w:val="18"/>
                <w:lang w:eastAsia="nl-NL"/>
              </w:rPr>
              <w:t>132</w:t>
            </w:r>
          </w:p>
        </w:tc>
        <w:tc>
          <w:tcPr>
            <w:tcW w:w="1535"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$1,849</w:t>
            </w:r>
          </w:p>
        </w:tc>
        <w:tc>
          <w:tcPr>
            <w:tcW w:w="1535"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$26,675</w:t>
            </w:r>
          </w:p>
        </w:tc>
        <w:tc>
          <w:tcPr>
            <w:tcW w:w="1536"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w:t>
            </w:r>
            <w:r w:rsidRPr="00827F56">
              <w:rPr>
                <w:rFonts w:ascii="Arial" w:hAnsi="Arial" w:cs="Arial"/>
                <w:color w:val="000000"/>
                <w:sz w:val="18"/>
                <w:szCs w:val="18"/>
                <w:lang w:eastAsia="nl-NL"/>
              </w:rPr>
              <w:t>11,639</w:t>
            </w:r>
          </w:p>
        </w:tc>
        <w:tc>
          <w:tcPr>
            <w:tcW w:w="1646"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$5,067</w:t>
            </w:r>
          </w:p>
        </w:tc>
      </w:tr>
      <w:tr w:rsidR="00964452" w:rsidRPr="00827F56" w:rsidTr="009C5F11">
        <w:tc>
          <w:tcPr>
            <w:tcW w:w="1535" w:type="dxa"/>
          </w:tcPr>
          <w:p w:rsidR="00964452" w:rsidRPr="00827F56" w:rsidRDefault="00964452" w:rsidP="009C5F11">
            <w:pPr>
              <w:pStyle w:val="NoSpacing"/>
              <w:rPr>
                <w:rFonts w:ascii="Arial" w:hAnsi="Arial" w:cs="Arial"/>
                <w:sz w:val="18"/>
                <w:szCs w:val="18"/>
              </w:rPr>
            </w:pPr>
            <w:r w:rsidRPr="00827F56">
              <w:rPr>
                <w:rFonts w:ascii="Arial" w:hAnsi="Arial" w:cs="Arial"/>
                <w:sz w:val="18"/>
                <w:szCs w:val="18"/>
              </w:rPr>
              <w:t>2005</w:t>
            </w:r>
          </w:p>
        </w:tc>
        <w:tc>
          <w:tcPr>
            <w:tcW w:w="1535" w:type="dxa"/>
          </w:tcPr>
          <w:p w:rsidR="00964452" w:rsidRPr="00827F56" w:rsidRDefault="00964452" w:rsidP="009C5F11">
            <w:pPr>
              <w:pStyle w:val="NoSpacing"/>
              <w:rPr>
                <w:rFonts w:ascii="Arial" w:hAnsi="Arial" w:cs="Arial"/>
                <w:color w:val="000000"/>
                <w:sz w:val="18"/>
                <w:szCs w:val="18"/>
                <w:lang w:eastAsia="nl-NL"/>
              </w:rPr>
            </w:pPr>
            <w:r w:rsidRPr="00827F56">
              <w:rPr>
                <w:rFonts w:ascii="Arial" w:hAnsi="Arial" w:cs="Arial"/>
                <w:color w:val="000000"/>
                <w:sz w:val="18"/>
                <w:szCs w:val="18"/>
                <w:lang w:eastAsia="nl-NL"/>
              </w:rPr>
              <w:t>126</w:t>
            </w:r>
          </w:p>
        </w:tc>
        <w:tc>
          <w:tcPr>
            <w:tcW w:w="1535"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$2,434</w:t>
            </w:r>
          </w:p>
        </w:tc>
        <w:tc>
          <w:tcPr>
            <w:tcW w:w="1535"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w:t>
            </w:r>
            <w:r w:rsidRPr="00827F56">
              <w:rPr>
                <w:rFonts w:ascii="Arial" w:hAnsi="Arial" w:cs="Arial"/>
                <w:color w:val="000000"/>
                <w:sz w:val="18"/>
                <w:szCs w:val="18"/>
                <w:lang w:eastAsia="nl-NL"/>
              </w:rPr>
              <w:t>26,475</w:t>
            </w:r>
          </w:p>
        </w:tc>
        <w:tc>
          <w:tcPr>
            <w:tcW w:w="1536"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$11,968</w:t>
            </w:r>
          </w:p>
        </w:tc>
        <w:tc>
          <w:tcPr>
            <w:tcW w:w="1646"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$4,842</w:t>
            </w:r>
          </w:p>
        </w:tc>
      </w:tr>
      <w:tr w:rsidR="00964452" w:rsidRPr="00827F56" w:rsidTr="009C5F11">
        <w:tc>
          <w:tcPr>
            <w:tcW w:w="1535" w:type="dxa"/>
          </w:tcPr>
          <w:p w:rsidR="00964452" w:rsidRPr="00827F56" w:rsidRDefault="00964452" w:rsidP="009C5F11">
            <w:pPr>
              <w:pStyle w:val="NoSpacing"/>
              <w:rPr>
                <w:rFonts w:ascii="Arial" w:hAnsi="Arial" w:cs="Arial"/>
                <w:sz w:val="18"/>
                <w:szCs w:val="18"/>
              </w:rPr>
            </w:pPr>
            <w:r w:rsidRPr="00827F56">
              <w:rPr>
                <w:rFonts w:ascii="Arial" w:hAnsi="Arial" w:cs="Arial"/>
                <w:sz w:val="18"/>
                <w:szCs w:val="18"/>
              </w:rPr>
              <w:t>2006</w:t>
            </w:r>
          </w:p>
        </w:tc>
        <w:tc>
          <w:tcPr>
            <w:tcW w:w="1535" w:type="dxa"/>
          </w:tcPr>
          <w:p w:rsidR="00964452" w:rsidRPr="00827F56" w:rsidRDefault="00964452" w:rsidP="009C5F11">
            <w:pPr>
              <w:pStyle w:val="NoSpacing"/>
              <w:rPr>
                <w:rFonts w:ascii="Arial" w:hAnsi="Arial" w:cs="Arial"/>
                <w:color w:val="000000"/>
                <w:sz w:val="18"/>
                <w:szCs w:val="18"/>
                <w:lang w:eastAsia="nl-NL"/>
              </w:rPr>
            </w:pPr>
            <w:r w:rsidRPr="00827F56">
              <w:rPr>
                <w:rFonts w:ascii="Arial" w:hAnsi="Arial" w:cs="Arial"/>
                <w:color w:val="000000"/>
                <w:sz w:val="18"/>
                <w:szCs w:val="18"/>
                <w:lang w:eastAsia="nl-NL"/>
              </w:rPr>
              <w:t>119</w:t>
            </w:r>
          </w:p>
        </w:tc>
        <w:tc>
          <w:tcPr>
            <w:tcW w:w="1535"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w:t>
            </w:r>
            <w:r w:rsidRPr="00827F56">
              <w:rPr>
                <w:rFonts w:ascii="Arial" w:hAnsi="Arial" w:cs="Arial"/>
                <w:color w:val="000000"/>
                <w:sz w:val="18"/>
                <w:szCs w:val="18"/>
                <w:lang w:eastAsia="nl-NL"/>
              </w:rPr>
              <w:t>2,425</w:t>
            </w:r>
          </w:p>
        </w:tc>
        <w:tc>
          <w:tcPr>
            <w:tcW w:w="1535"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w:t>
            </w:r>
            <w:r w:rsidRPr="00827F56">
              <w:rPr>
                <w:rFonts w:ascii="Arial" w:hAnsi="Arial" w:cs="Arial"/>
                <w:color w:val="000000"/>
                <w:sz w:val="18"/>
                <w:szCs w:val="18"/>
                <w:lang w:eastAsia="nl-NL"/>
              </w:rPr>
              <w:t>26,185</w:t>
            </w:r>
          </w:p>
        </w:tc>
        <w:tc>
          <w:tcPr>
            <w:tcW w:w="1536"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$12,255</w:t>
            </w:r>
          </w:p>
        </w:tc>
        <w:tc>
          <w:tcPr>
            <w:tcW w:w="1646"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w:t>
            </w:r>
            <w:r w:rsidRPr="00827F56">
              <w:rPr>
                <w:rFonts w:ascii="Arial" w:hAnsi="Arial" w:cs="Arial"/>
                <w:color w:val="000000"/>
                <w:sz w:val="18"/>
                <w:szCs w:val="18"/>
                <w:lang w:eastAsia="nl-NL"/>
              </w:rPr>
              <w:t>4,711</w:t>
            </w:r>
          </w:p>
        </w:tc>
      </w:tr>
      <w:tr w:rsidR="00964452" w:rsidRPr="00827F56" w:rsidTr="009C5F11">
        <w:tc>
          <w:tcPr>
            <w:tcW w:w="1535" w:type="dxa"/>
          </w:tcPr>
          <w:p w:rsidR="00964452" w:rsidRPr="00827F56" w:rsidRDefault="00964452" w:rsidP="009C5F11">
            <w:pPr>
              <w:pStyle w:val="NoSpacing"/>
              <w:rPr>
                <w:rFonts w:ascii="Arial" w:hAnsi="Arial" w:cs="Arial"/>
                <w:sz w:val="18"/>
                <w:szCs w:val="18"/>
              </w:rPr>
            </w:pPr>
            <w:r w:rsidRPr="00827F56">
              <w:rPr>
                <w:rFonts w:ascii="Arial" w:hAnsi="Arial" w:cs="Arial"/>
                <w:sz w:val="18"/>
                <w:szCs w:val="18"/>
              </w:rPr>
              <w:t>2007</w:t>
            </w:r>
          </w:p>
        </w:tc>
        <w:tc>
          <w:tcPr>
            <w:tcW w:w="1535" w:type="dxa"/>
          </w:tcPr>
          <w:p w:rsidR="00964452" w:rsidRPr="00827F56" w:rsidRDefault="00964452" w:rsidP="009C5F11">
            <w:pPr>
              <w:pStyle w:val="NoSpacing"/>
              <w:rPr>
                <w:rFonts w:ascii="Arial" w:hAnsi="Arial" w:cs="Arial"/>
                <w:color w:val="000000"/>
                <w:sz w:val="18"/>
                <w:szCs w:val="18"/>
                <w:lang w:eastAsia="nl-NL"/>
              </w:rPr>
            </w:pPr>
            <w:r w:rsidRPr="00827F56">
              <w:rPr>
                <w:rFonts w:ascii="Arial" w:hAnsi="Arial" w:cs="Arial"/>
                <w:color w:val="000000"/>
                <w:sz w:val="18"/>
                <w:szCs w:val="18"/>
                <w:lang w:eastAsia="nl-NL"/>
              </w:rPr>
              <w:t>122</w:t>
            </w:r>
          </w:p>
        </w:tc>
        <w:tc>
          <w:tcPr>
            <w:tcW w:w="1535"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$2,535</w:t>
            </w:r>
          </w:p>
        </w:tc>
        <w:tc>
          <w:tcPr>
            <w:tcW w:w="1535"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w:t>
            </w:r>
            <w:r w:rsidRPr="00827F56">
              <w:rPr>
                <w:rFonts w:ascii="Arial" w:hAnsi="Arial" w:cs="Arial"/>
                <w:color w:val="000000"/>
                <w:sz w:val="18"/>
                <w:szCs w:val="18"/>
                <w:lang w:eastAsia="nl-NL"/>
              </w:rPr>
              <w:t>26,045</w:t>
            </w:r>
          </w:p>
        </w:tc>
        <w:tc>
          <w:tcPr>
            <w:tcW w:w="1536"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$12,307</w:t>
            </w:r>
          </w:p>
        </w:tc>
        <w:tc>
          <w:tcPr>
            <w:tcW w:w="1646"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w:t>
            </w:r>
            <w:r w:rsidRPr="00827F56">
              <w:rPr>
                <w:rFonts w:ascii="Arial" w:hAnsi="Arial" w:cs="Arial"/>
                <w:color w:val="000000"/>
                <w:sz w:val="18"/>
                <w:szCs w:val="18"/>
                <w:lang w:eastAsia="nl-NL"/>
              </w:rPr>
              <w:t>4,718</w:t>
            </w:r>
          </w:p>
        </w:tc>
      </w:tr>
      <w:tr w:rsidR="00964452" w:rsidRPr="00827F56" w:rsidTr="009C5F11">
        <w:tc>
          <w:tcPr>
            <w:tcW w:w="1535" w:type="dxa"/>
          </w:tcPr>
          <w:p w:rsidR="00964452" w:rsidRPr="00827F56" w:rsidRDefault="00964452" w:rsidP="009C5F11">
            <w:pPr>
              <w:pStyle w:val="NoSpacing"/>
              <w:rPr>
                <w:rFonts w:ascii="Arial" w:hAnsi="Arial" w:cs="Arial"/>
                <w:sz w:val="18"/>
                <w:szCs w:val="18"/>
              </w:rPr>
            </w:pPr>
            <w:r w:rsidRPr="00827F56">
              <w:rPr>
                <w:rFonts w:ascii="Arial" w:hAnsi="Arial" w:cs="Arial"/>
                <w:sz w:val="18"/>
                <w:szCs w:val="18"/>
              </w:rPr>
              <w:t>2008</w:t>
            </w:r>
          </w:p>
        </w:tc>
        <w:tc>
          <w:tcPr>
            <w:tcW w:w="1535" w:type="dxa"/>
          </w:tcPr>
          <w:p w:rsidR="00964452" w:rsidRPr="00827F56" w:rsidRDefault="00964452" w:rsidP="009C5F11">
            <w:pPr>
              <w:pStyle w:val="NoSpacing"/>
              <w:rPr>
                <w:rFonts w:ascii="Arial" w:hAnsi="Arial" w:cs="Arial"/>
                <w:color w:val="000000"/>
                <w:sz w:val="18"/>
                <w:szCs w:val="18"/>
                <w:lang w:eastAsia="nl-NL"/>
              </w:rPr>
            </w:pPr>
            <w:r w:rsidRPr="00827F56">
              <w:rPr>
                <w:rFonts w:ascii="Arial" w:hAnsi="Arial" w:cs="Arial"/>
                <w:color w:val="000000"/>
                <w:sz w:val="18"/>
                <w:szCs w:val="18"/>
                <w:lang w:eastAsia="nl-NL"/>
              </w:rPr>
              <w:t>103</w:t>
            </w:r>
          </w:p>
        </w:tc>
        <w:tc>
          <w:tcPr>
            <w:tcW w:w="1535"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$2,679</w:t>
            </w:r>
          </w:p>
        </w:tc>
        <w:tc>
          <w:tcPr>
            <w:tcW w:w="1535"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w:t>
            </w:r>
            <w:r w:rsidRPr="00827F56">
              <w:rPr>
                <w:rFonts w:ascii="Arial" w:hAnsi="Arial" w:cs="Arial"/>
                <w:color w:val="000000"/>
                <w:sz w:val="18"/>
                <w:szCs w:val="18"/>
                <w:lang w:eastAsia="nl-NL"/>
              </w:rPr>
              <w:t>26,462</w:t>
            </w:r>
          </w:p>
        </w:tc>
        <w:tc>
          <w:tcPr>
            <w:tcW w:w="1536"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$12,563</w:t>
            </w:r>
          </w:p>
        </w:tc>
        <w:tc>
          <w:tcPr>
            <w:tcW w:w="1646" w:type="dxa"/>
          </w:tcPr>
          <w:p w:rsidR="00964452" w:rsidRPr="00827F56" w:rsidRDefault="00964452" w:rsidP="0065014A">
            <w:pPr>
              <w:pStyle w:val="NoSpacing"/>
              <w:rPr>
                <w:rFonts w:ascii="Arial" w:hAnsi="Arial" w:cs="Arial"/>
                <w:color w:val="000000"/>
                <w:sz w:val="18"/>
                <w:szCs w:val="18"/>
                <w:lang w:eastAsia="nl-NL"/>
              </w:rPr>
            </w:pPr>
            <w:r>
              <w:rPr>
                <w:rFonts w:ascii="Arial" w:hAnsi="Arial" w:cs="Arial"/>
                <w:color w:val="000000"/>
                <w:sz w:val="18"/>
                <w:szCs w:val="18"/>
                <w:lang w:eastAsia="nl-NL"/>
              </w:rPr>
              <w:t>$</w:t>
            </w:r>
            <w:r w:rsidRPr="00827F56">
              <w:rPr>
                <w:rFonts w:ascii="Arial" w:hAnsi="Arial" w:cs="Arial"/>
                <w:color w:val="000000"/>
                <w:sz w:val="18"/>
                <w:szCs w:val="18"/>
                <w:lang w:eastAsia="nl-NL"/>
              </w:rPr>
              <w:t>4,675</w:t>
            </w:r>
          </w:p>
        </w:tc>
      </w:tr>
    </w:tbl>
    <w:p w:rsidR="00964452" w:rsidRDefault="00964452" w:rsidP="00D5650A">
      <w:pPr>
        <w:spacing w:line="360" w:lineRule="auto"/>
      </w:pPr>
    </w:p>
    <w:p w:rsidR="00964452" w:rsidRDefault="00964452" w:rsidP="00EC1EC1">
      <w:pPr>
        <w:pStyle w:val="Heading1"/>
        <w:spacing w:line="360" w:lineRule="auto"/>
      </w:pPr>
      <w:bookmarkStart w:id="54" w:name="_Toc299481910"/>
      <w:r>
        <w:t>Appendix 3</w:t>
      </w:r>
      <w:bookmarkEnd w:id="54"/>
    </w:p>
    <w:p w:rsidR="00964452" w:rsidRPr="00D44A79" w:rsidRDefault="00964452" w:rsidP="00D44A79">
      <w:pPr>
        <w:rPr>
          <w:u w:val="single"/>
        </w:rPr>
      </w:pPr>
      <w:r w:rsidRPr="00D44A79">
        <w:rPr>
          <w:u w:val="single"/>
        </w:rPr>
        <w:t xml:space="preserve">Positive outliers and extremes of figure 9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1533"/>
        <w:gridCol w:w="1528"/>
        <w:gridCol w:w="1637"/>
        <w:gridCol w:w="1530"/>
        <w:gridCol w:w="1534"/>
      </w:tblGrid>
      <w:tr w:rsidR="00964452" w:rsidRPr="00407D29" w:rsidTr="002638B5">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344</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 xml:space="preserve">Madagascar                    </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697</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 xml:space="preserve">Thailand                      </w:t>
            </w:r>
          </w:p>
        </w:tc>
        <w:tc>
          <w:tcPr>
            <w:tcW w:w="1536"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1317</w:t>
            </w:r>
          </w:p>
        </w:tc>
        <w:tc>
          <w:tcPr>
            <w:tcW w:w="1536"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 xml:space="preserve">Sao Tome and Principe         </w:t>
            </w:r>
          </w:p>
        </w:tc>
      </w:tr>
      <w:tr w:rsidR="00964452" w:rsidRPr="00407D29" w:rsidTr="002638B5">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355</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 xml:space="preserve">Nicaragua                     </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701</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 xml:space="preserve">Uganda                        </w:t>
            </w:r>
          </w:p>
        </w:tc>
        <w:tc>
          <w:tcPr>
            <w:tcW w:w="1536"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1328</w:t>
            </w:r>
          </w:p>
        </w:tc>
        <w:tc>
          <w:tcPr>
            <w:tcW w:w="1536"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St. Vincent and the Grenadines</w:t>
            </w:r>
          </w:p>
        </w:tc>
      </w:tr>
      <w:tr w:rsidR="00964452" w:rsidRPr="00407D29" w:rsidTr="002638B5">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369</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 xml:space="preserve">South Africa                  </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1250</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 xml:space="preserve">Ethiopia(excludes Eritrea)    </w:t>
            </w:r>
          </w:p>
        </w:tc>
        <w:tc>
          <w:tcPr>
            <w:tcW w:w="1536"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1720</w:t>
            </w:r>
          </w:p>
        </w:tc>
        <w:tc>
          <w:tcPr>
            <w:tcW w:w="1536"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 xml:space="preserve">Belize                        </w:t>
            </w:r>
          </w:p>
        </w:tc>
      </w:tr>
      <w:tr w:rsidR="00964452" w:rsidRPr="00407D29" w:rsidTr="002638B5">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382</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 xml:space="preserve">Uganda                        </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1254</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 xml:space="preserve">Gabon                         </w:t>
            </w:r>
          </w:p>
        </w:tc>
        <w:tc>
          <w:tcPr>
            <w:tcW w:w="1536"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1763</w:t>
            </w:r>
          </w:p>
        </w:tc>
        <w:tc>
          <w:tcPr>
            <w:tcW w:w="1536"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 xml:space="preserve">Madagascar                    </w:t>
            </w:r>
          </w:p>
        </w:tc>
      </w:tr>
      <w:tr w:rsidR="00964452" w:rsidRPr="00407D29" w:rsidTr="002638B5">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615</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 xml:space="preserve">Bolivia                       </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1278</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 xml:space="preserve">Kyrgyz Republic               </w:t>
            </w:r>
          </w:p>
        </w:tc>
        <w:tc>
          <w:tcPr>
            <w:tcW w:w="1536"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1777</w:t>
            </w:r>
          </w:p>
        </w:tc>
        <w:tc>
          <w:tcPr>
            <w:tcW w:w="1536"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 xml:space="preserve">Panama                        </w:t>
            </w:r>
          </w:p>
        </w:tc>
      </w:tr>
      <w:tr w:rsidR="00964452" w:rsidRPr="00407D29" w:rsidTr="002638B5">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641</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 xml:space="preserve">Honduras                      </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1280</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 xml:space="preserve">Lebanon                       </w:t>
            </w:r>
          </w:p>
        </w:tc>
        <w:tc>
          <w:tcPr>
            <w:tcW w:w="1536"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1785</w:t>
            </w:r>
          </w:p>
        </w:tc>
        <w:tc>
          <w:tcPr>
            <w:tcW w:w="1536"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 xml:space="preserve">Rwanda                        </w:t>
            </w:r>
          </w:p>
        </w:tc>
      </w:tr>
      <w:tr w:rsidR="00964452" w:rsidRPr="00407D29" w:rsidTr="002638B5">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646</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 xml:space="preserve">Indonesia                     </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1285</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 xml:space="preserve">Madagascar                    </w:t>
            </w:r>
          </w:p>
        </w:tc>
        <w:tc>
          <w:tcPr>
            <w:tcW w:w="1536"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1788</w:t>
            </w:r>
          </w:p>
        </w:tc>
        <w:tc>
          <w:tcPr>
            <w:tcW w:w="1536"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 xml:space="preserve">Senegal                       </w:t>
            </w:r>
          </w:p>
        </w:tc>
      </w:tr>
      <w:tr w:rsidR="00964452" w:rsidRPr="00407D29" w:rsidTr="002638B5">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683</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 xml:space="preserve">Saudi Arabia                  </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1302</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 xml:space="preserve">Niger                         </w:t>
            </w:r>
          </w:p>
        </w:tc>
        <w:tc>
          <w:tcPr>
            <w:tcW w:w="1536"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1796</w:t>
            </w:r>
          </w:p>
        </w:tc>
        <w:tc>
          <w:tcPr>
            <w:tcW w:w="1536"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 xml:space="preserve">Sudan                         </w:t>
            </w:r>
          </w:p>
        </w:tc>
      </w:tr>
      <w:tr w:rsidR="00964452" w:rsidRPr="00407D29" w:rsidTr="002638B5">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688</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 xml:space="preserve">South Africa                  </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1309</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 xml:space="preserve">Philippines                   </w:t>
            </w:r>
          </w:p>
        </w:tc>
        <w:tc>
          <w:tcPr>
            <w:tcW w:w="1536"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Not in graph</w:t>
            </w:r>
          </w:p>
        </w:tc>
        <w:tc>
          <w:tcPr>
            <w:tcW w:w="1536"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The Gambia</w:t>
            </w:r>
          </w:p>
        </w:tc>
      </w:tr>
    </w:tbl>
    <w:p w:rsidR="00964452" w:rsidRPr="00D44A79" w:rsidRDefault="00964452" w:rsidP="00D44A79">
      <w:pPr>
        <w:pStyle w:val="NoSpacing"/>
        <w:rPr>
          <w:sz w:val="16"/>
          <w:szCs w:val="16"/>
        </w:rPr>
      </w:pPr>
    </w:p>
    <w:p w:rsidR="00964452" w:rsidRPr="00D44A79" w:rsidRDefault="00964452" w:rsidP="00D44A79">
      <w:pPr>
        <w:rPr>
          <w:u w:val="single"/>
        </w:rPr>
      </w:pPr>
      <w:r w:rsidRPr="00D44A79">
        <w:rPr>
          <w:u w:val="single"/>
        </w:rPr>
        <w:t xml:space="preserve">Negative outliers and extremes of figure 9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35"/>
        <w:gridCol w:w="1535"/>
        <w:gridCol w:w="1535"/>
        <w:gridCol w:w="1535"/>
        <w:gridCol w:w="1536"/>
        <w:gridCol w:w="1536"/>
      </w:tblGrid>
      <w:tr w:rsidR="00964452" w:rsidRPr="00407D29" w:rsidTr="002638B5">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327</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Honduras</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1255</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The Gambia</w:t>
            </w:r>
          </w:p>
        </w:tc>
        <w:tc>
          <w:tcPr>
            <w:tcW w:w="1536"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1743</w:t>
            </w:r>
          </w:p>
        </w:tc>
        <w:tc>
          <w:tcPr>
            <w:tcW w:w="1536"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Grenada</w:t>
            </w:r>
          </w:p>
        </w:tc>
      </w:tr>
      <w:tr w:rsidR="00964452" w:rsidRPr="00407D29" w:rsidTr="002638B5">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348</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Malta</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1276</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Kenya</w:t>
            </w:r>
          </w:p>
        </w:tc>
        <w:tc>
          <w:tcPr>
            <w:tcW w:w="1536"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1764</w:t>
            </w:r>
          </w:p>
        </w:tc>
        <w:tc>
          <w:tcPr>
            <w:tcW w:w="1536"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Malawi</w:t>
            </w:r>
          </w:p>
        </w:tc>
      </w:tr>
      <w:tr w:rsidR="00964452" w:rsidRPr="00407D29" w:rsidTr="002638B5">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640</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Guyana</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1297</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Mozambique</w:t>
            </w:r>
          </w:p>
        </w:tc>
        <w:tc>
          <w:tcPr>
            <w:tcW w:w="1536"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1765</w:t>
            </w:r>
          </w:p>
        </w:tc>
        <w:tc>
          <w:tcPr>
            <w:tcW w:w="1536"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Malaysia</w:t>
            </w:r>
          </w:p>
        </w:tc>
      </w:tr>
      <w:tr w:rsidR="00964452" w:rsidRPr="00407D29" w:rsidTr="002638B5">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658</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 xml:space="preserve">Lithuania                     </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1333</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Syrian Arab Republic</w:t>
            </w:r>
          </w:p>
        </w:tc>
        <w:tc>
          <w:tcPr>
            <w:tcW w:w="1536"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1768</w:t>
            </w:r>
          </w:p>
        </w:tc>
        <w:tc>
          <w:tcPr>
            <w:tcW w:w="1536"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Mauritius</w:t>
            </w:r>
          </w:p>
        </w:tc>
      </w:tr>
      <w:tr w:rsidR="00964452" w:rsidRPr="00407D29" w:rsidTr="002638B5">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684</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Senegal</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1334</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Tanzania</w:t>
            </w:r>
          </w:p>
        </w:tc>
        <w:tc>
          <w:tcPr>
            <w:tcW w:w="1536"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1771</w:t>
            </w:r>
          </w:p>
        </w:tc>
        <w:tc>
          <w:tcPr>
            <w:tcW w:w="1536"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Mozambique</w:t>
            </w:r>
          </w:p>
        </w:tc>
      </w:tr>
      <w:tr w:rsidR="00964452" w:rsidRPr="00407D29" w:rsidTr="002638B5">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1219</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Armenia</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1340</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Uganda</w:t>
            </w:r>
          </w:p>
        </w:tc>
        <w:tc>
          <w:tcPr>
            <w:tcW w:w="1536"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1772</w:t>
            </w:r>
          </w:p>
        </w:tc>
        <w:tc>
          <w:tcPr>
            <w:tcW w:w="1536"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Namibia</w:t>
            </w:r>
          </w:p>
        </w:tc>
      </w:tr>
      <w:tr w:rsidR="00964452" w:rsidRPr="00407D29" w:rsidTr="002638B5">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1237</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Cape Verde</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1347</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Zambia</w:t>
            </w:r>
          </w:p>
        </w:tc>
        <w:tc>
          <w:tcPr>
            <w:tcW w:w="1536"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1803</w:t>
            </w:r>
          </w:p>
        </w:tc>
        <w:tc>
          <w:tcPr>
            <w:tcW w:w="1536"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Uganda</w:t>
            </w:r>
          </w:p>
        </w:tc>
      </w:tr>
      <w:tr w:rsidR="00964452" w:rsidRPr="00407D29" w:rsidTr="002638B5">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1238</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Chile</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1736</w:t>
            </w:r>
          </w:p>
        </w:tc>
        <w:tc>
          <w:tcPr>
            <w:tcW w:w="1535"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 xml:space="preserve">Ethiopia (excludes Eritrea)    </w:t>
            </w:r>
          </w:p>
        </w:tc>
        <w:tc>
          <w:tcPr>
            <w:tcW w:w="1536"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Not in graph</w:t>
            </w:r>
          </w:p>
        </w:tc>
        <w:tc>
          <w:tcPr>
            <w:tcW w:w="1536" w:type="dxa"/>
          </w:tcPr>
          <w:p w:rsidR="00964452" w:rsidRPr="002638B5" w:rsidRDefault="00964452" w:rsidP="002638B5">
            <w:pPr>
              <w:spacing w:after="0" w:line="240" w:lineRule="auto"/>
              <w:rPr>
                <w:rFonts w:ascii="Arial" w:hAnsi="Arial" w:cs="Arial"/>
                <w:sz w:val="18"/>
                <w:szCs w:val="18"/>
              </w:rPr>
            </w:pPr>
            <w:r w:rsidRPr="002638B5">
              <w:rPr>
                <w:rFonts w:ascii="Arial" w:hAnsi="Arial" w:cs="Arial"/>
                <w:sz w:val="18"/>
                <w:szCs w:val="18"/>
              </w:rPr>
              <w:t>Rwanda</w:t>
            </w:r>
          </w:p>
        </w:tc>
      </w:tr>
    </w:tbl>
    <w:p w:rsidR="00964452" w:rsidRDefault="00964452" w:rsidP="00EC1EC1">
      <w:pPr>
        <w:pStyle w:val="Heading1"/>
        <w:spacing w:line="360" w:lineRule="auto"/>
      </w:pPr>
      <w:bookmarkStart w:id="55" w:name="_Toc299481911"/>
      <w:r>
        <w:t>Appendix 4</w:t>
      </w:r>
      <w:bookmarkEnd w:id="55"/>
    </w:p>
    <w:p w:rsidR="00964452" w:rsidRPr="00EC1EC1" w:rsidRDefault="00964452" w:rsidP="00D5650A">
      <w:pPr>
        <w:spacing w:line="360" w:lineRule="auto"/>
        <w:rPr>
          <w:u w:val="single"/>
        </w:rPr>
      </w:pPr>
      <w:r w:rsidRPr="00EC1EC1">
        <w:rPr>
          <w:u w:val="single"/>
        </w:rPr>
        <w:t>Export structures of Luxembourg and Switzerland</w:t>
      </w:r>
    </w:p>
    <w:p w:rsidR="00964452" w:rsidRPr="00EC1EC1" w:rsidRDefault="00964452" w:rsidP="00EC1EC1">
      <w:pPr>
        <w:spacing w:line="360" w:lineRule="auto"/>
      </w:pPr>
      <w:r w:rsidRPr="00EC1EC1">
        <w:t>The graphs illustrate the distribution of products in terms of PRODY values within Luxembourg’s and Switzerland’s export basket. 27.6% of Luxembourg’s exports is generated by 18,000 and 24,000 PRODY products. Furthermore, the importance of the PRODY category $48,000-$54,000 increased from 7.0% of total exports in 2004, to 11.9% in 2008. This increase is mainly caused by the export growth of 2 products; iron and steel sections, and iron and steel sheet piling, whose joint export share increased from 6.1% to 11.0% of total exports. These products have the second and fifth largest PRODY values of all products.</w:t>
      </w:r>
    </w:p>
    <w:p w:rsidR="00964452" w:rsidRPr="00EC1EC1" w:rsidRDefault="00964452" w:rsidP="00EC1EC1">
      <w:pPr>
        <w:spacing w:line="360" w:lineRule="auto"/>
        <w:rPr>
          <w:sz w:val="18"/>
          <w:szCs w:val="18"/>
        </w:rPr>
      </w:pPr>
      <w:r w:rsidRPr="00EC1EC1">
        <w:rPr>
          <w:sz w:val="18"/>
          <w:szCs w:val="18"/>
        </w:rPr>
        <w:t>Figure: PRODY distribution within Luxembourg’s and Switzerland’s exports</w:t>
      </w:r>
    </w:p>
    <w:p w:rsidR="00964452" w:rsidRPr="00EC1EC1" w:rsidRDefault="00964452" w:rsidP="00EC1EC1">
      <w:pPr>
        <w:spacing w:line="360" w:lineRule="auto"/>
      </w:pPr>
      <w:r w:rsidRPr="002638B5">
        <w:rPr>
          <w:noProof/>
          <w:lang w:val="en-US"/>
        </w:rPr>
        <w:pict>
          <v:shape id="Afbeelding 3" o:spid="_x0000_i1042" type="#_x0000_t75" style="width:465pt;height:233.25pt;visibility:visible">
            <v:imagedata r:id="rId29" o:title=""/>
          </v:shape>
        </w:pict>
      </w:r>
    </w:p>
    <w:p w:rsidR="00964452" w:rsidRPr="00EC1EC1" w:rsidRDefault="00964452" w:rsidP="00EC1EC1">
      <w:pPr>
        <w:pStyle w:val="NoSpacing"/>
      </w:pPr>
    </w:p>
    <w:p w:rsidR="00964452" w:rsidRPr="00EC1EC1" w:rsidRDefault="00964452" w:rsidP="00EC1EC1">
      <w:pPr>
        <w:spacing w:line="360" w:lineRule="auto"/>
      </w:pPr>
      <w:r w:rsidRPr="00EC1EC1">
        <w:t>Switzerland has a different distribution of the productivity levels of products exported than Luxembourg. In addition, the distribution shifted upwards over the period 1992 to 2008. The share of PRODY category $18,000-$24,000 is around 38% for all of the 4 years. The share of products with PRODY’s between $24,000 and $30,000 increased from 22% to 26%. Medicaments are responsible for 10.5% of Switzerland’s total exports, with a PRODY of $22,236.</w:t>
      </w:r>
    </w:p>
    <w:p w:rsidR="00964452" w:rsidRPr="00EC1EC1" w:rsidRDefault="00964452" w:rsidP="00EC1EC1">
      <w:pPr>
        <w:spacing w:line="360" w:lineRule="auto"/>
      </w:pPr>
      <w:r w:rsidRPr="00EC1EC1">
        <w:t xml:space="preserve">Switzerland’s total exports increased by 125% in the period 1992 to 2008, to $200.61 billion. Luxembourg’s exports is considerably smaller; $16.97 billion in 2008. Additionally, exports is more important to Switzerland’s economy; the exports share of GDP is 40%, whereas Luxembourg’s export share is 29% in 2008. Nevertheless, Luxembourg has a higher export productivity. </w:t>
      </w:r>
    </w:p>
    <w:p w:rsidR="00964452" w:rsidRDefault="00964452">
      <w:bookmarkStart w:id="56" w:name="_GoBack"/>
      <w:bookmarkEnd w:id="56"/>
    </w:p>
    <w:sectPr w:rsidR="00964452" w:rsidSect="009C5F11">
      <w:footerReference w:type="default" r:id="rId30"/>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4452" w:rsidRDefault="00964452" w:rsidP="00D5650A">
      <w:pPr>
        <w:spacing w:after="0" w:line="240" w:lineRule="auto"/>
      </w:pPr>
      <w:r>
        <w:separator/>
      </w:r>
    </w:p>
  </w:endnote>
  <w:endnote w:type="continuationSeparator" w:id="1">
    <w:p w:rsidR="00964452" w:rsidRDefault="00964452" w:rsidP="00D565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ctora LH Roman">
    <w:altName w:val="Vectora LH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452" w:rsidRDefault="00964452">
    <w:pPr>
      <w:pStyle w:val="Footer"/>
      <w:jc w:val="right"/>
    </w:pPr>
    <w:fldSimple w:instr="PAGE   \* MERGEFORMAT">
      <w:r w:rsidRPr="00ED19E5">
        <w:rPr>
          <w:noProof/>
          <w:lang w:val="nl-NL"/>
        </w:rPr>
        <w:t>1</w:t>
      </w:r>
    </w:fldSimple>
  </w:p>
  <w:p w:rsidR="00964452" w:rsidRDefault="009644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4452" w:rsidRDefault="00964452" w:rsidP="00D5650A">
      <w:pPr>
        <w:spacing w:after="0" w:line="240" w:lineRule="auto"/>
      </w:pPr>
      <w:r>
        <w:separator/>
      </w:r>
    </w:p>
  </w:footnote>
  <w:footnote w:type="continuationSeparator" w:id="1">
    <w:p w:rsidR="00964452" w:rsidRDefault="00964452" w:rsidP="00D5650A">
      <w:pPr>
        <w:spacing w:after="0" w:line="240" w:lineRule="auto"/>
      </w:pPr>
      <w:r>
        <w:continuationSeparator/>
      </w:r>
    </w:p>
  </w:footnote>
  <w:footnote w:id="2">
    <w:p w:rsidR="00964452" w:rsidRDefault="00964452">
      <w:pPr>
        <w:pStyle w:val="FootnoteText"/>
      </w:pPr>
      <w:r>
        <w:rPr>
          <w:rStyle w:val="FootnoteReference"/>
        </w:rPr>
        <w:footnoteRef/>
      </w:r>
      <w:r>
        <w:t xml:space="preserve"> Infrastructure includes various services, e.g.: water management, electric power, telecommunications, transportation, government, financial system, industrial parks and educational system.</w:t>
      </w:r>
    </w:p>
  </w:footnote>
  <w:footnote w:id="3">
    <w:p w:rsidR="00964452" w:rsidRDefault="00964452" w:rsidP="00FC7183">
      <w:pPr>
        <w:pStyle w:val="NoSpacing"/>
      </w:pPr>
      <w:r>
        <w:rPr>
          <w:rStyle w:val="FootnoteReference"/>
        </w:rPr>
        <w:footnoteRef/>
      </w:r>
      <w:r w:rsidRPr="00364589">
        <w:rPr>
          <w:sz w:val="20"/>
          <w:szCs w:val="20"/>
        </w:rPr>
        <w:t>Here institutions refer to economic, legal and political institutions, e.g.: property rights, contract enforcement, investor prot</w:t>
      </w:r>
      <w:r>
        <w:rPr>
          <w:sz w:val="20"/>
          <w:szCs w:val="20"/>
        </w:rPr>
        <w:t>ection and freedom of exchange.</w:t>
      </w:r>
    </w:p>
  </w:footnote>
  <w:footnote w:id="4">
    <w:p w:rsidR="00964452" w:rsidRDefault="00964452" w:rsidP="001809A6">
      <w:pPr>
        <w:pStyle w:val="NoSpacing"/>
      </w:pPr>
      <w:r>
        <w:rPr>
          <w:rStyle w:val="FootnoteReference"/>
        </w:rPr>
        <w:footnoteRef/>
      </w:r>
      <w:r w:rsidRPr="00F52E6E">
        <w:rPr>
          <w:sz w:val="20"/>
          <w:szCs w:val="20"/>
        </w:rPr>
        <w:t xml:space="preserve">Gwartney et al. (2004) used the Economic Freedom of the World index as a measure of institutional quality and found that it explained 63% of variation in GDP per capita across countries. In addition, the production function approach (which focuses on increasing human and physical capital and technological progress) explained 93% of the variation. </w:t>
      </w:r>
    </w:p>
  </w:footnote>
  <w:footnote w:id="5">
    <w:p w:rsidR="00964452" w:rsidRDefault="00964452">
      <w:pPr>
        <w:pStyle w:val="FootnoteText"/>
      </w:pPr>
      <w:r w:rsidRPr="00C62A1A">
        <w:rPr>
          <w:rStyle w:val="FootnoteReference"/>
        </w:rPr>
        <w:footnoteRef/>
      </w:r>
      <w:r w:rsidRPr="00C62A1A">
        <w:t xml:space="preserve"> Here distance means the level of similarity between products in terms of the needed capabilities</w:t>
      </w:r>
      <w:r>
        <w:t xml:space="preserve"> and inputs</w:t>
      </w:r>
      <w:r w:rsidRPr="00C62A1A">
        <w:t xml:space="preserve"> (Hausmann&amp; Klinger, 2006).</w:t>
      </w:r>
    </w:p>
  </w:footnote>
  <w:footnote w:id="6">
    <w:p w:rsidR="00964452" w:rsidRDefault="00964452" w:rsidP="00EC533A">
      <w:pPr>
        <w:pStyle w:val="NoSpacing"/>
      </w:pPr>
      <w:r>
        <w:rPr>
          <w:rStyle w:val="FootnoteReference"/>
        </w:rPr>
        <w:footnoteRef/>
      </w:r>
      <w:r w:rsidRPr="00EC533A">
        <w:rPr>
          <w:sz w:val="20"/>
          <w:szCs w:val="20"/>
        </w:rPr>
        <w:t>The nodes represent products. Similar coloured nodes are products within the same product class</w:t>
      </w:r>
      <w:r>
        <w:rPr>
          <w:sz w:val="20"/>
          <w:szCs w:val="20"/>
        </w:rPr>
        <w:t xml:space="preserve"> according to the Leamer classification</w:t>
      </w:r>
      <w:r w:rsidRPr="00EC533A">
        <w:rPr>
          <w:sz w:val="20"/>
          <w:szCs w:val="20"/>
        </w:rPr>
        <w:t>. The size of the nodes are proportional to world trade. The colour of the lines that connect the nodes represent the distance (input based similarity) between products</w:t>
      </w:r>
      <w:r>
        <w:rPr>
          <w:sz w:val="20"/>
          <w:szCs w:val="20"/>
        </w:rPr>
        <w:t xml:space="preserve"> (Hidalgo et al., 2007)</w:t>
      </w:r>
      <w:r w:rsidRPr="00EC533A">
        <w:rPr>
          <w:sz w:val="20"/>
          <w:szCs w:val="20"/>
        </w:rPr>
        <w:t xml:space="preserve">.  </w:t>
      </w:r>
    </w:p>
  </w:footnote>
  <w:footnote w:id="7">
    <w:p w:rsidR="00964452" w:rsidRDefault="00964452" w:rsidP="008E5622">
      <w:pPr>
        <w:pStyle w:val="NoSpacing"/>
      </w:pPr>
      <w:r>
        <w:rPr>
          <w:rStyle w:val="FootnoteReference"/>
        </w:rPr>
        <w:footnoteRef/>
      </w:r>
      <w:r w:rsidRPr="008E5622">
        <w:rPr>
          <w:sz w:val="20"/>
          <w:szCs w:val="20"/>
        </w:rPr>
        <w:t>Products the country could produce given the distance between the country’s current area of comparative advantage</w:t>
      </w:r>
      <w:r>
        <w:rPr>
          <w:sz w:val="20"/>
          <w:szCs w:val="20"/>
        </w:rPr>
        <w:t xml:space="preserve">. </w:t>
      </w:r>
    </w:p>
  </w:footnote>
  <w:footnote w:id="8">
    <w:p w:rsidR="00964452" w:rsidRDefault="00964452" w:rsidP="001D6DE0">
      <w:pPr>
        <w:pStyle w:val="NoSpacing"/>
      </w:pPr>
      <w:r w:rsidRPr="001C2E25">
        <w:rPr>
          <w:rStyle w:val="FootnoteReference"/>
          <w:sz w:val="20"/>
          <w:szCs w:val="20"/>
        </w:rPr>
        <w:footnoteRef/>
      </w:r>
      <w:r w:rsidRPr="001C2E25">
        <w:rPr>
          <w:rStyle w:val="Emphasis"/>
          <w:i w:val="0"/>
          <w:sz w:val="20"/>
          <w:szCs w:val="20"/>
        </w:rPr>
        <w:t>Schedule B: Statistical Classification of Domestic and Foreign Commodities Exported from the United States</w:t>
      </w:r>
      <w:r w:rsidRPr="001C2E25">
        <w:rPr>
          <w:i/>
          <w:sz w:val="20"/>
          <w:szCs w:val="20"/>
        </w:rPr>
        <w:t>.</w:t>
      </w:r>
    </w:p>
  </w:footnote>
  <w:footnote w:id="9">
    <w:p w:rsidR="00964452" w:rsidRDefault="00964452" w:rsidP="00D5650A">
      <w:pPr>
        <w:pStyle w:val="FootnoteText"/>
      </w:pPr>
      <w:r>
        <w:rPr>
          <w:rStyle w:val="FootnoteReference"/>
        </w:rPr>
        <w:footnoteRef/>
      </w:r>
      <w:r>
        <w:t xml:space="preserve"> Indonesia, Korea and Thailand were affected the most, followed by Malaysia and the Philippines. The depreciation of the East Asian countries have likely influenced the export productivity of these countries.</w:t>
      </w:r>
    </w:p>
  </w:footnote>
  <w:footnote w:id="10">
    <w:p w:rsidR="00964452" w:rsidRDefault="00964452" w:rsidP="00D5650A">
      <w:pPr>
        <w:pStyle w:val="FootnoteText"/>
      </w:pPr>
      <w:r>
        <w:rPr>
          <w:rStyle w:val="FootnoteReference"/>
        </w:rPr>
        <w:footnoteRef/>
      </w:r>
      <w:r>
        <w:t xml:space="preserve"> The decrease in Iceland’s EXPY in 1992 is likely to be correlated with the recession that Iceland faced during that year. This recession was mainly caused by a reduction in fish catch (Agnarsson et al., 1999).</w:t>
      </w:r>
    </w:p>
  </w:footnote>
  <w:footnote w:id="11">
    <w:p w:rsidR="00964452" w:rsidRDefault="00964452">
      <w:pPr>
        <w:pStyle w:val="FootnoteText"/>
      </w:pPr>
      <w:r>
        <w:rPr>
          <w:rStyle w:val="FootnoteReference"/>
        </w:rPr>
        <w:footnoteRef/>
      </w:r>
      <w:r w:rsidRPr="007C130D">
        <w:t>Luxembourg mainly export</w:t>
      </w:r>
      <w:r>
        <w:t>s</w:t>
      </w:r>
      <w:r w:rsidRPr="007C130D">
        <w:t xml:space="preserve"> metal, machinery and rubber, and Switzerland machinery, medicaments and watches.</w:t>
      </w:r>
    </w:p>
  </w:footnote>
  <w:footnote w:id="12">
    <w:p w:rsidR="00964452" w:rsidRPr="009F36FA" w:rsidRDefault="00964452" w:rsidP="00D5650A">
      <w:pPr>
        <w:pStyle w:val="NoSpacing"/>
        <w:rPr>
          <w:sz w:val="20"/>
          <w:szCs w:val="20"/>
        </w:rPr>
      </w:pPr>
      <w:r>
        <w:rPr>
          <w:rStyle w:val="FootnoteReference"/>
        </w:rPr>
        <w:footnoteRef/>
      </w:r>
      <w:r w:rsidRPr="009F36FA">
        <w:rPr>
          <w:sz w:val="20"/>
          <w:szCs w:val="20"/>
        </w:rPr>
        <w:t xml:space="preserve">Starting in the 1960s, Ireland changed from a relatively closed economy to a free market economy. The country shifted from being highly dependent on agriculture and from having only export relations with the United Kingdom, to an economy that is focused on high-tech industries and global exports (Impact of EU membership on Ireland, 2010). This shift from the production and exports of primary products to high-tech products facilitates a large increase in EXPY. </w:t>
      </w:r>
    </w:p>
    <w:p w:rsidR="00964452" w:rsidRDefault="00964452" w:rsidP="00D5650A">
      <w:pPr>
        <w:pStyle w:val="NoSpacing"/>
      </w:pPr>
    </w:p>
  </w:footnote>
  <w:footnote w:id="13">
    <w:p w:rsidR="00964452" w:rsidRDefault="00964452" w:rsidP="00D5650A">
      <w:pPr>
        <w:pStyle w:val="FootnoteText"/>
      </w:pPr>
      <w:r>
        <w:rPr>
          <w:rStyle w:val="FootnoteReference"/>
        </w:rPr>
        <w:footnoteRef/>
      </w:r>
      <w:r w:rsidRPr="0096637B">
        <w:rPr>
          <w:lang w:val="en-US"/>
        </w:rPr>
        <w:t>Trinidad and Tobago increased</w:t>
      </w:r>
      <w:r>
        <w:rPr>
          <w:lang w:val="en-US"/>
        </w:rPr>
        <w:t xml:space="preserve"> the natural </w:t>
      </w:r>
      <w:r w:rsidRPr="0096637B">
        <w:rPr>
          <w:lang w:val="en-US"/>
        </w:rPr>
        <w:t xml:space="preserve">gas and </w:t>
      </w:r>
      <w:r>
        <w:rPr>
          <w:lang w:val="en-US"/>
        </w:rPr>
        <w:t>petroleum oils production.</w:t>
      </w:r>
    </w:p>
  </w:footnote>
  <w:footnote w:id="14">
    <w:p w:rsidR="00964452" w:rsidRDefault="00964452" w:rsidP="00D5650A">
      <w:pPr>
        <w:spacing w:line="240" w:lineRule="auto"/>
      </w:pPr>
      <w:r>
        <w:rPr>
          <w:rStyle w:val="FootnoteReference"/>
        </w:rPr>
        <w:footnoteRef/>
      </w:r>
      <w:r w:rsidRPr="00852F7D">
        <w:rPr>
          <w:sz w:val="20"/>
          <w:szCs w:val="20"/>
        </w:rPr>
        <w:t xml:space="preserve">Because the sample sizes of countries of both regions for 1992 and 1996 are </w:t>
      </w:r>
      <w:r>
        <w:rPr>
          <w:sz w:val="20"/>
          <w:szCs w:val="20"/>
        </w:rPr>
        <w:t>rather</w:t>
      </w:r>
      <w:r w:rsidRPr="00852F7D">
        <w:rPr>
          <w:sz w:val="20"/>
          <w:szCs w:val="20"/>
        </w:rPr>
        <w:t xml:space="preserve"> small, a slightly different comparison was made than in the previous parts of this paper; this part </w:t>
      </w:r>
      <w:r>
        <w:rPr>
          <w:sz w:val="20"/>
          <w:szCs w:val="20"/>
        </w:rPr>
        <w:t xml:space="preserve">mainly </w:t>
      </w:r>
      <w:r w:rsidRPr="00852F7D">
        <w:rPr>
          <w:sz w:val="20"/>
          <w:szCs w:val="20"/>
        </w:rPr>
        <w:t xml:space="preserve">examines EXPY’s for the years 1995, 1999, 2004 and 2008. </w:t>
      </w:r>
    </w:p>
  </w:footnote>
  <w:footnote w:id="15">
    <w:p w:rsidR="00964452" w:rsidRDefault="00964452" w:rsidP="00D5650A">
      <w:pPr>
        <w:pStyle w:val="FootnoteText"/>
      </w:pPr>
      <w:r>
        <w:rPr>
          <w:rStyle w:val="FootnoteReference"/>
        </w:rPr>
        <w:footnoteRef/>
      </w:r>
      <w:r>
        <w:t xml:space="preserve"> South East Asia’s export productivity declined a little in 2004 compared to 1999. However, mainly countries with lower EXPY’s, for example Cambodia, Papua New Guinea and Bangladesh did report for 2004, but did not for 1999.</w:t>
      </w:r>
    </w:p>
  </w:footnote>
  <w:footnote w:id="16">
    <w:p w:rsidR="00964452" w:rsidRDefault="00964452">
      <w:pPr>
        <w:pStyle w:val="FootnoteText"/>
      </w:pPr>
      <w:r>
        <w:rPr>
          <w:rStyle w:val="FootnoteReference"/>
        </w:rPr>
        <w:footnoteRef/>
      </w:r>
      <w:r>
        <w:t xml:space="preserve"> The corresponding country names for these numbers are specified in appendix 3.</w:t>
      </w:r>
    </w:p>
  </w:footnote>
  <w:footnote w:id="17">
    <w:p w:rsidR="00964452" w:rsidRDefault="00964452" w:rsidP="00D5650A">
      <w:pPr>
        <w:pStyle w:val="NoSpacing"/>
      </w:pPr>
      <w:r>
        <w:rPr>
          <w:rStyle w:val="FootnoteReference"/>
        </w:rPr>
        <w:footnoteRef/>
      </w:r>
      <w:r w:rsidRPr="00203A34">
        <w:rPr>
          <w:sz w:val="20"/>
          <w:szCs w:val="20"/>
          <w:lang w:val="en-US"/>
        </w:rPr>
        <w:t xml:space="preserve">The Apartheid system in South Africa, which was in force for decades, ended in 1990, and the first democratic elections were held in 1994 (Apartheid FAQ, n.d.). In 1996, the </w:t>
      </w:r>
      <w:r w:rsidRPr="00203A34">
        <w:rPr>
          <w:sz w:val="20"/>
          <w:szCs w:val="20"/>
        </w:rPr>
        <w:t>government</w:t>
      </w:r>
      <w:r w:rsidRPr="00203A34">
        <w:rPr>
          <w:sz w:val="20"/>
          <w:szCs w:val="20"/>
          <w:lang w:val="en-US"/>
        </w:rPr>
        <w:t xml:space="preserve"> implemented the Growth, Employment and Redistribution strategy, GEAR, which is a macroeconomic policy framework and intended to gain fast economic growth by means of, among others, expanding openness to trade and foreig</w:t>
      </w:r>
      <w:r>
        <w:rPr>
          <w:sz w:val="20"/>
          <w:szCs w:val="20"/>
          <w:lang w:val="en-US"/>
        </w:rPr>
        <w:t>n investment (Harsch, 2001).</w:t>
      </w:r>
      <w:r w:rsidRPr="00203A34">
        <w:rPr>
          <w:sz w:val="20"/>
          <w:szCs w:val="20"/>
          <w:lang w:val="en-US"/>
        </w:rPr>
        <w:t xml:space="preserve"> However, South Africa has one of the highest unemployment rates in the world, between 30% and 40%, with a mainly low-skilled population and large income inequ</w:t>
      </w:r>
      <w:r>
        <w:rPr>
          <w:sz w:val="20"/>
          <w:szCs w:val="20"/>
          <w:lang w:val="en-US"/>
        </w:rPr>
        <w:t xml:space="preserve">ality (Hoogeveen&amp;Özler, 2005). </w:t>
      </w:r>
    </w:p>
  </w:footnote>
  <w:footnote w:id="18">
    <w:p w:rsidR="00964452" w:rsidRDefault="00964452" w:rsidP="00D5650A">
      <w:pPr>
        <w:pStyle w:val="FootnoteText"/>
      </w:pPr>
      <w:r>
        <w:rPr>
          <w:rStyle w:val="FootnoteReference"/>
        </w:rPr>
        <w:footnoteRef/>
      </w:r>
      <w:r>
        <w:t xml:space="preserve"> 6 income groups, with 34 countries in total, were created and analysed. However, only a selection is described in this paper. </w:t>
      </w:r>
    </w:p>
  </w:footnote>
  <w:footnote w:id="19">
    <w:p w:rsidR="00964452" w:rsidRDefault="00964452" w:rsidP="00D5650A">
      <w:pPr>
        <w:pStyle w:val="FootnoteText"/>
      </w:pPr>
      <w:r>
        <w:rPr>
          <w:rStyle w:val="FootnoteReference"/>
        </w:rPr>
        <w:footnoteRef/>
      </w:r>
      <w:r>
        <w:t xml:space="preserve"> Only Luxembourg has also a large export share of products with even higher PRODY’s (18% in 2008).</w:t>
      </w:r>
    </w:p>
  </w:footnote>
  <w:footnote w:id="20">
    <w:p w:rsidR="00964452" w:rsidRDefault="00964452" w:rsidP="00EB2C58">
      <w:pPr>
        <w:pStyle w:val="NoSpacing"/>
      </w:pPr>
      <w:r w:rsidRPr="00EB2C58">
        <w:rPr>
          <w:rStyle w:val="FootnoteReference"/>
          <w:sz w:val="20"/>
          <w:szCs w:val="20"/>
        </w:rPr>
        <w:footnoteRef/>
      </w:r>
      <w:r w:rsidRPr="00EB2C58">
        <w:rPr>
          <w:sz w:val="20"/>
          <w:szCs w:val="20"/>
        </w:rPr>
        <w:t xml:space="preserve">I.e. input or output units of computers, storage units of computers, parts of office machines and metal oxide semiconductors. </w:t>
      </w:r>
    </w:p>
  </w:footnote>
  <w:footnote w:id="21">
    <w:p w:rsidR="00964452" w:rsidRDefault="00964452" w:rsidP="00D5650A">
      <w:pPr>
        <w:pStyle w:val="NoSpacing"/>
      </w:pPr>
      <w:r>
        <w:rPr>
          <w:rStyle w:val="FootnoteReference"/>
        </w:rPr>
        <w:footnoteRef/>
      </w:r>
      <w:r w:rsidRPr="00ED0559">
        <w:rPr>
          <w:sz w:val="20"/>
          <w:szCs w:val="20"/>
        </w:rPr>
        <w:t>At 6-digit level, the exports of products 854240 (hybrid integrated circuits), 854212 ("smart" cards), 854213 (</w:t>
      </w:r>
      <w:r>
        <w:rPr>
          <w:sz w:val="20"/>
          <w:szCs w:val="20"/>
        </w:rPr>
        <w:t>m</w:t>
      </w:r>
      <w:r w:rsidRPr="00E0161D">
        <w:rPr>
          <w:sz w:val="20"/>
          <w:szCs w:val="20"/>
        </w:rPr>
        <w:t>etal oxide semiconductors</w:t>
      </w:r>
      <w:r w:rsidRPr="00ED0559">
        <w:rPr>
          <w:sz w:val="20"/>
          <w:szCs w:val="20"/>
        </w:rPr>
        <w:t xml:space="preserve">) and 854230 (other monolithic integrated circuits) decreased </w:t>
      </w:r>
      <w:r>
        <w:rPr>
          <w:sz w:val="20"/>
          <w:szCs w:val="20"/>
        </w:rPr>
        <w:t>by circa</w:t>
      </w:r>
      <w:r w:rsidRPr="00ED0559">
        <w:rPr>
          <w:sz w:val="20"/>
          <w:szCs w:val="20"/>
        </w:rPr>
        <w:t xml:space="preserve"> 80%</w:t>
      </w:r>
      <w:r>
        <w:rPr>
          <w:sz w:val="20"/>
          <w:szCs w:val="20"/>
        </w:rPr>
        <w:t xml:space="preserve"> in 1 year</w:t>
      </w:r>
      <w:r w:rsidRPr="00ED0559">
        <w:rPr>
          <w:sz w:val="20"/>
          <w:szCs w:val="20"/>
        </w:rPr>
        <w:t xml:space="preserve">. These </w:t>
      </w:r>
      <w:r>
        <w:rPr>
          <w:sz w:val="20"/>
          <w:szCs w:val="20"/>
        </w:rPr>
        <w:t>4</w:t>
      </w:r>
      <w:r w:rsidRPr="00ED0559">
        <w:rPr>
          <w:sz w:val="20"/>
          <w:szCs w:val="20"/>
        </w:rPr>
        <w:t xml:space="preserve"> products have PRODY values between 20,000 </w:t>
      </w:r>
      <w:r>
        <w:rPr>
          <w:sz w:val="20"/>
          <w:szCs w:val="20"/>
        </w:rPr>
        <w:t>and</w:t>
      </w:r>
      <w:r w:rsidRPr="00ED0559">
        <w:rPr>
          <w:sz w:val="20"/>
          <w:szCs w:val="20"/>
        </w:rPr>
        <w:t xml:space="preserve"> 26,000 dollars.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915AF"/>
    <w:multiLevelType w:val="hybridMultilevel"/>
    <w:tmpl w:val="19A66CF4"/>
    <w:lvl w:ilvl="0" w:tplc="04130011">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
    <w:nsid w:val="06C9712A"/>
    <w:multiLevelType w:val="multilevel"/>
    <w:tmpl w:val="57527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DE24697"/>
    <w:multiLevelType w:val="multilevel"/>
    <w:tmpl w:val="C5086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34F7ED9"/>
    <w:multiLevelType w:val="multilevel"/>
    <w:tmpl w:val="33AA4C44"/>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
    <w:nsid w:val="30BC603D"/>
    <w:multiLevelType w:val="hybridMultilevel"/>
    <w:tmpl w:val="BFD03672"/>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5">
    <w:nsid w:val="321F1759"/>
    <w:multiLevelType w:val="multilevel"/>
    <w:tmpl w:val="33AA4C44"/>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
    <w:nsid w:val="36703316"/>
    <w:multiLevelType w:val="multilevel"/>
    <w:tmpl w:val="14AA0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F2B5B9C"/>
    <w:multiLevelType w:val="hybridMultilevel"/>
    <w:tmpl w:val="8C80B6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67EE64B1"/>
    <w:multiLevelType w:val="multilevel"/>
    <w:tmpl w:val="2EE2F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FE501A1"/>
    <w:multiLevelType w:val="multilevel"/>
    <w:tmpl w:val="33AA4C44"/>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
    <w:nsid w:val="72EA3BCC"/>
    <w:multiLevelType w:val="hybridMultilevel"/>
    <w:tmpl w:val="C2442B28"/>
    <w:lvl w:ilvl="0" w:tplc="48F8C4DC">
      <w:start w:val="4"/>
      <w:numFmt w:val="bullet"/>
      <w:lvlText w:val="-"/>
      <w:lvlJc w:val="left"/>
      <w:pPr>
        <w:ind w:left="720" w:hanging="360"/>
      </w:pPr>
      <w:rPr>
        <w:rFonts w:ascii="Times New Roman" w:eastAsia="Times New Roman" w:hAnsi="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73DE5C09"/>
    <w:multiLevelType w:val="multilevel"/>
    <w:tmpl w:val="33AA4C44"/>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
    <w:nsid w:val="753D001F"/>
    <w:multiLevelType w:val="multilevel"/>
    <w:tmpl w:val="82C8B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6463470"/>
    <w:multiLevelType w:val="multilevel"/>
    <w:tmpl w:val="D60AD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99D47E7"/>
    <w:multiLevelType w:val="multilevel"/>
    <w:tmpl w:val="33AA4C44"/>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5">
    <w:nsid w:val="7A8D4490"/>
    <w:multiLevelType w:val="hybridMultilevel"/>
    <w:tmpl w:val="162C1E0C"/>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6">
    <w:nsid w:val="7CAA5FF1"/>
    <w:multiLevelType w:val="multilevel"/>
    <w:tmpl w:val="ED847A0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5"/>
  </w:num>
  <w:num w:numId="2">
    <w:abstractNumId w:val="3"/>
  </w:num>
  <w:num w:numId="3">
    <w:abstractNumId w:val="10"/>
  </w:num>
  <w:num w:numId="4">
    <w:abstractNumId w:val="9"/>
  </w:num>
  <w:num w:numId="5">
    <w:abstractNumId w:val="14"/>
  </w:num>
  <w:num w:numId="6">
    <w:abstractNumId w:val="11"/>
  </w:num>
  <w:num w:numId="7">
    <w:abstractNumId w:val="7"/>
  </w:num>
  <w:num w:numId="8">
    <w:abstractNumId w:val="5"/>
  </w:num>
  <w:num w:numId="9">
    <w:abstractNumId w:val="13"/>
  </w:num>
  <w:num w:numId="10">
    <w:abstractNumId w:val="12"/>
  </w:num>
  <w:num w:numId="11">
    <w:abstractNumId w:val="1"/>
  </w:num>
  <w:num w:numId="12">
    <w:abstractNumId w:val="6"/>
  </w:num>
  <w:num w:numId="13">
    <w:abstractNumId w:val="2"/>
  </w:num>
  <w:num w:numId="14">
    <w:abstractNumId w:val="8"/>
  </w:num>
  <w:num w:numId="15">
    <w:abstractNumId w:val="4"/>
  </w:num>
  <w:num w:numId="16">
    <w:abstractNumId w:val="0"/>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5650A"/>
    <w:rsid w:val="00001F2B"/>
    <w:rsid w:val="00003024"/>
    <w:rsid w:val="000244A0"/>
    <w:rsid w:val="00024CB0"/>
    <w:rsid w:val="000262AE"/>
    <w:rsid w:val="000400CF"/>
    <w:rsid w:val="00040F18"/>
    <w:rsid w:val="00043C58"/>
    <w:rsid w:val="000523E3"/>
    <w:rsid w:val="00053FC9"/>
    <w:rsid w:val="0006460D"/>
    <w:rsid w:val="00064D35"/>
    <w:rsid w:val="00070911"/>
    <w:rsid w:val="000827A8"/>
    <w:rsid w:val="00087F54"/>
    <w:rsid w:val="000B0436"/>
    <w:rsid w:val="000B0A3E"/>
    <w:rsid w:val="000B12EB"/>
    <w:rsid w:val="000C0231"/>
    <w:rsid w:val="000D4713"/>
    <w:rsid w:val="000D589F"/>
    <w:rsid w:val="000E588D"/>
    <w:rsid w:val="000F1F58"/>
    <w:rsid w:val="000F5313"/>
    <w:rsid w:val="000F70DA"/>
    <w:rsid w:val="00104A35"/>
    <w:rsid w:val="00116BB5"/>
    <w:rsid w:val="00121AF8"/>
    <w:rsid w:val="00130DFC"/>
    <w:rsid w:val="00137AD3"/>
    <w:rsid w:val="001510B1"/>
    <w:rsid w:val="00174636"/>
    <w:rsid w:val="00175A72"/>
    <w:rsid w:val="001809A6"/>
    <w:rsid w:val="00182D5A"/>
    <w:rsid w:val="00185BBA"/>
    <w:rsid w:val="00186491"/>
    <w:rsid w:val="00194B22"/>
    <w:rsid w:val="00195DE2"/>
    <w:rsid w:val="001A014A"/>
    <w:rsid w:val="001A23DB"/>
    <w:rsid w:val="001A6704"/>
    <w:rsid w:val="001C2E25"/>
    <w:rsid w:val="001D2203"/>
    <w:rsid w:val="001D6DE0"/>
    <w:rsid w:val="001F2741"/>
    <w:rsid w:val="002027BA"/>
    <w:rsid w:val="00203A01"/>
    <w:rsid w:val="00203A34"/>
    <w:rsid w:val="00207203"/>
    <w:rsid w:val="00207D0F"/>
    <w:rsid w:val="00217E89"/>
    <w:rsid w:val="0022437A"/>
    <w:rsid w:val="0022507A"/>
    <w:rsid w:val="00240E33"/>
    <w:rsid w:val="00241F38"/>
    <w:rsid w:val="00244C5A"/>
    <w:rsid w:val="00245D65"/>
    <w:rsid w:val="002551B6"/>
    <w:rsid w:val="002572FF"/>
    <w:rsid w:val="0026010E"/>
    <w:rsid w:val="002638B5"/>
    <w:rsid w:val="00275C9E"/>
    <w:rsid w:val="00280091"/>
    <w:rsid w:val="00281A88"/>
    <w:rsid w:val="002832F1"/>
    <w:rsid w:val="002856B4"/>
    <w:rsid w:val="00292EEE"/>
    <w:rsid w:val="00293276"/>
    <w:rsid w:val="00293594"/>
    <w:rsid w:val="002937D6"/>
    <w:rsid w:val="00294689"/>
    <w:rsid w:val="002968D1"/>
    <w:rsid w:val="002A1E44"/>
    <w:rsid w:val="002B1B10"/>
    <w:rsid w:val="002B3D71"/>
    <w:rsid w:val="002C288D"/>
    <w:rsid w:val="002C3ECF"/>
    <w:rsid w:val="002D2A6B"/>
    <w:rsid w:val="002E0781"/>
    <w:rsid w:val="002E7BDB"/>
    <w:rsid w:val="002F1231"/>
    <w:rsid w:val="002F3A20"/>
    <w:rsid w:val="002F7748"/>
    <w:rsid w:val="00316B9A"/>
    <w:rsid w:val="003213AF"/>
    <w:rsid w:val="00324CA6"/>
    <w:rsid w:val="00326869"/>
    <w:rsid w:val="0033139D"/>
    <w:rsid w:val="0033746F"/>
    <w:rsid w:val="003405D3"/>
    <w:rsid w:val="0034067A"/>
    <w:rsid w:val="003437C2"/>
    <w:rsid w:val="003566A0"/>
    <w:rsid w:val="00357E02"/>
    <w:rsid w:val="00362FB7"/>
    <w:rsid w:val="00364559"/>
    <w:rsid w:val="00364589"/>
    <w:rsid w:val="00364613"/>
    <w:rsid w:val="00377F6E"/>
    <w:rsid w:val="003837F2"/>
    <w:rsid w:val="003864F0"/>
    <w:rsid w:val="003924D2"/>
    <w:rsid w:val="003A0D38"/>
    <w:rsid w:val="003A4F8C"/>
    <w:rsid w:val="003A7A25"/>
    <w:rsid w:val="003A7E60"/>
    <w:rsid w:val="003B4462"/>
    <w:rsid w:val="003C2423"/>
    <w:rsid w:val="003C31B6"/>
    <w:rsid w:val="003D0477"/>
    <w:rsid w:val="003E2FCF"/>
    <w:rsid w:val="003F576F"/>
    <w:rsid w:val="003F737D"/>
    <w:rsid w:val="00403983"/>
    <w:rsid w:val="00407D29"/>
    <w:rsid w:val="0041359E"/>
    <w:rsid w:val="00414E55"/>
    <w:rsid w:val="0042759B"/>
    <w:rsid w:val="0043108B"/>
    <w:rsid w:val="0043232B"/>
    <w:rsid w:val="00435D5E"/>
    <w:rsid w:val="0044686F"/>
    <w:rsid w:val="00455A90"/>
    <w:rsid w:val="00465557"/>
    <w:rsid w:val="00470DDE"/>
    <w:rsid w:val="00475BA1"/>
    <w:rsid w:val="00482E3A"/>
    <w:rsid w:val="004836A0"/>
    <w:rsid w:val="00492643"/>
    <w:rsid w:val="004A0653"/>
    <w:rsid w:val="004A077C"/>
    <w:rsid w:val="004A560C"/>
    <w:rsid w:val="004A67FF"/>
    <w:rsid w:val="004B1901"/>
    <w:rsid w:val="004B3664"/>
    <w:rsid w:val="004B4CFE"/>
    <w:rsid w:val="004C4392"/>
    <w:rsid w:val="004E3D37"/>
    <w:rsid w:val="00503BB0"/>
    <w:rsid w:val="00504AC4"/>
    <w:rsid w:val="00510F36"/>
    <w:rsid w:val="00513ACC"/>
    <w:rsid w:val="0051638A"/>
    <w:rsid w:val="0052524D"/>
    <w:rsid w:val="0052622E"/>
    <w:rsid w:val="005348F3"/>
    <w:rsid w:val="00534A10"/>
    <w:rsid w:val="00541ACC"/>
    <w:rsid w:val="005429D1"/>
    <w:rsid w:val="00543767"/>
    <w:rsid w:val="0055176D"/>
    <w:rsid w:val="00560D4C"/>
    <w:rsid w:val="0056134C"/>
    <w:rsid w:val="005663A8"/>
    <w:rsid w:val="005679FE"/>
    <w:rsid w:val="00580C43"/>
    <w:rsid w:val="00583957"/>
    <w:rsid w:val="00597CE9"/>
    <w:rsid w:val="005A1B4D"/>
    <w:rsid w:val="005A5CFC"/>
    <w:rsid w:val="005B790B"/>
    <w:rsid w:val="005D5691"/>
    <w:rsid w:val="005E471F"/>
    <w:rsid w:val="005E58CC"/>
    <w:rsid w:val="005E670E"/>
    <w:rsid w:val="005F2AEE"/>
    <w:rsid w:val="005F4C7D"/>
    <w:rsid w:val="00604772"/>
    <w:rsid w:val="006065B8"/>
    <w:rsid w:val="00615DE7"/>
    <w:rsid w:val="00625CF7"/>
    <w:rsid w:val="0063408E"/>
    <w:rsid w:val="00635DF7"/>
    <w:rsid w:val="00642A49"/>
    <w:rsid w:val="00643F28"/>
    <w:rsid w:val="0065014A"/>
    <w:rsid w:val="006920A4"/>
    <w:rsid w:val="006A47EE"/>
    <w:rsid w:val="006A7257"/>
    <w:rsid w:val="006B30B5"/>
    <w:rsid w:val="006B37E2"/>
    <w:rsid w:val="006B5EAC"/>
    <w:rsid w:val="006D1ED9"/>
    <w:rsid w:val="006D5E41"/>
    <w:rsid w:val="006E57F0"/>
    <w:rsid w:val="006E6934"/>
    <w:rsid w:val="006F1F51"/>
    <w:rsid w:val="006F46D6"/>
    <w:rsid w:val="007034CF"/>
    <w:rsid w:val="00703569"/>
    <w:rsid w:val="0070463E"/>
    <w:rsid w:val="00711317"/>
    <w:rsid w:val="007266A2"/>
    <w:rsid w:val="00727909"/>
    <w:rsid w:val="00730004"/>
    <w:rsid w:val="0074159D"/>
    <w:rsid w:val="007433AB"/>
    <w:rsid w:val="00745951"/>
    <w:rsid w:val="00747B89"/>
    <w:rsid w:val="007576A3"/>
    <w:rsid w:val="00792192"/>
    <w:rsid w:val="00793571"/>
    <w:rsid w:val="00793E6B"/>
    <w:rsid w:val="00795307"/>
    <w:rsid w:val="007B1DD7"/>
    <w:rsid w:val="007B3B24"/>
    <w:rsid w:val="007C130D"/>
    <w:rsid w:val="007D33E6"/>
    <w:rsid w:val="007E0111"/>
    <w:rsid w:val="007E485C"/>
    <w:rsid w:val="007E6E4C"/>
    <w:rsid w:val="007F0B52"/>
    <w:rsid w:val="007F1068"/>
    <w:rsid w:val="007F7587"/>
    <w:rsid w:val="008003E4"/>
    <w:rsid w:val="00801924"/>
    <w:rsid w:val="00801F75"/>
    <w:rsid w:val="00802A9C"/>
    <w:rsid w:val="0080354D"/>
    <w:rsid w:val="00810193"/>
    <w:rsid w:val="008101C5"/>
    <w:rsid w:val="00812E24"/>
    <w:rsid w:val="00814D63"/>
    <w:rsid w:val="00815004"/>
    <w:rsid w:val="008217DC"/>
    <w:rsid w:val="008218EC"/>
    <w:rsid w:val="00827F56"/>
    <w:rsid w:val="008308E3"/>
    <w:rsid w:val="0083163B"/>
    <w:rsid w:val="0084744A"/>
    <w:rsid w:val="00852F7D"/>
    <w:rsid w:val="0085480E"/>
    <w:rsid w:val="008558F2"/>
    <w:rsid w:val="008678F6"/>
    <w:rsid w:val="008709A9"/>
    <w:rsid w:val="00871A47"/>
    <w:rsid w:val="008750D1"/>
    <w:rsid w:val="0087521A"/>
    <w:rsid w:val="00876BB2"/>
    <w:rsid w:val="008815D5"/>
    <w:rsid w:val="00886FE7"/>
    <w:rsid w:val="00891D9D"/>
    <w:rsid w:val="008A51F8"/>
    <w:rsid w:val="008A5F73"/>
    <w:rsid w:val="008B15D6"/>
    <w:rsid w:val="008B2FD8"/>
    <w:rsid w:val="008B31AB"/>
    <w:rsid w:val="008C2655"/>
    <w:rsid w:val="008D3FB8"/>
    <w:rsid w:val="008E29F5"/>
    <w:rsid w:val="008E3D91"/>
    <w:rsid w:val="008E419B"/>
    <w:rsid w:val="008E5622"/>
    <w:rsid w:val="008E743C"/>
    <w:rsid w:val="008F5927"/>
    <w:rsid w:val="00910DC2"/>
    <w:rsid w:val="009140F1"/>
    <w:rsid w:val="009358ED"/>
    <w:rsid w:val="009376AA"/>
    <w:rsid w:val="00942C1D"/>
    <w:rsid w:val="00945561"/>
    <w:rsid w:val="00947DFC"/>
    <w:rsid w:val="00950B59"/>
    <w:rsid w:val="009515DB"/>
    <w:rsid w:val="009570C3"/>
    <w:rsid w:val="00957C09"/>
    <w:rsid w:val="00961628"/>
    <w:rsid w:val="00964452"/>
    <w:rsid w:val="0096637B"/>
    <w:rsid w:val="00977345"/>
    <w:rsid w:val="00996BE6"/>
    <w:rsid w:val="009B356E"/>
    <w:rsid w:val="009B5C6C"/>
    <w:rsid w:val="009B7492"/>
    <w:rsid w:val="009C20B6"/>
    <w:rsid w:val="009C5F11"/>
    <w:rsid w:val="009D5E48"/>
    <w:rsid w:val="009D725B"/>
    <w:rsid w:val="009E02BE"/>
    <w:rsid w:val="009E2544"/>
    <w:rsid w:val="009E65A6"/>
    <w:rsid w:val="009F36FA"/>
    <w:rsid w:val="00A121C2"/>
    <w:rsid w:val="00A12A7C"/>
    <w:rsid w:val="00A21F6A"/>
    <w:rsid w:val="00A23AE9"/>
    <w:rsid w:val="00A27D70"/>
    <w:rsid w:val="00A31154"/>
    <w:rsid w:val="00A447CF"/>
    <w:rsid w:val="00A51E96"/>
    <w:rsid w:val="00A54FAF"/>
    <w:rsid w:val="00A62199"/>
    <w:rsid w:val="00A64AC9"/>
    <w:rsid w:val="00A70BC5"/>
    <w:rsid w:val="00A72A85"/>
    <w:rsid w:val="00A76767"/>
    <w:rsid w:val="00A80BAC"/>
    <w:rsid w:val="00A912EC"/>
    <w:rsid w:val="00A92654"/>
    <w:rsid w:val="00AB1CD3"/>
    <w:rsid w:val="00AB28AD"/>
    <w:rsid w:val="00AB2A76"/>
    <w:rsid w:val="00AB2DD8"/>
    <w:rsid w:val="00AB3217"/>
    <w:rsid w:val="00AB4600"/>
    <w:rsid w:val="00AC028D"/>
    <w:rsid w:val="00AC317F"/>
    <w:rsid w:val="00AC5744"/>
    <w:rsid w:val="00AC5929"/>
    <w:rsid w:val="00AE0A83"/>
    <w:rsid w:val="00AE5EAC"/>
    <w:rsid w:val="00AF2DD7"/>
    <w:rsid w:val="00AF3AC5"/>
    <w:rsid w:val="00AF3C03"/>
    <w:rsid w:val="00AF4511"/>
    <w:rsid w:val="00B03D9E"/>
    <w:rsid w:val="00B2096D"/>
    <w:rsid w:val="00B32E15"/>
    <w:rsid w:val="00B33C2F"/>
    <w:rsid w:val="00B34657"/>
    <w:rsid w:val="00B47E98"/>
    <w:rsid w:val="00B527E4"/>
    <w:rsid w:val="00B6205D"/>
    <w:rsid w:val="00B623B9"/>
    <w:rsid w:val="00B75E74"/>
    <w:rsid w:val="00B93E94"/>
    <w:rsid w:val="00B94A45"/>
    <w:rsid w:val="00B95205"/>
    <w:rsid w:val="00BA0074"/>
    <w:rsid w:val="00BB0444"/>
    <w:rsid w:val="00BB4284"/>
    <w:rsid w:val="00BB5E15"/>
    <w:rsid w:val="00BC4841"/>
    <w:rsid w:val="00BD0DDE"/>
    <w:rsid w:val="00BE07FA"/>
    <w:rsid w:val="00BE2392"/>
    <w:rsid w:val="00BE257E"/>
    <w:rsid w:val="00BE2C42"/>
    <w:rsid w:val="00BE7E2A"/>
    <w:rsid w:val="00BF43E0"/>
    <w:rsid w:val="00C02ECB"/>
    <w:rsid w:val="00C051AA"/>
    <w:rsid w:val="00C0629A"/>
    <w:rsid w:val="00C11EC1"/>
    <w:rsid w:val="00C14741"/>
    <w:rsid w:val="00C147AD"/>
    <w:rsid w:val="00C44487"/>
    <w:rsid w:val="00C501A7"/>
    <w:rsid w:val="00C52373"/>
    <w:rsid w:val="00C54E74"/>
    <w:rsid w:val="00C558D3"/>
    <w:rsid w:val="00C60DAD"/>
    <w:rsid w:val="00C62A1A"/>
    <w:rsid w:val="00C719A0"/>
    <w:rsid w:val="00C71BCB"/>
    <w:rsid w:val="00C73E4D"/>
    <w:rsid w:val="00C80451"/>
    <w:rsid w:val="00C95955"/>
    <w:rsid w:val="00C96444"/>
    <w:rsid w:val="00CB296D"/>
    <w:rsid w:val="00CD4987"/>
    <w:rsid w:val="00CD4FE5"/>
    <w:rsid w:val="00CE526F"/>
    <w:rsid w:val="00CE7906"/>
    <w:rsid w:val="00CF37AE"/>
    <w:rsid w:val="00CF660E"/>
    <w:rsid w:val="00D0574B"/>
    <w:rsid w:val="00D15FE0"/>
    <w:rsid w:val="00D24BCB"/>
    <w:rsid w:val="00D25198"/>
    <w:rsid w:val="00D34F70"/>
    <w:rsid w:val="00D37820"/>
    <w:rsid w:val="00D40BAC"/>
    <w:rsid w:val="00D44A79"/>
    <w:rsid w:val="00D5650A"/>
    <w:rsid w:val="00D60297"/>
    <w:rsid w:val="00D61272"/>
    <w:rsid w:val="00D713D9"/>
    <w:rsid w:val="00D71BDE"/>
    <w:rsid w:val="00D75543"/>
    <w:rsid w:val="00D7624B"/>
    <w:rsid w:val="00DA1704"/>
    <w:rsid w:val="00DA7C53"/>
    <w:rsid w:val="00DB6CCB"/>
    <w:rsid w:val="00DF1562"/>
    <w:rsid w:val="00DF26CE"/>
    <w:rsid w:val="00DF43F3"/>
    <w:rsid w:val="00DF449B"/>
    <w:rsid w:val="00E0161D"/>
    <w:rsid w:val="00E1603C"/>
    <w:rsid w:val="00E23E72"/>
    <w:rsid w:val="00E26CBD"/>
    <w:rsid w:val="00E27F9B"/>
    <w:rsid w:val="00E34CF3"/>
    <w:rsid w:val="00E43C48"/>
    <w:rsid w:val="00E500E2"/>
    <w:rsid w:val="00E51E52"/>
    <w:rsid w:val="00E60FE6"/>
    <w:rsid w:val="00E664C3"/>
    <w:rsid w:val="00E743A8"/>
    <w:rsid w:val="00E76DFA"/>
    <w:rsid w:val="00E8225D"/>
    <w:rsid w:val="00E85B6F"/>
    <w:rsid w:val="00E96258"/>
    <w:rsid w:val="00EA2165"/>
    <w:rsid w:val="00EA3B2C"/>
    <w:rsid w:val="00EA4997"/>
    <w:rsid w:val="00EB2981"/>
    <w:rsid w:val="00EB2C58"/>
    <w:rsid w:val="00EC1AF9"/>
    <w:rsid w:val="00EC1EC1"/>
    <w:rsid w:val="00EC2430"/>
    <w:rsid w:val="00EC3576"/>
    <w:rsid w:val="00EC533A"/>
    <w:rsid w:val="00ED0559"/>
    <w:rsid w:val="00ED19E5"/>
    <w:rsid w:val="00ED5F3C"/>
    <w:rsid w:val="00EE5C0B"/>
    <w:rsid w:val="00EF3399"/>
    <w:rsid w:val="00EF6533"/>
    <w:rsid w:val="00F00A14"/>
    <w:rsid w:val="00F10C5A"/>
    <w:rsid w:val="00F118FE"/>
    <w:rsid w:val="00F11C38"/>
    <w:rsid w:val="00F14F34"/>
    <w:rsid w:val="00F20922"/>
    <w:rsid w:val="00F22167"/>
    <w:rsid w:val="00F42236"/>
    <w:rsid w:val="00F4522D"/>
    <w:rsid w:val="00F52E6E"/>
    <w:rsid w:val="00F63F7D"/>
    <w:rsid w:val="00F66FCA"/>
    <w:rsid w:val="00F8656C"/>
    <w:rsid w:val="00F878EB"/>
    <w:rsid w:val="00FA2C92"/>
    <w:rsid w:val="00FA3841"/>
    <w:rsid w:val="00FA3D74"/>
    <w:rsid w:val="00FA4B2E"/>
    <w:rsid w:val="00FA4D2F"/>
    <w:rsid w:val="00FB48AA"/>
    <w:rsid w:val="00FB510B"/>
    <w:rsid w:val="00FC57C9"/>
    <w:rsid w:val="00FC7183"/>
    <w:rsid w:val="00FD1F93"/>
    <w:rsid w:val="00FD4AFC"/>
    <w:rsid w:val="00FD64A6"/>
    <w:rsid w:val="00FF02A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5650A"/>
    <w:pPr>
      <w:spacing w:after="200" w:line="276" w:lineRule="auto"/>
    </w:pPr>
    <w:rPr>
      <w:rFonts w:ascii="Times New Roman" w:hAnsi="Times New Roman"/>
      <w:sz w:val="24"/>
      <w:szCs w:val="24"/>
      <w:lang w:val="en-GB"/>
    </w:rPr>
  </w:style>
  <w:style w:type="paragraph" w:styleId="Heading1">
    <w:name w:val="heading 1"/>
    <w:basedOn w:val="Normal"/>
    <w:next w:val="Normal"/>
    <w:link w:val="Heading1Char"/>
    <w:uiPriority w:val="99"/>
    <w:qFormat/>
    <w:rsid w:val="00D5650A"/>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9"/>
    <w:qFormat/>
    <w:rsid w:val="00D5650A"/>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9"/>
    <w:qFormat/>
    <w:rsid w:val="00D5650A"/>
    <w:pPr>
      <w:keepNext/>
      <w:spacing w:before="240" w:after="60"/>
      <w:outlineLvl w:val="2"/>
    </w:pPr>
    <w:rPr>
      <w:rFonts w:eastAsia="Times New Roman"/>
      <w:bCs/>
      <w:szCs w:val="26"/>
      <w:u w:val="singl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5650A"/>
    <w:rPr>
      <w:rFonts w:ascii="Cambria" w:hAnsi="Cambria" w:cs="Times New Roman"/>
      <w:b/>
      <w:bCs/>
      <w:kern w:val="32"/>
      <w:sz w:val="32"/>
      <w:szCs w:val="32"/>
      <w:lang w:val="en-GB"/>
    </w:rPr>
  </w:style>
  <w:style w:type="character" w:customStyle="1" w:styleId="Heading2Char">
    <w:name w:val="Heading 2 Char"/>
    <w:basedOn w:val="DefaultParagraphFont"/>
    <w:link w:val="Heading2"/>
    <w:uiPriority w:val="99"/>
    <w:locked/>
    <w:rsid w:val="00D5650A"/>
    <w:rPr>
      <w:rFonts w:ascii="Cambria" w:hAnsi="Cambria" w:cs="Times New Roman"/>
      <w:b/>
      <w:bCs/>
      <w:i/>
      <w:iCs/>
      <w:sz w:val="28"/>
      <w:szCs w:val="28"/>
      <w:lang w:val="en-GB"/>
    </w:rPr>
  </w:style>
  <w:style w:type="character" w:customStyle="1" w:styleId="Heading3Char">
    <w:name w:val="Heading 3 Char"/>
    <w:basedOn w:val="DefaultParagraphFont"/>
    <w:link w:val="Heading3"/>
    <w:uiPriority w:val="99"/>
    <w:locked/>
    <w:rsid w:val="00D5650A"/>
    <w:rPr>
      <w:rFonts w:ascii="Times New Roman" w:hAnsi="Times New Roman" w:cs="Times New Roman"/>
      <w:bCs/>
      <w:sz w:val="26"/>
      <w:szCs w:val="26"/>
      <w:u w:val="single"/>
      <w:lang w:val="en-GB"/>
    </w:rPr>
  </w:style>
  <w:style w:type="paragraph" w:styleId="NoSpacing">
    <w:name w:val="No Spacing"/>
    <w:link w:val="NoSpacingChar"/>
    <w:uiPriority w:val="99"/>
    <w:qFormat/>
    <w:rsid w:val="00D5650A"/>
    <w:rPr>
      <w:rFonts w:ascii="Times New Roman" w:hAnsi="Times New Roman"/>
      <w:sz w:val="24"/>
      <w:lang w:val="en-GB"/>
    </w:rPr>
  </w:style>
  <w:style w:type="table" w:styleId="TableGrid">
    <w:name w:val="Table Grid"/>
    <w:basedOn w:val="TableNormal"/>
    <w:uiPriority w:val="99"/>
    <w:rsid w:val="00D5650A"/>
    <w:rPr>
      <w:rFonts w:ascii="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D5650A"/>
    <w:rPr>
      <w:rFonts w:cs="Times New Roman"/>
      <w:color w:val="0000FF"/>
      <w:u w:val="single"/>
    </w:rPr>
  </w:style>
  <w:style w:type="character" w:customStyle="1" w:styleId="mw-headline">
    <w:name w:val="mw-headline"/>
    <w:basedOn w:val="DefaultParagraphFont"/>
    <w:uiPriority w:val="99"/>
    <w:rsid w:val="00D5650A"/>
    <w:rPr>
      <w:rFonts w:cs="Times New Roman"/>
    </w:rPr>
  </w:style>
  <w:style w:type="paragraph" w:styleId="NormalWeb">
    <w:name w:val="Normal (Web)"/>
    <w:basedOn w:val="Normal"/>
    <w:uiPriority w:val="99"/>
    <w:rsid w:val="00D5650A"/>
    <w:pPr>
      <w:spacing w:before="100" w:beforeAutospacing="1" w:after="100" w:afterAutospacing="1" w:line="240" w:lineRule="auto"/>
    </w:pPr>
    <w:rPr>
      <w:rFonts w:eastAsia="Times New Roman"/>
      <w:lang w:val="nl-NL" w:eastAsia="nl-NL"/>
    </w:rPr>
  </w:style>
  <w:style w:type="character" w:customStyle="1" w:styleId="mw-formatted-date">
    <w:name w:val="mw-formatted-date"/>
    <w:basedOn w:val="DefaultParagraphFont"/>
    <w:uiPriority w:val="99"/>
    <w:rsid w:val="00D5650A"/>
    <w:rPr>
      <w:rFonts w:cs="Times New Roman"/>
    </w:rPr>
  </w:style>
  <w:style w:type="paragraph" w:customStyle="1" w:styleId="Default">
    <w:name w:val="Default"/>
    <w:uiPriority w:val="99"/>
    <w:rsid w:val="00D5650A"/>
    <w:pPr>
      <w:autoSpaceDE w:val="0"/>
      <w:autoSpaceDN w:val="0"/>
      <w:adjustRightInd w:val="0"/>
    </w:pPr>
    <w:rPr>
      <w:rFonts w:ascii="Vectora LH Roman" w:hAnsi="Vectora LH Roman" w:cs="Vectora LH Roman"/>
      <w:color w:val="000000"/>
      <w:sz w:val="24"/>
      <w:szCs w:val="24"/>
      <w:lang w:val="nl-NL" w:eastAsia="nl-NL"/>
    </w:rPr>
  </w:style>
  <w:style w:type="character" w:styleId="FollowedHyperlink">
    <w:name w:val="FollowedHyperlink"/>
    <w:basedOn w:val="DefaultParagraphFont"/>
    <w:uiPriority w:val="99"/>
    <w:semiHidden/>
    <w:rsid w:val="00D5650A"/>
    <w:rPr>
      <w:rFonts w:cs="Times New Roman"/>
      <w:color w:val="800080"/>
      <w:u w:val="single"/>
    </w:rPr>
  </w:style>
  <w:style w:type="character" w:styleId="HTMLCite">
    <w:name w:val="HTML Cite"/>
    <w:basedOn w:val="DefaultParagraphFont"/>
    <w:uiPriority w:val="99"/>
    <w:semiHidden/>
    <w:rsid w:val="00D5650A"/>
    <w:rPr>
      <w:rFonts w:cs="Times New Roman"/>
    </w:rPr>
  </w:style>
  <w:style w:type="character" w:customStyle="1" w:styleId="printonly">
    <w:name w:val="printonly"/>
    <w:basedOn w:val="DefaultParagraphFont"/>
    <w:uiPriority w:val="99"/>
    <w:rsid w:val="00D5650A"/>
    <w:rPr>
      <w:rFonts w:cs="Times New Roman"/>
    </w:rPr>
  </w:style>
  <w:style w:type="character" w:customStyle="1" w:styleId="reference-accessdate">
    <w:name w:val="reference-accessdate"/>
    <w:basedOn w:val="DefaultParagraphFont"/>
    <w:uiPriority w:val="99"/>
    <w:rsid w:val="00D5650A"/>
    <w:rPr>
      <w:rFonts w:cs="Times New Roman"/>
    </w:rPr>
  </w:style>
  <w:style w:type="character" w:customStyle="1" w:styleId="citation">
    <w:name w:val="citation"/>
    <w:uiPriority w:val="99"/>
    <w:rsid w:val="00D5650A"/>
  </w:style>
  <w:style w:type="character" w:customStyle="1" w:styleId="scaps">
    <w:name w:val="scaps"/>
    <w:uiPriority w:val="99"/>
    <w:rsid w:val="00D5650A"/>
  </w:style>
  <w:style w:type="paragraph" w:styleId="BalloonText">
    <w:name w:val="Balloon Text"/>
    <w:basedOn w:val="Normal"/>
    <w:link w:val="BalloonTextChar"/>
    <w:uiPriority w:val="99"/>
    <w:semiHidden/>
    <w:rsid w:val="00D5650A"/>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D5650A"/>
    <w:rPr>
      <w:rFonts w:ascii="Tahoma" w:eastAsia="Times New Roman" w:hAnsi="Tahoma" w:cs="Times New Roman"/>
      <w:sz w:val="16"/>
      <w:szCs w:val="16"/>
      <w:lang w:val="en-GB"/>
    </w:rPr>
  </w:style>
  <w:style w:type="character" w:customStyle="1" w:styleId="undefined">
    <w:name w:val="undefined"/>
    <w:uiPriority w:val="99"/>
    <w:rsid w:val="00D5650A"/>
  </w:style>
  <w:style w:type="character" w:styleId="Strong">
    <w:name w:val="Strong"/>
    <w:basedOn w:val="DefaultParagraphFont"/>
    <w:uiPriority w:val="99"/>
    <w:qFormat/>
    <w:rsid w:val="00D5650A"/>
    <w:rPr>
      <w:rFonts w:cs="Times New Roman"/>
      <w:b/>
    </w:rPr>
  </w:style>
  <w:style w:type="character" w:customStyle="1" w:styleId="NoSpacingChar">
    <w:name w:val="No Spacing Char"/>
    <w:link w:val="NoSpacing"/>
    <w:uiPriority w:val="99"/>
    <w:locked/>
    <w:rsid w:val="00D5650A"/>
    <w:rPr>
      <w:rFonts w:ascii="Times New Roman" w:eastAsia="Times New Roman" w:hAnsi="Times New Roman"/>
      <w:sz w:val="22"/>
      <w:lang w:val="en-GB"/>
    </w:rPr>
  </w:style>
  <w:style w:type="paragraph" w:styleId="Header">
    <w:name w:val="header"/>
    <w:basedOn w:val="Normal"/>
    <w:link w:val="HeaderChar"/>
    <w:uiPriority w:val="99"/>
    <w:rsid w:val="00D5650A"/>
    <w:pPr>
      <w:tabs>
        <w:tab w:val="center" w:pos="4536"/>
        <w:tab w:val="right" w:pos="9072"/>
      </w:tabs>
    </w:pPr>
  </w:style>
  <w:style w:type="character" w:customStyle="1" w:styleId="HeaderChar">
    <w:name w:val="Header Char"/>
    <w:basedOn w:val="DefaultParagraphFont"/>
    <w:link w:val="Header"/>
    <w:uiPriority w:val="99"/>
    <w:locked/>
    <w:rsid w:val="00D5650A"/>
    <w:rPr>
      <w:rFonts w:ascii="Times New Roman" w:eastAsia="Times New Roman" w:hAnsi="Times New Roman" w:cs="Times New Roman"/>
      <w:sz w:val="24"/>
      <w:szCs w:val="24"/>
      <w:lang w:val="en-GB"/>
    </w:rPr>
  </w:style>
  <w:style w:type="paragraph" w:styleId="Footer">
    <w:name w:val="footer"/>
    <w:basedOn w:val="Normal"/>
    <w:link w:val="FooterChar"/>
    <w:uiPriority w:val="99"/>
    <w:rsid w:val="00D5650A"/>
    <w:pPr>
      <w:tabs>
        <w:tab w:val="center" w:pos="4536"/>
        <w:tab w:val="right" w:pos="9072"/>
      </w:tabs>
    </w:pPr>
  </w:style>
  <w:style w:type="character" w:customStyle="1" w:styleId="FooterChar">
    <w:name w:val="Footer Char"/>
    <w:basedOn w:val="DefaultParagraphFont"/>
    <w:link w:val="Footer"/>
    <w:uiPriority w:val="99"/>
    <w:locked/>
    <w:rsid w:val="00D5650A"/>
    <w:rPr>
      <w:rFonts w:ascii="Times New Roman" w:eastAsia="Times New Roman" w:hAnsi="Times New Roman" w:cs="Times New Roman"/>
      <w:sz w:val="24"/>
      <w:szCs w:val="24"/>
      <w:lang w:val="en-GB"/>
    </w:rPr>
  </w:style>
  <w:style w:type="paragraph" w:styleId="TOCHeading">
    <w:name w:val="TOC Heading"/>
    <w:basedOn w:val="Heading1"/>
    <w:next w:val="Normal"/>
    <w:uiPriority w:val="99"/>
    <w:qFormat/>
    <w:rsid w:val="00D5650A"/>
    <w:pPr>
      <w:keepLines/>
      <w:spacing w:before="480" w:after="0"/>
      <w:outlineLvl w:val="9"/>
    </w:pPr>
    <w:rPr>
      <w:color w:val="365F91"/>
      <w:kern w:val="0"/>
      <w:sz w:val="28"/>
      <w:szCs w:val="28"/>
      <w:lang w:val="nl-NL" w:eastAsia="nl-NL"/>
    </w:rPr>
  </w:style>
  <w:style w:type="paragraph" w:styleId="TOC1">
    <w:name w:val="toc 1"/>
    <w:basedOn w:val="Normal"/>
    <w:next w:val="Normal"/>
    <w:autoRedefine/>
    <w:uiPriority w:val="99"/>
    <w:rsid w:val="00D5650A"/>
    <w:pPr>
      <w:tabs>
        <w:tab w:val="left" w:pos="440"/>
        <w:tab w:val="right" w:leader="dot" w:pos="9062"/>
      </w:tabs>
    </w:pPr>
    <w:rPr>
      <w:b/>
      <w:noProof/>
    </w:rPr>
  </w:style>
  <w:style w:type="paragraph" w:styleId="TOC2">
    <w:name w:val="toc 2"/>
    <w:basedOn w:val="Normal"/>
    <w:next w:val="Normal"/>
    <w:autoRedefine/>
    <w:uiPriority w:val="99"/>
    <w:rsid w:val="00D5650A"/>
    <w:pPr>
      <w:tabs>
        <w:tab w:val="right" w:leader="dot" w:pos="9062"/>
      </w:tabs>
      <w:ind w:left="240"/>
    </w:pPr>
    <w:rPr>
      <w:noProof/>
    </w:rPr>
  </w:style>
  <w:style w:type="paragraph" w:styleId="TOC3">
    <w:name w:val="toc 3"/>
    <w:basedOn w:val="Normal"/>
    <w:next w:val="Normal"/>
    <w:autoRedefine/>
    <w:uiPriority w:val="99"/>
    <w:rsid w:val="00D5650A"/>
    <w:pPr>
      <w:ind w:left="480"/>
    </w:pPr>
  </w:style>
  <w:style w:type="paragraph" w:styleId="Revision">
    <w:name w:val="Revision"/>
    <w:hidden/>
    <w:uiPriority w:val="99"/>
    <w:semiHidden/>
    <w:rsid w:val="00D5650A"/>
    <w:rPr>
      <w:rFonts w:ascii="Times New Roman" w:hAnsi="Times New Roman"/>
      <w:sz w:val="24"/>
      <w:szCs w:val="24"/>
      <w:lang w:val="en-GB"/>
    </w:rPr>
  </w:style>
  <w:style w:type="paragraph" w:styleId="FootnoteText">
    <w:name w:val="footnote text"/>
    <w:basedOn w:val="Normal"/>
    <w:link w:val="FootnoteTextChar"/>
    <w:uiPriority w:val="99"/>
    <w:semiHidden/>
    <w:rsid w:val="00D5650A"/>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D5650A"/>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rsid w:val="00D5650A"/>
    <w:rPr>
      <w:rFonts w:cs="Times New Roman"/>
      <w:vertAlign w:val="superscript"/>
    </w:rPr>
  </w:style>
  <w:style w:type="character" w:customStyle="1" w:styleId="gray1">
    <w:name w:val="gray1"/>
    <w:basedOn w:val="DefaultParagraphFont"/>
    <w:uiPriority w:val="99"/>
    <w:rsid w:val="00D5650A"/>
    <w:rPr>
      <w:rFonts w:cs="Times New Roman"/>
      <w:color w:val="808080"/>
    </w:rPr>
  </w:style>
  <w:style w:type="paragraph" w:styleId="ListParagraph">
    <w:name w:val="List Paragraph"/>
    <w:basedOn w:val="Normal"/>
    <w:uiPriority w:val="99"/>
    <w:qFormat/>
    <w:rsid w:val="00D5650A"/>
    <w:pPr>
      <w:ind w:left="720"/>
      <w:contextualSpacing/>
    </w:pPr>
  </w:style>
  <w:style w:type="character" w:styleId="Emphasis">
    <w:name w:val="Emphasis"/>
    <w:basedOn w:val="DefaultParagraphFont"/>
    <w:uiPriority w:val="99"/>
    <w:qFormat/>
    <w:rsid w:val="008A51F8"/>
    <w:rPr>
      <w:rFonts w:cs="Times New Roman"/>
      <w:i/>
      <w:iCs/>
    </w:rPr>
  </w:style>
  <w:style w:type="paragraph" w:customStyle="1" w:styleId="defaultparagraph-1">
    <w:name w:val="defaultparagraph-1"/>
    <w:basedOn w:val="Normal"/>
    <w:uiPriority w:val="99"/>
    <w:rsid w:val="001D2203"/>
    <w:pPr>
      <w:spacing w:before="100" w:beforeAutospacing="1" w:after="100" w:afterAutospacing="1" w:line="240" w:lineRule="atLeast"/>
    </w:pPr>
    <w:rPr>
      <w:rFonts w:ascii="Verdana" w:eastAsia="Times New Roman" w:hAnsi="Verdana"/>
      <w:color w:val="000000"/>
      <w:sz w:val="18"/>
      <w:szCs w:val="18"/>
      <w:lang w:val="nl-NL" w:eastAsia="nl-NL"/>
    </w:rPr>
  </w:style>
  <w:style w:type="character" w:customStyle="1" w:styleId="gsa1">
    <w:name w:val="gs_a1"/>
    <w:basedOn w:val="DefaultParagraphFont"/>
    <w:uiPriority w:val="99"/>
    <w:rsid w:val="000F5313"/>
    <w:rPr>
      <w:rFonts w:cs="Times New Roman"/>
      <w:color w:val="008000"/>
    </w:rPr>
  </w:style>
  <w:style w:type="character" w:customStyle="1" w:styleId="searchword">
    <w:name w:val="searchword"/>
    <w:basedOn w:val="DefaultParagraphFont"/>
    <w:uiPriority w:val="99"/>
    <w:rsid w:val="00C02ECB"/>
    <w:rPr>
      <w:rFonts w:cs="Times New Roman"/>
      <w:shd w:val="clear" w:color="auto" w:fill="FFFF00"/>
    </w:rPr>
  </w:style>
  <w:style w:type="paragraph" w:customStyle="1" w:styleId="TPR1stpagetitle">
    <w:name w:val="TPR1st page title"/>
    <w:basedOn w:val="Normal"/>
    <w:uiPriority w:val="99"/>
    <w:rsid w:val="005A1B4D"/>
    <w:pPr>
      <w:tabs>
        <w:tab w:val="left" w:pos="720"/>
      </w:tabs>
      <w:spacing w:after="0" w:line="240" w:lineRule="auto"/>
      <w:jc w:val="center"/>
    </w:pPr>
    <w:rPr>
      <w:rFonts w:eastAsia="Times New Roman"/>
      <w:b/>
      <w:kern w:val="36"/>
      <w:sz w:val="36"/>
      <w:szCs w:val="20"/>
    </w:rPr>
  </w:style>
</w:styles>
</file>

<file path=word/webSettings.xml><?xml version="1.0" encoding="utf-8"?>
<w:webSettings xmlns:r="http://schemas.openxmlformats.org/officeDocument/2006/relationships" xmlns:w="http://schemas.openxmlformats.org/wordprocessingml/2006/main">
  <w:divs>
    <w:div w:id="1421566385">
      <w:marLeft w:val="0"/>
      <w:marRight w:val="0"/>
      <w:marTop w:val="0"/>
      <w:marBottom w:val="0"/>
      <w:divBdr>
        <w:top w:val="none" w:sz="0" w:space="0" w:color="auto"/>
        <w:left w:val="none" w:sz="0" w:space="0" w:color="auto"/>
        <w:bottom w:val="none" w:sz="0" w:space="0" w:color="auto"/>
        <w:right w:val="none" w:sz="0" w:space="0" w:color="auto"/>
      </w:divBdr>
      <w:divsChild>
        <w:div w:id="1421566435">
          <w:marLeft w:val="0"/>
          <w:marRight w:val="3480"/>
          <w:marTop w:val="0"/>
          <w:marBottom w:val="0"/>
          <w:divBdr>
            <w:top w:val="none" w:sz="0" w:space="0" w:color="auto"/>
            <w:left w:val="none" w:sz="0" w:space="0" w:color="auto"/>
            <w:bottom w:val="none" w:sz="0" w:space="0" w:color="auto"/>
            <w:right w:val="none" w:sz="0" w:space="0" w:color="auto"/>
          </w:divBdr>
          <w:divsChild>
            <w:div w:id="1421566410">
              <w:marLeft w:val="120"/>
              <w:marRight w:val="120"/>
              <w:marTop w:val="0"/>
              <w:marBottom w:val="360"/>
              <w:divBdr>
                <w:top w:val="none" w:sz="0" w:space="0" w:color="auto"/>
                <w:left w:val="none" w:sz="0" w:space="0" w:color="auto"/>
                <w:bottom w:val="none" w:sz="0" w:space="0" w:color="auto"/>
                <w:right w:val="none" w:sz="0" w:space="0" w:color="auto"/>
              </w:divBdr>
              <w:divsChild>
                <w:div w:id="1421566413">
                  <w:marLeft w:val="0"/>
                  <w:marRight w:val="0"/>
                  <w:marTop w:val="0"/>
                  <w:marBottom w:val="0"/>
                  <w:divBdr>
                    <w:top w:val="none" w:sz="0" w:space="0" w:color="auto"/>
                    <w:left w:val="none" w:sz="0" w:space="0" w:color="auto"/>
                    <w:bottom w:val="none" w:sz="0" w:space="0" w:color="auto"/>
                    <w:right w:val="none" w:sz="0" w:space="0" w:color="auto"/>
                  </w:divBdr>
                  <w:divsChild>
                    <w:div w:id="1421566445">
                      <w:marLeft w:val="0"/>
                      <w:marRight w:val="0"/>
                      <w:marTop w:val="0"/>
                      <w:marBottom w:val="0"/>
                      <w:divBdr>
                        <w:top w:val="none" w:sz="0" w:space="0" w:color="auto"/>
                        <w:left w:val="none" w:sz="0" w:space="0" w:color="auto"/>
                        <w:bottom w:val="none" w:sz="0" w:space="0" w:color="auto"/>
                        <w:right w:val="none" w:sz="0" w:space="0" w:color="auto"/>
                      </w:divBdr>
                      <w:divsChild>
                        <w:div w:id="1421566382">
                          <w:marLeft w:val="0"/>
                          <w:marRight w:val="0"/>
                          <w:marTop w:val="0"/>
                          <w:marBottom w:val="180"/>
                          <w:divBdr>
                            <w:top w:val="none" w:sz="0" w:space="0" w:color="auto"/>
                            <w:left w:val="none" w:sz="0" w:space="0" w:color="auto"/>
                            <w:bottom w:val="none" w:sz="0" w:space="0" w:color="auto"/>
                            <w:right w:val="none" w:sz="0" w:space="0" w:color="auto"/>
                          </w:divBdr>
                        </w:div>
                        <w:div w:id="1421566398">
                          <w:marLeft w:val="0"/>
                          <w:marRight w:val="180"/>
                          <w:marTop w:val="0"/>
                          <w:marBottom w:val="0"/>
                          <w:divBdr>
                            <w:top w:val="none" w:sz="0" w:space="0" w:color="auto"/>
                            <w:left w:val="none" w:sz="0" w:space="0" w:color="auto"/>
                            <w:bottom w:val="none" w:sz="0" w:space="0" w:color="auto"/>
                            <w:right w:val="none" w:sz="0" w:space="0" w:color="auto"/>
                          </w:divBdr>
                        </w:div>
                        <w:div w:id="1421566443">
                          <w:marLeft w:val="0"/>
                          <w:marRight w:val="0"/>
                          <w:marTop w:val="0"/>
                          <w:marBottom w:val="30"/>
                          <w:divBdr>
                            <w:top w:val="none" w:sz="0" w:space="0" w:color="auto"/>
                            <w:left w:val="none" w:sz="0" w:space="0" w:color="auto"/>
                            <w:bottom w:val="none" w:sz="0" w:space="0" w:color="auto"/>
                            <w:right w:val="none" w:sz="0" w:space="0" w:color="auto"/>
                          </w:divBdr>
                          <w:divsChild>
                            <w:div w:id="1421566409">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566391">
      <w:marLeft w:val="0"/>
      <w:marRight w:val="0"/>
      <w:marTop w:val="0"/>
      <w:marBottom w:val="0"/>
      <w:divBdr>
        <w:top w:val="none" w:sz="0" w:space="0" w:color="auto"/>
        <w:left w:val="none" w:sz="0" w:space="0" w:color="auto"/>
        <w:bottom w:val="none" w:sz="0" w:space="0" w:color="auto"/>
        <w:right w:val="none" w:sz="0" w:space="0" w:color="auto"/>
      </w:divBdr>
      <w:divsChild>
        <w:div w:id="1421566375">
          <w:marLeft w:val="0"/>
          <w:marRight w:val="0"/>
          <w:marTop w:val="0"/>
          <w:marBottom w:val="0"/>
          <w:divBdr>
            <w:top w:val="none" w:sz="0" w:space="0" w:color="auto"/>
            <w:left w:val="none" w:sz="0" w:space="0" w:color="auto"/>
            <w:bottom w:val="none" w:sz="0" w:space="0" w:color="auto"/>
            <w:right w:val="none" w:sz="0" w:space="0" w:color="auto"/>
          </w:divBdr>
          <w:divsChild>
            <w:div w:id="1421566425">
              <w:marLeft w:val="0"/>
              <w:marRight w:val="0"/>
              <w:marTop w:val="0"/>
              <w:marBottom w:val="0"/>
              <w:divBdr>
                <w:top w:val="none" w:sz="0" w:space="0" w:color="auto"/>
                <w:left w:val="none" w:sz="0" w:space="0" w:color="auto"/>
                <w:bottom w:val="none" w:sz="0" w:space="0" w:color="auto"/>
                <w:right w:val="none" w:sz="0" w:space="0" w:color="auto"/>
              </w:divBdr>
              <w:divsChild>
                <w:div w:id="1421566429">
                  <w:marLeft w:val="0"/>
                  <w:marRight w:val="0"/>
                  <w:marTop w:val="0"/>
                  <w:marBottom w:val="0"/>
                  <w:divBdr>
                    <w:top w:val="none" w:sz="0" w:space="0" w:color="auto"/>
                    <w:left w:val="none" w:sz="0" w:space="0" w:color="auto"/>
                    <w:bottom w:val="none" w:sz="0" w:space="0" w:color="auto"/>
                    <w:right w:val="none" w:sz="0" w:space="0" w:color="auto"/>
                  </w:divBdr>
                  <w:divsChild>
                    <w:div w:id="1421566432">
                      <w:marLeft w:val="0"/>
                      <w:marRight w:val="0"/>
                      <w:marTop w:val="0"/>
                      <w:marBottom w:val="0"/>
                      <w:divBdr>
                        <w:top w:val="single" w:sz="24" w:space="0" w:color="E8E8E8"/>
                        <w:left w:val="none" w:sz="0" w:space="0" w:color="auto"/>
                        <w:bottom w:val="none" w:sz="0" w:space="0" w:color="auto"/>
                        <w:right w:val="none" w:sz="0" w:space="0" w:color="auto"/>
                      </w:divBdr>
                      <w:divsChild>
                        <w:div w:id="1421566401">
                          <w:marLeft w:val="0"/>
                          <w:marRight w:val="5415"/>
                          <w:marTop w:val="0"/>
                          <w:marBottom w:val="0"/>
                          <w:divBdr>
                            <w:top w:val="none" w:sz="0" w:space="0" w:color="auto"/>
                            <w:left w:val="none" w:sz="0" w:space="0" w:color="auto"/>
                            <w:bottom w:val="none" w:sz="0" w:space="0" w:color="auto"/>
                            <w:right w:val="none" w:sz="0" w:space="0" w:color="auto"/>
                          </w:divBdr>
                          <w:divsChild>
                            <w:div w:id="1421566441">
                              <w:marLeft w:val="0"/>
                              <w:marRight w:val="0"/>
                              <w:marTop w:val="0"/>
                              <w:marBottom w:val="0"/>
                              <w:divBdr>
                                <w:top w:val="none" w:sz="0" w:space="0" w:color="auto"/>
                                <w:left w:val="none" w:sz="0" w:space="0" w:color="auto"/>
                                <w:bottom w:val="none" w:sz="0" w:space="0" w:color="auto"/>
                                <w:right w:val="none" w:sz="0" w:space="0" w:color="auto"/>
                              </w:divBdr>
                              <w:divsChild>
                                <w:div w:id="1421566442">
                                  <w:marLeft w:val="0"/>
                                  <w:marRight w:val="0"/>
                                  <w:marTop w:val="0"/>
                                  <w:marBottom w:val="0"/>
                                  <w:divBdr>
                                    <w:top w:val="single" w:sz="6" w:space="0" w:color="FFFFFF"/>
                                    <w:left w:val="none" w:sz="0" w:space="0" w:color="auto"/>
                                    <w:bottom w:val="none" w:sz="0" w:space="0" w:color="auto"/>
                                    <w:right w:val="none" w:sz="0" w:space="0" w:color="auto"/>
                                  </w:divBdr>
                                  <w:divsChild>
                                    <w:div w:id="1421566419">
                                      <w:marLeft w:val="0"/>
                                      <w:marRight w:val="0"/>
                                      <w:marTop w:val="0"/>
                                      <w:marBottom w:val="0"/>
                                      <w:divBdr>
                                        <w:top w:val="none" w:sz="0" w:space="0" w:color="auto"/>
                                        <w:left w:val="none" w:sz="0" w:space="0" w:color="auto"/>
                                        <w:bottom w:val="none" w:sz="0" w:space="0" w:color="auto"/>
                                        <w:right w:val="none" w:sz="0" w:space="0" w:color="auto"/>
                                      </w:divBdr>
                                      <w:divsChild>
                                        <w:div w:id="1421566399">
                                          <w:marLeft w:val="0"/>
                                          <w:marRight w:val="0"/>
                                          <w:marTop w:val="0"/>
                                          <w:marBottom w:val="0"/>
                                          <w:divBdr>
                                            <w:top w:val="none" w:sz="0" w:space="0" w:color="auto"/>
                                            <w:left w:val="none" w:sz="0" w:space="0" w:color="auto"/>
                                            <w:bottom w:val="none" w:sz="0" w:space="0" w:color="auto"/>
                                            <w:right w:val="none" w:sz="0" w:space="0" w:color="auto"/>
                                          </w:divBdr>
                                          <w:divsChild>
                                            <w:div w:id="1421566387">
                                              <w:marLeft w:val="0"/>
                                              <w:marRight w:val="0"/>
                                              <w:marTop w:val="0"/>
                                              <w:marBottom w:val="0"/>
                                              <w:divBdr>
                                                <w:top w:val="none" w:sz="0" w:space="0" w:color="auto"/>
                                                <w:left w:val="none" w:sz="0" w:space="0" w:color="auto"/>
                                                <w:bottom w:val="none" w:sz="0" w:space="0" w:color="auto"/>
                                                <w:right w:val="none" w:sz="0" w:space="0" w:color="auto"/>
                                              </w:divBdr>
                                              <w:divsChild>
                                                <w:div w:id="1421566440">
                                                  <w:marLeft w:val="45"/>
                                                  <w:marRight w:val="75"/>
                                                  <w:marTop w:val="0"/>
                                                  <w:marBottom w:val="0"/>
                                                  <w:divBdr>
                                                    <w:top w:val="none" w:sz="0" w:space="0" w:color="auto"/>
                                                    <w:left w:val="none" w:sz="0" w:space="0" w:color="auto"/>
                                                    <w:bottom w:val="none" w:sz="0" w:space="0" w:color="auto"/>
                                                    <w:right w:val="none" w:sz="0" w:space="0" w:color="auto"/>
                                                  </w:divBdr>
                                                  <w:divsChild>
                                                    <w:div w:id="1421566412">
                                                      <w:marLeft w:val="0"/>
                                                      <w:marRight w:val="0"/>
                                                      <w:marTop w:val="0"/>
                                                      <w:marBottom w:val="0"/>
                                                      <w:divBdr>
                                                        <w:top w:val="none" w:sz="0" w:space="0" w:color="auto"/>
                                                        <w:left w:val="none" w:sz="0" w:space="0" w:color="auto"/>
                                                        <w:bottom w:val="none" w:sz="0" w:space="0" w:color="auto"/>
                                                        <w:right w:val="none" w:sz="0" w:space="0" w:color="auto"/>
                                                      </w:divBdr>
                                                      <w:divsChild>
                                                        <w:div w:id="1421566381">
                                                          <w:marLeft w:val="0"/>
                                                          <w:marRight w:val="-24000"/>
                                                          <w:marTop w:val="0"/>
                                                          <w:marBottom w:val="0"/>
                                                          <w:divBdr>
                                                            <w:top w:val="none" w:sz="0" w:space="0" w:color="auto"/>
                                                            <w:left w:val="none" w:sz="0" w:space="0" w:color="auto"/>
                                                            <w:bottom w:val="none" w:sz="0" w:space="0" w:color="auto"/>
                                                            <w:right w:val="none" w:sz="0" w:space="0" w:color="auto"/>
                                                          </w:divBdr>
                                                          <w:divsChild>
                                                            <w:div w:id="1421566446">
                                                              <w:marLeft w:val="0"/>
                                                              <w:marRight w:val="0"/>
                                                              <w:marTop w:val="0"/>
                                                              <w:marBottom w:val="0"/>
                                                              <w:divBdr>
                                                                <w:top w:val="none" w:sz="0" w:space="0" w:color="auto"/>
                                                                <w:left w:val="none" w:sz="0" w:space="0" w:color="auto"/>
                                                                <w:bottom w:val="none" w:sz="0" w:space="0" w:color="auto"/>
                                                                <w:right w:val="none" w:sz="0" w:space="0" w:color="auto"/>
                                                              </w:divBdr>
                                                              <w:divsChild>
                                                                <w:div w:id="142156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21566405">
      <w:marLeft w:val="0"/>
      <w:marRight w:val="0"/>
      <w:marTop w:val="0"/>
      <w:marBottom w:val="0"/>
      <w:divBdr>
        <w:top w:val="none" w:sz="0" w:space="0" w:color="auto"/>
        <w:left w:val="none" w:sz="0" w:space="0" w:color="auto"/>
        <w:bottom w:val="none" w:sz="0" w:space="0" w:color="auto"/>
        <w:right w:val="none" w:sz="0" w:space="0" w:color="auto"/>
      </w:divBdr>
      <w:divsChild>
        <w:div w:id="1421566389">
          <w:marLeft w:val="0"/>
          <w:marRight w:val="0"/>
          <w:marTop w:val="100"/>
          <w:marBottom w:val="100"/>
          <w:divBdr>
            <w:top w:val="none" w:sz="0" w:space="0" w:color="auto"/>
            <w:left w:val="none" w:sz="0" w:space="0" w:color="auto"/>
            <w:bottom w:val="none" w:sz="0" w:space="0" w:color="auto"/>
            <w:right w:val="none" w:sz="0" w:space="0" w:color="auto"/>
          </w:divBdr>
          <w:divsChild>
            <w:div w:id="1421566384">
              <w:marLeft w:val="0"/>
              <w:marRight w:val="0"/>
              <w:marTop w:val="0"/>
              <w:marBottom w:val="0"/>
              <w:divBdr>
                <w:top w:val="none" w:sz="0" w:space="0" w:color="auto"/>
                <w:left w:val="none" w:sz="0" w:space="0" w:color="auto"/>
                <w:bottom w:val="none" w:sz="0" w:space="0" w:color="auto"/>
                <w:right w:val="none" w:sz="0" w:space="0" w:color="auto"/>
              </w:divBdr>
              <w:divsChild>
                <w:div w:id="1421566438">
                  <w:marLeft w:val="390"/>
                  <w:marRight w:val="390"/>
                  <w:marTop w:val="390"/>
                  <w:marBottom w:val="390"/>
                  <w:divBdr>
                    <w:top w:val="none" w:sz="0" w:space="0" w:color="auto"/>
                    <w:left w:val="none" w:sz="0" w:space="0" w:color="auto"/>
                    <w:bottom w:val="none" w:sz="0" w:space="0" w:color="auto"/>
                    <w:right w:val="none" w:sz="0" w:space="0" w:color="auto"/>
                  </w:divBdr>
                  <w:divsChild>
                    <w:div w:id="142156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566414">
      <w:marLeft w:val="150"/>
      <w:marRight w:val="150"/>
      <w:marTop w:val="75"/>
      <w:marBottom w:val="0"/>
      <w:divBdr>
        <w:top w:val="none" w:sz="0" w:space="0" w:color="auto"/>
        <w:left w:val="none" w:sz="0" w:space="0" w:color="auto"/>
        <w:bottom w:val="none" w:sz="0" w:space="0" w:color="auto"/>
        <w:right w:val="none" w:sz="0" w:space="0" w:color="auto"/>
      </w:divBdr>
      <w:divsChild>
        <w:div w:id="1421566411">
          <w:marLeft w:val="0"/>
          <w:marRight w:val="0"/>
          <w:marTop w:val="0"/>
          <w:marBottom w:val="0"/>
          <w:divBdr>
            <w:top w:val="none" w:sz="0" w:space="0" w:color="auto"/>
            <w:left w:val="none" w:sz="0" w:space="0" w:color="auto"/>
            <w:bottom w:val="none" w:sz="0" w:space="0" w:color="auto"/>
            <w:right w:val="none" w:sz="0" w:space="0" w:color="auto"/>
          </w:divBdr>
        </w:div>
      </w:divsChild>
    </w:div>
    <w:div w:id="1421566416">
      <w:marLeft w:val="0"/>
      <w:marRight w:val="0"/>
      <w:marTop w:val="0"/>
      <w:marBottom w:val="0"/>
      <w:divBdr>
        <w:top w:val="none" w:sz="0" w:space="0" w:color="auto"/>
        <w:left w:val="none" w:sz="0" w:space="0" w:color="auto"/>
        <w:bottom w:val="none" w:sz="0" w:space="0" w:color="auto"/>
        <w:right w:val="none" w:sz="0" w:space="0" w:color="auto"/>
      </w:divBdr>
      <w:divsChild>
        <w:div w:id="1421566393">
          <w:marLeft w:val="0"/>
          <w:marRight w:val="0"/>
          <w:marTop w:val="0"/>
          <w:marBottom w:val="0"/>
          <w:divBdr>
            <w:top w:val="none" w:sz="0" w:space="0" w:color="auto"/>
            <w:left w:val="none" w:sz="0" w:space="0" w:color="auto"/>
            <w:bottom w:val="none" w:sz="0" w:space="0" w:color="auto"/>
            <w:right w:val="none" w:sz="0" w:space="0" w:color="auto"/>
          </w:divBdr>
          <w:divsChild>
            <w:div w:id="1421566417">
              <w:marLeft w:val="0"/>
              <w:marRight w:val="0"/>
              <w:marTop w:val="0"/>
              <w:marBottom w:val="0"/>
              <w:divBdr>
                <w:top w:val="none" w:sz="0" w:space="0" w:color="auto"/>
                <w:left w:val="none" w:sz="0" w:space="0" w:color="auto"/>
                <w:bottom w:val="none" w:sz="0" w:space="0" w:color="auto"/>
                <w:right w:val="none" w:sz="0" w:space="0" w:color="auto"/>
              </w:divBdr>
              <w:divsChild>
                <w:div w:id="1421566426">
                  <w:marLeft w:val="0"/>
                  <w:marRight w:val="0"/>
                  <w:marTop w:val="0"/>
                  <w:marBottom w:val="0"/>
                  <w:divBdr>
                    <w:top w:val="none" w:sz="0" w:space="0" w:color="auto"/>
                    <w:left w:val="none" w:sz="0" w:space="0" w:color="auto"/>
                    <w:bottom w:val="none" w:sz="0" w:space="0" w:color="auto"/>
                    <w:right w:val="none" w:sz="0" w:space="0" w:color="auto"/>
                  </w:divBdr>
                  <w:divsChild>
                    <w:div w:id="1421566374">
                      <w:marLeft w:val="0"/>
                      <w:marRight w:val="0"/>
                      <w:marTop w:val="0"/>
                      <w:marBottom w:val="0"/>
                      <w:divBdr>
                        <w:top w:val="single" w:sz="24" w:space="0" w:color="E8E8E8"/>
                        <w:left w:val="none" w:sz="0" w:space="0" w:color="auto"/>
                        <w:bottom w:val="none" w:sz="0" w:space="0" w:color="auto"/>
                        <w:right w:val="none" w:sz="0" w:space="0" w:color="auto"/>
                      </w:divBdr>
                      <w:divsChild>
                        <w:div w:id="1421566390">
                          <w:marLeft w:val="0"/>
                          <w:marRight w:val="5415"/>
                          <w:marTop w:val="0"/>
                          <w:marBottom w:val="0"/>
                          <w:divBdr>
                            <w:top w:val="none" w:sz="0" w:space="0" w:color="auto"/>
                            <w:left w:val="none" w:sz="0" w:space="0" w:color="auto"/>
                            <w:bottom w:val="none" w:sz="0" w:space="0" w:color="auto"/>
                            <w:right w:val="none" w:sz="0" w:space="0" w:color="auto"/>
                          </w:divBdr>
                          <w:divsChild>
                            <w:div w:id="1421566395">
                              <w:marLeft w:val="0"/>
                              <w:marRight w:val="0"/>
                              <w:marTop w:val="0"/>
                              <w:marBottom w:val="0"/>
                              <w:divBdr>
                                <w:top w:val="none" w:sz="0" w:space="0" w:color="auto"/>
                                <w:left w:val="none" w:sz="0" w:space="0" w:color="auto"/>
                                <w:bottom w:val="none" w:sz="0" w:space="0" w:color="auto"/>
                                <w:right w:val="none" w:sz="0" w:space="0" w:color="auto"/>
                              </w:divBdr>
                              <w:divsChild>
                                <w:div w:id="1421566383">
                                  <w:marLeft w:val="0"/>
                                  <w:marRight w:val="0"/>
                                  <w:marTop w:val="0"/>
                                  <w:marBottom w:val="0"/>
                                  <w:divBdr>
                                    <w:top w:val="single" w:sz="6" w:space="0" w:color="FFFFFF"/>
                                    <w:left w:val="none" w:sz="0" w:space="0" w:color="auto"/>
                                    <w:bottom w:val="none" w:sz="0" w:space="0" w:color="auto"/>
                                    <w:right w:val="none" w:sz="0" w:space="0" w:color="auto"/>
                                  </w:divBdr>
                                  <w:divsChild>
                                    <w:div w:id="1421566436">
                                      <w:marLeft w:val="0"/>
                                      <w:marRight w:val="0"/>
                                      <w:marTop w:val="0"/>
                                      <w:marBottom w:val="0"/>
                                      <w:divBdr>
                                        <w:top w:val="none" w:sz="0" w:space="0" w:color="auto"/>
                                        <w:left w:val="none" w:sz="0" w:space="0" w:color="auto"/>
                                        <w:bottom w:val="none" w:sz="0" w:space="0" w:color="auto"/>
                                        <w:right w:val="none" w:sz="0" w:space="0" w:color="auto"/>
                                      </w:divBdr>
                                      <w:divsChild>
                                        <w:div w:id="1421566418">
                                          <w:marLeft w:val="0"/>
                                          <w:marRight w:val="0"/>
                                          <w:marTop w:val="0"/>
                                          <w:marBottom w:val="0"/>
                                          <w:divBdr>
                                            <w:top w:val="none" w:sz="0" w:space="0" w:color="auto"/>
                                            <w:left w:val="none" w:sz="0" w:space="0" w:color="auto"/>
                                            <w:bottom w:val="none" w:sz="0" w:space="0" w:color="auto"/>
                                            <w:right w:val="none" w:sz="0" w:space="0" w:color="auto"/>
                                          </w:divBdr>
                                          <w:divsChild>
                                            <w:div w:id="1421566386">
                                              <w:marLeft w:val="0"/>
                                              <w:marRight w:val="0"/>
                                              <w:marTop w:val="0"/>
                                              <w:marBottom w:val="0"/>
                                              <w:divBdr>
                                                <w:top w:val="none" w:sz="0" w:space="0" w:color="auto"/>
                                                <w:left w:val="none" w:sz="0" w:space="0" w:color="auto"/>
                                                <w:bottom w:val="none" w:sz="0" w:space="0" w:color="auto"/>
                                                <w:right w:val="none" w:sz="0" w:space="0" w:color="auto"/>
                                              </w:divBdr>
                                              <w:divsChild>
                                                <w:div w:id="1421566408">
                                                  <w:marLeft w:val="45"/>
                                                  <w:marRight w:val="75"/>
                                                  <w:marTop w:val="0"/>
                                                  <w:marBottom w:val="0"/>
                                                  <w:divBdr>
                                                    <w:top w:val="none" w:sz="0" w:space="0" w:color="auto"/>
                                                    <w:left w:val="none" w:sz="0" w:space="0" w:color="auto"/>
                                                    <w:bottom w:val="none" w:sz="0" w:space="0" w:color="auto"/>
                                                    <w:right w:val="none" w:sz="0" w:space="0" w:color="auto"/>
                                                  </w:divBdr>
                                                  <w:divsChild>
                                                    <w:div w:id="1421566422">
                                                      <w:marLeft w:val="0"/>
                                                      <w:marRight w:val="0"/>
                                                      <w:marTop w:val="0"/>
                                                      <w:marBottom w:val="0"/>
                                                      <w:divBdr>
                                                        <w:top w:val="none" w:sz="0" w:space="0" w:color="auto"/>
                                                        <w:left w:val="none" w:sz="0" w:space="0" w:color="auto"/>
                                                        <w:bottom w:val="none" w:sz="0" w:space="0" w:color="auto"/>
                                                        <w:right w:val="none" w:sz="0" w:space="0" w:color="auto"/>
                                                      </w:divBdr>
                                                      <w:divsChild>
                                                        <w:div w:id="1421566402">
                                                          <w:marLeft w:val="0"/>
                                                          <w:marRight w:val="-24000"/>
                                                          <w:marTop w:val="0"/>
                                                          <w:marBottom w:val="0"/>
                                                          <w:divBdr>
                                                            <w:top w:val="none" w:sz="0" w:space="0" w:color="auto"/>
                                                            <w:left w:val="none" w:sz="0" w:space="0" w:color="auto"/>
                                                            <w:bottom w:val="none" w:sz="0" w:space="0" w:color="auto"/>
                                                            <w:right w:val="none" w:sz="0" w:space="0" w:color="auto"/>
                                                          </w:divBdr>
                                                          <w:divsChild>
                                                            <w:div w:id="14215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1566421">
      <w:marLeft w:val="0"/>
      <w:marRight w:val="0"/>
      <w:marTop w:val="0"/>
      <w:marBottom w:val="0"/>
      <w:divBdr>
        <w:top w:val="none" w:sz="0" w:space="0" w:color="auto"/>
        <w:left w:val="none" w:sz="0" w:space="0" w:color="auto"/>
        <w:bottom w:val="none" w:sz="0" w:space="0" w:color="auto"/>
        <w:right w:val="none" w:sz="0" w:space="0" w:color="auto"/>
      </w:divBdr>
      <w:divsChild>
        <w:div w:id="1421566428">
          <w:marLeft w:val="0"/>
          <w:marRight w:val="0"/>
          <w:marTop w:val="0"/>
          <w:marBottom w:val="0"/>
          <w:divBdr>
            <w:top w:val="none" w:sz="0" w:space="0" w:color="auto"/>
            <w:left w:val="none" w:sz="0" w:space="0" w:color="auto"/>
            <w:bottom w:val="none" w:sz="0" w:space="0" w:color="auto"/>
            <w:right w:val="none" w:sz="0" w:space="0" w:color="auto"/>
          </w:divBdr>
          <w:divsChild>
            <w:div w:id="1421566439">
              <w:marLeft w:val="0"/>
              <w:marRight w:val="0"/>
              <w:marTop w:val="0"/>
              <w:marBottom w:val="0"/>
              <w:divBdr>
                <w:top w:val="none" w:sz="0" w:space="0" w:color="auto"/>
                <w:left w:val="none" w:sz="0" w:space="0" w:color="auto"/>
                <w:bottom w:val="none" w:sz="0" w:space="0" w:color="auto"/>
                <w:right w:val="none" w:sz="0" w:space="0" w:color="auto"/>
              </w:divBdr>
              <w:divsChild>
                <w:div w:id="1421566404">
                  <w:marLeft w:val="0"/>
                  <w:marRight w:val="0"/>
                  <w:marTop w:val="0"/>
                  <w:marBottom w:val="0"/>
                  <w:divBdr>
                    <w:top w:val="none" w:sz="0" w:space="0" w:color="auto"/>
                    <w:left w:val="none" w:sz="0" w:space="0" w:color="auto"/>
                    <w:bottom w:val="none" w:sz="0" w:space="0" w:color="auto"/>
                    <w:right w:val="none" w:sz="0" w:space="0" w:color="auto"/>
                  </w:divBdr>
                  <w:divsChild>
                    <w:div w:id="1421566377">
                      <w:marLeft w:val="0"/>
                      <w:marRight w:val="0"/>
                      <w:marTop w:val="0"/>
                      <w:marBottom w:val="0"/>
                      <w:divBdr>
                        <w:top w:val="single" w:sz="24" w:space="0" w:color="E8E8E8"/>
                        <w:left w:val="none" w:sz="0" w:space="0" w:color="auto"/>
                        <w:bottom w:val="none" w:sz="0" w:space="0" w:color="auto"/>
                        <w:right w:val="none" w:sz="0" w:space="0" w:color="auto"/>
                      </w:divBdr>
                      <w:divsChild>
                        <w:div w:id="1421566434">
                          <w:marLeft w:val="0"/>
                          <w:marRight w:val="5415"/>
                          <w:marTop w:val="0"/>
                          <w:marBottom w:val="0"/>
                          <w:divBdr>
                            <w:top w:val="none" w:sz="0" w:space="0" w:color="auto"/>
                            <w:left w:val="none" w:sz="0" w:space="0" w:color="auto"/>
                            <w:bottom w:val="none" w:sz="0" w:space="0" w:color="auto"/>
                            <w:right w:val="none" w:sz="0" w:space="0" w:color="auto"/>
                          </w:divBdr>
                          <w:divsChild>
                            <w:div w:id="1421566424">
                              <w:marLeft w:val="0"/>
                              <w:marRight w:val="0"/>
                              <w:marTop w:val="0"/>
                              <w:marBottom w:val="0"/>
                              <w:divBdr>
                                <w:top w:val="none" w:sz="0" w:space="0" w:color="auto"/>
                                <w:left w:val="none" w:sz="0" w:space="0" w:color="auto"/>
                                <w:bottom w:val="none" w:sz="0" w:space="0" w:color="auto"/>
                                <w:right w:val="none" w:sz="0" w:space="0" w:color="auto"/>
                              </w:divBdr>
                              <w:divsChild>
                                <w:div w:id="1421566400">
                                  <w:marLeft w:val="0"/>
                                  <w:marRight w:val="0"/>
                                  <w:marTop w:val="0"/>
                                  <w:marBottom w:val="0"/>
                                  <w:divBdr>
                                    <w:top w:val="single" w:sz="6" w:space="0" w:color="FFFFFF"/>
                                    <w:left w:val="none" w:sz="0" w:space="0" w:color="auto"/>
                                    <w:bottom w:val="none" w:sz="0" w:space="0" w:color="auto"/>
                                    <w:right w:val="none" w:sz="0" w:space="0" w:color="auto"/>
                                  </w:divBdr>
                                  <w:divsChild>
                                    <w:div w:id="1421566378">
                                      <w:marLeft w:val="0"/>
                                      <w:marRight w:val="0"/>
                                      <w:marTop w:val="0"/>
                                      <w:marBottom w:val="0"/>
                                      <w:divBdr>
                                        <w:top w:val="none" w:sz="0" w:space="0" w:color="auto"/>
                                        <w:left w:val="none" w:sz="0" w:space="0" w:color="auto"/>
                                        <w:bottom w:val="none" w:sz="0" w:space="0" w:color="auto"/>
                                        <w:right w:val="none" w:sz="0" w:space="0" w:color="auto"/>
                                      </w:divBdr>
                                      <w:divsChild>
                                        <w:div w:id="1421566388">
                                          <w:marLeft w:val="0"/>
                                          <w:marRight w:val="0"/>
                                          <w:marTop w:val="0"/>
                                          <w:marBottom w:val="0"/>
                                          <w:divBdr>
                                            <w:top w:val="none" w:sz="0" w:space="0" w:color="auto"/>
                                            <w:left w:val="none" w:sz="0" w:space="0" w:color="auto"/>
                                            <w:bottom w:val="none" w:sz="0" w:space="0" w:color="auto"/>
                                            <w:right w:val="none" w:sz="0" w:space="0" w:color="auto"/>
                                          </w:divBdr>
                                          <w:divsChild>
                                            <w:div w:id="1421566415">
                                              <w:marLeft w:val="0"/>
                                              <w:marRight w:val="0"/>
                                              <w:marTop w:val="0"/>
                                              <w:marBottom w:val="0"/>
                                              <w:divBdr>
                                                <w:top w:val="none" w:sz="0" w:space="0" w:color="auto"/>
                                                <w:left w:val="none" w:sz="0" w:space="0" w:color="auto"/>
                                                <w:bottom w:val="none" w:sz="0" w:space="0" w:color="auto"/>
                                                <w:right w:val="none" w:sz="0" w:space="0" w:color="auto"/>
                                              </w:divBdr>
                                              <w:divsChild>
                                                <w:div w:id="1421566392">
                                                  <w:marLeft w:val="45"/>
                                                  <w:marRight w:val="75"/>
                                                  <w:marTop w:val="0"/>
                                                  <w:marBottom w:val="0"/>
                                                  <w:divBdr>
                                                    <w:top w:val="none" w:sz="0" w:space="0" w:color="auto"/>
                                                    <w:left w:val="none" w:sz="0" w:space="0" w:color="auto"/>
                                                    <w:bottom w:val="none" w:sz="0" w:space="0" w:color="auto"/>
                                                    <w:right w:val="none" w:sz="0" w:space="0" w:color="auto"/>
                                                  </w:divBdr>
                                                  <w:divsChild>
                                                    <w:div w:id="1421566403">
                                                      <w:marLeft w:val="0"/>
                                                      <w:marRight w:val="0"/>
                                                      <w:marTop w:val="0"/>
                                                      <w:marBottom w:val="0"/>
                                                      <w:divBdr>
                                                        <w:top w:val="none" w:sz="0" w:space="0" w:color="auto"/>
                                                        <w:left w:val="none" w:sz="0" w:space="0" w:color="auto"/>
                                                        <w:bottom w:val="none" w:sz="0" w:space="0" w:color="auto"/>
                                                        <w:right w:val="none" w:sz="0" w:space="0" w:color="auto"/>
                                                      </w:divBdr>
                                                      <w:divsChild>
                                                        <w:div w:id="1421566437">
                                                          <w:marLeft w:val="0"/>
                                                          <w:marRight w:val="-24000"/>
                                                          <w:marTop w:val="0"/>
                                                          <w:marBottom w:val="0"/>
                                                          <w:divBdr>
                                                            <w:top w:val="none" w:sz="0" w:space="0" w:color="auto"/>
                                                            <w:left w:val="none" w:sz="0" w:space="0" w:color="auto"/>
                                                            <w:bottom w:val="none" w:sz="0" w:space="0" w:color="auto"/>
                                                            <w:right w:val="none" w:sz="0" w:space="0" w:color="auto"/>
                                                          </w:divBdr>
                                                          <w:divsChild>
                                                            <w:div w:id="1421566380">
                                                              <w:marLeft w:val="0"/>
                                                              <w:marRight w:val="0"/>
                                                              <w:marTop w:val="0"/>
                                                              <w:marBottom w:val="0"/>
                                                              <w:divBdr>
                                                                <w:top w:val="none" w:sz="0" w:space="0" w:color="auto"/>
                                                                <w:left w:val="none" w:sz="0" w:space="0" w:color="auto"/>
                                                                <w:bottom w:val="none" w:sz="0" w:space="0" w:color="auto"/>
                                                                <w:right w:val="none" w:sz="0" w:space="0" w:color="auto"/>
                                                              </w:divBdr>
                                                              <w:divsChild>
                                                                <w:div w:id="142156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21566427">
      <w:marLeft w:val="0"/>
      <w:marRight w:val="0"/>
      <w:marTop w:val="0"/>
      <w:marBottom w:val="0"/>
      <w:divBdr>
        <w:top w:val="none" w:sz="0" w:space="0" w:color="auto"/>
        <w:left w:val="none" w:sz="0" w:space="0" w:color="auto"/>
        <w:bottom w:val="none" w:sz="0" w:space="0" w:color="auto"/>
        <w:right w:val="none" w:sz="0" w:space="0" w:color="auto"/>
      </w:divBdr>
      <w:divsChild>
        <w:div w:id="1421566397">
          <w:marLeft w:val="90"/>
          <w:marRight w:val="0"/>
          <w:marTop w:val="0"/>
          <w:marBottom w:val="0"/>
          <w:divBdr>
            <w:top w:val="none" w:sz="0" w:space="0" w:color="auto"/>
            <w:left w:val="none" w:sz="0" w:space="0" w:color="auto"/>
            <w:bottom w:val="none" w:sz="0" w:space="0" w:color="auto"/>
            <w:right w:val="none" w:sz="0" w:space="0" w:color="auto"/>
          </w:divBdr>
          <w:divsChild>
            <w:div w:id="1421566444">
              <w:marLeft w:val="0"/>
              <w:marRight w:val="0"/>
              <w:marTop w:val="0"/>
              <w:marBottom w:val="0"/>
              <w:divBdr>
                <w:top w:val="none" w:sz="0" w:space="0" w:color="auto"/>
                <w:left w:val="none" w:sz="0" w:space="0" w:color="auto"/>
                <w:bottom w:val="none" w:sz="0" w:space="0" w:color="auto"/>
                <w:right w:val="none" w:sz="0" w:space="0" w:color="auto"/>
              </w:divBdr>
              <w:divsChild>
                <w:div w:id="1421566420">
                  <w:marLeft w:val="135"/>
                  <w:marRight w:val="15"/>
                  <w:marTop w:val="75"/>
                  <w:marBottom w:val="315"/>
                  <w:divBdr>
                    <w:top w:val="none" w:sz="0" w:space="0" w:color="auto"/>
                    <w:left w:val="none" w:sz="0" w:space="0" w:color="auto"/>
                    <w:bottom w:val="none" w:sz="0" w:space="0" w:color="auto"/>
                    <w:right w:val="none" w:sz="0" w:space="0" w:color="auto"/>
                  </w:divBdr>
                </w:div>
              </w:divsChild>
            </w:div>
          </w:divsChild>
        </w:div>
      </w:divsChild>
    </w:div>
    <w:div w:id="1421566430">
      <w:marLeft w:val="150"/>
      <w:marRight w:val="150"/>
      <w:marTop w:val="75"/>
      <w:marBottom w:val="0"/>
      <w:divBdr>
        <w:top w:val="none" w:sz="0" w:space="0" w:color="auto"/>
        <w:left w:val="none" w:sz="0" w:space="0" w:color="auto"/>
        <w:bottom w:val="none" w:sz="0" w:space="0" w:color="auto"/>
        <w:right w:val="none" w:sz="0" w:space="0" w:color="auto"/>
      </w:divBdr>
      <w:divsChild>
        <w:div w:id="1421566406">
          <w:marLeft w:val="0"/>
          <w:marRight w:val="0"/>
          <w:marTop w:val="0"/>
          <w:marBottom w:val="0"/>
          <w:divBdr>
            <w:top w:val="none" w:sz="0" w:space="0" w:color="auto"/>
            <w:left w:val="none" w:sz="0" w:space="0" w:color="auto"/>
            <w:bottom w:val="none" w:sz="0" w:space="0" w:color="auto"/>
            <w:right w:val="none" w:sz="0" w:space="0" w:color="auto"/>
          </w:divBdr>
        </w:div>
      </w:divsChild>
    </w:div>
    <w:div w:id="1421566431">
      <w:marLeft w:val="0"/>
      <w:marRight w:val="0"/>
      <w:marTop w:val="0"/>
      <w:marBottom w:val="0"/>
      <w:divBdr>
        <w:top w:val="none" w:sz="0" w:space="0" w:color="auto"/>
        <w:left w:val="none" w:sz="0" w:space="0" w:color="auto"/>
        <w:bottom w:val="none" w:sz="0" w:space="0" w:color="auto"/>
        <w:right w:val="none" w:sz="0" w:space="0" w:color="auto"/>
      </w:divBdr>
      <w:divsChild>
        <w:div w:id="1421566433">
          <w:marLeft w:val="0"/>
          <w:marRight w:val="75"/>
          <w:marTop w:val="0"/>
          <w:marBottom w:val="0"/>
          <w:divBdr>
            <w:top w:val="none" w:sz="0" w:space="0" w:color="auto"/>
            <w:left w:val="single" w:sz="6" w:space="2" w:color="DDDDDD"/>
            <w:bottom w:val="single" w:sz="6" w:space="2" w:color="DDDDDD"/>
            <w:right w:val="none" w:sz="0" w:space="0" w:color="auto"/>
          </w:divBdr>
          <w:divsChild>
            <w:div w:id="1421566423">
              <w:marLeft w:val="0"/>
              <w:marRight w:val="0"/>
              <w:marTop w:val="0"/>
              <w:marBottom w:val="0"/>
              <w:divBdr>
                <w:top w:val="single" w:sz="6" w:space="8" w:color="A6B5C7"/>
                <w:left w:val="single" w:sz="6" w:space="8" w:color="A6B5C7"/>
                <w:bottom w:val="single" w:sz="6" w:space="8" w:color="A6B5C7"/>
                <w:right w:val="single" w:sz="6" w:space="8" w:color="A6B5C7"/>
              </w:divBdr>
              <w:divsChild>
                <w:div w:id="1421566379">
                  <w:marLeft w:val="0"/>
                  <w:marRight w:val="0"/>
                  <w:marTop w:val="0"/>
                  <w:marBottom w:val="0"/>
                  <w:divBdr>
                    <w:top w:val="single" w:sz="6" w:space="4" w:color="E4E4E4"/>
                    <w:left w:val="single" w:sz="6" w:space="19" w:color="E4E4E4"/>
                    <w:bottom w:val="single" w:sz="6" w:space="8" w:color="E4E4E4"/>
                    <w:right w:val="single" w:sz="6" w:space="15" w:color="E4E4E4"/>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oleObject" Target="embeddings/oleObject3.bin"/><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wmf"/><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4.emf"/><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1.bin"/><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144</Pages>
  <Words>15868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ERASMUS UNIVERSITY ROTTERDAM</dc:title>
  <dc:subject/>
  <dc:creator>Eveline</dc:creator>
  <cp:keywords/>
  <dc:description/>
  <cp:lastModifiedBy>Thea T. L. Kruining</cp:lastModifiedBy>
  <cp:revision>2</cp:revision>
  <cp:lastPrinted>2011-07-26T14:26:00Z</cp:lastPrinted>
  <dcterms:created xsi:type="dcterms:W3CDTF">2011-07-28T07:12:00Z</dcterms:created>
  <dcterms:modified xsi:type="dcterms:W3CDTF">2011-07-28T07:12:00Z</dcterms:modified>
</cp:coreProperties>
</file>