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Default Extension="png" ContentType="image/png"/>
  <Override PartName="/word/diagrams/data3.xml" ContentType="application/vnd.openxmlformats-officedocument.drawingml.diagramData+xml"/>
  <Override PartName="/word/diagrams/data4.xml" ContentType="application/vnd.openxmlformats-officedocument.drawingml.diagramData+xml"/>
  <Override PartName="/word/diagrams/colors4.xml" ContentType="application/vnd.openxmlformats-officedocument.drawingml.diagramColors+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iagrams/drawing3.xml" ContentType="application/vnd.ms-office.drawingml.diagramDrawing+xml"/>
  <Override PartName="/word/diagrams/drawing4.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charts/chart6.xml" ContentType="application/vnd.openxmlformats-officedocument.drawingml.chart+xml"/>
  <Override PartName="/word/footer2.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inorHAnsi" w:eastAsiaTheme="minorEastAsia" w:hAnsiTheme="minorHAnsi" w:cstheme="minorBidi"/>
          <w:b w:val="0"/>
          <w:bCs w:val="0"/>
          <w:caps/>
          <w:color w:val="auto"/>
        </w:rPr>
        <w:id w:val="7277070"/>
        <w:docPartObj>
          <w:docPartGallery w:val="Cover Pages"/>
          <w:docPartUnique/>
        </w:docPartObj>
      </w:sdtPr>
      <w:sdtEndPr>
        <w:rPr>
          <w:caps w:val="0"/>
        </w:rPr>
      </w:sdtEndPr>
      <w:sdtContent>
        <w:tbl>
          <w:tblPr>
            <w:tblStyle w:val="Gemiddeldraster2-accent6"/>
            <w:tblW w:w="5000" w:type="pct"/>
            <w:tblLook w:val="04A0"/>
          </w:tblPr>
          <w:tblGrid>
            <w:gridCol w:w="9288"/>
          </w:tblGrid>
          <w:tr w:rsidR="00F71CD8" w:rsidRPr="00F71CD8" w:rsidTr="00AC4B3D">
            <w:trPr>
              <w:cnfStyle w:val="100000000000"/>
              <w:trHeight w:val="2880"/>
            </w:trPr>
            <w:sdt>
              <w:sdtPr>
                <w:rPr>
                  <w:rFonts w:asciiTheme="minorHAnsi" w:eastAsiaTheme="minorEastAsia" w:hAnsiTheme="minorHAnsi" w:cstheme="minorBidi"/>
                  <w:b w:val="0"/>
                  <w:bCs w:val="0"/>
                  <w:caps/>
                  <w:color w:val="auto"/>
                </w:rPr>
                <w:alias w:val="Bedrijf"/>
                <w:id w:val="15524243"/>
                <w:dataBinding w:prefixMappings="xmlns:ns0='http://schemas.openxmlformats.org/officeDocument/2006/extended-properties'" w:xpath="/ns0:Properties[1]/ns0:Company[1]" w:storeItemID="{6668398D-A668-4E3E-A5EB-62B293D839F1}"/>
                <w:text/>
              </w:sdtPr>
              <w:sdtEndPr>
                <w:rPr>
                  <w:rFonts w:asciiTheme="majorHAnsi" w:eastAsiaTheme="majorEastAsia" w:hAnsiTheme="majorHAnsi" w:cstheme="majorBidi"/>
                  <w:color w:val="000000" w:themeColor="text1"/>
                </w:rPr>
              </w:sdtEndPr>
              <w:sdtContent>
                <w:tc>
                  <w:tcPr>
                    <w:cnfStyle w:val="001000000100"/>
                    <w:tcW w:w="5000" w:type="pct"/>
                  </w:tcPr>
                  <w:p w:rsidR="00F71CD8" w:rsidRPr="00F71CD8" w:rsidRDefault="003C250B" w:rsidP="00F71CD8">
                    <w:pPr>
                      <w:pStyle w:val="Geenafstand"/>
                      <w:jc w:val="center"/>
                      <w:rPr>
                        <w:caps/>
                        <w:lang w:val="nl-NL"/>
                      </w:rPr>
                    </w:pPr>
                    <w:r>
                      <w:rPr>
                        <w:caps/>
                        <w:lang w:val="nl-NL"/>
                      </w:rPr>
                      <w:t>Erasmus school of economics</w:t>
                    </w:r>
                  </w:p>
                </w:tc>
              </w:sdtContent>
            </w:sdt>
          </w:tr>
          <w:tr w:rsidR="00F71CD8" w:rsidTr="00AC4B3D">
            <w:trPr>
              <w:cnfStyle w:val="000000100000"/>
              <w:trHeight w:val="1440"/>
            </w:trPr>
            <w:sdt>
              <w:sdtPr>
                <w:rPr>
                  <w:sz w:val="80"/>
                  <w:szCs w:val="80"/>
                </w:rPr>
                <w:alias w:val="Titel"/>
                <w:id w:val="15524250"/>
                <w:dataBinding w:prefixMappings="xmlns:ns0='http://schemas.openxmlformats.org/package/2006/metadata/core-properties' xmlns:ns1='http://purl.org/dc/elements/1.1/'" w:xpath="/ns0:coreProperties[1]/ns1:title[1]" w:storeItemID="{6C3C8BC8-F283-45AE-878A-BAB7291924A1}"/>
                <w:text/>
              </w:sdtPr>
              <w:sdtContent>
                <w:tc>
                  <w:tcPr>
                    <w:cnfStyle w:val="001000000000"/>
                    <w:tcW w:w="5000" w:type="pct"/>
                  </w:tcPr>
                  <w:p w:rsidR="00F71CD8" w:rsidRDefault="003C250B" w:rsidP="00AC4B3D">
                    <w:pPr>
                      <w:pStyle w:val="Geenafstand"/>
                      <w:jc w:val="center"/>
                      <w:rPr>
                        <w:sz w:val="80"/>
                        <w:szCs w:val="80"/>
                      </w:rPr>
                    </w:pPr>
                    <w:r w:rsidRPr="003C250B">
                      <w:rPr>
                        <w:sz w:val="80"/>
                        <w:szCs w:val="80"/>
                      </w:rPr>
                      <w:t>The strategic development of third party logistics providers in the Netherlands</w:t>
                    </w:r>
                  </w:p>
                </w:tc>
              </w:sdtContent>
            </w:sdt>
          </w:tr>
          <w:tr w:rsidR="00F71CD8" w:rsidRPr="00F71CD8" w:rsidTr="00AC4B3D">
            <w:trPr>
              <w:trHeight w:val="720"/>
            </w:trPr>
            <w:tc>
              <w:tcPr>
                <w:cnfStyle w:val="001000000000"/>
                <w:tcW w:w="5000" w:type="pct"/>
              </w:tcPr>
              <w:p w:rsidR="00F71CD8" w:rsidRPr="006F7A10" w:rsidRDefault="00F71CD8">
                <w:pPr>
                  <w:pStyle w:val="Geenafstand"/>
                  <w:jc w:val="center"/>
                  <w:rPr>
                    <w:sz w:val="44"/>
                    <w:szCs w:val="44"/>
                  </w:rPr>
                </w:pPr>
              </w:p>
            </w:tc>
          </w:tr>
          <w:tr w:rsidR="00F71CD8" w:rsidRPr="00F71CD8" w:rsidTr="00AC4B3D">
            <w:trPr>
              <w:cnfStyle w:val="000000100000"/>
              <w:trHeight w:val="360"/>
            </w:trPr>
            <w:tc>
              <w:tcPr>
                <w:cnfStyle w:val="001000000000"/>
                <w:tcW w:w="5000" w:type="pct"/>
              </w:tcPr>
              <w:p w:rsidR="00F71CD8" w:rsidRPr="006F7A10" w:rsidRDefault="00F71CD8">
                <w:pPr>
                  <w:pStyle w:val="Geenafstand"/>
                  <w:jc w:val="center"/>
                </w:pPr>
              </w:p>
              <w:p w:rsidR="00F71CD8" w:rsidRPr="006F7A10" w:rsidRDefault="00F71CD8">
                <w:pPr>
                  <w:pStyle w:val="Geenafstand"/>
                  <w:jc w:val="center"/>
                </w:pPr>
              </w:p>
              <w:p w:rsidR="00F71CD8" w:rsidRPr="006F7A10" w:rsidRDefault="00F71CD8">
                <w:pPr>
                  <w:pStyle w:val="Geenafstand"/>
                  <w:jc w:val="center"/>
                </w:pPr>
              </w:p>
              <w:p w:rsidR="00F71CD8" w:rsidRPr="00F71CD8" w:rsidRDefault="00F71CD8">
                <w:pPr>
                  <w:pStyle w:val="Geenafstand"/>
                  <w:jc w:val="center"/>
                  <w:rPr>
                    <w:sz w:val="48"/>
                    <w:szCs w:val="48"/>
                    <w:lang w:val="nl-NL"/>
                  </w:rPr>
                </w:pPr>
                <w:r w:rsidRPr="00F71CD8">
                  <w:rPr>
                    <w:sz w:val="48"/>
                    <w:szCs w:val="48"/>
                    <w:lang w:val="nl-NL"/>
                  </w:rPr>
                  <w:t>Master Thesis</w:t>
                </w:r>
              </w:p>
              <w:p w:rsidR="00F71CD8" w:rsidRDefault="00F71CD8">
                <w:pPr>
                  <w:pStyle w:val="Geenafstand"/>
                  <w:jc w:val="center"/>
                  <w:rPr>
                    <w:lang w:val="nl-NL"/>
                  </w:rPr>
                </w:pPr>
              </w:p>
              <w:p w:rsidR="00F71CD8" w:rsidRDefault="00F71CD8">
                <w:pPr>
                  <w:pStyle w:val="Geenafstand"/>
                  <w:jc w:val="center"/>
                  <w:rPr>
                    <w:lang w:val="nl-NL"/>
                  </w:rPr>
                </w:pPr>
              </w:p>
              <w:p w:rsidR="00F71CD8" w:rsidRDefault="00F71CD8">
                <w:pPr>
                  <w:pStyle w:val="Geenafstand"/>
                  <w:jc w:val="center"/>
                  <w:rPr>
                    <w:lang w:val="nl-NL"/>
                  </w:rPr>
                </w:pPr>
              </w:p>
              <w:p w:rsidR="00F71CD8" w:rsidRDefault="00F71CD8">
                <w:pPr>
                  <w:pStyle w:val="Geenafstand"/>
                  <w:jc w:val="center"/>
                  <w:rPr>
                    <w:lang w:val="nl-NL"/>
                  </w:rPr>
                </w:pPr>
              </w:p>
              <w:p w:rsidR="00F71CD8" w:rsidRDefault="00F71CD8">
                <w:pPr>
                  <w:pStyle w:val="Geenafstand"/>
                  <w:jc w:val="center"/>
                  <w:rPr>
                    <w:lang w:val="nl-NL"/>
                  </w:rPr>
                </w:pPr>
              </w:p>
              <w:p w:rsidR="00F71CD8" w:rsidRPr="00F71CD8" w:rsidRDefault="00F71CD8">
                <w:pPr>
                  <w:pStyle w:val="Geenafstand"/>
                  <w:jc w:val="center"/>
                  <w:rPr>
                    <w:lang w:val="nl-NL"/>
                  </w:rPr>
                </w:pPr>
              </w:p>
            </w:tc>
          </w:tr>
          <w:tr w:rsidR="00F71CD8" w:rsidTr="00AC4B3D">
            <w:trPr>
              <w:trHeight w:val="360"/>
            </w:trPr>
            <w:sdt>
              <w:sdtPr>
                <w:alias w:val="Auteur"/>
                <w:id w:val="15524260"/>
                <w:dataBinding w:prefixMappings="xmlns:ns0='http://schemas.openxmlformats.org/package/2006/metadata/core-properties' xmlns:ns1='http://purl.org/dc/elements/1.1/'" w:xpath="/ns0:coreProperties[1]/ns1:creator[1]" w:storeItemID="{6C3C8BC8-F283-45AE-878A-BAB7291924A1}"/>
                <w:text/>
              </w:sdtPr>
              <w:sdtContent>
                <w:tc>
                  <w:tcPr>
                    <w:cnfStyle w:val="001000000000"/>
                    <w:tcW w:w="5000" w:type="pct"/>
                  </w:tcPr>
                  <w:p w:rsidR="00F71CD8" w:rsidRDefault="003C250B" w:rsidP="00F71CD8">
                    <w:pPr>
                      <w:pStyle w:val="Geenafstand"/>
                      <w:jc w:val="center"/>
                      <w:rPr>
                        <w:b w:val="0"/>
                        <w:bCs w:val="0"/>
                      </w:rPr>
                    </w:pPr>
                    <w:r>
                      <w:rPr>
                        <w:b w:val="0"/>
                        <w:bCs w:val="0"/>
                        <w:lang w:val="nl-NL"/>
                      </w:rPr>
                      <w:t>Lex Miechels</w:t>
                    </w:r>
                  </w:p>
                </w:tc>
              </w:sdtContent>
            </w:sdt>
          </w:tr>
          <w:tr w:rsidR="00F71CD8" w:rsidTr="00AC4B3D">
            <w:trPr>
              <w:cnfStyle w:val="000000100000"/>
              <w:trHeight w:val="360"/>
            </w:trPr>
            <w:tc>
              <w:tcPr>
                <w:cnfStyle w:val="001000000000"/>
                <w:tcW w:w="5000" w:type="pct"/>
              </w:tcPr>
              <w:p w:rsidR="00F71CD8" w:rsidRDefault="0080790A" w:rsidP="0080790A">
                <w:pPr>
                  <w:pStyle w:val="Geenafstand"/>
                  <w:jc w:val="center"/>
                  <w:rPr>
                    <w:b w:val="0"/>
                    <w:bCs w:val="0"/>
                  </w:rPr>
                </w:pPr>
                <w:r>
                  <w:rPr>
                    <w:b w:val="0"/>
                    <w:bCs w:val="0"/>
                    <w:lang w:val="nl-NL"/>
                  </w:rPr>
                  <w:t>August 2011</w:t>
                </w:r>
              </w:p>
            </w:tc>
          </w:tr>
        </w:tbl>
        <w:p w:rsidR="00F71CD8" w:rsidRDefault="00F71CD8">
          <w:pPr>
            <w:rPr>
              <w:lang w:val="nl-NL"/>
            </w:rPr>
          </w:pPr>
        </w:p>
        <w:p w:rsidR="00F71CD8" w:rsidRDefault="00F71CD8">
          <w:pPr>
            <w:rPr>
              <w:lang w:val="nl-NL"/>
            </w:rPr>
          </w:pPr>
        </w:p>
        <w:tbl>
          <w:tblPr>
            <w:tblpPr w:leftFromText="187" w:rightFromText="187" w:horzAnchor="margin" w:tblpXSpec="center" w:tblpYSpec="bottom"/>
            <w:tblW w:w="5000" w:type="pct"/>
            <w:tblLook w:val="04A0"/>
          </w:tblPr>
          <w:tblGrid>
            <w:gridCol w:w="4644"/>
            <w:gridCol w:w="4644"/>
          </w:tblGrid>
          <w:tr w:rsidR="00F71CD8" w:rsidRPr="00F71CD8" w:rsidTr="00F71CD8">
            <w:tc>
              <w:tcPr>
                <w:tcW w:w="2500" w:type="pct"/>
              </w:tcPr>
              <w:p w:rsidR="00F71CD8" w:rsidRPr="00F71CD8" w:rsidRDefault="00F71CD8" w:rsidP="00F71CD8">
                <w:pPr>
                  <w:pStyle w:val="Geenafstand"/>
                  <w:rPr>
                    <w:lang w:val="nl-NL"/>
                  </w:rPr>
                </w:pPr>
              </w:p>
            </w:tc>
            <w:tc>
              <w:tcPr>
                <w:tcW w:w="2500" w:type="pct"/>
              </w:tcPr>
              <w:p w:rsidR="00F71CD8" w:rsidRPr="00F71CD8" w:rsidRDefault="00F71CD8">
                <w:pPr>
                  <w:pStyle w:val="Geenafstand"/>
                  <w:rPr>
                    <w:lang w:val="nl-NL"/>
                  </w:rPr>
                </w:pPr>
              </w:p>
            </w:tc>
          </w:tr>
        </w:tbl>
        <w:p w:rsidR="00F71CD8" w:rsidRDefault="00F71CD8">
          <w:pPr>
            <w:rPr>
              <w:lang w:val="nl-NL"/>
            </w:rPr>
          </w:pPr>
        </w:p>
        <w:p w:rsidR="00F71CD8" w:rsidRDefault="00F71CD8">
          <w:r w:rsidRPr="00F71CD8">
            <w:rPr>
              <w:lang w:val="nl-NL"/>
            </w:rPr>
            <w:br w:type="page"/>
          </w:r>
        </w:p>
      </w:sdtContent>
    </w:sdt>
    <w:p w:rsidR="007E5541" w:rsidRDefault="007E5541" w:rsidP="007E5541">
      <w:pPr>
        <w:jc w:val="center"/>
        <w:rPr>
          <w:rStyle w:val="Zwaar"/>
          <w:b w:val="0"/>
          <w:bCs w:val="0"/>
          <w:sz w:val="32"/>
          <w:szCs w:val="32"/>
        </w:rPr>
      </w:pPr>
    </w:p>
    <w:p w:rsidR="007E5541" w:rsidRDefault="007E5541">
      <w:pPr>
        <w:rPr>
          <w:rStyle w:val="Zwaar"/>
          <w:b w:val="0"/>
          <w:bCs w:val="0"/>
          <w:sz w:val="32"/>
          <w:szCs w:val="32"/>
        </w:rPr>
      </w:pPr>
      <w:r>
        <w:rPr>
          <w:rStyle w:val="Zwaar"/>
          <w:b w:val="0"/>
          <w:bCs w:val="0"/>
          <w:sz w:val="32"/>
          <w:szCs w:val="32"/>
        </w:rPr>
        <w:br w:type="page"/>
      </w:r>
    </w:p>
    <w:p w:rsidR="00F71CD8" w:rsidRPr="00AC4B3D" w:rsidRDefault="00B671AA" w:rsidP="007E5541">
      <w:pPr>
        <w:jc w:val="center"/>
        <w:rPr>
          <w:rFonts w:asciiTheme="majorHAnsi" w:hAnsiTheme="majorHAnsi"/>
          <w:sz w:val="28"/>
          <w:szCs w:val="28"/>
        </w:rPr>
      </w:pPr>
      <w:r w:rsidRPr="00AC4B3D">
        <w:rPr>
          <w:rStyle w:val="Zwaar"/>
          <w:rFonts w:asciiTheme="majorHAnsi" w:hAnsiTheme="majorHAnsi"/>
          <w:b w:val="0"/>
          <w:bCs w:val="0"/>
          <w:sz w:val="28"/>
          <w:szCs w:val="28"/>
        </w:rPr>
        <w:lastRenderedPageBreak/>
        <w:t>The strategic development of third party logistics providers in the Netherlands</w:t>
      </w:r>
    </w:p>
    <w:p w:rsidR="00F71CD8" w:rsidRDefault="00F71CD8" w:rsidP="000731C8">
      <w:pPr>
        <w:rPr>
          <w:lang w:bidi="ar-SA"/>
        </w:rPr>
      </w:pPr>
    </w:p>
    <w:p w:rsidR="00F71CD8" w:rsidRPr="00AC4B3D" w:rsidRDefault="00F71CD8" w:rsidP="00B671AA">
      <w:pPr>
        <w:jc w:val="center"/>
        <w:rPr>
          <w:rFonts w:cs="TimesNewRoman"/>
          <w:sz w:val="28"/>
          <w:szCs w:val="28"/>
          <w:lang w:bidi="ar-SA"/>
        </w:rPr>
      </w:pPr>
      <w:r w:rsidRPr="00AC4B3D">
        <w:rPr>
          <w:rFonts w:cs="TimesNewRoman"/>
          <w:sz w:val="28"/>
          <w:szCs w:val="28"/>
          <w:lang w:bidi="ar-SA"/>
        </w:rPr>
        <w:t>Master Thesis</w:t>
      </w:r>
    </w:p>
    <w:p w:rsidR="0080790A" w:rsidRPr="00AC4B3D" w:rsidRDefault="0080790A" w:rsidP="00B671AA">
      <w:pPr>
        <w:jc w:val="center"/>
        <w:rPr>
          <w:rFonts w:cs="TimesNewRoman"/>
          <w:sz w:val="28"/>
          <w:szCs w:val="28"/>
          <w:lang w:bidi="ar-SA"/>
        </w:rPr>
      </w:pPr>
    </w:p>
    <w:p w:rsidR="00F71CD8" w:rsidRPr="00AC4B3D" w:rsidRDefault="00F71CD8" w:rsidP="0080790A">
      <w:pPr>
        <w:autoSpaceDE w:val="0"/>
        <w:autoSpaceDN w:val="0"/>
        <w:adjustRightInd w:val="0"/>
        <w:spacing w:before="0" w:after="0" w:line="360" w:lineRule="auto"/>
        <w:jc w:val="center"/>
        <w:rPr>
          <w:rFonts w:cs="TimesNewRoman"/>
          <w:sz w:val="28"/>
          <w:szCs w:val="28"/>
          <w:lang w:bidi="ar-SA"/>
        </w:rPr>
      </w:pPr>
      <w:r w:rsidRPr="00AC4B3D">
        <w:rPr>
          <w:rFonts w:cs="TimesNewRoman"/>
          <w:sz w:val="28"/>
          <w:szCs w:val="28"/>
          <w:lang w:bidi="ar-SA"/>
        </w:rPr>
        <w:t>Presented to:</w:t>
      </w:r>
    </w:p>
    <w:p w:rsidR="00F71CD8" w:rsidRPr="00AC4B3D" w:rsidRDefault="00F71CD8" w:rsidP="0080790A">
      <w:pPr>
        <w:autoSpaceDE w:val="0"/>
        <w:autoSpaceDN w:val="0"/>
        <w:adjustRightInd w:val="0"/>
        <w:spacing w:before="0" w:after="0" w:line="360" w:lineRule="auto"/>
        <w:jc w:val="center"/>
        <w:rPr>
          <w:rFonts w:cs="TimesNewRoman"/>
          <w:sz w:val="28"/>
          <w:szCs w:val="28"/>
          <w:lang w:bidi="ar-SA"/>
        </w:rPr>
      </w:pPr>
      <w:r w:rsidRPr="00AC4B3D">
        <w:rPr>
          <w:rFonts w:cs="TimesNewRoman"/>
          <w:sz w:val="28"/>
          <w:szCs w:val="28"/>
          <w:lang w:bidi="ar-SA"/>
        </w:rPr>
        <w:t>Erasmus School of Economics</w:t>
      </w:r>
    </w:p>
    <w:p w:rsidR="00F71CD8" w:rsidRPr="00AC4B3D" w:rsidRDefault="00F71CD8" w:rsidP="0080790A">
      <w:pPr>
        <w:autoSpaceDE w:val="0"/>
        <w:autoSpaceDN w:val="0"/>
        <w:adjustRightInd w:val="0"/>
        <w:spacing w:before="0" w:after="0" w:line="360" w:lineRule="auto"/>
        <w:jc w:val="center"/>
        <w:rPr>
          <w:rFonts w:cs="TimesNewRoman"/>
          <w:sz w:val="28"/>
          <w:szCs w:val="28"/>
          <w:lang w:bidi="ar-SA"/>
        </w:rPr>
      </w:pPr>
      <w:r w:rsidRPr="00AC4B3D">
        <w:rPr>
          <w:rFonts w:cs="TimesNewRoman"/>
          <w:sz w:val="28"/>
          <w:szCs w:val="28"/>
          <w:lang w:bidi="ar-SA"/>
        </w:rPr>
        <w:t>Department of Urban, Port and Transport Economics</w:t>
      </w:r>
    </w:p>
    <w:p w:rsidR="00F71CD8" w:rsidRPr="00AC4B3D" w:rsidRDefault="00F71CD8" w:rsidP="0080790A">
      <w:pPr>
        <w:autoSpaceDE w:val="0"/>
        <w:autoSpaceDN w:val="0"/>
        <w:adjustRightInd w:val="0"/>
        <w:spacing w:before="0" w:after="0" w:line="360" w:lineRule="auto"/>
        <w:jc w:val="center"/>
        <w:rPr>
          <w:rFonts w:cs="TimesNewRoman"/>
          <w:sz w:val="28"/>
          <w:szCs w:val="28"/>
          <w:lang w:val="nl-NL" w:bidi="ar-SA"/>
        </w:rPr>
      </w:pPr>
      <w:r w:rsidRPr="00AC4B3D">
        <w:rPr>
          <w:rFonts w:cs="TimesNewRoman"/>
          <w:sz w:val="28"/>
          <w:szCs w:val="28"/>
          <w:lang w:val="nl-NL" w:bidi="ar-SA"/>
        </w:rPr>
        <w:t>Burgemeester Oudlaan 50</w:t>
      </w:r>
    </w:p>
    <w:p w:rsidR="00F71CD8" w:rsidRPr="00AC4B3D" w:rsidRDefault="00F71CD8" w:rsidP="0080790A">
      <w:pPr>
        <w:autoSpaceDE w:val="0"/>
        <w:autoSpaceDN w:val="0"/>
        <w:adjustRightInd w:val="0"/>
        <w:spacing w:before="0" w:after="0" w:line="360" w:lineRule="auto"/>
        <w:jc w:val="center"/>
        <w:rPr>
          <w:rFonts w:cs="TimesNewRoman"/>
          <w:sz w:val="28"/>
          <w:szCs w:val="28"/>
          <w:lang w:val="nl-NL" w:bidi="ar-SA"/>
        </w:rPr>
      </w:pPr>
      <w:r w:rsidRPr="00AC4B3D">
        <w:rPr>
          <w:rFonts w:cs="TimesNewRoman"/>
          <w:sz w:val="28"/>
          <w:szCs w:val="28"/>
          <w:lang w:val="nl-NL" w:bidi="ar-SA"/>
        </w:rPr>
        <w:t>3062 PA Rotterdam</w:t>
      </w:r>
    </w:p>
    <w:p w:rsidR="00B671AA" w:rsidRPr="00AC4B3D" w:rsidRDefault="00B671AA" w:rsidP="0080790A">
      <w:pPr>
        <w:autoSpaceDE w:val="0"/>
        <w:autoSpaceDN w:val="0"/>
        <w:adjustRightInd w:val="0"/>
        <w:spacing w:before="0" w:after="0" w:line="360" w:lineRule="auto"/>
        <w:jc w:val="center"/>
        <w:rPr>
          <w:rFonts w:cs="TimesNewRoman"/>
          <w:sz w:val="28"/>
          <w:szCs w:val="28"/>
          <w:lang w:val="nl-NL" w:bidi="ar-SA"/>
        </w:rPr>
      </w:pPr>
    </w:p>
    <w:p w:rsidR="00F71CD8" w:rsidRPr="00AC4B3D" w:rsidRDefault="00F71CD8" w:rsidP="0080790A">
      <w:pPr>
        <w:autoSpaceDE w:val="0"/>
        <w:autoSpaceDN w:val="0"/>
        <w:adjustRightInd w:val="0"/>
        <w:spacing w:before="0" w:after="0" w:line="360" w:lineRule="auto"/>
        <w:jc w:val="center"/>
        <w:rPr>
          <w:rFonts w:cs="TimesNewRoman"/>
          <w:sz w:val="28"/>
          <w:szCs w:val="28"/>
          <w:lang w:val="nl-NL" w:bidi="ar-SA"/>
        </w:rPr>
      </w:pPr>
      <w:r w:rsidRPr="00AC4B3D">
        <w:rPr>
          <w:rFonts w:cs="TimesNewRoman"/>
          <w:sz w:val="28"/>
          <w:szCs w:val="28"/>
          <w:lang w:val="nl-NL" w:bidi="ar-SA"/>
        </w:rPr>
        <w:t>Supervisor:</w:t>
      </w:r>
    </w:p>
    <w:p w:rsidR="00F71CD8" w:rsidRPr="00AC4B3D" w:rsidRDefault="00F71CD8" w:rsidP="0080790A">
      <w:pPr>
        <w:autoSpaceDE w:val="0"/>
        <w:autoSpaceDN w:val="0"/>
        <w:adjustRightInd w:val="0"/>
        <w:spacing w:before="0" w:after="0" w:line="360" w:lineRule="auto"/>
        <w:jc w:val="center"/>
        <w:rPr>
          <w:rFonts w:cs="TimesNewRoman"/>
          <w:sz w:val="28"/>
          <w:szCs w:val="28"/>
          <w:lang w:val="nl-NL" w:bidi="ar-SA"/>
        </w:rPr>
      </w:pPr>
      <w:r w:rsidRPr="00AC4B3D">
        <w:rPr>
          <w:rFonts w:cs="TimesNewRoman"/>
          <w:sz w:val="28"/>
          <w:szCs w:val="28"/>
          <w:lang w:val="nl-NL" w:bidi="ar-SA"/>
        </w:rPr>
        <w:t xml:space="preserve">dr. </w:t>
      </w:r>
      <w:r w:rsidR="00B671AA" w:rsidRPr="00AC4B3D">
        <w:rPr>
          <w:rFonts w:cs="TimesNewRoman"/>
          <w:sz w:val="28"/>
          <w:szCs w:val="28"/>
          <w:lang w:val="nl-NL" w:bidi="ar-SA"/>
        </w:rPr>
        <w:t>M. H. Nijdam</w:t>
      </w:r>
    </w:p>
    <w:p w:rsidR="00B671AA" w:rsidRPr="00AC4B3D" w:rsidRDefault="00B671AA" w:rsidP="0080790A">
      <w:pPr>
        <w:autoSpaceDE w:val="0"/>
        <w:autoSpaceDN w:val="0"/>
        <w:adjustRightInd w:val="0"/>
        <w:spacing w:before="0" w:after="0" w:line="360" w:lineRule="auto"/>
        <w:jc w:val="center"/>
        <w:rPr>
          <w:rFonts w:cs="TimesNewRoman"/>
          <w:sz w:val="28"/>
          <w:szCs w:val="28"/>
          <w:lang w:val="nl-NL" w:bidi="ar-SA"/>
        </w:rPr>
      </w:pPr>
    </w:p>
    <w:p w:rsidR="00F71CD8" w:rsidRPr="00AC4B3D" w:rsidRDefault="00F71CD8" w:rsidP="0080790A">
      <w:pPr>
        <w:autoSpaceDE w:val="0"/>
        <w:autoSpaceDN w:val="0"/>
        <w:adjustRightInd w:val="0"/>
        <w:spacing w:before="0" w:after="0" w:line="360" w:lineRule="auto"/>
        <w:jc w:val="center"/>
        <w:rPr>
          <w:rFonts w:cs="TimesNewRoman"/>
          <w:sz w:val="28"/>
          <w:szCs w:val="28"/>
          <w:lang w:val="nl-NL" w:bidi="ar-SA"/>
        </w:rPr>
      </w:pPr>
      <w:r w:rsidRPr="00AC4B3D">
        <w:rPr>
          <w:rFonts w:cs="TimesNewRoman"/>
          <w:sz w:val="28"/>
          <w:szCs w:val="28"/>
          <w:lang w:val="nl-NL" w:bidi="ar-SA"/>
        </w:rPr>
        <w:t>Second Reader:</w:t>
      </w:r>
    </w:p>
    <w:p w:rsidR="00F71CD8" w:rsidRPr="00AC4B3D" w:rsidRDefault="00F71CD8" w:rsidP="0080790A">
      <w:pPr>
        <w:autoSpaceDE w:val="0"/>
        <w:autoSpaceDN w:val="0"/>
        <w:adjustRightInd w:val="0"/>
        <w:spacing w:before="0" w:after="0" w:line="360" w:lineRule="auto"/>
        <w:jc w:val="center"/>
        <w:rPr>
          <w:rFonts w:cs="TimesNewRoman"/>
          <w:sz w:val="28"/>
          <w:szCs w:val="28"/>
          <w:lang w:val="nl-NL" w:bidi="ar-SA"/>
        </w:rPr>
      </w:pPr>
      <w:r w:rsidRPr="00AC4B3D">
        <w:rPr>
          <w:rFonts w:cs="TimesNewRoman"/>
          <w:sz w:val="28"/>
          <w:szCs w:val="28"/>
          <w:lang w:val="nl-NL" w:bidi="ar-SA"/>
        </w:rPr>
        <w:t>dr</w:t>
      </w:r>
      <w:r w:rsidR="0080790A" w:rsidRPr="00AC4B3D">
        <w:rPr>
          <w:rFonts w:cs="TimesNewRoman"/>
          <w:sz w:val="28"/>
          <w:szCs w:val="28"/>
          <w:lang w:val="nl-NL" w:bidi="ar-SA"/>
        </w:rPr>
        <w:t>s. L.M. van der Lugt</w:t>
      </w:r>
    </w:p>
    <w:p w:rsidR="00B671AA" w:rsidRPr="00AC4B3D" w:rsidRDefault="00B671AA" w:rsidP="0080790A">
      <w:pPr>
        <w:autoSpaceDE w:val="0"/>
        <w:autoSpaceDN w:val="0"/>
        <w:adjustRightInd w:val="0"/>
        <w:spacing w:before="0" w:after="0" w:line="360" w:lineRule="auto"/>
        <w:jc w:val="center"/>
        <w:rPr>
          <w:rFonts w:cs="TimesNewRoman"/>
          <w:sz w:val="28"/>
          <w:szCs w:val="28"/>
          <w:lang w:val="nl-NL" w:bidi="ar-SA"/>
        </w:rPr>
      </w:pPr>
    </w:p>
    <w:p w:rsidR="00F71CD8" w:rsidRPr="00AC4B3D" w:rsidRDefault="00F71CD8" w:rsidP="0080790A">
      <w:pPr>
        <w:autoSpaceDE w:val="0"/>
        <w:autoSpaceDN w:val="0"/>
        <w:adjustRightInd w:val="0"/>
        <w:spacing w:before="0" w:after="0" w:line="360" w:lineRule="auto"/>
        <w:jc w:val="center"/>
        <w:rPr>
          <w:rFonts w:cs="TimesNewRoman"/>
          <w:sz w:val="28"/>
          <w:szCs w:val="28"/>
          <w:lang w:bidi="ar-SA"/>
        </w:rPr>
      </w:pPr>
      <w:r w:rsidRPr="00AC4B3D">
        <w:rPr>
          <w:rFonts w:cs="TimesNewRoman"/>
          <w:sz w:val="28"/>
          <w:szCs w:val="28"/>
          <w:lang w:bidi="ar-SA"/>
        </w:rPr>
        <w:t>By:</w:t>
      </w:r>
    </w:p>
    <w:p w:rsidR="00F71CD8" w:rsidRPr="00AC4B3D" w:rsidRDefault="0080790A" w:rsidP="0080790A">
      <w:pPr>
        <w:autoSpaceDE w:val="0"/>
        <w:autoSpaceDN w:val="0"/>
        <w:adjustRightInd w:val="0"/>
        <w:spacing w:before="0" w:after="0" w:line="360" w:lineRule="auto"/>
        <w:jc w:val="center"/>
        <w:rPr>
          <w:rFonts w:cs="TimesNewRoman"/>
          <w:sz w:val="28"/>
          <w:szCs w:val="28"/>
          <w:lang w:bidi="ar-SA"/>
        </w:rPr>
      </w:pPr>
      <w:r w:rsidRPr="00AC4B3D">
        <w:rPr>
          <w:rFonts w:cs="TimesNewRoman"/>
          <w:sz w:val="28"/>
          <w:szCs w:val="28"/>
          <w:lang w:bidi="ar-SA"/>
        </w:rPr>
        <w:t>Lex Miechels</w:t>
      </w:r>
    </w:p>
    <w:p w:rsidR="00B671AA" w:rsidRPr="00AC4B3D" w:rsidRDefault="00B671AA" w:rsidP="0080790A">
      <w:pPr>
        <w:autoSpaceDE w:val="0"/>
        <w:autoSpaceDN w:val="0"/>
        <w:adjustRightInd w:val="0"/>
        <w:spacing w:before="0" w:after="0" w:line="360" w:lineRule="auto"/>
        <w:jc w:val="center"/>
        <w:rPr>
          <w:rFonts w:cs="TimesNewRoman"/>
          <w:sz w:val="28"/>
          <w:szCs w:val="28"/>
          <w:lang w:bidi="ar-SA"/>
        </w:rPr>
      </w:pPr>
    </w:p>
    <w:p w:rsidR="0080790A" w:rsidRPr="00AC4B3D" w:rsidRDefault="0080790A" w:rsidP="0080790A">
      <w:pPr>
        <w:autoSpaceDE w:val="0"/>
        <w:autoSpaceDN w:val="0"/>
        <w:adjustRightInd w:val="0"/>
        <w:spacing w:before="0" w:after="0" w:line="360" w:lineRule="auto"/>
        <w:jc w:val="center"/>
        <w:rPr>
          <w:rFonts w:cs="TimesNewRoman"/>
          <w:sz w:val="28"/>
          <w:szCs w:val="28"/>
          <w:lang w:bidi="ar-SA"/>
        </w:rPr>
      </w:pPr>
      <w:r w:rsidRPr="00AC4B3D">
        <w:rPr>
          <w:rFonts w:cs="TimesNewRoman"/>
          <w:sz w:val="28"/>
          <w:szCs w:val="28"/>
          <w:lang w:bidi="ar-SA"/>
        </w:rPr>
        <w:t>August</w:t>
      </w:r>
      <w:r w:rsidR="00F71CD8" w:rsidRPr="00AC4B3D">
        <w:rPr>
          <w:rFonts w:cs="TimesNewRoman"/>
          <w:sz w:val="28"/>
          <w:szCs w:val="28"/>
          <w:lang w:bidi="ar-SA"/>
        </w:rPr>
        <w:t xml:space="preserve"> 2011</w:t>
      </w:r>
    </w:p>
    <w:p w:rsidR="006733B7" w:rsidRPr="006733B7" w:rsidRDefault="00B671AA" w:rsidP="006733B7">
      <w:pPr>
        <w:autoSpaceDE w:val="0"/>
        <w:autoSpaceDN w:val="0"/>
        <w:adjustRightInd w:val="0"/>
        <w:spacing w:before="0" w:after="0" w:line="360" w:lineRule="auto"/>
        <w:jc w:val="center"/>
        <w:rPr>
          <w:rFonts w:cs="TimesNewRoman"/>
          <w:sz w:val="32"/>
          <w:szCs w:val="32"/>
          <w:lang w:bidi="ar-SA"/>
        </w:rPr>
      </w:pPr>
      <w:r w:rsidRPr="00AC4B3D">
        <w:rPr>
          <w:rFonts w:cs="TimesNewRoman"/>
          <w:sz w:val="28"/>
          <w:szCs w:val="28"/>
          <w:lang w:bidi="ar-SA"/>
        </w:rPr>
        <w:t>Arnhem</w:t>
      </w:r>
      <w:r w:rsidR="006733B7">
        <w:br w:type="page"/>
      </w:r>
    </w:p>
    <w:sdt>
      <w:sdtPr>
        <w:rPr>
          <w:b w:val="0"/>
          <w:bCs w:val="0"/>
          <w:caps w:val="0"/>
          <w:color w:val="auto"/>
          <w:spacing w:val="0"/>
          <w:sz w:val="20"/>
          <w:szCs w:val="20"/>
        </w:rPr>
        <w:id w:val="7277330"/>
        <w:docPartObj>
          <w:docPartGallery w:val="Table of Contents"/>
          <w:docPartUnique/>
        </w:docPartObj>
      </w:sdtPr>
      <w:sdtContent>
        <w:p w:rsidR="008F1407" w:rsidRDefault="008F1407">
          <w:pPr>
            <w:pStyle w:val="Kopvaninhoudsopgave"/>
          </w:pPr>
          <w:r w:rsidRPr="009315AD">
            <w:rPr>
              <w:rFonts w:asciiTheme="majorHAnsi" w:hAnsiTheme="majorHAnsi"/>
            </w:rPr>
            <w:t>Table of Contents</w:t>
          </w:r>
        </w:p>
        <w:p w:rsidR="00AA5DB7" w:rsidRDefault="00BD69D8">
          <w:pPr>
            <w:pStyle w:val="Inhopg1"/>
            <w:rPr>
              <w:noProof/>
              <w:sz w:val="22"/>
              <w:szCs w:val="22"/>
              <w:lang w:val="nl-NL" w:eastAsia="nl-NL" w:bidi="ar-SA"/>
            </w:rPr>
          </w:pPr>
          <w:r>
            <w:fldChar w:fldCharType="begin"/>
          </w:r>
          <w:r w:rsidR="008F1407">
            <w:instrText xml:space="preserve"> TOC \o "1-3" \h \z \u </w:instrText>
          </w:r>
          <w:r>
            <w:fldChar w:fldCharType="separate"/>
          </w:r>
          <w:hyperlink w:anchor="_Toc300411974" w:history="1">
            <w:r w:rsidR="00AA5DB7" w:rsidRPr="00A64766">
              <w:rPr>
                <w:rStyle w:val="Hyperlink"/>
                <w:rFonts w:asciiTheme="majorHAnsi" w:hAnsiTheme="majorHAnsi"/>
                <w:noProof/>
              </w:rPr>
              <w:t>ACKNOWLEDGEMENTS</w:t>
            </w:r>
            <w:r w:rsidR="00AA5DB7">
              <w:rPr>
                <w:noProof/>
                <w:webHidden/>
              </w:rPr>
              <w:tab/>
            </w:r>
            <w:r>
              <w:rPr>
                <w:noProof/>
                <w:webHidden/>
              </w:rPr>
              <w:fldChar w:fldCharType="begin"/>
            </w:r>
            <w:r w:rsidR="00AA5DB7">
              <w:rPr>
                <w:noProof/>
                <w:webHidden/>
              </w:rPr>
              <w:instrText xml:space="preserve"> PAGEREF _Toc300411974 \h </w:instrText>
            </w:r>
            <w:r>
              <w:rPr>
                <w:noProof/>
                <w:webHidden/>
              </w:rPr>
            </w:r>
            <w:r>
              <w:rPr>
                <w:noProof/>
                <w:webHidden/>
              </w:rPr>
              <w:fldChar w:fldCharType="separate"/>
            </w:r>
            <w:r w:rsidR="00E05597">
              <w:rPr>
                <w:noProof/>
                <w:webHidden/>
              </w:rPr>
              <w:t>6</w:t>
            </w:r>
            <w:r>
              <w:rPr>
                <w:noProof/>
                <w:webHidden/>
              </w:rPr>
              <w:fldChar w:fldCharType="end"/>
            </w:r>
          </w:hyperlink>
        </w:p>
        <w:p w:rsidR="00AA5DB7" w:rsidRDefault="00BD69D8">
          <w:pPr>
            <w:pStyle w:val="Inhopg1"/>
            <w:rPr>
              <w:noProof/>
              <w:sz w:val="22"/>
              <w:szCs w:val="22"/>
              <w:lang w:val="nl-NL" w:eastAsia="nl-NL" w:bidi="ar-SA"/>
            </w:rPr>
          </w:pPr>
          <w:hyperlink w:anchor="_Toc300411975" w:history="1">
            <w:r w:rsidR="00AA5DB7" w:rsidRPr="00A64766">
              <w:rPr>
                <w:rStyle w:val="Hyperlink"/>
                <w:rFonts w:asciiTheme="majorHAnsi" w:hAnsiTheme="majorHAnsi"/>
                <w:noProof/>
              </w:rPr>
              <w:t>SUMMARY</w:t>
            </w:r>
            <w:r w:rsidR="00AA5DB7">
              <w:rPr>
                <w:noProof/>
                <w:webHidden/>
              </w:rPr>
              <w:tab/>
            </w:r>
            <w:r>
              <w:rPr>
                <w:noProof/>
                <w:webHidden/>
              </w:rPr>
              <w:fldChar w:fldCharType="begin"/>
            </w:r>
            <w:r w:rsidR="00AA5DB7">
              <w:rPr>
                <w:noProof/>
                <w:webHidden/>
              </w:rPr>
              <w:instrText xml:space="preserve"> PAGEREF _Toc300411975 \h </w:instrText>
            </w:r>
            <w:r>
              <w:rPr>
                <w:noProof/>
                <w:webHidden/>
              </w:rPr>
            </w:r>
            <w:r>
              <w:rPr>
                <w:noProof/>
                <w:webHidden/>
              </w:rPr>
              <w:fldChar w:fldCharType="separate"/>
            </w:r>
            <w:r w:rsidR="00E05597">
              <w:rPr>
                <w:noProof/>
                <w:webHidden/>
              </w:rPr>
              <w:t>7</w:t>
            </w:r>
            <w:r>
              <w:rPr>
                <w:noProof/>
                <w:webHidden/>
              </w:rPr>
              <w:fldChar w:fldCharType="end"/>
            </w:r>
          </w:hyperlink>
        </w:p>
        <w:p w:rsidR="00AA5DB7" w:rsidRDefault="00BD69D8">
          <w:pPr>
            <w:pStyle w:val="Inhopg1"/>
            <w:rPr>
              <w:noProof/>
              <w:sz w:val="22"/>
              <w:szCs w:val="22"/>
              <w:lang w:val="nl-NL" w:eastAsia="nl-NL" w:bidi="ar-SA"/>
            </w:rPr>
          </w:pPr>
          <w:hyperlink w:anchor="_Toc300411976" w:history="1">
            <w:r w:rsidR="00AA5DB7" w:rsidRPr="00A64766">
              <w:rPr>
                <w:rStyle w:val="Hyperlink"/>
                <w:rFonts w:asciiTheme="majorHAnsi" w:hAnsiTheme="majorHAnsi"/>
                <w:noProof/>
              </w:rPr>
              <w:t>LIST OF FIGURES AND TABLES</w:t>
            </w:r>
            <w:r w:rsidR="00AA5DB7">
              <w:rPr>
                <w:noProof/>
                <w:webHidden/>
              </w:rPr>
              <w:tab/>
            </w:r>
            <w:r>
              <w:rPr>
                <w:noProof/>
                <w:webHidden/>
              </w:rPr>
              <w:fldChar w:fldCharType="begin"/>
            </w:r>
            <w:r w:rsidR="00AA5DB7">
              <w:rPr>
                <w:noProof/>
                <w:webHidden/>
              </w:rPr>
              <w:instrText xml:space="preserve"> PAGEREF _Toc300411976 \h </w:instrText>
            </w:r>
            <w:r>
              <w:rPr>
                <w:noProof/>
                <w:webHidden/>
              </w:rPr>
            </w:r>
            <w:r>
              <w:rPr>
                <w:noProof/>
                <w:webHidden/>
              </w:rPr>
              <w:fldChar w:fldCharType="separate"/>
            </w:r>
            <w:r w:rsidR="00E05597">
              <w:rPr>
                <w:noProof/>
                <w:webHidden/>
              </w:rPr>
              <w:t>8</w:t>
            </w:r>
            <w:r>
              <w:rPr>
                <w:noProof/>
                <w:webHidden/>
              </w:rPr>
              <w:fldChar w:fldCharType="end"/>
            </w:r>
          </w:hyperlink>
        </w:p>
        <w:p w:rsidR="00AA5DB7" w:rsidRDefault="00BD69D8">
          <w:pPr>
            <w:pStyle w:val="Inhopg1"/>
            <w:rPr>
              <w:noProof/>
              <w:sz w:val="22"/>
              <w:szCs w:val="22"/>
              <w:lang w:val="nl-NL" w:eastAsia="nl-NL" w:bidi="ar-SA"/>
            </w:rPr>
          </w:pPr>
          <w:hyperlink w:anchor="_Toc300411977" w:history="1">
            <w:r w:rsidR="00AA5DB7" w:rsidRPr="00A64766">
              <w:rPr>
                <w:rStyle w:val="Hyperlink"/>
                <w:rFonts w:asciiTheme="majorHAnsi" w:hAnsiTheme="majorHAnsi"/>
                <w:noProof/>
              </w:rPr>
              <w:t>LIST OF ABBREVIATIONS</w:t>
            </w:r>
            <w:r w:rsidR="00AA5DB7">
              <w:rPr>
                <w:noProof/>
                <w:webHidden/>
              </w:rPr>
              <w:tab/>
            </w:r>
            <w:r>
              <w:rPr>
                <w:noProof/>
                <w:webHidden/>
              </w:rPr>
              <w:fldChar w:fldCharType="begin"/>
            </w:r>
            <w:r w:rsidR="00AA5DB7">
              <w:rPr>
                <w:noProof/>
                <w:webHidden/>
              </w:rPr>
              <w:instrText xml:space="preserve"> PAGEREF _Toc300411977 \h </w:instrText>
            </w:r>
            <w:r>
              <w:rPr>
                <w:noProof/>
                <w:webHidden/>
              </w:rPr>
            </w:r>
            <w:r>
              <w:rPr>
                <w:noProof/>
                <w:webHidden/>
              </w:rPr>
              <w:fldChar w:fldCharType="separate"/>
            </w:r>
            <w:r w:rsidR="00E05597">
              <w:rPr>
                <w:noProof/>
                <w:webHidden/>
              </w:rPr>
              <w:t>9</w:t>
            </w:r>
            <w:r>
              <w:rPr>
                <w:noProof/>
                <w:webHidden/>
              </w:rPr>
              <w:fldChar w:fldCharType="end"/>
            </w:r>
          </w:hyperlink>
        </w:p>
        <w:p w:rsidR="00AA5DB7" w:rsidRDefault="00BD69D8">
          <w:pPr>
            <w:pStyle w:val="Inhopg1"/>
            <w:tabs>
              <w:tab w:val="left" w:pos="440"/>
            </w:tabs>
            <w:rPr>
              <w:noProof/>
              <w:sz w:val="22"/>
              <w:szCs w:val="22"/>
              <w:lang w:val="nl-NL" w:eastAsia="nl-NL" w:bidi="ar-SA"/>
            </w:rPr>
          </w:pPr>
          <w:hyperlink w:anchor="_Toc300411978" w:history="1">
            <w:r w:rsidR="00AA5DB7" w:rsidRPr="00A64766">
              <w:rPr>
                <w:rStyle w:val="Hyperlink"/>
                <w:rFonts w:asciiTheme="majorHAnsi" w:hAnsiTheme="majorHAnsi"/>
                <w:noProof/>
              </w:rPr>
              <w:t>1</w:t>
            </w:r>
            <w:r w:rsidR="00AA5DB7">
              <w:rPr>
                <w:noProof/>
                <w:sz w:val="22"/>
                <w:szCs w:val="22"/>
                <w:lang w:val="nl-NL" w:eastAsia="nl-NL" w:bidi="ar-SA"/>
              </w:rPr>
              <w:tab/>
            </w:r>
            <w:r w:rsidR="00AA5DB7" w:rsidRPr="00A64766">
              <w:rPr>
                <w:rStyle w:val="Hyperlink"/>
                <w:rFonts w:asciiTheme="majorHAnsi" w:hAnsiTheme="majorHAnsi"/>
                <w:noProof/>
              </w:rPr>
              <w:t>INTRODUCTION</w:t>
            </w:r>
            <w:r w:rsidR="00AA5DB7">
              <w:rPr>
                <w:noProof/>
                <w:webHidden/>
              </w:rPr>
              <w:tab/>
            </w:r>
            <w:r>
              <w:rPr>
                <w:noProof/>
                <w:webHidden/>
              </w:rPr>
              <w:fldChar w:fldCharType="begin"/>
            </w:r>
            <w:r w:rsidR="00AA5DB7">
              <w:rPr>
                <w:noProof/>
                <w:webHidden/>
              </w:rPr>
              <w:instrText xml:space="preserve"> PAGEREF _Toc300411978 \h </w:instrText>
            </w:r>
            <w:r>
              <w:rPr>
                <w:noProof/>
                <w:webHidden/>
              </w:rPr>
            </w:r>
            <w:r>
              <w:rPr>
                <w:noProof/>
                <w:webHidden/>
              </w:rPr>
              <w:fldChar w:fldCharType="separate"/>
            </w:r>
            <w:r w:rsidR="00E05597">
              <w:rPr>
                <w:noProof/>
                <w:webHidden/>
              </w:rPr>
              <w:t>10</w:t>
            </w:r>
            <w:r>
              <w:rPr>
                <w:noProof/>
                <w:webHidden/>
              </w:rPr>
              <w:fldChar w:fldCharType="end"/>
            </w:r>
          </w:hyperlink>
        </w:p>
        <w:p w:rsidR="00AA5DB7" w:rsidRDefault="00BD69D8">
          <w:pPr>
            <w:pStyle w:val="Inhopg1"/>
            <w:tabs>
              <w:tab w:val="left" w:pos="440"/>
            </w:tabs>
            <w:rPr>
              <w:noProof/>
              <w:sz w:val="22"/>
              <w:szCs w:val="22"/>
              <w:lang w:val="nl-NL" w:eastAsia="nl-NL" w:bidi="ar-SA"/>
            </w:rPr>
          </w:pPr>
          <w:hyperlink w:anchor="_Toc300411979" w:history="1">
            <w:r w:rsidR="00AA5DB7" w:rsidRPr="00A64766">
              <w:rPr>
                <w:rStyle w:val="Hyperlink"/>
                <w:rFonts w:asciiTheme="majorHAnsi" w:hAnsiTheme="majorHAnsi"/>
                <w:noProof/>
              </w:rPr>
              <w:t>2</w:t>
            </w:r>
            <w:r w:rsidR="00AA5DB7">
              <w:rPr>
                <w:noProof/>
                <w:sz w:val="22"/>
                <w:szCs w:val="22"/>
                <w:lang w:val="nl-NL" w:eastAsia="nl-NL" w:bidi="ar-SA"/>
              </w:rPr>
              <w:tab/>
            </w:r>
            <w:r w:rsidR="00AA5DB7" w:rsidRPr="00A64766">
              <w:rPr>
                <w:rStyle w:val="Hyperlink"/>
                <w:rFonts w:asciiTheme="majorHAnsi" w:hAnsiTheme="majorHAnsi"/>
                <w:noProof/>
              </w:rPr>
              <w:t>THEORETICAL FRAMEWORK</w:t>
            </w:r>
            <w:r w:rsidR="00AA5DB7">
              <w:rPr>
                <w:noProof/>
                <w:webHidden/>
              </w:rPr>
              <w:tab/>
            </w:r>
            <w:r>
              <w:rPr>
                <w:noProof/>
                <w:webHidden/>
              </w:rPr>
              <w:fldChar w:fldCharType="begin"/>
            </w:r>
            <w:r w:rsidR="00AA5DB7">
              <w:rPr>
                <w:noProof/>
                <w:webHidden/>
              </w:rPr>
              <w:instrText xml:space="preserve"> PAGEREF _Toc300411979 \h </w:instrText>
            </w:r>
            <w:r>
              <w:rPr>
                <w:noProof/>
                <w:webHidden/>
              </w:rPr>
            </w:r>
            <w:r>
              <w:rPr>
                <w:noProof/>
                <w:webHidden/>
              </w:rPr>
              <w:fldChar w:fldCharType="separate"/>
            </w:r>
            <w:r w:rsidR="00E05597">
              <w:rPr>
                <w:noProof/>
                <w:webHidden/>
              </w:rPr>
              <w:t>14</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1980" w:history="1">
            <w:r w:rsidR="00AA5DB7" w:rsidRPr="00A64766">
              <w:rPr>
                <w:rStyle w:val="Hyperlink"/>
                <w:rFonts w:asciiTheme="majorHAnsi" w:hAnsiTheme="majorHAnsi"/>
                <w:noProof/>
              </w:rPr>
              <w:t>2.1</w:t>
            </w:r>
            <w:r w:rsidR="00AA5DB7">
              <w:rPr>
                <w:noProof/>
                <w:sz w:val="22"/>
                <w:szCs w:val="22"/>
                <w:lang w:val="nl-NL" w:eastAsia="nl-NL" w:bidi="ar-SA"/>
              </w:rPr>
              <w:tab/>
            </w:r>
            <w:r w:rsidR="00AA5DB7" w:rsidRPr="00A64766">
              <w:rPr>
                <w:rStyle w:val="Hyperlink"/>
                <w:rFonts w:asciiTheme="majorHAnsi" w:hAnsiTheme="majorHAnsi"/>
                <w:noProof/>
              </w:rPr>
              <w:t>Defining logistics services providers</w:t>
            </w:r>
            <w:r w:rsidR="00AA5DB7">
              <w:rPr>
                <w:noProof/>
                <w:webHidden/>
              </w:rPr>
              <w:tab/>
            </w:r>
            <w:r>
              <w:rPr>
                <w:noProof/>
                <w:webHidden/>
              </w:rPr>
              <w:fldChar w:fldCharType="begin"/>
            </w:r>
            <w:r w:rsidR="00AA5DB7">
              <w:rPr>
                <w:noProof/>
                <w:webHidden/>
              </w:rPr>
              <w:instrText xml:space="preserve"> PAGEREF _Toc300411980 \h </w:instrText>
            </w:r>
            <w:r>
              <w:rPr>
                <w:noProof/>
                <w:webHidden/>
              </w:rPr>
            </w:r>
            <w:r>
              <w:rPr>
                <w:noProof/>
                <w:webHidden/>
              </w:rPr>
              <w:fldChar w:fldCharType="separate"/>
            </w:r>
            <w:r w:rsidR="00E05597">
              <w:rPr>
                <w:noProof/>
                <w:webHidden/>
              </w:rPr>
              <w:t>16</w:t>
            </w:r>
            <w:r>
              <w:rPr>
                <w:noProof/>
                <w:webHidden/>
              </w:rPr>
              <w:fldChar w:fldCharType="end"/>
            </w:r>
          </w:hyperlink>
        </w:p>
        <w:p w:rsidR="00AA5DB7" w:rsidRDefault="00BD69D8">
          <w:pPr>
            <w:pStyle w:val="Inhopg3"/>
            <w:tabs>
              <w:tab w:val="left" w:pos="1100"/>
              <w:tab w:val="right" w:leader="dot" w:pos="9062"/>
            </w:tabs>
            <w:rPr>
              <w:noProof/>
              <w:sz w:val="22"/>
              <w:szCs w:val="22"/>
              <w:lang w:val="nl-NL" w:eastAsia="nl-NL" w:bidi="ar-SA"/>
            </w:rPr>
          </w:pPr>
          <w:hyperlink w:anchor="_Toc300411981" w:history="1">
            <w:r w:rsidR="00AA5DB7" w:rsidRPr="00A64766">
              <w:rPr>
                <w:rStyle w:val="Hyperlink"/>
                <w:rFonts w:asciiTheme="majorHAnsi" w:hAnsiTheme="majorHAnsi"/>
                <w:noProof/>
              </w:rPr>
              <w:t>2.1.1</w:t>
            </w:r>
            <w:r w:rsidR="00AA5DB7">
              <w:rPr>
                <w:noProof/>
                <w:sz w:val="22"/>
                <w:szCs w:val="22"/>
                <w:lang w:val="nl-NL" w:eastAsia="nl-NL" w:bidi="ar-SA"/>
              </w:rPr>
              <w:tab/>
            </w:r>
            <w:r w:rsidR="00AA5DB7" w:rsidRPr="00A64766">
              <w:rPr>
                <w:rStyle w:val="Hyperlink"/>
                <w:rFonts w:asciiTheme="majorHAnsi" w:hAnsiTheme="majorHAnsi"/>
                <w:noProof/>
              </w:rPr>
              <w:t>Third party logistics providers</w:t>
            </w:r>
            <w:r w:rsidR="00AA5DB7">
              <w:rPr>
                <w:noProof/>
                <w:webHidden/>
              </w:rPr>
              <w:tab/>
            </w:r>
            <w:r>
              <w:rPr>
                <w:noProof/>
                <w:webHidden/>
              </w:rPr>
              <w:fldChar w:fldCharType="begin"/>
            </w:r>
            <w:r w:rsidR="00AA5DB7">
              <w:rPr>
                <w:noProof/>
                <w:webHidden/>
              </w:rPr>
              <w:instrText xml:space="preserve"> PAGEREF _Toc300411981 \h </w:instrText>
            </w:r>
            <w:r>
              <w:rPr>
                <w:noProof/>
                <w:webHidden/>
              </w:rPr>
            </w:r>
            <w:r>
              <w:rPr>
                <w:noProof/>
                <w:webHidden/>
              </w:rPr>
              <w:fldChar w:fldCharType="separate"/>
            </w:r>
            <w:r w:rsidR="00E05597">
              <w:rPr>
                <w:noProof/>
                <w:webHidden/>
              </w:rPr>
              <w:t>16</w:t>
            </w:r>
            <w:r>
              <w:rPr>
                <w:noProof/>
                <w:webHidden/>
              </w:rPr>
              <w:fldChar w:fldCharType="end"/>
            </w:r>
          </w:hyperlink>
        </w:p>
        <w:p w:rsidR="00AA5DB7" w:rsidRDefault="00BD69D8">
          <w:pPr>
            <w:pStyle w:val="Inhopg3"/>
            <w:tabs>
              <w:tab w:val="left" w:pos="1100"/>
              <w:tab w:val="right" w:leader="dot" w:pos="9062"/>
            </w:tabs>
            <w:rPr>
              <w:noProof/>
              <w:sz w:val="22"/>
              <w:szCs w:val="22"/>
              <w:lang w:val="nl-NL" w:eastAsia="nl-NL" w:bidi="ar-SA"/>
            </w:rPr>
          </w:pPr>
          <w:hyperlink w:anchor="_Toc300411982" w:history="1">
            <w:r w:rsidR="00AA5DB7" w:rsidRPr="00A64766">
              <w:rPr>
                <w:rStyle w:val="Hyperlink"/>
                <w:rFonts w:asciiTheme="majorHAnsi" w:hAnsiTheme="majorHAnsi"/>
                <w:noProof/>
              </w:rPr>
              <w:t>2.1.2</w:t>
            </w:r>
            <w:r w:rsidR="00AA5DB7">
              <w:rPr>
                <w:noProof/>
                <w:sz w:val="22"/>
                <w:szCs w:val="22"/>
                <w:lang w:val="nl-NL" w:eastAsia="nl-NL" w:bidi="ar-SA"/>
              </w:rPr>
              <w:tab/>
            </w:r>
            <w:r w:rsidR="00AA5DB7" w:rsidRPr="00A64766">
              <w:rPr>
                <w:rStyle w:val="Hyperlink"/>
                <w:rFonts w:asciiTheme="majorHAnsi" w:hAnsiTheme="majorHAnsi"/>
                <w:noProof/>
              </w:rPr>
              <w:t>Fourth party logistics providers</w:t>
            </w:r>
            <w:r w:rsidR="00AA5DB7">
              <w:rPr>
                <w:noProof/>
                <w:webHidden/>
              </w:rPr>
              <w:tab/>
            </w:r>
            <w:r>
              <w:rPr>
                <w:noProof/>
                <w:webHidden/>
              </w:rPr>
              <w:fldChar w:fldCharType="begin"/>
            </w:r>
            <w:r w:rsidR="00AA5DB7">
              <w:rPr>
                <w:noProof/>
                <w:webHidden/>
              </w:rPr>
              <w:instrText xml:space="preserve"> PAGEREF _Toc300411982 \h </w:instrText>
            </w:r>
            <w:r>
              <w:rPr>
                <w:noProof/>
                <w:webHidden/>
              </w:rPr>
            </w:r>
            <w:r>
              <w:rPr>
                <w:noProof/>
                <w:webHidden/>
              </w:rPr>
              <w:fldChar w:fldCharType="separate"/>
            </w:r>
            <w:r w:rsidR="00E05597">
              <w:rPr>
                <w:noProof/>
                <w:webHidden/>
              </w:rPr>
              <w:t>19</w:t>
            </w:r>
            <w:r>
              <w:rPr>
                <w:noProof/>
                <w:webHidden/>
              </w:rPr>
              <w:fldChar w:fldCharType="end"/>
            </w:r>
          </w:hyperlink>
        </w:p>
        <w:p w:rsidR="00AA5DB7" w:rsidRDefault="00BD69D8">
          <w:pPr>
            <w:pStyle w:val="Inhopg3"/>
            <w:tabs>
              <w:tab w:val="left" w:pos="1100"/>
              <w:tab w:val="right" w:leader="dot" w:pos="9062"/>
            </w:tabs>
            <w:rPr>
              <w:noProof/>
              <w:sz w:val="22"/>
              <w:szCs w:val="22"/>
              <w:lang w:val="nl-NL" w:eastAsia="nl-NL" w:bidi="ar-SA"/>
            </w:rPr>
          </w:pPr>
          <w:hyperlink w:anchor="_Toc300411983" w:history="1">
            <w:r w:rsidR="00AA5DB7" w:rsidRPr="00A64766">
              <w:rPr>
                <w:rStyle w:val="Hyperlink"/>
                <w:rFonts w:asciiTheme="majorHAnsi" w:hAnsiTheme="majorHAnsi"/>
                <w:noProof/>
              </w:rPr>
              <w:t>2.1.3</w:t>
            </w:r>
            <w:r w:rsidR="00AA5DB7">
              <w:rPr>
                <w:noProof/>
                <w:sz w:val="22"/>
                <w:szCs w:val="22"/>
                <w:lang w:val="nl-NL" w:eastAsia="nl-NL" w:bidi="ar-SA"/>
              </w:rPr>
              <w:tab/>
            </w:r>
            <w:r w:rsidR="00AA5DB7" w:rsidRPr="00A64766">
              <w:rPr>
                <w:rStyle w:val="Hyperlink"/>
                <w:rFonts w:asciiTheme="majorHAnsi" w:hAnsiTheme="majorHAnsi"/>
                <w:noProof/>
              </w:rPr>
              <w:t>Carriers &amp; transport Operators</w:t>
            </w:r>
            <w:r w:rsidR="00AA5DB7">
              <w:rPr>
                <w:noProof/>
                <w:webHidden/>
              </w:rPr>
              <w:tab/>
            </w:r>
            <w:r>
              <w:rPr>
                <w:noProof/>
                <w:webHidden/>
              </w:rPr>
              <w:fldChar w:fldCharType="begin"/>
            </w:r>
            <w:r w:rsidR="00AA5DB7">
              <w:rPr>
                <w:noProof/>
                <w:webHidden/>
              </w:rPr>
              <w:instrText xml:space="preserve"> PAGEREF _Toc300411983 \h </w:instrText>
            </w:r>
            <w:r>
              <w:rPr>
                <w:noProof/>
                <w:webHidden/>
              </w:rPr>
            </w:r>
            <w:r>
              <w:rPr>
                <w:noProof/>
                <w:webHidden/>
              </w:rPr>
              <w:fldChar w:fldCharType="separate"/>
            </w:r>
            <w:r w:rsidR="00E05597">
              <w:rPr>
                <w:noProof/>
                <w:webHidden/>
              </w:rPr>
              <w:t>20</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1984" w:history="1">
            <w:r w:rsidR="00AA5DB7" w:rsidRPr="00A64766">
              <w:rPr>
                <w:rStyle w:val="Hyperlink"/>
                <w:rFonts w:asciiTheme="majorHAnsi" w:hAnsiTheme="majorHAnsi"/>
                <w:noProof/>
              </w:rPr>
              <w:t>2.2</w:t>
            </w:r>
            <w:r w:rsidR="00AA5DB7">
              <w:rPr>
                <w:noProof/>
                <w:sz w:val="22"/>
                <w:szCs w:val="22"/>
                <w:lang w:val="nl-NL" w:eastAsia="nl-NL" w:bidi="ar-SA"/>
              </w:rPr>
              <w:tab/>
            </w:r>
            <w:r w:rsidR="00AA5DB7" w:rsidRPr="00A64766">
              <w:rPr>
                <w:rStyle w:val="Hyperlink"/>
                <w:rFonts w:asciiTheme="majorHAnsi" w:hAnsiTheme="majorHAnsi"/>
                <w:noProof/>
              </w:rPr>
              <w:t>The historical development of the TPL business</w:t>
            </w:r>
            <w:r w:rsidR="00AA5DB7">
              <w:rPr>
                <w:noProof/>
                <w:webHidden/>
              </w:rPr>
              <w:tab/>
            </w:r>
            <w:r>
              <w:rPr>
                <w:noProof/>
                <w:webHidden/>
              </w:rPr>
              <w:fldChar w:fldCharType="begin"/>
            </w:r>
            <w:r w:rsidR="00AA5DB7">
              <w:rPr>
                <w:noProof/>
                <w:webHidden/>
              </w:rPr>
              <w:instrText xml:space="preserve"> PAGEREF _Toc300411984 \h </w:instrText>
            </w:r>
            <w:r>
              <w:rPr>
                <w:noProof/>
                <w:webHidden/>
              </w:rPr>
            </w:r>
            <w:r>
              <w:rPr>
                <w:noProof/>
                <w:webHidden/>
              </w:rPr>
              <w:fldChar w:fldCharType="separate"/>
            </w:r>
            <w:r w:rsidR="00E05597">
              <w:rPr>
                <w:noProof/>
                <w:webHidden/>
              </w:rPr>
              <w:t>21</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1985" w:history="1">
            <w:r w:rsidR="00AA5DB7" w:rsidRPr="00A64766">
              <w:rPr>
                <w:rStyle w:val="Hyperlink"/>
                <w:rFonts w:asciiTheme="majorHAnsi" w:hAnsiTheme="majorHAnsi"/>
                <w:noProof/>
              </w:rPr>
              <w:t>2.3</w:t>
            </w:r>
            <w:r w:rsidR="00AA5DB7">
              <w:rPr>
                <w:noProof/>
                <w:sz w:val="22"/>
                <w:szCs w:val="22"/>
                <w:lang w:val="nl-NL" w:eastAsia="nl-NL" w:bidi="ar-SA"/>
              </w:rPr>
              <w:tab/>
            </w:r>
            <w:r w:rsidR="00AA5DB7" w:rsidRPr="00A64766">
              <w:rPr>
                <w:rStyle w:val="Hyperlink"/>
                <w:rFonts w:asciiTheme="majorHAnsi" w:hAnsiTheme="majorHAnsi"/>
                <w:noProof/>
              </w:rPr>
              <w:t>Outsourcing logistics</w:t>
            </w:r>
            <w:r w:rsidR="00AA5DB7">
              <w:rPr>
                <w:noProof/>
                <w:webHidden/>
              </w:rPr>
              <w:tab/>
            </w:r>
            <w:r>
              <w:rPr>
                <w:noProof/>
                <w:webHidden/>
              </w:rPr>
              <w:fldChar w:fldCharType="begin"/>
            </w:r>
            <w:r w:rsidR="00AA5DB7">
              <w:rPr>
                <w:noProof/>
                <w:webHidden/>
              </w:rPr>
              <w:instrText xml:space="preserve"> PAGEREF _Toc300411985 \h </w:instrText>
            </w:r>
            <w:r>
              <w:rPr>
                <w:noProof/>
                <w:webHidden/>
              </w:rPr>
            </w:r>
            <w:r>
              <w:rPr>
                <w:noProof/>
                <w:webHidden/>
              </w:rPr>
              <w:fldChar w:fldCharType="separate"/>
            </w:r>
            <w:r w:rsidR="00E05597">
              <w:rPr>
                <w:noProof/>
                <w:webHidden/>
              </w:rPr>
              <w:t>23</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1986" w:history="1">
            <w:r w:rsidR="00AA5DB7" w:rsidRPr="00A64766">
              <w:rPr>
                <w:rStyle w:val="Hyperlink"/>
                <w:rFonts w:asciiTheme="majorHAnsi" w:hAnsiTheme="majorHAnsi"/>
                <w:noProof/>
              </w:rPr>
              <w:t>2.4</w:t>
            </w:r>
            <w:r w:rsidR="00AA5DB7">
              <w:rPr>
                <w:noProof/>
                <w:sz w:val="22"/>
                <w:szCs w:val="22"/>
                <w:lang w:val="nl-NL" w:eastAsia="nl-NL" w:bidi="ar-SA"/>
              </w:rPr>
              <w:tab/>
            </w:r>
            <w:r w:rsidR="00AA5DB7" w:rsidRPr="00A64766">
              <w:rPr>
                <w:rStyle w:val="Hyperlink"/>
                <w:rFonts w:asciiTheme="majorHAnsi" w:hAnsiTheme="majorHAnsi"/>
                <w:noProof/>
              </w:rPr>
              <w:t>TPL buyer-supplier relationships</w:t>
            </w:r>
            <w:r w:rsidR="00AA5DB7">
              <w:rPr>
                <w:noProof/>
                <w:webHidden/>
              </w:rPr>
              <w:tab/>
            </w:r>
            <w:r>
              <w:rPr>
                <w:noProof/>
                <w:webHidden/>
              </w:rPr>
              <w:fldChar w:fldCharType="begin"/>
            </w:r>
            <w:r w:rsidR="00AA5DB7">
              <w:rPr>
                <w:noProof/>
                <w:webHidden/>
              </w:rPr>
              <w:instrText xml:space="preserve"> PAGEREF _Toc300411986 \h </w:instrText>
            </w:r>
            <w:r>
              <w:rPr>
                <w:noProof/>
                <w:webHidden/>
              </w:rPr>
            </w:r>
            <w:r>
              <w:rPr>
                <w:noProof/>
                <w:webHidden/>
              </w:rPr>
              <w:fldChar w:fldCharType="separate"/>
            </w:r>
            <w:r w:rsidR="00E05597">
              <w:rPr>
                <w:noProof/>
                <w:webHidden/>
              </w:rPr>
              <w:t>26</w:t>
            </w:r>
            <w:r>
              <w:rPr>
                <w:noProof/>
                <w:webHidden/>
              </w:rPr>
              <w:fldChar w:fldCharType="end"/>
            </w:r>
          </w:hyperlink>
        </w:p>
        <w:p w:rsidR="00AA5DB7" w:rsidRDefault="00BD69D8">
          <w:pPr>
            <w:pStyle w:val="Inhopg3"/>
            <w:tabs>
              <w:tab w:val="left" w:pos="1100"/>
              <w:tab w:val="right" w:leader="dot" w:pos="9062"/>
            </w:tabs>
            <w:rPr>
              <w:noProof/>
              <w:sz w:val="22"/>
              <w:szCs w:val="22"/>
              <w:lang w:val="nl-NL" w:eastAsia="nl-NL" w:bidi="ar-SA"/>
            </w:rPr>
          </w:pPr>
          <w:hyperlink w:anchor="_Toc300411987" w:history="1">
            <w:r w:rsidR="00AA5DB7" w:rsidRPr="00A64766">
              <w:rPr>
                <w:rStyle w:val="Hyperlink"/>
                <w:rFonts w:asciiTheme="majorHAnsi" w:hAnsiTheme="majorHAnsi"/>
                <w:noProof/>
              </w:rPr>
              <w:t>2.4.1</w:t>
            </w:r>
            <w:r w:rsidR="00AA5DB7">
              <w:rPr>
                <w:noProof/>
                <w:sz w:val="22"/>
                <w:szCs w:val="22"/>
                <w:lang w:val="nl-NL" w:eastAsia="nl-NL" w:bidi="ar-SA"/>
              </w:rPr>
              <w:tab/>
            </w:r>
            <w:r w:rsidR="00AA5DB7" w:rsidRPr="00A64766">
              <w:rPr>
                <w:rStyle w:val="Hyperlink"/>
                <w:rFonts w:asciiTheme="majorHAnsi" w:hAnsiTheme="majorHAnsi"/>
                <w:noProof/>
              </w:rPr>
              <w:t>Applying the agency theory on TPL relationships</w:t>
            </w:r>
            <w:r w:rsidR="00AA5DB7">
              <w:rPr>
                <w:noProof/>
                <w:webHidden/>
              </w:rPr>
              <w:tab/>
            </w:r>
            <w:r>
              <w:rPr>
                <w:noProof/>
                <w:webHidden/>
              </w:rPr>
              <w:fldChar w:fldCharType="begin"/>
            </w:r>
            <w:r w:rsidR="00AA5DB7">
              <w:rPr>
                <w:noProof/>
                <w:webHidden/>
              </w:rPr>
              <w:instrText xml:space="preserve"> PAGEREF _Toc300411987 \h </w:instrText>
            </w:r>
            <w:r>
              <w:rPr>
                <w:noProof/>
                <w:webHidden/>
              </w:rPr>
            </w:r>
            <w:r>
              <w:rPr>
                <w:noProof/>
                <w:webHidden/>
              </w:rPr>
              <w:fldChar w:fldCharType="separate"/>
            </w:r>
            <w:r w:rsidR="00E05597">
              <w:rPr>
                <w:noProof/>
                <w:webHidden/>
              </w:rPr>
              <w:t>26</w:t>
            </w:r>
            <w:r>
              <w:rPr>
                <w:noProof/>
                <w:webHidden/>
              </w:rPr>
              <w:fldChar w:fldCharType="end"/>
            </w:r>
          </w:hyperlink>
        </w:p>
        <w:p w:rsidR="00AA5DB7" w:rsidRDefault="00BD69D8">
          <w:pPr>
            <w:pStyle w:val="Inhopg3"/>
            <w:tabs>
              <w:tab w:val="left" w:pos="1100"/>
              <w:tab w:val="right" w:leader="dot" w:pos="9062"/>
            </w:tabs>
            <w:rPr>
              <w:noProof/>
              <w:sz w:val="22"/>
              <w:szCs w:val="22"/>
              <w:lang w:val="nl-NL" w:eastAsia="nl-NL" w:bidi="ar-SA"/>
            </w:rPr>
          </w:pPr>
          <w:hyperlink w:anchor="_Toc300411988" w:history="1">
            <w:r w:rsidR="00AA5DB7" w:rsidRPr="00A64766">
              <w:rPr>
                <w:rStyle w:val="Hyperlink"/>
                <w:rFonts w:asciiTheme="majorHAnsi" w:hAnsiTheme="majorHAnsi"/>
                <w:noProof/>
              </w:rPr>
              <w:t>2.4.2</w:t>
            </w:r>
            <w:r w:rsidR="00AA5DB7">
              <w:rPr>
                <w:noProof/>
                <w:sz w:val="22"/>
                <w:szCs w:val="22"/>
                <w:lang w:val="nl-NL" w:eastAsia="nl-NL" w:bidi="ar-SA"/>
              </w:rPr>
              <w:tab/>
            </w:r>
            <w:r w:rsidR="00AA5DB7" w:rsidRPr="00A64766">
              <w:rPr>
                <w:rStyle w:val="Hyperlink"/>
                <w:rFonts w:asciiTheme="majorHAnsi" w:hAnsiTheme="majorHAnsi"/>
                <w:noProof/>
              </w:rPr>
              <w:t>Applying the network perspective on TPL relationships</w:t>
            </w:r>
            <w:r w:rsidR="00AA5DB7">
              <w:rPr>
                <w:noProof/>
                <w:webHidden/>
              </w:rPr>
              <w:tab/>
            </w:r>
            <w:r>
              <w:rPr>
                <w:noProof/>
                <w:webHidden/>
              </w:rPr>
              <w:fldChar w:fldCharType="begin"/>
            </w:r>
            <w:r w:rsidR="00AA5DB7">
              <w:rPr>
                <w:noProof/>
                <w:webHidden/>
              </w:rPr>
              <w:instrText xml:space="preserve"> PAGEREF _Toc300411988 \h </w:instrText>
            </w:r>
            <w:r>
              <w:rPr>
                <w:noProof/>
                <w:webHidden/>
              </w:rPr>
            </w:r>
            <w:r>
              <w:rPr>
                <w:noProof/>
                <w:webHidden/>
              </w:rPr>
              <w:fldChar w:fldCharType="separate"/>
            </w:r>
            <w:r w:rsidR="00E05597">
              <w:rPr>
                <w:noProof/>
                <w:webHidden/>
              </w:rPr>
              <w:t>27</w:t>
            </w:r>
            <w:r>
              <w:rPr>
                <w:noProof/>
                <w:webHidden/>
              </w:rPr>
              <w:fldChar w:fldCharType="end"/>
            </w:r>
          </w:hyperlink>
        </w:p>
        <w:p w:rsidR="00AA5DB7" w:rsidRDefault="00BD69D8">
          <w:pPr>
            <w:pStyle w:val="Inhopg3"/>
            <w:tabs>
              <w:tab w:val="left" w:pos="1100"/>
              <w:tab w:val="right" w:leader="dot" w:pos="9062"/>
            </w:tabs>
            <w:rPr>
              <w:noProof/>
              <w:sz w:val="22"/>
              <w:szCs w:val="22"/>
              <w:lang w:val="nl-NL" w:eastAsia="nl-NL" w:bidi="ar-SA"/>
            </w:rPr>
          </w:pPr>
          <w:hyperlink w:anchor="_Toc300411989" w:history="1">
            <w:r w:rsidR="00AA5DB7" w:rsidRPr="00A64766">
              <w:rPr>
                <w:rStyle w:val="Hyperlink"/>
                <w:rFonts w:asciiTheme="majorHAnsi" w:hAnsiTheme="majorHAnsi"/>
                <w:noProof/>
              </w:rPr>
              <w:t>2.4.3</w:t>
            </w:r>
            <w:r w:rsidR="00AA5DB7">
              <w:rPr>
                <w:noProof/>
                <w:sz w:val="22"/>
                <w:szCs w:val="22"/>
                <w:lang w:val="nl-NL" w:eastAsia="nl-NL" w:bidi="ar-SA"/>
              </w:rPr>
              <w:tab/>
            </w:r>
            <w:r w:rsidR="00AA5DB7" w:rsidRPr="00A64766">
              <w:rPr>
                <w:rStyle w:val="Hyperlink"/>
                <w:rFonts w:asciiTheme="majorHAnsi" w:hAnsiTheme="majorHAnsi"/>
                <w:noProof/>
              </w:rPr>
              <w:t>Current status of TPL relationships</w:t>
            </w:r>
            <w:r w:rsidR="00AA5DB7">
              <w:rPr>
                <w:noProof/>
                <w:webHidden/>
              </w:rPr>
              <w:tab/>
            </w:r>
            <w:r>
              <w:rPr>
                <w:noProof/>
                <w:webHidden/>
              </w:rPr>
              <w:fldChar w:fldCharType="begin"/>
            </w:r>
            <w:r w:rsidR="00AA5DB7">
              <w:rPr>
                <w:noProof/>
                <w:webHidden/>
              </w:rPr>
              <w:instrText xml:space="preserve"> PAGEREF _Toc300411989 \h </w:instrText>
            </w:r>
            <w:r>
              <w:rPr>
                <w:noProof/>
                <w:webHidden/>
              </w:rPr>
            </w:r>
            <w:r>
              <w:rPr>
                <w:noProof/>
                <w:webHidden/>
              </w:rPr>
              <w:fldChar w:fldCharType="separate"/>
            </w:r>
            <w:r w:rsidR="00E05597">
              <w:rPr>
                <w:noProof/>
                <w:webHidden/>
              </w:rPr>
              <w:t>28</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1990" w:history="1">
            <w:r w:rsidR="00AA5DB7" w:rsidRPr="00A64766">
              <w:rPr>
                <w:rStyle w:val="Hyperlink"/>
                <w:rFonts w:asciiTheme="majorHAnsi" w:hAnsiTheme="majorHAnsi"/>
                <w:noProof/>
              </w:rPr>
              <w:t>2.5</w:t>
            </w:r>
            <w:r w:rsidR="00AA5DB7">
              <w:rPr>
                <w:noProof/>
                <w:sz w:val="22"/>
                <w:szCs w:val="22"/>
                <w:lang w:val="nl-NL" w:eastAsia="nl-NL" w:bidi="ar-SA"/>
              </w:rPr>
              <w:tab/>
            </w:r>
            <w:r w:rsidR="00AA5DB7" w:rsidRPr="00A64766">
              <w:rPr>
                <w:rStyle w:val="Hyperlink"/>
                <w:rFonts w:asciiTheme="majorHAnsi" w:hAnsiTheme="majorHAnsi"/>
                <w:noProof/>
              </w:rPr>
              <w:t>The geographic service area of TPL providers</w:t>
            </w:r>
            <w:r w:rsidR="00AA5DB7">
              <w:rPr>
                <w:noProof/>
                <w:webHidden/>
              </w:rPr>
              <w:tab/>
            </w:r>
            <w:r>
              <w:rPr>
                <w:noProof/>
                <w:webHidden/>
              </w:rPr>
              <w:fldChar w:fldCharType="begin"/>
            </w:r>
            <w:r w:rsidR="00AA5DB7">
              <w:rPr>
                <w:noProof/>
                <w:webHidden/>
              </w:rPr>
              <w:instrText xml:space="preserve"> PAGEREF _Toc300411990 \h </w:instrText>
            </w:r>
            <w:r>
              <w:rPr>
                <w:noProof/>
                <w:webHidden/>
              </w:rPr>
            </w:r>
            <w:r>
              <w:rPr>
                <w:noProof/>
                <w:webHidden/>
              </w:rPr>
              <w:fldChar w:fldCharType="separate"/>
            </w:r>
            <w:r w:rsidR="00E05597">
              <w:rPr>
                <w:noProof/>
                <w:webHidden/>
              </w:rPr>
              <w:t>29</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1991" w:history="1">
            <w:r w:rsidR="00AA5DB7" w:rsidRPr="00A64766">
              <w:rPr>
                <w:rStyle w:val="Hyperlink"/>
                <w:rFonts w:asciiTheme="majorHAnsi" w:hAnsiTheme="majorHAnsi"/>
                <w:noProof/>
              </w:rPr>
              <w:t>2.6</w:t>
            </w:r>
            <w:r w:rsidR="00AA5DB7">
              <w:rPr>
                <w:noProof/>
                <w:sz w:val="22"/>
                <w:szCs w:val="22"/>
                <w:lang w:val="nl-NL" w:eastAsia="nl-NL" w:bidi="ar-SA"/>
              </w:rPr>
              <w:tab/>
            </w:r>
            <w:r w:rsidR="00AA5DB7" w:rsidRPr="00A64766">
              <w:rPr>
                <w:rStyle w:val="Hyperlink"/>
                <w:rFonts w:asciiTheme="majorHAnsi" w:hAnsiTheme="majorHAnsi"/>
                <w:noProof/>
              </w:rPr>
              <w:t>TPL providers’ capabilities and the role of path dependency</w:t>
            </w:r>
            <w:r w:rsidR="00AA5DB7">
              <w:rPr>
                <w:noProof/>
                <w:webHidden/>
              </w:rPr>
              <w:tab/>
            </w:r>
            <w:r>
              <w:rPr>
                <w:noProof/>
                <w:webHidden/>
              </w:rPr>
              <w:fldChar w:fldCharType="begin"/>
            </w:r>
            <w:r w:rsidR="00AA5DB7">
              <w:rPr>
                <w:noProof/>
                <w:webHidden/>
              </w:rPr>
              <w:instrText xml:space="preserve"> PAGEREF _Toc300411991 \h </w:instrText>
            </w:r>
            <w:r>
              <w:rPr>
                <w:noProof/>
                <w:webHidden/>
              </w:rPr>
            </w:r>
            <w:r>
              <w:rPr>
                <w:noProof/>
                <w:webHidden/>
              </w:rPr>
              <w:fldChar w:fldCharType="separate"/>
            </w:r>
            <w:r w:rsidR="00E05597">
              <w:rPr>
                <w:noProof/>
                <w:webHidden/>
              </w:rPr>
              <w:t>31</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1992" w:history="1">
            <w:r w:rsidR="00AA5DB7" w:rsidRPr="00A64766">
              <w:rPr>
                <w:rStyle w:val="Hyperlink"/>
                <w:rFonts w:asciiTheme="majorHAnsi" w:hAnsiTheme="majorHAnsi"/>
                <w:noProof/>
              </w:rPr>
              <w:t>2.7</w:t>
            </w:r>
            <w:r w:rsidR="00AA5DB7">
              <w:rPr>
                <w:noProof/>
                <w:sz w:val="22"/>
                <w:szCs w:val="22"/>
                <w:lang w:val="nl-NL" w:eastAsia="nl-NL" w:bidi="ar-SA"/>
              </w:rPr>
              <w:tab/>
            </w:r>
            <w:r w:rsidR="00AA5DB7" w:rsidRPr="00A64766">
              <w:rPr>
                <w:rStyle w:val="Hyperlink"/>
                <w:rFonts w:asciiTheme="majorHAnsi" w:hAnsiTheme="majorHAnsi"/>
                <w:noProof/>
              </w:rPr>
              <w:t>Client specific investments</w:t>
            </w:r>
            <w:r w:rsidR="00AA5DB7">
              <w:rPr>
                <w:noProof/>
                <w:webHidden/>
              </w:rPr>
              <w:tab/>
            </w:r>
            <w:r>
              <w:rPr>
                <w:noProof/>
                <w:webHidden/>
              </w:rPr>
              <w:fldChar w:fldCharType="begin"/>
            </w:r>
            <w:r w:rsidR="00AA5DB7">
              <w:rPr>
                <w:noProof/>
                <w:webHidden/>
              </w:rPr>
              <w:instrText xml:space="preserve"> PAGEREF _Toc300411992 \h </w:instrText>
            </w:r>
            <w:r>
              <w:rPr>
                <w:noProof/>
                <w:webHidden/>
              </w:rPr>
            </w:r>
            <w:r>
              <w:rPr>
                <w:noProof/>
                <w:webHidden/>
              </w:rPr>
              <w:fldChar w:fldCharType="separate"/>
            </w:r>
            <w:r w:rsidR="00E05597">
              <w:rPr>
                <w:noProof/>
                <w:webHidden/>
              </w:rPr>
              <w:t>33</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1993" w:history="1">
            <w:r w:rsidR="00AA5DB7" w:rsidRPr="00A64766">
              <w:rPr>
                <w:rStyle w:val="Hyperlink"/>
                <w:rFonts w:asciiTheme="majorHAnsi" w:hAnsiTheme="majorHAnsi"/>
                <w:noProof/>
              </w:rPr>
              <w:t>2.8</w:t>
            </w:r>
            <w:r w:rsidR="00AA5DB7">
              <w:rPr>
                <w:noProof/>
                <w:sz w:val="22"/>
                <w:szCs w:val="22"/>
                <w:lang w:val="nl-NL" w:eastAsia="nl-NL" w:bidi="ar-SA"/>
              </w:rPr>
              <w:tab/>
            </w:r>
            <w:r w:rsidR="00AA5DB7" w:rsidRPr="00A64766">
              <w:rPr>
                <w:rStyle w:val="Hyperlink"/>
                <w:rFonts w:asciiTheme="majorHAnsi" w:hAnsiTheme="majorHAnsi"/>
                <w:noProof/>
              </w:rPr>
              <w:t>Customer adaption versus offering general services</w:t>
            </w:r>
            <w:r w:rsidR="00AA5DB7">
              <w:rPr>
                <w:noProof/>
                <w:webHidden/>
              </w:rPr>
              <w:tab/>
            </w:r>
            <w:r>
              <w:rPr>
                <w:noProof/>
                <w:webHidden/>
              </w:rPr>
              <w:fldChar w:fldCharType="begin"/>
            </w:r>
            <w:r w:rsidR="00AA5DB7">
              <w:rPr>
                <w:noProof/>
                <w:webHidden/>
              </w:rPr>
              <w:instrText xml:space="preserve"> PAGEREF _Toc300411993 \h </w:instrText>
            </w:r>
            <w:r>
              <w:rPr>
                <w:noProof/>
                <w:webHidden/>
              </w:rPr>
            </w:r>
            <w:r>
              <w:rPr>
                <w:noProof/>
                <w:webHidden/>
              </w:rPr>
              <w:fldChar w:fldCharType="separate"/>
            </w:r>
            <w:r w:rsidR="00E05597">
              <w:rPr>
                <w:noProof/>
                <w:webHidden/>
              </w:rPr>
              <w:t>35</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1994" w:history="1">
            <w:r w:rsidR="00AA5DB7" w:rsidRPr="00A64766">
              <w:rPr>
                <w:rStyle w:val="Hyperlink"/>
                <w:rFonts w:asciiTheme="majorHAnsi" w:hAnsiTheme="majorHAnsi"/>
                <w:noProof/>
              </w:rPr>
              <w:t>2.9</w:t>
            </w:r>
            <w:r w:rsidR="00AA5DB7">
              <w:rPr>
                <w:noProof/>
                <w:sz w:val="22"/>
                <w:szCs w:val="22"/>
                <w:lang w:val="nl-NL" w:eastAsia="nl-NL" w:bidi="ar-SA"/>
              </w:rPr>
              <w:tab/>
            </w:r>
            <w:r w:rsidR="00AA5DB7" w:rsidRPr="00A64766">
              <w:rPr>
                <w:rStyle w:val="Hyperlink"/>
                <w:rFonts w:asciiTheme="majorHAnsi" w:hAnsiTheme="majorHAnsi"/>
                <w:noProof/>
              </w:rPr>
              <w:t>Environmental awareness in the TPL industry</w:t>
            </w:r>
            <w:r w:rsidR="00AA5DB7">
              <w:rPr>
                <w:noProof/>
                <w:webHidden/>
              </w:rPr>
              <w:tab/>
            </w:r>
            <w:r>
              <w:rPr>
                <w:noProof/>
                <w:webHidden/>
              </w:rPr>
              <w:fldChar w:fldCharType="begin"/>
            </w:r>
            <w:r w:rsidR="00AA5DB7">
              <w:rPr>
                <w:noProof/>
                <w:webHidden/>
              </w:rPr>
              <w:instrText xml:space="preserve"> PAGEREF _Toc300411994 \h </w:instrText>
            </w:r>
            <w:r>
              <w:rPr>
                <w:noProof/>
                <w:webHidden/>
              </w:rPr>
            </w:r>
            <w:r>
              <w:rPr>
                <w:noProof/>
                <w:webHidden/>
              </w:rPr>
              <w:fldChar w:fldCharType="separate"/>
            </w:r>
            <w:r w:rsidR="00E05597">
              <w:rPr>
                <w:noProof/>
                <w:webHidden/>
              </w:rPr>
              <w:t>38</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1995" w:history="1">
            <w:r w:rsidR="00AA5DB7" w:rsidRPr="00A64766">
              <w:rPr>
                <w:rStyle w:val="Hyperlink"/>
                <w:rFonts w:asciiTheme="majorHAnsi" w:hAnsiTheme="majorHAnsi"/>
                <w:noProof/>
              </w:rPr>
              <w:t>2.10</w:t>
            </w:r>
            <w:r w:rsidR="00AA5DB7">
              <w:rPr>
                <w:noProof/>
                <w:sz w:val="22"/>
                <w:szCs w:val="22"/>
                <w:lang w:val="nl-NL" w:eastAsia="nl-NL" w:bidi="ar-SA"/>
              </w:rPr>
              <w:tab/>
            </w:r>
            <w:r w:rsidR="00AA5DB7" w:rsidRPr="00A64766">
              <w:rPr>
                <w:rStyle w:val="Hyperlink"/>
                <w:rFonts w:asciiTheme="majorHAnsi" w:hAnsiTheme="majorHAnsi"/>
                <w:noProof/>
              </w:rPr>
              <w:t>Value added logistics</w:t>
            </w:r>
            <w:r w:rsidR="00AA5DB7">
              <w:rPr>
                <w:noProof/>
                <w:webHidden/>
              </w:rPr>
              <w:tab/>
            </w:r>
            <w:r>
              <w:rPr>
                <w:noProof/>
                <w:webHidden/>
              </w:rPr>
              <w:fldChar w:fldCharType="begin"/>
            </w:r>
            <w:r w:rsidR="00AA5DB7">
              <w:rPr>
                <w:noProof/>
                <w:webHidden/>
              </w:rPr>
              <w:instrText xml:space="preserve"> PAGEREF _Toc300411995 \h </w:instrText>
            </w:r>
            <w:r>
              <w:rPr>
                <w:noProof/>
                <w:webHidden/>
              </w:rPr>
            </w:r>
            <w:r>
              <w:rPr>
                <w:noProof/>
                <w:webHidden/>
              </w:rPr>
              <w:fldChar w:fldCharType="separate"/>
            </w:r>
            <w:r w:rsidR="00E05597">
              <w:rPr>
                <w:noProof/>
                <w:webHidden/>
              </w:rPr>
              <w:t>39</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1996" w:history="1">
            <w:r w:rsidR="00AA5DB7" w:rsidRPr="00A64766">
              <w:rPr>
                <w:rStyle w:val="Hyperlink"/>
                <w:rFonts w:asciiTheme="majorHAnsi" w:hAnsiTheme="majorHAnsi"/>
                <w:noProof/>
              </w:rPr>
              <w:t>2.11</w:t>
            </w:r>
            <w:r w:rsidR="00AA5DB7">
              <w:rPr>
                <w:noProof/>
                <w:sz w:val="22"/>
                <w:szCs w:val="22"/>
                <w:lang w:val="nl-NL" w:eastAsia="nl-NL" w:bidi="ar-SA"/>
              </w:rPr>
              <w:tab/>
            </w:r>
            <w:r w:rsidR="00AA5DB7" w:rsidRPr="00A64766">
              <w:rPr>
                <w:rStyle w:val="Hyperlink"/>
                <w:rFonts w:asciiTheme="majorHAnsi" w:hAnsiTheme="majorHAnsi"/>
                <w:noProof/>
              </w:rPr>
              <w:t>Capturing the supply chain</w:t>
            </w:r>
            <w:r w:rsidR="00AA5DB7">
              <w:rPr>
                <w:noProof/>
                <w:webHidden/>
              </w:rPr>
              <w:tab/>
            </w:r>
            <w:r>
              <w:rPr>
                <w:noProof/>
                <w:webHidden/>
              </w:rPr>
              <w:fldChar w:fldCharType="begin"/>
            </w:r>
            <w:r w:rsidR="00AA5DB7">
              <w:rPr>
                <w:noProof/>
                <w:webHidden/>
              </w:rPr>
              <w:instrText xml:space="preserve"> PAGEREF _Toc300411996 \h </w:instrText>
            </w:r>
            <w:r>
              <w:rPr>
                <w:noProof/>
                <w:webHidden/>
              </w:rPr>
            </w:r>
            <w:r>
              <w:rPr>
                <w:noProof/>
                <w:webHidden/>
              </w:rPr>
              <w:fldChar w:fldCharType="separate"/>
            </w:r>
            <w:r w:rsidR="00E05597">
              <w:rPr>
                <w:noProof/>
                <w:webHidden/>
              </w:rPr>
              <w:t>40</w:t>
            </w:r>
            <w:r>
              <w:rPr>
                <w:noProof/>
                <w:webHidden/>
              </w:rPr>
              <w:fldChar w:fldCharType="end"/>
            </w:r>
          </w:hyperlink>
        </w:p>
        <w:p w:rsidR="00AA5DB7" w:rsidRDefault="00BD69D8">
          <w:pPr>
            <w:pStyle w:val="Inhopg1"/>
            <w:tabs>
              <w:tab w:val="left" w:pos="440"/>
            </w:tabs>
            <w:rPr>
              <w:noProof/>
              <w:sz w:val="22"/>
              <w:szCs w:val="22"/>
              <w:lang w:val="nl-NL" w:eastAsia="nl-NL" w:bidi="ar-SA"/>
            </w:rPr>
          </w:pPr>
          <w:hyperlink w:anchor="_Toc300411997" w:history="1">
            <w:r w:rsidR="00AA5DB7" w:rsidRPr="00A64766">
              <w:rPr>
                <w:rStyle w:val="Hyperlink"/>
                <w:rFonts w:asciiTheme="majorHAnsi" w:hAnsiTheme="majorHAnsi"/>
                <w:noProof/>
              </w:rPr>
              <w:t>3</w:t>
            </w:r>
            <w:r w:rsidR="00AA5DB7">
              <w:rPr>
                <w:noProof/>
                <w:sz w:val="22"/>
                <w:szCs w:val="22"/>
                <w:lang w:val="nl-NL" w:eastAsia="nl-NL" w:bidi="ar-SA"/>
              </w:rPr>
              <w:tab/>
            </w:r>
            <w:r w:rsidR="00AA5DB7" w:rsidRPr="00A64766">
              <w:rPr>
                <w:rStyle w:val="Hyperlink"/>
                <w:rFonts w:asciiTheme="majorHAnsi" w:hAnsiTheme="majorHAnsi"/>
                <w:noProof/>
              </w:rPr>
              <w:t>METHODOLOGY</w:t>
            </w:r>
            <w:r w:rsidR="00AA5DB7">
              <w:rPr>
                <w:noProof/>
                <w:webHidden/>
              </w:rPr>
              <w:tab/>
            </w:r>
            <w:r>
              <w:rPr>
                <w:noProof/>
                <w:webHidden/>
              </w:rPr>
              <w:fldChar w:fldCharType="begin"/>
            </w:r>
            <w:r w:rsidR="00AA5DB7">
              <w:rPr>
                <w:noProof/>
                <w:webHidden/>
              </w:rPr>
              <w:instrText xml:space="preserve"> PAGEREF _Toc300411997 \h </w:instrText>
            </w:r>
            <w:r>
              <w:rPr>
                <w:noProof/>
                <w:webHidden/>
              </w:rPr>
            </w:r>
            <w:r>
              <w:rPr>
                <w:noProof/>
                <w:webHidden/>
              </w:rPr>
              <w:fldChar w:fldCharType="separate"/>
            </w:r>
            <w:r w:rsidR="00E05597">
              <w:rPr>
                <w:noProof/>
                <w:webHidden/>
              </w:rPr>
              <w:t>44</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1998" w:history="1">
            <w:r w:rsidR="00AA5DB7" w:rsidRPr="00A64766">
              <w:rPr>
                <w:rStyle w:val="Hyperlink"/>
                <w:rFonts w:asciiTheme="majorHAnsi" w:hAnsiTheme="majorHAnsi"/>
                <w:noProof/>
              </w:rPr>
              <w:t>3.1</w:t>
            </w:r>
            <w:r w:rsidR="00AA5DB7">
              <w:rPr>
                <w:noProof/>
                <w:sz w:val="22"/>
                <w:szCs w:val="22"/>
                <w:lang w:val="nl-NL" w:eastAsia="nl-NL" w:bidi="ar-SA"/>
              </w:rPr>
              <w:tab/>
            </w:r>
            <w:r w:rsidR="00AA5DB7" w:rsidRPr="00A64766">
              <w:rPr>
                <w:rStyle w:val="Hyperlink"/>
                <w:rFonts w:asciiTheme="majorHAnsi" w:hAnsiTheme="majorHAnsi"/>
                <w:noProof/>
              </w:rPr>
              <w:t>Setting and framework of the research</w:t>
            </w:r>
            <w:r w:rsidR="00AA5DB7">
              <w:rPr>
                <w:noProof/>
                <w:webHidden/>
              </w:rPr>
              <w:tab/>
            </w:r>
            <w:r>
              <w:rPr>
                <w:noProof/>
                <w:webHidden/>
              </w:rPr>
              <w:fldChar w:fldCharType="begin"/>
            </w:r>
            <w:r w:rsidR="00AA5DB7">
              <w:rPr>
                <w:noProof/>
                <w:webHidden/>
              </w:rPr>
              <w:instrText xml:space="preserve"> PAGEREF _Toc300411998 \h </w:instrText>
            </w:r>
            <w:r>
              <w:rPr>
                <w:noProof/>
                <w:webHidden/>
              </w:rPr>
            </w:r>
            <w:r>
              <w:rPr>
                <w:noProof/>
                <w:webHidden/>
              </w:rPr>
              <w:fldChar w:fldCharType="separate"/>
            </w:r>
            <w:r w:rsidR="00E05597">
              <w:rPr>
                <w:noProof/>
                <w:webHidden/>
              </w:rPr>
              <w:t>44</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1999" w:history="1">
            <w:r w:rsidR="00AA5DB7" w:rsidRPr="00A64766">
              <w:rPr>
                <w:rStyle w:val="Hyperlink"/>
                <w:rFonts w:asciiTheme="majorHAnsi" w:hAnsiTheme="majorHAnsi"/>
                <w:noProof/>
              </w:rPr>
              <w:t>3.2</w:t>
            </w:r>
            <w:r w:rsidR="00AA5DB7">
              <w:rPr>
                <w:noProof/>
                <w:sz w:val="22"/>
                <w:szCs w:val="22"/>
                <w:lang w:val="nl-NL" w:eastAsia="nl-NL" w:bidi="ar-SA"/>
              </w:rPr>
              <w:tab/>
            </w:r>
            <w:r w:rsidR="00AA5DB7" w:rsidRPr="00A64766">
              <w:rPr>
                <w:rStyle w:val="Hyperlink"/>
                <w:rFonts w:asciiTheme="majorHAnsi" w:hAnsiTheme="majorHAnsi"/>
                <w:noProof/>
              </w:rPr>
              <w:t>Method of data collection</w:t>
            </w:r>
            <w:r w:rsidR="00AA5DB7">
              <w:rPr>
                <w:noProof/>
                <w:webHidden/>
              </w:rPr>
              <w:tab/>
            </w:r>
            <w:r>
              <w:rPr>
                <w:noProof/>
                <w:webHidden/>
              </w:rPr>
              <w:fldChar w:fldCharType="begin"/>
            </w:r>
            <w:r w:rsidR="00AA5DB7">
              <w:rPr>
                <w:noProof/>
                <w:webHidden/>
              </w:rPr>
              <w:instrText xml:space="preserve"> PAGEREF _Toc300411999 \h </w:instrText>
            </w:r>
            <w:r>
              <w:rPr>
                <w:noProof/>
                <w:webHidden/>
              </w:rPr>
            </w:r>
            <w:r>
              <w:rPr>
                <w:noProof/>
                <w:webHidden/>
              </w:rPr>
              <w:fldChar w:fldCharType="separate"/>
            </w:r>
            <w:r w:rsidR="00E05597">
              <w:rPr>
                <w:noProof/>
                <w:webHidden/>
              </w:rPr>
              <w:t>45</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2000" w:history="1">
            <w:r w:rsidR="00AA5DB7" w:rsidRPr="00A64766">
              <w:rPr>
                <w:rStyle w:val="Hyperlink"/>
                <w:rFonts w:asciiTheme="majorHAnsi" w:hAnsiTheme="majorHAnsi"/>
                <w:noProof/>
              </w:rPr>
              <w:t>3.3</w:t>
            </w:r>
            <w:r w:rsidR="00AA5DB7">
              <w:rPr>
                <w:noProof/>
                <w:sz w:val="22"/>
                <w:szCs w:val="22"/>
                <w:lang w:val="nl-NL" w:eastAsia="nl-NL" w:bidi="ar-SA"/>
              </w:rPr>
              <w:tab/>
            </w:r>
            <w:r w:rsidR="00AA5DB7" w:rsidRPr="00A64766">
              <w:rPr>
                <w:rStyle w:val="Hyperlink"/>
                <w:rFonts w:asciiTheme="majorHAnsi" w:hAnsiTheme="majorHAnsi"/>
                <w:noProof/>
              </w:rPr>
              <w:t>Method of data analyses</w:t>
            </w:r>
            <w:r w:rsidR="00AA5DB7">
              <w:rPr>
                <w:noProof/>
                <w:webHidden/>
              </w:rPr>
              <w:tab/>
            </w:r>
            <w:r>
              <w:rPr>
                <w:noProof/>
                <w:webHidden/>
              </w:rPr>
              <w:fldChar w:fldCharType="begin"/>
            </w:r>
            <w:r w:rsidR="00AA5DB7">
              <w:rPr>
                <w:noProof/>
                <w:webHidden/>
              </w:rPr>
              <w:instrText xml:space="preserve"> PAGEREF _Toc300412000 \h </w:instrText>
            </w:r>
            <w:r>
              <w:rPr>
                <w:noProof/>
                <w:webHidden/>
              </w:rPr>
            </w:r>
            <w:r>
              <w:rPr>
                <w:noProof/>
                <w:webHidden/>
              </w:rPr>
              <w:fldChar w:fldCharType="separate"/>
            </w:r>
            <w:r w:rsidR="00E05597">
              <w:rPr>
                <w:noProof/>
                <w:webHidden/>
              </w:rPr>
              <w:t>47</w:t>
            </w:r>
            <w:r>
              <w:rPr>
                <w:noProof/>
                <w:webHidden/>
              </w:rPr>
              <w:fldChar w:fldCharType="end"/>
            </w:r>
          </w:hyperlink>
        </w:p>
        <w:p w:rsidR="00AA5DB7" w:rsidRDefault="00BD69D8">
          <w:pPr>
            <w:pStyle w:val="Inhopg1"/>
            <w:tabs>
              <w:tab w:val="left" w:pos="440"/>
            </w:tabs>
            <w:rPr>
              <w:noProof/>
              <w:sz w:val="22"/>
              <w:szCs w:val="22"/>
              <w:lang w:val="nl-NL" w:eastAsia="nl-NL" w:bidi="ar-SA"/>
            </w:rPr>
          </w:pPr>
          <w:hyperlink w:anchor="_Toc300412001" w:history="1">
            <w:r w:rsidR="00AA5DB7" w:rsidRPr="00A64766">
              <w:rPr>
                <w:rStyle w:val="Hyperlink"/>
                <w:rFonts w:asciiTheme="majorHAnsi" w:hAnsiTheme="majorHAnsi"/>
                <w:noProof/>
              </w:rPr>
              <w:t>4</w:t>
            </w:r>
            <w:r w:rsidR="00AA5DB7">
              <w:rPr>
                <w:noProof/>
                <w:sz w:val="22"/>
                <w:szCs w:val="22"/>
                <w:lang w:val="nl-NL" w:eastAsia="nl-NL" w:bidi="ar-SA"/>
              </w:rPr>
              <w:tab/>
            </w:r>
            <w:r w:rsidR="00AA5DB7" w:rsidRPr="00A64766">
              <w:rPr>
                <w:rStyle w:val="Hyperlink"/>
                <w:rFonts w:asciiTheme="majorHAnsi" w:hAnsiTheme="majorHAnsi"/>
                <w:noProof/>
              </w:rPr>
              <w:t>RESULTS AND ANALYSIS</w:t>
            </w:r>
            <w:r w:rsidR="00AA5DB7">
              <w:rPr>
                <w:noProof/>
                <w:webHidden/>
              </w:rPr>
              <w:tab/>
            </w:r>
            <w:r>
              <w:rPr>
                <w:noProof/>
                <w:webHidden/>
              </w:rPr>
              <w:fldChar w:fldCharType="begin"/>
            </w:r>
            <w:r w:rsidR="00AA5DB7">
              <w:rPr>
                <w:noProof/>
                <w:webHidden/>
              </w:rPr>
              <w:instrText xml:space="preserve"> PAGEREF _Toc300412001 \h </w:instrText>
            </w:r>
            <w:r>
              <w:rPr>
                <w:noProof/>
                <w:webHidden/>
              </w:rPr>
            </w:r>
            <w:r>
              <w:rPr>
                <w:noProof/>
                <w:webHidden/>
              </w:rPr>
              <w:fldChar w:fldCharType="separate"/>
            </w:r>
            <w:r w:rsidR="00E05597">
              <w:rPr>
                <w:noProof/>
                <w:webHidden/>
              </w:rPr>
              <w:t>49</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2002" w:history="1">
            <w:r w:rsidR="00AA5DB7" w:rsidRPr="00A64766">
              <w:rPr>
                <w:rStyle w:val="Hyperlink"/>
                <w:rFonts w:asciiTheme="majorHAnsi" w:hAnsiTheme="majorHAnsi"/>
                <w:noProof/>
                <w:lang w:val="nl-NL"/>
              </w:rPr>
              <w:t>4.1</w:t>
            </w:r>
            <w:r w:rsidR="00AA5DB7">
              <w:rPr>
                <w:noProof/>
                <w:sz w:val="22"/>
                <w:szCs w:val="22"/>
                <w:lang w:val="nl-NL" w:eastAsia="nl-NL" w:bidi="ar-SA"/>
              </w:rPr>
              <w:tab/>
            </w:r>
            <w:r w:rsidR="00AA5DB7" w:rsidRPr="00A64766">
              <w:rPr>
                <w:rStyle w:val="Hyperlink"/>
                <w:rFonts w:asciiTheme="majorHAnsi" w:hAnsiTheme="majorHAnsi"/>
                <w:noProof/>
                <w:lang w:val="nl-NL"/>
              </w:rPr>
              <w:t>Characterizing Dutch TPL relationships</w:t>
            </w:r>
            <w:r w:rsidR="00AA5DB7">
              <w:rPr>
                <w:noProof/>
                <w:webHidden/>
              </w:rPr>
              <w:tab/>
            </w:r>
            <w:r>
              <w:rPr>
                <w:noProof/>
                <w:webHidden/>
              </w:rPr>
              <w:fldChar w:fldCharType="begin"/>
            </w:r>
            <w:r w:rsidR="00AA5DB7">
              <w:rPr>
                <w:noProof/>
                <w:webHidden/>
              </w:rPr>
              <w:instrText xml:space="preserve"> PAGEREF _Toc300412002 \h </w:instrText>
            </w:r>
            <w:r>
              <w:rPr>
                <w:noProof/>
                <w:webHidden/>
              </w:rPr>
            </w:r>
            <w:r>
              <w:rPr>
                <w:noProof/>
                <w:webHidden/>
              </w:rPr>
              <w:fldChar w:fldCharType="separate"/>
            </w:r>
            <w:r w:rsidR="00E05597">
              <w:rPr>
                <w:noProof/>
                <w:webHidden/>
              </w:rPr>
              <w:t>49</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2003" w:history="1">
            <w:r w:rsidR="00AA5DB7" w:rsidRPr="00A64766">
              <w:rPr>
                <w:rStyle w:val="Hyperlink"/>
                <w:rFonts w:asciiTheme="majorHAnsi" w:hAnsiTheme="majorHAnsi"/>
                <w:noProof/>
              </w:rPr>
              <w:t>4.2</w:t>
            </w:r>
            <w:r w:rsidR="00AA5DB7">
              <w:rPr>
                <w:noProof/>
                <w:sz w:val="22"/>
                <w:szCs w:val="22"/>
                <w:lang w:val="nl-NL" w:eastAsia="nl-NL" w:bidi="ar-SA"/>
              </w:rPr>
              <w:tab/>
            </w:r>
            <w:r w:rsidR="00AA5DB7" w:rsidRPr="00A64766">
              <w:rPr>
                <w:rStyle w:val="Hyperlink"/>
                <w:rFonts w:asciiTheme="majorHAnsi" w:hAnsiTheme="majorHAnsi"/>
                <w:noProof/>
              </w:rPr>
              <w:t>The georgraphic service area of Dutch TPL providers</w:t>
            </w:r>
            <w:r w:rsidR="00AA5DB7">
              <w:rPr>
                <w:noProof/>
                <w:webHidden/>
              </w:rPr>
              <w:tab/>
            </w:r>
            <w:r>
              <w:rPr>
                <w:noProof/>
                <w:webHidden/>
              </w:rPr>
              <w:fldChar w:fldCharType="begin"/>
            </w:r>
            <w:r w:rsidR="00AA5DB7">
              <w:rPr>
                <w:noProof/>
                <w:webHidden/>
              </w:rPr>
              <w:instrText xml:space="preserve"> PAGEREF _Toc300412003 \h </w:instrText>
            </w:r>
            <w:r>
              <w:rPr>
                <w:noProof/>
                <w:webHidden/>
              </w:rPr>
            </w:r>
            <w:r>
              <w:rPr>
                <w:noProof/>
                <w:webHidden/>
              </w:rPr>
              <w:fldChar w:fldCharType="separate"/>
            </w:r>
            <w:r w:rsidR="00E05597">
              <w:rPr>
                <w:noProof/>
                <w:webHidden/>
              </w:rPr>
              <w:t>51</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2004" w:history="1">
            <w:r w:rsidR="00AA5DB7" w:rsidRPr="00A64766">
              <w:rPr>
                <w:rStyle w:val="Hyperlink"/>
                <w:rFonts w:asciiTheme="majorHAnsi" w:hAnsiTheme="majorHAnsi"/>
                <w:noProof/>
              </w:rPr>
              <w:t>4.3</w:t>
            </w:r>
            <w:r w:rsidR="00AA5DB7">
              <w:rPr>
                <w:noProof/>
                <w:sz w:val="22"/>
                <w:szCs w:val="22"/>
                <w:lang w:val="nl-NL" w:eastAsia="nl-NL" w:bidi="ar-SA"/>
              </w:rPr>
              <w:tab/>
            </w:r>
            <w:r w:rsidR="00AA5DB7" w:rsidRPr="00A64766">
              <w:rPr>
                <w:rStyle w:val="Hyperlink"/>
                <w:rFonts w:asciiTheme="majorHAnsi" w:hAnsiTheme="majorHAnsi"/>
                <w:noProof/>
              </w:rPr>
              <w:t>Dutch TPL providers’ capabilities and the role of path dependency</w:t>
            </w:r>
            <w:r w:rsidR="00AA5DB7">
              <w:rPr>
                <w:noProof/>
                <w:webHidden/>
              </w:rPr>
              <w:tab/>
            </w:r>
            <w:r>
              <w:rPr>
                <w:noProof/>
                <w:webHidden/>
              </w:rPr>
              <w:fldChar w:fldCharType="begin"/>
            </w:r>
            <w:r w:rsidR="00AA5DB7">
              <w:rPr>
                <w:noProof/>
                <w:webHidden/>
              </w:rPr>
              <w:instrText xml:space="preserve"> PAGEREF _Toc300412004 \h </w:instrText>
            </w:r>
            <w:r>
              <w:rPr>
                <w:noProof/>
                <w:webHidden/>
              </w:rPr>
            </w:r>
            <w:r>
              <w:rPr>
                <w:noProof/>
                <w:webHidden/>
              </w:rPr>
              <w:fldChar w:fldCharType="separate"/>
            </w:r>
            <w:r w:rsidR="00E05597">
              <w:rPr>
                <w:noProof/>
                <w:webHidden/>
              </w:rPr>
              <w:t>53</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2005" w:history="1">
            <w:r w:rsidR="00AA5DB7" w:rsidRPr="00A64766">
              <w:rPr>
                <w:rStyle w:val="Hyperlink"/>
                <w:rFonts w:asciiTheme="majorHAnsi" w:hAnsiTheme="majorHAnsi"/>
                <w:noProof/>
              </w:rPr>
              <w:t>4.4</w:t>
            </w:r>
            <w:r w:rsidR="00AA5DB7">
              <w:rPr>
                <w:noProof/>
                <w:sz w:val="22"/>
                <w:szCs w:val="22"/>
                <w:lang w:val="nl-NL" w:eastAsia="nl-NL" w:bidi="ar-SA"/>
              </w:rPr>
              <w:tab/>
            </w:r>
            <w:r w:rsidR="00AA5DB7" w:rsidRPr="00A64766">
              <w:rPr>
                <w:rStyle w:val="Hyperlink"/>
                <w:rFonts w:asciiTheme="majorHAnsi" w:hAnsiTheme="majorHAnsi"/>
                <w:noProof/>
              </w:rPr>
              <w:t>Client specific investments made by Dutch TPL providers</w:t>
            </w:r>
            <w:r w:rsidR="00AA5DB7">
              <w:rPr>
                <w:noProof/>
                <w:webHidden/>
              </w:rPr>
              <w:tab/>
            </w:r>
            <w:r>
              <w:rPr>
                <w:noProof/>
                <w:webHidden/>
              </w:rPr>
              <w:fldChar w:fldCharType="begin"/>
            </w:r>
            <w:r w:rsidR="00AA5DB7">
              <w:rPr>
                <w:noProof/>
                <w:webHidden/>
              </w:rPr>
              <w:instrText xml:space="preserve"> PAGEREF _Toc300412005 \h </w:instrText>
            </w:r>
            <w:r>
              <w:rPr>
                <w:noProof/>
                <w:webHidden/>
              </w:rPr>
            </w:r>
            <w:r>
              <w:rPr>
                <w:noProof/>
                <w:webHidden/>
              </w:rPr>
              <w:fldChar w:fldCharType="separate"/>
            </w:r>
            <w:r w:rsidR="00E05597">
              <w:rPr>
                <w:noProof/>
                <w:webHidden/>
              </w:rPr>
              <w:t>54</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2006" w:history="1">
            <w:r w:rsidR="00AA5DB7" w:rsidRPr="00A64766">
              <w:rPr>
                <w:rStyle w:val="Hyperlink"/>
                <w:rFonts w:asciiTheme="majorHAnsi" w:hAnsiTheme="majorHAnsi"/>
                <w:noProof/>
              </w:rPr>
              <w:t>4.5</w:t>
            </w:r>
            <w:r w:rsidR="00AA5DB7">
              <w:rPr>
                <w:noProof/>
                <w:sz w:val="22"/>
                <w:szCs w:val="22"/>
                <w:lang w:val="nl-NL" w:eastAsia="nl-NL" w:bidi="ar-SA"/>
              </w:rPr>
              <w:tab/>
            </w:r>
            <w:r w:rsidR="00AA5DB7" w:rsidRPr="00A64766">
              <w:rPr>
                <w:rStyle w:val="Hyperlink"/>
                <w:rFonts w:asciiTheme="majorHAnsi" w:hAnsiTheme="majorHAnsi"/>
                <w:noProof/>
              </w:rPr>
              <w:t>The strategic positioning of Dutch TPL providers</w:t>
            </w:r>
            <w:r w:rsidR="00AA5DB7">
              <w:rPr>
                <w:noProof/>
                <w:webHidden/>
              </w:rPr>
              <w:tab/>
            </w:r>
            <w:r>
              <w:rPr>
                <w:noProof/>
                <w:webHidden/>
              </w:rPr>
              <w:fldChar w:fldCharType="begin"/>
            </w:r>
            <w:r w:rsidR="00AA5DB7">
              <w:rPr>
                <w:noProof/>
                <w:webHidden/>
              </w:rPr>
              <w:instrText xml:space="preserve"> PAGEREF _Toc300412006 \h </w:instrText>
            </w:r>
            <w:r>
              <w:rPr>
                <w:noProof/>
                <w:webHidden/>
              </w:rPr>
            </w:r>
            <w:r>
              <w:rPr>
                <w:noProof/>
                <w:webHidden/>
              </w:rPr>
              <w:fldChar w:fldCharType="separate"/>
            </w:r>
            <w:r w:rsidR="00E05597">
              <w:rPr>
                <w:noProof/>
                <w:webHidden/>
              </w:rPr>
              <w:t>56</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2007" w:history="1">
            <w:r w:rsidR="00AA5DB7" w:rsidRPr="00A64766">
              <w:rPr>
                <w:rStyle w:val="Hyperlink"/>
                <w:rFonts w:asciiTheme="majorHAnsi" w:hAnsiTheme="majorHAnsi"/>
                <w:noProof/>
              </w:rPr>
              <w:t>4.6</w:t>
            </w:r>
            <w:r w:rsidR="00AA5DB7">
              <w:rPr>
                <w:noProof/>
                <w:sz w:val="22"/>
                <w:szCs w:val="22"/>
                <w:lang w:val="nl-NL" w:eastAsia="nl-NL" w:bidi="ar-SA"/>
              </w:rPr>
              <w:tab/>
            </w:r>
            <w:r w:rsidR="00AA5DB7" w:rsidRPr="00A64766">
              <w:rPr>
                <w:rStyle w:val="Hyperlink"/>
                <w:rFonts w:asciiTheme="majorHAnsi" w:hAnsiTheme="majorHAnsi"/>
                <w:noProof/>
              </w:rPr>
              <w:t>Environmental awareness in the Dutch TPL industry</w:t>
            </w:r>
            <w:r w:rsidR="00AA5DB7">
              <w:rPr>
                <w:noProof/>
                <w:webHidden/>
              </w:rPr>
              <w:tab/>
            </w:r>
            <w:r>
              <w:rPr>
                <w:noProof/>
                <w:webHidden/>
              </w:rPr>
              <w:fldChar w:fldCharType="begin"/>
            </w:r>
            <w:r w:rsidR="00AA5DB7">
              <w:rPr>
                <w:noProof/>
                <w:webHidden/>
              </w:rPr>
              <w:instrText xml:space="preserve"> PAGEREF _Toc300412007 \h </w:instrText>
            </w:r>
            <w:r>
              <w:rPr>
                <w:noProof/>
                <w:webHidden/>
              </w:rPr>
            </w:r>
            <w:r>
              <w:rPr>
                <w:noProof/>
                <w:webHidden/>
              </w:rPr>
              <w:fldChar w:fldCharType="separate"/>
            </w:r>
            <w:r w:rsidR="00E05597">
              <w:rPr>
                <w:noProof/>
                <w:webHidden/>
              </w:rPr>
              <w:t>59</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2008" w:history="1">
            <w:r w:rsidR="00AA5DB7" w:rsidRPr="00A64766">
              <w:rPr>
                <w:rStyle w:val="Hyperlink"/>
                <w:rFonts w:asciiTheme="majorHAnsi" w:hAnsiTheme="majorHAnsi"/>
                <w:noProof/>
              </w:rPr>
              <w:t>4.7</w:t>
            </w:r>
            <w:r w:rsidR="00AA5DB7">
              <w:rPr>
                <w:noProof/>
                <w:sz w:val="22"/>
                <w:szCs w:val="22"/>
                <w:lang w:val="nl-NL" w:eastAsia="nl-NL" w:bidi="ar-SA"/>
              </w:rPr>
              <w:tab/>
            </w:r>
            <w:r w:rsidR="00AA5DB7" w:rsidRPr="00A64766">
              <w:rPr>
                <w:rStyle w:val="Hyperlink"/>
                <w:rFonts w:asciiTheme="majorHAnsi" w:hAnsiTheme="majorHAnsi"/>
                <w:noProof/>
              </w:rPr>
              <w:t>Value added logistics offered by Dutch TPL providers</w:t>
            </w:r>
            <w:r w:rsidR="00AA5DB7">
              <w:rPr>
                <w:noProof/>
                <w:webHidden/>
              </w:rPr>
              <w:tab/>
            </w:r>
            <w:r>
              <w:rPr>
                <w:noProof/>
                <w:webHidden/>
              </w:rPr>
              <w:fldChar w:fldCharType="begin"/>
            </w:r>
            <w:r w:rsidR="00AA5DB7">
              <w:rPr>
                <w:noProof/>
                <w:webHidden/>
              </w:rPr>
              <w:instrText xml:space="preserve"> PAGEREF _Toc300412008 \h </w:instrText>
            </w:r>
            <w:r>
              <w:rPr>
                <w:noProof/>
                <w:webHidden/>
              </w:rPr>
            </w:r>
            <w:r>
              <w:rPr>
                <w:noProof/>
                <w:webHidden/>
              </w:rPr>
              <w:fldChar w:fldCharType="separate"/>
            </w:r>
            <w:r w:rsidR="00E05597">
              <w:rPr>
                <w:noProof/>
                <w:webHidden/>
              </w:rPr>
              <w:t>60</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2009" w:history="1">
            <w:r w:rsidR="00AA5DB7" w:rsidRPr="00A64766">
              <w:rPr>
                <w:rStyle w:val="Hyperlink"/>
                <w:rFonts w:asciiTheme="majorHAnsi" w:hAnsiTheme="majorHAnsi"/>
                <w:noProof/>
              </w:rPr>
              <w:t>4.8</w:t>
            </w:r>
            <w:r w:rsidR="00AA5DB7">
              <w:rPr>
                <w:noProof/>
                <w:sz w:val="22"/>
                <w:szCs w:val="22"/>
                <w:lang w:val="nl-NL" w:eastAsia="nl-NL" w:bidi="ar-SA"/>
              </w:rPr>
              <w:tab/>
            </w:r>
            <w:r w:rsidR="00AA5DB7" w:rsidRPr="00A64766">
              <w:rPr>
                <w:rStyle w:val="Hyperlink"/>
                <w:rFonts w:asciiTheme="majorHAnsi" w:hAnsiTheme="majorHAnsi"/>
                <w:noProof/>
              </w:rPr>
              <w:t>Dutch TPL providers capturing the supply chain</w:t>
            </w:r>
            <w:r w:rsidR="00AA5DB7">
              <w:rPr>
                <w:noProof/>
                <w:webHidden/>
              </w:rPr>
              <w:tab/>
            </w:r>
            <w:r>
              <w:rPr>
                <w:noProof/>
                <w:webHidden/>
              </w:rPr>
              <w:fldChar w:fldCharType="begin"/>
            </w:r>
            <w:r w:rsidR="00AA5DB7">
              <w:rPr>
                <w:noProof/>
                <w:webHidden/>
              </w:rPr>
              <w:instrText xml:space="preserve"> PAGEREF _Toc300412009 \h </w:instrText>
            </w:r>
            <w:r>
              <w:rPr>
                <w:noProof/>
                <w:webHidden/>
              </w:rPr>
            </w:r>
            <w:r>
              <w:rPr>
                <w:noProof/>
                <w:webHidden/>
              </w:rPr>
              <w:fldChar w:fldCharType="separate"/>
            </w:r>
            <w:r w:rsidR="00E05597">
              <w:rPr>
                <w:noProof/>
                <w:webHidden/>
              </w:rPr>
              <w:t>61</w:t>
            </w:r>
            <w:r>
              <w:rPr>
                <w:noProof/>
                <w:webHidden/>
              </w:rPr>
              <w:fldChar w:fldCharType="end"/>
            </w:r>
          </w:hyperlink>
        </w:p>
        <w:p w:rsidR="00AA5DB7" w:rsidRDefault="00BD69D8">
          <w:pPr>
            <w:pStyle w:val="Inhopg1"/>
            <w:tabs>
              <w:tab w:val="left" w:pos="440"/>
            </w:tabs>
            <w:rPr>
              <w:noProof/>
              <w:sz w:val="22"/>
              <w:szCs w:val="22"/>
              <w:lang w:val="nl-NL" w:eastAsia="nl-NL" w:bidi="ar-SA"/>
            </w:rPr>
          </w:pPr>
          <w:hyperlink w:anchor="_Toc300412010" w:history="1">
            <w:r w:rsidR="00AA5DB7" w:rsidRPr="00A64766">
              <w:rPr>
                <w:rStyle w:val="Hyperlink"/>
                <w:rFonts w:asciiTheme="majorHAnsi" w:hAnsiTheme="majorHAnsi"/>
                <w:noProof/>
              </w:rPr>
              <w:t>5</w:t>
            </w:r>
            <w:r w:rsidR="00AA5DB7">
              <w:rPr>
                <w:noProof/>
                <w:sz w:val="22"/>
                <w:szCs w:val="22"/>
                <w:lang w:val="nl-NL" w:eastAsia="nl-NL" w:bidi="ar-SA"/>
              </w:rPr>
              <w:tab/>
            </w:r>
            <w:r w:rsidR="00AA5DB7" w:rsidRPr="00A64766">
              <w:rPr>
                <w:rStyle w:val="Hyperlink"/>
                <w:rFonts w:asciiTheme="majorHAnsi" w:hAnsiTheme="majorHAnsi"/>
                <w:noProof/>
              </w:rPr>
              <w:t>DISCUSSION AND CONCLUSIONS</w:t>
            </w:r>
            <w:r w:rsidR="00AA5DB7">
              <w:rPr>
                <w:noProof/>
                <w:webHidden/>
              </w:rPr>
              <w:tab/>
            </w:r>
            <w:r>
              <w:rPr>
                <w:noProof/>
                <w:webHidden/>
              </w:rPr>
              <w:fldChar w:fldCharType="begin"/>
            </w:r>
            <w:r w:rsidR="00AA5DB7">
              <w:rPr>
                <w:noProof/>
                <w:webHidden/>
              </w:rPr>
              <w:instrText xml:space="preserve"> PAGEREF _Toc300412010 \h </w:instrText>
            </w:r>
            <w:r>
              <w:rPr>
                <w:noProof/>
                <w:webHidden/>
              </w:rPr>
            </w:r>
            <w:r>
              <w:rPr>
                <w:noProof/>
                <w:webHidden/>
              </w:rPr>
              <w:fldChar w:fldCharType="separate"/>
            </w:r>
            <w:r w:rsidR="00E05597">
              <w:rPr>
                <w:noProof/>
                <w:webHidden/>
              </w:rPr>
              <w:t>63</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2011" w:history="1">
            <w:r w:rsidR="00AA5DB7" w:rsidRPr="00A64766">
              <w:rPr>
                <w:rStyle w:val="Hyperlink"/>
                <w:rFonts w:asciiTheme="majorHAnsi" w:hAnsiTheme="majorHAnsi"/>
                <w:noProof/>
              </w:rPr>
              <w:t>5.1</w:t>
            </w:r>
            <w:r w:rsidR="00AA5DB7">
              <w:rPr>
                <w:noProof/>
                <w:sz w:val="22"/>
                <w:szCs w:val="22"/>
                <w:lang w:val="nl-NL" w:eastAsia="nl-NL" w:bidi="ar-SA"/>
              </w:rPr>
              <w:tab/>
            </w:r>
            <w:r w:rsidR="00AA5DB7" w:rsidRPr="00A64766">
              <w:rPr>
                <w:rStyle w:val="Hyperlink"/>
                <w:rFonts w:asciiTheme="majorHAnsi" w:hAnsiTheme="majorHAnsi"/>
                <w:noProof/>
              </w:rPr>
              <w:t>Main findings</w:t>
            </w:r>
            <w:r w:rsidR="00AA5DB7">
              <w:rPr>
                <w:noProof/>
                <w:webHidden/>
              </w:rPr>
              <w:tab/>
            </w:r>
            <w:r>
              <w:rPr>
                <w:noProof/>
                <w:webHidden/>
              </w:rPr>
              <w:fldChar w:fldCharType="begin"/>
            </w:r>
            <w:r w:rsidR="00AA5DB7">
              <w:rPr>
                <w:noProof/>
                <w:webHidden/>
              </w:rPr>
              <w:instrText xml:space="preserve"> PAGEREF _Toc300412011 \h </w:instrText>
            </w:r>
            <w:r>
              <w:rPr>
                <w:noProof/>
                <w:webHidden/>
              </w:rPr>
            </w:r>
            <w:r>
              <w:rPr>
                <w:noProof/>
                <w:webHidden/>
              </w:rPr>
              <w:fldChar w:fldCharType="separate"/>
            </w:r>
            <w:r w:rsidR="00E05597">
              <w:rPr>
                <w:noProof/>
                <w:webHidden/>
              </w:rPr>
              <w:t>63</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2012" w:history="1">
            <w:r w:rsidR="00AA5DB7" w:rsidRPr="00A64766">
              <w:rPr>
                <w:rStyle w:val="Hyperlink"/>
                <w:rFonts w:asciiTheme="majorHAnsi" w:hAnsiTheme="majorHAnsi"/>
                <w:noProof/>
              </w:rPr>
              <w:t>5.2</w:t>
            </w:r>
            <w:r w:rsidR="00AA5DB7">
              <w:rPr>
                <w:noProof/>
                <w:sz w:val="22"/>
                <w:szCs w:val="22"/>
                <w:lang w:val="nl-NL" w:eastAsia="nl-NL" w:bidi="ar-SA"/>
              </w:rPr>
              <w:tab/>
            </w:r>
            <w:r w:rsidR="00AA5DB7" w:rsidRPr="00A64766">
              <w:rPr>
                <w:rStyle w:val="Hyperlink"/>
                <w:rFonts w:asciiTheme="majorHAnsi" w:hAnsiTheme="majorHAnsi"/>
                <w:noProof/>
              </w:rPr>
              <w:t>Limitations</w:t>
            </w:r>
            <w:r w:rsidR="00AA5DB7">
              <w:rPr>
                <w:noProof/>
                <w:webHidden/>
              </w:rPr>
              <w:tab/>
            </w:r>
            <w:r>
              <w:rPr>
                <w:noProof/>
                <w:webHidden/>
              </w:rPr>
              <w:fldChar w:fldCharType="begin"/>
            </w:r>
            <w:r w:rsidR="00AA5DB7">
              <w:rPr>
                <w:noProof/>
                <w:webHidden/>
              </w:rPr>
              <w:instrText xml:space="preserve"> PAGEREF _Toc300412012 \h </w:instrText>
            </w:r>
            <w:r>
              <w:rPr>
                <w:noProof/>
                <w:webHidden/>
              </w:rPr>
            </w:r>
            <w:r>
              <w:rPr>
                <w:noProof/>
                <w:webHidden/>
              </w:rPr>
              <w:fldChar w:fldCharType="separate"/>
            </w:r>
            <w:r w:rsidR="00E05597">
              <w:rPr>
                <w:noProof/>
                <w:webHidden/>
              </w:rPr>
              <w:t>65</w:t>
            </w:r>
            <w:r>
              <w:rPr>
                <w:noProof/>
                <w:webHidden/>
              </w:rPr>
              <w:fldChar w:fldCharType="end"/>
            </w:r>
          </w:hyperlink>
        </w:p>
        <w:p w:rsidR="00AA5DB7" w:rsidRDefault="00BD69D8">
          <w:pPr>
            <w:pStyle w:val="Inhopg2"/>
            <w:tabs>
              <w:tab w:val="left" w:pos="880"/>
              <w:tab w:val="right" w:leader="dot" w:pos="9062"/>
            </w:tabs>
            <w:rPr>
              <w:noProof/>
              <w:sz w:val="22"/>
              <w:szCs w:val="22"/>
              <w:lang w:val="nl-NL" w:eastAsia="nl-NL" w:bidi="ar-SA"/>
            </w:rPr>
          </w:pPr>
          <w:hyperlink w:anchor="_Toc300412013" w:history="1">
            <w:r w:rsidR="00AA5DB7" w:rsidRPr="00A64766">
              <w:rPr>
                <w:rStyle w:val="Hyperlink"/>
                <w:rFonts w:asciiTheme="majorHAnsi" w:hAnsiTheme="majorHAnsi"/>
                <w:noProof/>
              </w:rPr>
              <w:t>5.3</w:t>
            </w:r>
            <w:r w:rsidR="00AA5DB7">
              <w:rPr>
                <w:noProof/>
                <w:sz w:val="22"/>
                <w:szCs w:val="22"/>
                <w:lang w:val="nl-NL" w:eastAsia="nl-NL" w:bidi="ar-SA"/>
              </w:rPr>
              <w:tab/>
            </w:r>
            <w:r w:rsidR="00AA5DB7" w:rsidRPr="00A64766">
              <w:rPr>
                <w:rStyle w:val="Hyperlink"/>
                <w:rFonts w:asciiTheme="majorHAnsi" w:hAnsiTheme="majorHAnsi"/>
                <w:noProof/>
              </w:rPr>
              <w:t>future research</w:t>
            </w:r>
            <w:r w:rsidR="00AA5DB7">
              <w:rPr>
                <w:noProof/>
                <w:webHidden/>
              </w:rPr>
              <w:tab/>
            </w:r>
            <w:r>
              <w:rPr>
                <w:noProof/>
                <w:webHidden/>
              </w:rPr>
              <w:fldChar w:fldCharType="begin"/>
            </w:r>
            <w:r w:rsidR="00AA5DB7">
              <w:rPr>
                <w:noProof/>
                <w:webHidden/>
              </w:rPr>
              <w:instrText xml:space="preserve"> PAGEREF _Toc300412013 \h </w:instrText>
            </w:r>
            <w:r>
              <w:rPr>
                <w:noProof/>
                <w:webHidden/>
              </w:rPr>
            </w:r>
            <w:r>
              <w:rPr>
                <w:noProof/>
                <w:webHidden/>
              </w:rPr>
              <w:fldChar w:fldCharType="separate"/>
            </w:r>
            <w:r w:rsidR="00E05597">
              <w:rPr>
                <w:noProof/>
                <w:webHidden/>
              </w:rPr>
              <w:t>66</w:t>
            </w:r>
            <w:r>
              <w:rPr>
                <w:noProof/>
                <w:webHidden/>
              </w:rPr>
              <w:fldChar w:fldCharType="end"/>
            </w:r>
          </w:hyperlink>
        </w:p>
        <w:p w:rsidR="00AA5DB7" w:rsidRDefault="00BD69D8">
          <w:pPr>
            <w:pStyle w:val="Inhopg1"/>
            <w:rPr>
              <w:noProof/>
              <w:sz w:val="22"/>
              <w:szCs w:val="22"/>
              <w:lang w:val="nl-NL" w:eastAsia="nl-NL" w:bidi="ar-SA"/>
            </w:rPr>
          </w:pPr>
          <w:hyperlink w:anchor="_Toc300412014" w:history="1">
            <w:r w:rsidR="00AA5DB7" w:rsidRPr="00A64766">
              <w:rPr>
                <w:rStyle w:val="Hyperlink"/>
                <w:rFonts w:asciiTheme="majorHAnsi" w:hAnsiTheme="majorHAnsi"/>
                <w:noProof/>
              </w:rPr>
              <w:t>REFERENCES</w:t>
            </w:r>
            <w:r w:rsidR="00AA5DB7">
              <w:rPr>
                <w:noProof/>
                <w:webHidden/>
              </w:rPr>
              <w:tab/>
            </w:r>
            <w:r>
              <w:rPr>
                <w:noProof/>
                <w:webHidden/>
              </w:rPr>
              <w:fldChar w:fldCharType="begin"/>
            </w:r>
            <w:r w:rsidR="00AA5DB7">
              <w:rPr>
                <w:noProof/>
                <w:webHidden/>
              </w:rPr>
              <w:instrText xml:space="preserve"> PAGEREF _Toc300412014 \h </w:instrText>
            </w:r>
            <w:r>
              <w:rPr>
                <w:noProof/>
                <w:webHidden/>
              </w:rPr>
            </w:r>
            <w:r>
              <w:rPr>
                <w:noProof/>
                <w:webHidden/>
              </w:rPr>
              <w:fldChar w:fldCharType="separate"/>
            </w:r>
            <w:r w:rsidR="00E05597">
              <w:rPr>
                <w:noProof/>
                <w:webHidden/>
              </w:rPr>
              <w:t>67</w:t>
            </w:r>
            <w:r>
              <w:rPr>
                <w:noProof/>
                <w:webHidden/>
              </w:rPr>
              <w:fldChar w:fldCharType="end"/>
            </w:r>
          </w:hyperlink>
        </w:p>
        <w:p w:rsidR="00AA5DB7" w:rsidRDefault="00BD69D8">
          <w:pPr>
            <w:pStyle w:val="Inhopg1"/>
            <w:rPr>
              <w:noProof/>
              <w:sz w:val="22"/>
              <w:szCs w:val="22"/>
              <w:lang w:val="nl-NL" w:eastAsia="nl-NL" w:bidi="ar-SA"/>
            </w:rPr>
          </w:pPr>
          <w:hyperlink w:anchor="_Toc300412015" w:history="1">
            <w:r w:rsidR="00AA5DB7" w:rsidRPr="00A64766">
              <w:rPr>
                <w:rStyle w:val="Hyperlink"/>
                <w:rFonts w:asciiTheme="majorHAnsi" w:hAnsiTheme="majorHAnsi"/>
                <w:noProof/>
              </w:rPr>
              <w:t>APPENDICES</w:t>
            </w:r>
            <w:r w:rsidR="00AA5DB7">
              <w:rPr>
                <w:noProof/>
                <w:webHidden/>
              </w:rPr>
              <w:tab/>
            </w:r>
            <w:r>
              <w:rPr>
                <w:noProof/>
                <w:webHidden/>
              </w:rPr>
              <w:fldChar w:fldCharType="begin"/>
            </w:r>
            <w:r w:rsidR="00AA5DB7">
              <w:rPr>
                <w:noProof/>
                <w:webHidden/>
              </w:rPr>
              <w:instrText xml:space="preserve"> PAGEREF _Toc300412015 \h </w:instrText>
            </w:r>
            <w:r>
              <w:rPr>
                <w:noProof/>
                <w:webHidden/>
              </w:rPr>
            </w:r>
            <w:r>
              <w:rPr>
                <w:noProof/>
                <w:webHidden/>
              </w:rPr>
              <w:fldChar w:fldCharType="separate"/>
            </w:r>
            <w:r w:rsidR="00E05597">
              <w:rPr>
                <w:noProof/>
                <w:webHidden/>
              </w:rPr>
              <w:t>72</w:t>
            </w:r>
            <w:r>
              <w:rPr>
                <w:noProof/>
                <w:webHidden/>
              </w:rPr>
              <w:fldChar w:fldCharType="end"/>
            </w:r>
          </w:hyperlink>
        </w:p>
        <w:p w:rsidR="00AA5DB7" w:rsidRDefault="00BD69D8">
          <w:pPr>
            <w:pStyle w:val="Inhopg2"/>
            <w:tabs>
              <w:tab w:val="right" w:leader="dot" w:pos="9062"/>
            </w:tabs>
            <w:rPr>
              <w:noProof/>
              <w:sz w:val="22"/>
              <w:szCs w:val="22"/>
              <w:lang w:val="nl-NL" w:eastAsia="nl-NL" w:bidi="ar-SA"/>
            </w:rPr>
          </w:pPr>
          <w:hyperlink w:anchor="_Toc300412016" w:history="1">
            <w:r w:rsidR="00AA5DB7" w:rsidRPr="00A64766">
              <w:rPr>
                <w:rStyle w:val="Hyperlink"/>
                <w:noProof/>
              </w:rPr>
              <w:t>Appendix 1: The questionnaire (in Dutch)</w:t>
            </w:r>
            <w:r w:rsidR="00AA5DB7">
              <w:rPr>
                <w:noProof/>
                <w:webHidden/>
              </w:rPr>
              <w:tab/>
            </w:r>
            <w:r>
              <w:rPr>
                <w:noProof/>
                <w:webHidden/>
              </w:rPr>
              <w:fldChar w:fldCharType="begin"/>
            </w:r>
            <w:r w:rsidR="00AA5DB7">
              <w:rPr>
                <w:noProof/>
                <w:webHidden/>
              </w:rPr>
              <w:instrText xml:space="preserve"> PAGEREF _Toc300412016 \h </w:instrText>
            </w:r>
            <w:r>
              <w:rPr>
                <w:noProof/>
                <w:webHidden/>
              </w:rPr>
            </w:r>
            <w:r>
              <w:rPr>
                <w:noProof/>
                <w:webHidden/>
              </w:rPr>
              <w:fldChar w:fldCharType="separate"/>
            </w:r>
            <w:r w:rsidR="00E05597">
              <w:rPr>
                <w:noProof/>
                <w:webHidden/>
              </w:rPr>
              <w:t>72</w:t>
            </w:r>
            <w:r>
              <w:rPr>
                <w:noProof/>
                <w:webHidden/>
              </w:rPr>
              <w:fldChar w:fldCharType="end"/>
            </w:r>
          </w:hyperlink>
        </w:p>
        <w:p w:rsidR="008F1407" w:rsidRDefault="00BD69D8">
          <w:r>
            <w:fldChar w:fldCharType="end"/>
          </w:r>
        </w:p>
      </w:sdtContent>
    </w:sdt>
    <w:p w:rsidR="006733B7" w:rsidRDefault="006733B7"/>
    <w:p w:rsidR="006733B7" w:rsidRDefault="006733B7" w:rsidP="00BD64BC">
      <w:r>
        <w:br w:type="page"/>
      </w:r>
    </w:p>
    <w:p w:rsidR="00BD64BC" w:rsidRPr="009315AD" w:rsidRDefault="00BD64BC" w:rsidP="00BD64BC">
      <w:pPr>
        <w:pStyle w:val="Kop1"/>
        <w:rPr>
          <w:rFonts w:asciiTheme="majorHAnsi" w:hAnsiTheme="majorHAnsi"/>
        </w:rPr>
      </w:pPr>
      <w:bookmarkStart w:id="0" w:name="_Toc300411974"/>
      <w:r w:rsidRPr="009315AD">
        <w:rPr>
          <w:rFonts w:asciiTheme="majorHAnsi" w:hAnsiTheme="majorHAnsi"/>
        </w:rPr>
        <w:lastRenderedPageBreak/>
        <w:t>ACKNOWLEDGEMENTS</w:t>
      </w:r>
      <w:bookmarkEnd w:id="0"/>
    </w:p>
    <w:p w:rsidR="004C0273" w:rsidRPr="004C0273" w:rsidRDefault="00C46CC3" w:rsidP="004C0273">
      <w:pPr>
        <w:autoSpaceDE w:val="0"/>
        <w:autoSpaceDN w:val="0"/>
        <w:adjustRightInd w:val="0"/>
        <w:spacing w:line="360" w:lineRule="auto"/>
        <w:jc w:val="both"/>
        <w:rPr>
          <w:rFonts w:cs="TimesNewRoman"/>
          <w:sz w:val="22"/>
          <w:szCs w:val="22"/>
          <w:lang w:bidi="ar-SA"/>
        </w:rPr>
      </w:pPr>
      <w:r w:rsidRPr="004C0273">
        <w:rPr>
          <w:rFonts w:cs="TimesNewRoman"/>
          <w:sz w:val="22"/>
          <w:szCs w:val="22"/>
          <w:lang w:bidi="ar-SA"/>
        </w:rPr>
        <w:t xml:space="preserve">Numerous people have assisted me during the writing of this thesis. I would like to thank my supervisor, Michiel Nijdam, for helping me to write a thesis on this subject, bringing me in contact with TLN and supporting me along the way. </w:t>
      </w:r>
    </w:p>
    <w:p w:rsidR="004C0273" w:rsidRPr="004C0273" w:rsidRDefault="00DF135B" w:rsidP="004C0273">
      <w:pPr>
        <w:autoSpaceDE w:val="0"/>
        <w:autoSpaceDN w:val="0"/>
        <w:adjustRightInd w:val="0"/>
        <w:spacing w:before="0" w:after="0" w:line="360" w:lineRule="auto"/>
        <w:jc w:val="both"/>
        <w:rPr>
          <w:rFonts w:cs="TimesNewRoman"/>
          <w:sz w:val="22"/>
          <w:szCs w:val="22"/>
          <w:lang w:bidi="ar-SA"/>
        </w:rPr>
      </w:pPr>
      <w:r w:rsidRPr="004C0273">
        <w:rPr>
          <w:rFonts w:cs="TimesNewRoman"/>
          <w:sz w:val="22"/>
          <w:szCs w:val="22"/>
          <w:lang w:bidi="ar-SA"/>
        </w:rPr>
        <w:t>Secondly</w:t>
      </w:r>
      <w:r w:rsidR="00C46CC3" w:rsidRPr="004C0273">
        <w:rPr>
          <w:rFonts w:cs="TimesNewRoman"/>
          <w:sz w:val="22"/>
          <w:szCs w:val="22"/>
          <w:lang w:bidi="ar-SA"/>
        </w:rPr>
        <w:t xml:space="preserve">, I </w:t>
      </w:r>
      <w:r w:rsidRPr="004C0273">
        <w:rPr>
          <w:rFonts w:cs="TimesNewRoman"/>
          <w:sz w:val="22"/>
          <w:szCs w:val="22"/>
          <w:lang w:bidi="ar-SA"/>
        </w:rPr>
        <w:t xml:space="preserve">want to thank my parents </w:t>
      </w:r>
      <w:r w:rsidR="004C0273">
        <w:rPr>
          <w:rFonts w:cs="TimesNewRoman"/>
          <w:sz w:val="22"/>
          <w:szCs w:val="22"/>
          <w:lang w:bidi="ar-SA"/>
        </w:rPr>
        <w:t xml:space="preserve">Hans and Jacqueline Miechels </w:t>
      </w:r>
      <w:r w:rsidRPr="004C0273">
        <w:rPr>
          <w:rFonts w:cs="TimesNewRoman"/>
          <w:sz w:val="22"/>
          <w:szCs w:val="22"/>
          <w:lang w:bidi="ar-SA"/>
        </w:rPr>
        <w:t>for their support during my whole school career. You always motivated me to develop myself without too much pushing</w:t>
      </w:r>
      <w:r w:rsidR="004C0273" w:rsidRPr="004C0273">
        <w:rPr>
          <w:rFonts w:cs="TimesNewRoman"/>
          <w:sz w:val="22"/>
          <w:szCs w:val="22"/>
          <w:lang w:bidi="ar-SA"/>
        </w:rPr>
        <w:t xml:space="preserve"> (your math lessons aside)</w:t>
      </w:r>
      <w:r w:rsidRPr="004C0273">
        <w:rPr>
          <w:rFonts w:cs="TimesNewRoman"/>
          <w:sz w:val="22"/>
          <w:szCs w:val="22"/>
          <w:lang w:bidi="ar-SA"/>
        </w:rPr>
        <w:t xml:space="preserve"> and alw</w:t>
      </w:r>
      <w:r w:rsidR="004C0273">
        <w:rPr>
          <w:rFonts w:cs="TimesNewRoman"/>
          <w:sz w:val="22"/>
          <w:szCs w:val="22"/>
          <w:lang w:bidi="ar-SA"/>
        </w:rPr>
        <w:t xml:space="preserve">ays let me make my own choices. </w:t>
      </w:r>
      <w:r w:rsidR="008954CD" w:rsidRPr="004C0273">
        <w:rPr>
          <w:rFonts w:cs="TimesNewRoman"/>
          <w:sz w:val="22"/>
          <w:szCs w:val="22"/>
          <w:lang w:bidi="ar-SA"/>
        </w:rPr>
        <w:t xml:space="preserve">Thanks again for funding my education. Without you, I never </w:t>
      </w:r>
      <w:r w:rsidR="004C0273">
        <w:rPr>
          <w:rFonts w:cs="TimesNewRoman"/>
          <w:sz w:val="22"/>
          <w:szCs w:val="22"/>
          <w:lang w:bidi="ar-SA"/>
        </w:rPr>
        <w:t xml:space="preserve">would </w:t>
      </w:r>
      <w:r w:rsidR="008954CD" w:rsidRPr="004C0273">
        <w:rPr>
          <w:rFonts w:cs="TimesNewRoman"/>
          <w:sz w:val="22"/>
          <w:szCs w:val="22"/>
          <w:lang w:bidi="ar-SA"/>
        </w:rPr>
        <w:t>have bec</w:t>
      </w:r>
      <w:r w:rsidR="004C0273">
        <w:rPr>
          <w:rFonts w:cs="TimesNewRoman"/>
          <w:sz w:val="22"/>
          <w:szCs w:val="22"/>
          <w:lang w:bidi="ar-SA"/>
        </w:rPr>
        <w:t>o</w:t>
      </w:r>
      <w:r w:rsidR="008954CD" w:rsidRPr="004C0273">
        <w:rPr>
          <w:rFonts w:cs="TimesNewRoman"/>
          <w:sz w:val="22"/>
          <w:szCs w:val="22"/>
          <w:lang w:bidi="ar-SA"/>
        </w:rPr>
        <w:t>me an MSc in</w:t>
      </w:r>
      <w:r w:rsidR="004C0273" w:rsidRPr="004C0273">
        <w:rPr>
          <w:rFonts w:cs="TimesNewRoman"/>
          <w:sz w:val="22"/>
          <w:szCs w:val="22"/>
          <w:lang w:bidi="ar-SA"/>
        </w:rPr>
        <w:t xml:space="preserve"> Economics and Business.</w:t>
      </w:r>
      <w:r w:rsidR="008954CD" w:rsidRPr="004C0273">
        <w:rPr>
          <w:rFonts w:cs="TimesNewRoman"/>
          <w:sz w:val="22"/>
          <w:szCs w:val="22"/>
          <w:lang w:bidi="ar-SA"/>
        </w:rPr>
        <w:t xml:space="preserve"> </w:t>
      </w:r>
    </w:p>
    <w:p w:rsidR="00DF135B" w:rsidRPr="004C0273" w:rsidRDefault="00DF135B" w:rsidP="004C0273">
      <w:pPr>
        <w:shd w:val="clear" w:color="auto" w:fill="FFFFFF"/>
        <w:spacing w:line="360" w:lineRule="auto"/>
        <w:jc w:val="both"/>
        <w:textAlignment w:val="top"/>
        <w:rPr>
          <w:rFonts w:eastAsia="Times New Roman" w:cs="Arial"/>
          <w:color w:val="888888"/>
          <w:sz w:val="22"/>
          <w:szCs w:val="22"/>
          <w:lang w:eastAsia="nl-NL" w:bidi="ar-SA"/>
        </w:rPr>
      </w:pPr>
      <w:r w:rsidRPr="004C0273">
        <w:rPr>
          <w:rFonts w:cs="TimesNewRoman"/>
          <w:sz w:val="22"/>
          <w:szCs w:val="22"/>
          <w:lang w:bidi="ar-SA"/>
        </w:rPr>
        <w:t xml:space="preserve">Thirdly, I would like to thank my girlfriend Femmy Hesseling for acting as a sounding board. </w:t>
      </w:r>
      <w:r w:rsidR="003137D5">
        <w:rPr>
          <w:rFonts w:cs="TimesNewRoman"/>
          <w:sz w:val="22"/>
          <w:szCs w:val="22"/>
          <w:lang w:bidi="ar-SA"/>
        </w:rPr>
        <w:t>It must have been boring for you</w:t>
      </w:r>
      <w:r w:rsidRPr="004C0273">
        <w:rPr>
          <w:rFonts w:cs="TimesNewRoman"/>
          <w:sz w:val="22"/>
          <w:szCs w:val="22"/>
          <w:lang w:bidi="ar-SA"/>
        </w:rPr>
        <w:t xml:space="preserve"> </w:t>
      </w:r>
      <w:r w:rsidRPr="004C0273">
        <w:rPr>
          <w:rFonts w:eastAsia="Times New Roman" w:cs="Arial"/>
          <w:color w:val="000000"/>
          <w:sz w:val="22"/>
          <w:szCs w:val="22"/>
          <w:lang w:eastAsia="nl-NL" w:bidi="ar-SA"/>
        </w:rPr>
        <w:t>to listen to my endless talking about a subjec</w:t>
      </w:r>
      <w:r w:rsidR="003137D5">
        <w:rPr>
          <w:rFonts w:eastAsia="Times New Roman" w:cs="Arial"/>
          <w:color w:val="000000"/>
          <w:sz w:val="22"/>
          <w:szCs w:val="22"/>
          <w:lang w:eastAsia="nl-NL" w:bidi="ar-SA"/>
        </w:rPr>
        <w:t>t you aren</w:t>
      </w:r>
      <w:r w:rsidRPr="004C0273">
        <w:rPr>
          <w:rFonts w:eastAsia="Times New Roman" w:cs="Arial"/>
          <w:color w:val="000000"/>
          <w:sz w:val="22"/>
          <w:szCs w:val="22"/>
          <w:lang w:eastAsia="nl-NL" w:bidi="ar-SA"/>
        </w:rPr>
        <w:t>'t that much familia</w:t>
      </w:r>
      <w:r w:rsidR="004B2D6F">
        <w:rPr>
          <w:rFonts w:eastAsia="Times New Roman" w:cs="Arial"/>
          <w:color w:val="000000"/>
          <w:sz w:val="22"/>
          <w:szCs w:val="22"/>
          <w:lang w:eastAsia="nl-NL" w:bidi="ar-SA"/>
        </w:rPr>
        <w:t>r with</w:t>
      </w:r>
      <w:r w:rsidR="003137D5">
        <w:rPr>
          <w:rFonts w:eastAsia="Times New Roman" w:cs="Arial"/>
          <w:color w:val="000000"/>
          <w:sz w:val="22"/>
          <w:szCs w:val="22"/>
          <w:lang w:eastAsia="nl-NL" w:bidi="ar-SA"/>
        </w:rPr>
        <w:t>. I would also like to thank you for your</w:t>
      </w:r>
      <w:r w:rsidRPr="004C0273">
        <w:rPr>
          <w:rFonts w:eastAsia="Times New Roman" w:cs="Arial"/>
          <w:color w:val="000000"/>
          <w:sz w:val="22"/>
          <w:szCs w:val="22"/>
          <w:lang w:eastAsia="nl-NL" w:bidi="ar-SA"/>
        </w:rPr>
        <w:t xml:space="preserve"> active s</w:t>
      </w:r>
      <w:r w:rsidR="002140F1">
        <w:rPr>
          <w:rFonts w:eastAsia="Times New Roman" w:cs="Arial"/>
          <w:color w:val="000000"/>
          <w:sz w:val="22"/>
          <w:szCs w:val="22"/>
          <w:lang w:eastAsia="nl-NL" w:bidi="ar-SA"/>
        </w:rPr>
        <w:t>upport in elaborating the survey results</w:t>
      </w:r>
      <w:r w:rsidRPr="004C0273">
        <w:rPr>
          <w:rFonts w:eastAsia="Times New Roman" w:cs="Arial"/>
          <w:color w:val="000000"/>
          <w:sz w:val="22"/>
          <w:szCs w:val="22"/>
          <w:lang w:eastAsia="nl-NL" w:bidi="ar-SA"/>
        </w:rPr>
        <w:t>. But most of all I just</w:t>
      </w:r>
      <w:r w:rsidR="003137D5">
        <w:rPr>
          <w:rFonts w:eastAsia="Times New Roman" w:cs="Arial"/>
          <w:color w:val="000000"/>
          <w:sz w:val="22"/>
          <w:szCs w:val="22"/>
          <w:lang w:eastAsia="nl-NL" w:bidi="ar-SA"/>
        </w:rPr>
        <w:t xml:space="preserve"> like to thank you</w:t>
      </w:r>
      <w:r w:rsidRPr="004C0273">
        <w:rPr>
          <w:rFonts w:eastAsia="Times New Roman" w:cs="Arial"/>
          <w:color w:val="000000"/>
          <w:sz w:val="22"/>
          <w:szCs w:val="22"/>
          <w:lang w:eastAsia="nl-NL" w:bidi="ar-SA"/>
        </w:rPr>
        <w:t xml:space="preserve"> for </w:t>
      </w:r>
      <w:r w:rsidR="003137D5">
        <w:rPr>
          <w:rFonts w:eastAsia="Times New Roman" w:cs="Arial"/>
          <w:color w:val="000000"/>
          <w:sz w:val="22"/>
          <w:szCs w:val="22"/>
          <w:lang w:eastAsia="nl-NL" w:bidi="ar-SA"/>
        </w:rPr>
        <w:t>you</w:t>
      </w:r>
      <w:r w:rsidRPr="004C0273">
        <w:rPr>
          <w:rFonts w:eastAsia="Times New Roman" w:cs="Arial"/>
          <w:color w:val="000000"/>
          <w:sz w:val="22"/>
          <w:szCs w:val="22"/>
          <w:lang w:eastAsia="nl-NL" w:bidi="ar-SA"/>
        </w:rPr>
        <w:t xml:space="preserve">r presence and </w:t>
      </w:r>
      <w:r w:rsidR="008954CD" w:rsidRPr="004C0273">
        <w:rPr>
          <w:rFonts w:eastAsia="Times New Roman" w:cs="Arial"/>
          <w:color w:val="000000"/>
          <w:sz w:val="22"/>
          <w:szCs w:val="22"/>
          <w:lang w:eastAsia="nl-NL" w:bidi="ar-SA"/>
        </w:rPr>
        <w:t xml:space="preserve">the positive </w:t>
      </w:r>
      <w:r w:rsidR="003137D5">
        <w:rPr>
          <w:rFonts w:eastAsia="Times New Roman" w:cs="Arial"/>
          <w:color w:val="000000"/>
          <w:sz w:val="22"/>
          <w:szCs w:val="22"/>
          <w:lang w:eastAsia="nl-NL" w:bidi="ar-SA"/>
        </w:rPr>
        <w:t>distraction you</w:t>
      </w:r>
      <w:r w:rsidRPr="004C0273">
        <w:rPr>
          <w:rFonts w:eastAsia="Times New Roman" w:cs="Arial"/>
          <w:color w:val="000000"/>
          <w:sz w:val="22"/>
          <w:szCs w:val="22"/>
          <w:lang w:eastAsia="nl-NL" w:bidi="ar-SA"/>
        </w:rPr>
        <w:t xml:space="preserve"> caused during the writing process. </w:t>
      </w:r>
    </w:p>
    <w:p w:rsidR="00C46CC3" w:rsidRPr="004C0273" w:rsidRDefault="00C46CC3" w:rsidP="004C0273">
      <w:pPr>
        <w:autoSpaceDE w:val="0"/>
        <w:autoSpaceDN w:val="0"/>
        <w:adjustRightInd w:val="0"/>
        <w:spacing w:before="0" w:after="0" w:line="360" w:lineRule="auto"/>
        <w:jc w:val="both"/>
        <w:rPr>
          <w:rFonts w:cs="TimesNewRoman"/>
          <w:sz w:val="22"/>
          <w:szCs w:val="22"/>
          <w:lang w:bidi="ar-SA"/>
        </w:rPr>
      </w:pPr>
      <w:r w:rsidRPr="004C0273">
        <w:rPr>
          <w:rFonts w:cs="TimesNewRoman"/>
          <w:sz w:val="22"/>
          <w:szCs w:val="22"/>
          <w:lang w:bidi="ar-SA"/>
        </w:rPr>
        <w:t xml:space="preserve">Fourthly, I am indebted to all of the </w:t>
      </w:r>
      <w:r w:rsidR="008954CD" w:rsidRPr="004C0273">
        <w:rPr>
          <w:rFonts w:cs="TimesNewRoman"/>
          <w:sz w:val="22"/>
          <w:szCs w:val="22"/>
          <w:lang w:bidi="ar-SA"/>
        </w:rPr>
        <w:t xml:space="preserve">respondents </w:t>
      </w:r>
      <w:r w:rsidR="000A1922" w:rsidRPr="004C0273">
        <w:rPr>
          <w:rFonts w:cs="TimesNewRoman"/>
          <w:sz w:val="22"/>
          <w:szCs w:val="22"/>
          <w:lang w:bidi="ar-SA"/>
        </w:rPr>
        <w:t>for their</w:t>
      </w:r>
      <w:r w:rsidRPr="004C0273">
        <w:rPr>
          <w:rFonts w:cs="TimesNewRoman"/>
          <w:sz w:val="22"/>
          <w:szCs w:val="22"/>
          <w:lang w:bidi="ar-SA"/>
        </w:rPr>
        <w:t xml:space="preserve"> cooperation. They have</w:t>
      </w:r>
      <w:r w:rsidR="003137D5">
        <w:rPr>
          <w:rFonts w:cs="TimesNewRoman"/>
          <w:sz w:val="22"/>
          <w:szCs w:val="22"/>
          <w:lang w:bidi="ar-SA"/>
        </w:rPr>
        <w:t xml:space="preserve"> </w:t>
      </w:r>
      <w:r w:rsidRPr="004C0273">
        <w:rPr>
          <w:rFonts w:cs="TimesNewRoman"/>
          <w:sz w:val="22"/>
          <w:szCs w:val="22"/>
          <w:lang w:bidi="ar-SA"/>
        </w:rPr>
        <w:t xml:space="preserve">provided me with new and original insights and made this research dynamic. </w:t>
      </w:r>
      <w:r w:rsidR="002140F1">
        <w:rPr>
          <w:rFonts w:cs="TimesNewRoman"/>
          <w:sz w:val="22"/>
          <w:szCs w:val="22"/>
          <w:lang w:bidi="ar-SA"/>
        </w:rPr>
        <w:t xml:space="preserve">I also </w:t>
      </w:r>
      <w:r w:rsidR="00C464D2">
        <w:rPr>
          <w:rFonts w:cs="TimesNewRoman"/>
          <w:sz w:val="22"/>
          <w:szCs w:val="22"/>
          <w:lang w:bidi="ar-SA"/>
        </w:rPr>
        <w:t>thank Babic</w:t>
      </w:r>
      <w:r w:rsidR="00524DBB">
        <w:rPr>
          <w:rFonts w:cs="TimesNewRoman"/>
          <w:sz w:val="22"/>
          <w:szCs w:val="22"/>
          <w:lang w:bidi="ar-SA"/>
        </w:rPr>
        <w:t xml:space="preserve">he van de Loo of TLN for bringing this study to the attention of potential respondents. </w:t>
      </w:r>
    </w:p>
    <w:p w:rsidR="003137D5" w:rsidRDefault="008954CD" w:rsidP="003137D5">
      <w:pPr>
        <w:spacing w:after="0" w:line="360" w:lineRule="auto"/>
        <w:jc w:val="both"/>
        <w:rPr>
          <w:sz w:val="22"/>
          <w:szCs w:val="22"/>
        </w:rPr>
      </w:pPr>
      <w:r w:rsidRPr="004C0273">
        <w:rPr>
          <w:rFonts w:cs="TimesNewRoman"/>
          <w:sz w:val="22"/>
          <w:szCs w:val="22"/>
          <w:lang w:bidi="ar-SA"/>
        </w:rPr>
        <w:t>Last but not least, I would like to thank Marc Levinson</w:t>
      </w:r>
      <w:r w:rsidR="004C0273" w:rsidRPr="004C0273">
        <w:rPr>
          <w:rFonts w:cs="TimesNewRoman"/>
          <w:sz w:val="22"/>
          <w:szCs w:val="22"/>
          <w:lang w:bidi="ar-SA"/>
        </w:rPr>
        <w:t xml:space="preserve"> (2006)</w:t>
      </w:r>
      <w:r w:rsidRPr="004C0273">
        <w:rPr>
          <w:rFonts w:cs="TimesNewRoman"/>
          <w:sz w:val="22"/>
          <w:szCs w:val="22"/>
          <w:lang w:bidi="ar-SA"/>
        </w:rPr>
        <w:t xml:space="preserve"> for writing his book </w:t>
      </w:r>
      <w:r w:rsidRPr="004C0273">
        <w:rPr>
          <w:rFonts w:cs="TimesNewRoman"/>
          <w:i/>
          <w:sz w:val="22"/>
          <w:szCs w:val="22"/>
          <w:lang w:bidi="ar-SA"/>
        </w:rPr>
        <w:t>The Box</w:t>
      </w:r>
      <w:r w:rsidRPr="004C0273">
        <w:rPr>
          <w:rFonts w:cs="TimesNewRoman"/>
          <w:sz w:val="22"/>
          <w:szCs w:val="22"/>
          <w:lang w:bidi="ar-SA"/>
        </w:rPr>
        <w:t xml:space="preserve">. His book about how the Shipping Container made the world smaller and the world economy bigger </w:t>
      </w:r>
      <w:r w:rsidR="004C0273" w:rsidRPr="004C0273">
        <w:rPr>
          <w:rFonts w:cs="TimesNewRoman"/>
          <w:sz w:val="22"/>
          <w:szCs w:val="22"/>
          <w:lang w:bidi="ar-SA"/>
        </w:rPr>
        <w:t>inspired me to write the thesis I wrote because of the following phrases</w:t>
      </w:r>
      <w:r w:rsidR="003137D5">
        <w:rPr>
          <w:rFonts w:cs="TimesNewRoman"/>
          <w:sz w:val="22"/>
          <w:szCs w:val="22"/>
          <w:lang w:bidi="ar-SA"/>
        </w:rPr>
        <w:t>:</w:t>
      </w:r>
    </w:p>
    <w:p w:rsidR="00344DF8" w:rsidRDefault="001918CA" w:rsidP="003137D5">
      <w:pPr>
        <w:spacing w:before="0" w:line="360" w:lineRule="auto"/>
        <w:ind w:left="708"/>
        <w:jc w:val="both"/>
        <w:rPr>
          <w:sz w:val="22"/>
          <w:szCs w:val="22"/>
        </w:rPr>
      </w:pPr>
      <w:r w:rsidRPr="003137D5">
        <w:rPr>
          <w:i/>
          <w:sz w:val="22"/>
          <w:szCs w:val="22"/>
        </w:rPr>
        <w:t>Sea-land</w:t>
      </w:r>
      <w:r w:rsidR="005253FF" w:rsidRPr="003137D5">
        <w:rPr>
          <w:i/>
          <w:sz w:val="22"/>
          <w:szCs w:val="22"/>
        </w:rPr>
        <w:t xml:space="preserve"> and its competitors were not all like Polaroid or Xerox, companies whose proprietary technology and constant stream of innovations provided inordinately high profits for </w:t>
      </w:r>
      <w:r w:rsidR="00C46CC3" w:rsidRPr="003137D5">
        <w:rPr>
          <w:i/>
          <w:sz w:val="22"/>
          <w:szCs w:val="22"/>
        </w:rPr>
        <w:t>decades</w:t>
      </w:r>
      <w:r w:rsidR="005253FF" w:rsidRPr="003137D5">
        <w:rPr>
          <w:i/>
          <w:sz w:val="22"/>
          <w:szCs w:val="22"/>
        </w:rPr>
        <w:t xml:space="preserve">. Ship lines’ end product was basically a commodity. Just like farmers and steelmakers, they would always be hostage to external forces, their prices and profit margins depending mainly on economic growth and on their competitors’ decisions to build new ships. </w:t>
      </w:r>
      <w:r w:rsidR="005253FF" w:rsidRPr="003137D5">
        <w:rPr>
          <w:sz w:val="22"/>
          <w:szCs w:val="22"/>
        </w:rPr>
        <w:t>(p. 230)</w:t>
      </w:r>
    </w:p>
    <w:p w:rsidR="006733B7" w:rsidRPr="003137D5" w:rsidRDefault="006733B7" w:rsidP="003137D5">
      <w:pPr>
        <w:spacing w:before="0" w:line="360" w:lineRule="auto"/>
        <w:ind w:left="708"/>
        <w:jc w:val="both"/>
        <w:rPr>
          <w:sz w:val="22"/>
          <w:szCs w:val="22"/>
        </w:rPr>
      </w:pPr>
      <w:r w:rsidRPr="003137D5">
        <w:rPr>
          <w:sz w:val="22"/>
          <w:szCs w:val="22"/>
        </w:rPr>
        <w:br w:type="page"/>
      </w:r>
    </w:p>
    <w:p w:rsidR="006733B7" w:rsidRPr="009315AD" w:rsidRDefault="00BD64BC" w:rsidP="006733B7">
      <w:pPr>
        <w:pStyle w:val="Kop1"/>
        <w:rPr>
          <w:rFonts w:asciiTheme="majorHAnsi" w:hAnsiTheme="majorHAnsi"/>
        </w:rPr>
      </w:pPr>
      <w:bookmarkStart w:id="1" w:name="_Toc300411975"/>
      <w:r w:rsidRPr="009315AD">
        <w:rPr>
          <w:rFonts w:asciiTheme="majorHAnsi" w:hAnsiTheme="majorHAnsi"/>
        </w:rPr>
        <w:lastRenderedPageBreak/>
        <w:t>SUMMARY</w:t>
      </w:r>
      <w:bookmarkEnd w:id="1"/>
    </w:p>
    <w:p w:rsidR="00066627" w:rsidRPr="00066627" w:rsidRDefault="00AC409E" w:rsidP="00066627">
      <w:pPr>
        <w:spacing w:line="360" w:lineRule="auto"/>
        <w:jc w:val="both"/>
        <w:rPr>
          <w:i/>
        </w:rPr>
      </w:pPr>
      <w:r w:rsidRPr="00066627">
        <w:t xml:space="preserve">The transport- and logistics sector faces low margins and continuing price pressure. As was evident from the surveys conducted by </w:t>
      </w:r>
      <w:r w:rsidR="00066627" w:rsidRPr="00066627">
        <w:rPr>
          <w:rFonts w:eastAsia="Times New Roman" w:cs="Arial"/>
          <w:lang w:eastAsia="nl-NL" w:bidi="ar-SA"/>
        </w:rPr>
        <w:t>TLN (2011)</w:t>
      </w:r>
      <w:r w:rsidRPr="00066627">
        <w:t>, there is a difference in profitability between logistics service providers and transportation companies. This difference in profitability is presumably explained by the fact that logistics services providers offer a more differentiated service. This insight led to the following research question:</w:t>
      </w:r>
      <w:r w:rsidR="00066627" w:rsidRPr="00066627">
        <w:t xml:space="preserve"> </w:t>
      </w:r>
      <w:r w:rsidR="00066627" w:rsidRPr="00066627">
        <w:rPr>
          <w:i/>
        </w:rPr>
        <w:t>‘’How do third part logistics providers in the Netherlands develop their business?’’</w:t>
      </w:r>
    </w:p>
    <w:p w:rsidR="00AC409E" w:rsidRPr="00066627" w:rsidRDefault="00AC409E" w:rsidP="00066627">
      <w:pPr>
        <w:spacing w:line="360" w:lineRule="auto"/>
        <w:jc w:val="both"/>
      </w:pPr>
      <w:r w:rsidRPr="00066627">
        <w:t>The purpose of this research was to study how TPL providers in the Netherlands differentiate their business to be more than a commodity service for their customers. Because becoming of more strategic importance for your customer presumably entails a higher profitability for the TPL provider, it is expected that TPL providers search for multiple ways to do so. In essence, this study is about TPL providers’ relationship with their customers and the development and strengthening of these relationships. Following from this, this research is about Dutch TPL providers expanding their services into less traditional logistics activities and further diversifying the services offered: TPL providers creating new (international) business for themselves.</w:t>
      </w:r>
    </w:p>
    <w:p w:rsidR="00AC409E" w:rsidRPr="00066627" w:rsidRDefault="00AC409E" w:rsidP="00066627">
      <w:pPr>
        <w:spacing w:line="360" w:lineRule="auto"/>
        <w:jc w:val="both"/>
        <w:rPr>
          <w:rFonts w:eastAsia="Times New Roman" w:cs="Arial"/>
          <w:lang w:eastAsia="nl-NL" w:bidi="ar-SA"/>
        </w:rPr>
      </w:pPr>
      <w:r w:rsidRPr="00066627">
        <w:t xml:space="preserve">After studying business logistics and supply chain management literature, various sub questions arose. These sub questions gave answer to the research question, all from a different angle. To give answer to the various sub-questions discussed within the theoretical framework, </w:t>
      </w:r>
      <w:r w:rsidR="002752F8" w:rsidRPr="00066627">
        <w:t>an</w:t>
      </w:r>
      <w:r w:rsidRPr="00066627">
        <w:t xml:space="preserve"> online survey was conducted. A questionnaire was developed, consisting of fifteen statements and twenty-eight closed questions.</w:t>
      </w:r>
      <w:r w:rsidRPr="00066627">
        <w:rPr>
          <w:rFonts w:ascii="Arial" w:eastAsia="Times New Roman" w:hAnsi="Arial" w:cs="Arial"/>
          <w:color w:val="888888"/>
          <w:lang w:eastAsia="nl-NL" w:bidi="ar-SA"/>
        </w:rPr>
        <w:t xml:space="preserve"> </w:t>
      </w:r>
      <w:r w:rsidRPr="00066627">
        <w:rPr>
          <w:rFonts w:eastAsia="Times New Roman" w:cs="Arial"/>
          <w:lang w:eastAsia="nl-NL" w:bidi="ar-SA"/>
        </w:rPr>
        <w:t>TLN</w:t>
      </w:r>
      <w:r w:rsidRPr="00066627">
        <w:rPr>
          <w:rFonts w:ascii="Arial" w:eastAsia="Times New Roman" w:hAnsi="Arial" w:cs="Arial"/>
          <w:lang w:eastAsia="nl-NL" w:bidi="ar-SA"/>
        </w:rPr>
        <w:t xml:space="preserve"> </w:t>
      </w:r>
      <w:r w:rsidRPr="00066627">
        <w:rPr>
          <w:rFonts w:eastAsia="Times New Roman" w:cs="Arial"/>
          <w:lang w:eastAsia="nl-NL" w:bidi="ar-SA"/>
        </w:rPr>
        <w:t>was very helpful in bringing this research under the attention of the appropriate (potential) respondents. Besides through TLN, I also raised awareness</w:t>
      </w:r>
      <w:r w:rsidR="00066627" w:rsidRPr="00066627">
        <w:rPr>
          <w:rFonts w:eastAsia="Times New Roman" w:cs="Arial"/>
          <w:lang w:eastAsia="nl-NL" w:bidi="ar-SA"/>
        </w:rPr>
        <w:t xml:space="preserve"> about</w:t>
      </w:r>
      <w:r w:rsidRPr="00066627">
        <w:rPr>
          <w:rFonts w:eastAsia="Times New Roman" w:cs="Arial"/>
          <w:lang w:eastAsia="nl-NL" w:bidi="ar-SA"/>
        </w:rPr>
        <w:t xml:space="preserve"> this research by LinkedIn. All these efforts finally resulted in twenty-seven responses from Dutch TPL providers.</w:t>
      </w:r>
    </w:p>
    <w:p w:rsidR="00DA744B" w:rsidRPr="00AC409E" w:rsidRDefault="00AC409E" w:rsidP="00066627">
      <w:pPr>
        <w:spacing w:line="360" w:lineRule="auto"/>
        <w:jc w:val="both"/>
        <w:rPr>
          <w:noProof/>
          <w:sz w:val="22"/>
          <w:szCs w:val="22"/>
        </w:rPr>
      </w:pPr>
      <w:r w:rsidRPr="00066627">
        <w:t xml:space="preserve">It can be concluded that TPL providers are starting to become of more strategic importance for their customers, but there is still much to be gained in this area. Another possibility to develop business is by further internationalizing and Dutch TPL providers are planning to do so within Europe. It was also found that an acknowledged way of diversifying services, attracting and retaining (stronger) customer relationships and thus making your service less commoditized is by being an environmentally aware TPL provider. Another way of becoming of more strategic importance is by making client specific investments: as is done by three-quarter of Dutch TPL providers. The value added services offered by Dutch TPL providers contain a large spectrum of services, of which some services are not related to traditional logistics. On average, one fifth of all turnover is derived from value added </w:t>
      </w:r>
      <w:r w:rsidR="002752F8" w:rsidRPr="00066627">
        <w:t>logistics;</w:t>
      </w:r>
      <w:r w:rsidRPr="00066627">
        <w:t xml:space="preserve"> thereby TPL providers prove they can develop new business for themselves. But there is more proof of this: focusing more on supply chain management is another way of getting hold of a larger part of the supply chain, thereby diversifying the </w:t>
      </w:r>
      <w:r w:rsidR="002752F8" w:rsidRPr="00066627">
        <w:t>providers’</w:t>
      </w:r>
      <w:r w:rsidRPr="00066627">
        <w:t xml:space="preserve"> service offerings. Although the majority of TPL providers </w:t>
      </w:r>
      <w:r w:rsidR="002752F8" w:rsidRPr="00066627">
        <w:t>see</w:t>
      </w:r>
      <w:r w:rsidRPr="00066627">
        <w:t xml:space="preserve"> offering supply chain management as a major opportunity for them, most notice that customers are too focused on short term price levels and lowering costs of logistics. Finishing with strategic positioning, although in the current situation most TPL providers are focused on their general problem solving capabilities, </w:t>
      </w:r>
      <w:r w:rsidRPr="00066627">
        <w:rPr>
          <w:noProof/>
        </w:rPr>
        <w:t>it is the trend to wanting to become a more dedicated service provider: thereby again aiming at becoming of more strategic importance for the customer and taking benefit from this situation.</w:t>
      </w:r>
      <w:r w:rsidR="00DA744B" w:rsidRPr="00297DB4">
        <w:rPr>
          <w:color w:val="FF0000"/>
        </w:rPr>
        <w:br w:type="page"/>
      </w:r>
    </w:p>
    <w:p w:rsidR="00DA744B" w:rsidRPr="009315AD" w:rsidRDefault="00DA744B" w:rsidP="004B2D6F">
      <w:pPr>
        <w:pStyle w:val="Kop1"/>
        <w:spacing w:after="240"/>
        <w:rPr>
          <w:rFonts w:asciiTheme="majorHAnsi" w:hAnsiTheme="majorHAnsi"/>
        </w:rPr>
      </w:pPr>
      <w:bookmarkStart w:id="2" w:name="_Toc300411976"/>
      <w:r w:rsidRPr="009315AD">
        <w:rPr>
          <w:rFonts w:asciiTheme="majorHAnsi" w:hAnsiTheme="majorHAnsi"/>
        </w:rPr>
        <w:lastRenderedPageBreak/>
        <w:t>LIST OF FIGURES AND TABLES</w:t>
      </w:r>
      <w:bookmarkEnd w:id="2"/>
    </w:p>
    <w:p w:rsidR="0009779E" w:rsidRPr="00F029D5" w:rsidRDefault="0009779E" w:rsidP="0009779E">
      <w:pPr>
        <w:spacing w:line="240" w:lineRule="auto"/>
        <w:jc w:val="both"/>
        <w:rPr>
          <w:rStyle w:val="Nadruk"/>
          <w:color w:val="auto"/>
        </w:rPr>
      </w:pPr>
      <w:r w:rsidRPr="00F029D5">
        <w:rPr>
          <w:rStyle w:val="Nadruk"/>
          <w:b/>
          <w:color w:val="auto"/>
        </w:rPr>
        <w:t xml:space="preserve">Figure 1 </w:t>
      </w:r>
      <w:r w:rsidRPr="00F029D5">
        <w:rPr>
          <w:rStyle w:val="Nadruk"/>
          <w:color w:val="auto"/>
        </w:rPr>
        <w:t>Thesis framework</w:t>
      </w:r>
    </w:p>
    <w:p w:rsidR="0009779E" w:rsidRPr="00F029D5" w:rsidRDefault="0009779E" w:rsidP="0009779E">
      <w:pPr>
        <w:spacing w:line="240" w:lineRule="auto"/>
        <w:jc w:val="both"/>
        <w:rPr>
          <w:rStyle w:val="Nadruk"/>
          <w:color w:val="auto"/>
        </w:rPr>
      </w:pPr>
      <w:r w:rsidRPr="00F029D5">
        <w:rPr>
          <w:rStyle w:val="Nadruk"/>
          <w:b/>
          <w:color w:val="auto"/>
        </w:rPr>
        <w:t>Figure 2</w:t>
      </w:r>
      <w:r w:rsidRPr="00F029D5">
        <w:rPr>
          <w:rStyle w:val="Nadruk"/>
          <w:color w:val="auto"/>
        </w:rPr>
        <w:t xml:space="preserve"> TheOretical framework</w:t>
      </w:r>
    </w:p>
    <w:p w:rsidR="0009779E" w:rsidRPr="00F029D5" w:rsidRDefault="0009779E" w:rsidP="0009779E">
      <w:pPr>
        <w:spacing w:line="240" w:lineRule="auto"/>
        <w:jc w:val="both"/>
        <w:rPr>
          <w:rStyle w:val="Nadruk"/>
          <w:color w:val="auto"/>
        </w:rPr>
      </w:pPr>
      <w:r w:rsidRPr="00F029D5">
        <w:rPr>
          <w:rStyle w:val="Nadruk"/>
          <w:b/>
          <w:color w:val="auto"/>
        </w:rPr>
        <w:t>Figure</w:t>
      </w:r>
      <w:r w:rsidRPr="00F029D5">
        <w:rPr>
          <w:rStyle w:val="Nadruk"/>
          <w:color w:val="auto"/>
        </w:rPr>
        <w:t xml:space="preserve"> 3 Triadic RELATIONSHIPS among seller, buyer and third party logistics provider (source: Bask, 2001)</w:t>
      </w:r>
    </w:p>
    <w:p w:rsidR="0009779E" w:rsidRPr="00F029D5" w:rsidRDefault="0009779E" w:rsidP="0009779E">
      <w:pPr>
        <w:spacing w:line="240" w:lineRule="auto"/>
        <w:jc w:val="both"/>
        <w:rPr>
          <w:rStyle w:val="Nadruk"/>
          <w:color w:val="auto"/>
        </w:rPr>
      </w:pPr>
      <w:r w:rsidRPr="00F029D5">
        <w:rPr>
          <w:rStyle w:val="Nadruk"/>
          <w:b/>
          <w:color w:val="auto"/>
        </w:rPr>
        <w:t>Figure 4</w:t>
      </w:r>
      <w:r w:rsidRPr="00F029D5">
        <w:rPr>
          <w:rStyle w:val="Nadruk"/>
          <w:color w:val="auto"/>
        </w:rPr>
        <w:t xml:space="preserve"> The positioning of 4PL providers in the supply chain (source: van Hoek, 2001)  </w:t>
      </w:r>
    </w:p>
    <w:p w:rsidR="0009779E" w:rsidRPr="00F029D5" w:rsidRDefault="0009779E" w:rsidP="0009779E">
      <w:pPr>
        <w:spacing w:line="240" w:lineRule="auto"/>
        <w:jc w:val="both"/>
        <w:rPr>
          <w:rStyle w:val="Nadruk"/>
          <w:color w:val="auto"/>
        </w:rPr>
      </w:pPr>
      <w:r w:rsidRPr="00F029D5">
        <w:rPr>
          <w:rStyle w:val="Nadruk"/>
          <w:b/>
          <w:color w:val="auto"/>
        </w:rPr>
        <w:t>Figure 5</w:t>
      </w:r>
      <w:r w:rsidRPr="00F029D5">
        <w:rPr>
          <w:rStyle w:val="Nadruk"/>
          <w:color w:val="auto"/>
        </w:rPr>
        <w:t xml:space="preserve"> BREAKDOWNS of logistics services providers to the degree of advanced services provided (source: Siz, 2011)  </w:t>
      </w:r>
    </w:p>
    <w:p w:rsidR="0009779E" w:rsidRPr="00F029D5" w:rsidRDefault="0009779E" w:rsidP="0009779E">
      <w:pPr>
        <w:pStyle w:val="Bijschrift"/>
        <w:spacing w:line="240" w:lineRule="auto"/>
        <w:jc w:val="both"/>
        <w:rPr>
          <w:rStyle w:val="Nadruk"/>
          <w:b w:val="0"/>
          <w:color w:val="auto"/>
          <w:sz w:val="20"/>
          <w:szCs w:val="20"/>
        </w:rPr>
      </w:pPr>
      <w:r w:rsidRPr="00F029D5">
        <w:rPr>
          <w:rStyle w:val="Nadruk"/>
          <w:color w:val="auto"/>
          <w:sz w:val="20"/>
          <w:szCs w:val="20"/>
        </w:rPr>
        <w:t xml:space="preserve">Figure 6 </w:t>
      </w:r>
      <w:r w:rsidRPr="00F029D5">
        <w:rPr>
          <w:rStyle w:val="Nadruk"/>
          <w:b w:val="0"/>
          <w:color w:val="auto"/>
          <w:sz w:val="20"/>
          <w:szCs w:val="20"/>
        </w:rPr>
        <w:t>Global TPL Revenues for 2009 (source: Langley &amp; Capgemini, 2010</w:t>
      </w:r>
    </w:p>
    <w:p w:rsidR="0009779E" w:rsidRPr="00F029D5" w:rsidRDefault="0009779E" w:rsidP="0009779E">
      <w:pPr>
        <w:spacing w:line="240" w:lineRule="auto"/>
        <w:jc w:val="both"/>
        <w:rPr>
          <w:rStyle w:val="Nadruk"/>
          <w:color w:val="auto"/>
        </w:rPr>
      </w:pPr>
      <w:r w:rsidRPr="00F029D5">
        <w:rPr>
          <w:rStyle w:val="Nadruk"/>
          <w:b/>
          <w:color w:val="auto"/>
        </w:rPr>
        <w:t>Table 7</w:t>
      </w:r>
      <w:r w:rsidRPr="00F029D5">
        <w:rPr>
          <w:rStyle w:val="Nadruk"/>
          <w:color w:val="auto"/>
        </w:rPr>
        <w:t xml:space="preserve"> Top 5 motivations for outsourcing logistics (source: Rahman, 2011)</w:t>
      </w:r>
    </w:p>
    <w:p w:rsidR="0009779E" w:rsidRPr="00F029D5" w:rsidRDefault="0009779E" w:rsidP="0009779E">
      <w:pPr>
        <w:spacing w:line="240" w:lineRule="auto"/>
        <w:jc w:val="both"/>
        <w:rPr>
          <w:rStyle w:val="Nadruk"/>
          <w:color w:val="auto"/>
        </w:rPr>
      </w:pPr>
      <w:r w:rsidRPr="00F029D5">
        <w:rPr>
          <w:rStyle w:val="Nadruk"/>
          <w:b/>
          <w:color w:val="auto"/>
        </w:rPr>
        <w:t>Figure 8</w:t>
      </w:r>
      <w:r w:rsidRPr="00F029D5">
        <w:rPr>
          <w:rStyle w:val="Nadruk"/>
          <w:color w:val="auto"/>
        </w:rPr>
        <w:t xml:space="preserve"> RELATIONSHIPS between shipper and TPL provider (source: Bowersox, Daugherty, DroEge, Rogers, &amp; Wardlow, 1989)</w:t>
      </w:r>
    </w:p>
    <w:p w:rsidR="0009779E" w:rsidRPr="00F029D5" w:rsidRDefault="0009779E" w:rsidP="0009779E">
      <w:pPr>
        <w:spacing w:line="240" w:lineRule="auto"/>
        <w:jc w:val="both"/>
        <w:rPr>
          <w:rStyle w:val="Nadruk"/>
          <w:color w:val="auto"/>
        </w:rPr>
      </w:pPr>
      <w:r w:rsidRPr="00F029D5">
        <w:rPr>
          <w:rStyle w:val="Nadruk"/>
          <w:b/>
          <w:color w:val="auto"/>
        </w:rPr>
        <w:t xml:space="preserve">Figure 9 </w:t>
      </w:r>
      <w:r w:rsidRPr="00F029D5">
        <w:rPr>
          <w:rStyle w:val="Nadruk"/>
          <w:color w:val="auto"/>
        </w:rPr>
        <w:t>Efficient TPL SERVICES (source: Makelin &amp; Vepsalainen, 1990)</w:t>
      </w:r>
    </w:p>
    <w:p w:rsidR="0009779E" w:rsidRPr="00F029D5" w:rsidRDefault="0009779E" w:rsidP="0009779E">
      <w:pPr>
        <w:pStyle w:val="Bijschrift"/>
        <w:spacing w:line="240" w:lineRule="auto"/>
        <w:jc w:val="both"/>
        <w:rPr>
          <w:rStyle w:val="Nadruk"/>
          <w:b w:val="0"/>
          <w:color w:val="auto"/>
          <w:sz w:val="20"/>
          <w:szCs w:val="20"/>
        </w:rPr>
      </w:pPr>
      <w:r w:rsidRPr="00F029D5">
        <w:rPr>
          <w:rStyle w:val="Nadruk"/>
          <w:color w:val="auto"/>
          <w:sz w:val="20"/>
          <w:szCs w:val="20"/>
        </w:rPr>
        <w:t xml:space="preserve">Figure 10 </w:t>
      </w:r>
      <w:r w:rsidRPr="00F029D5">
        <w:rPr>
          <w:rStyle w:val="Nadruk"/>
          <w:b w:val="0"/>
          <w:color w:val="auto"/>
          <w:sz w:val="20"/>
          <w:szCs w:val="20"/>
        </w:rPr>
        <w:t>Customer orientation and system efficiency: a trade off? (SOURCE: Nijdam, 2011)</w:t>
      </w:r>
    </w:p>
    <w:p w:rsidR="0009779E" w:rsidRPr="00F029D5" w:rsidRDefault="0009779E" w:rsidP="0009779E">
      <w:pPr>
        <w:pStyle w:val="Bijschrift"/>
        <w:spacing w:line="240" w:lineRule="auto"/>
        <w:jc w:val="both"/>
        <w:rPr>
          <w:rStyle w:val="Nadruk"/>
          <w:b w:val="0"/>
          <w:color w:val="auto"/>
          <w:sz w:val="20"/>
          <w:szCs w:val="20"/>
        </w:rPr>
      </w:pPr>
      <w:r w:rsidRPr="00F029D5">
        <w:rPr>
          <w:rStyle w:val="Nadruk"/>
          <w:color w:val="auto"/>
          <w:sz w:val="20"/>
          <w:szCs w:val="20"/>
        </w:rPr>
        <w:t xml:space="preserve">Figure 11 </w:t>
      </w:r>
      <w:r w:rsidRPr="00F029D5">
        <w:rPr>
          <w:rStyle w:val="Nadruk"/>
          <w:b w:val="0"/>
          <w:color w:val="auto"/>
          <w:sz w:val="20"/>
          <w:szCs w:val="20"/>
        </w:rPr>
        <w:t>TPL providers classified according to abilities of general problem solving and customer adaption (source: Hertz &amp; Alfredsson, 2003)</w:t>
      </w:r>
    </w:p>
    <w:p w:rsidR="0009779E" w:rsidRPr="00F029D5" w:rsidRDefault="0009779E" w:rsidP="0009779E">
      <w:pPr>
        <w:pStyle w:val="Bijschrift"/>
        <w:spacing w:line="240" w:lineRule="auto"/>
        <w:jc w:val="both"/>
        <w:rPr>
          <w:rStyle w:val="Nadruk"/>
          <w:b w:val="0"/>
          <w:color w:val="auto"/>
          <w:sz w:val="20"/>
          <w:szCs w:val="20"/>
        </w:rPr>
      </w:pPr>
      <w:r w:rsidRPr="00F029D5">
        <w:rPr>
          <w:rStyle w:val="Nadruk"/>
          <w:color w:val="auto"/>
          <w:sz w:val="20"/>
          <w:szCs w:val="20"/>
        </w:rPr>
        <w:t xml:space="preserve">Figure 12 </w:t>
      </w:r>
      <w:r w:rsidRPr="00F029D5">
        <w:rPr>
          <w:rStyle w:val="Nadruk"/>
          <w:b w:val="0"/>
          <w:color w:val="auto"/>
          <w:sz w:val="20"/>
          <w:szCs w:val="20"/>
        </w:rPr>
        <w:t>Range of value added services offered by TPL providers (source: Nijdam, 2010)</w:t>
      </w:r>
    </w:p>
    <w:p w:rsidR="0009779E" w:rsidRPr="00F029D5" w:rsidRDefault="0009779E" w:rsidP="0009779E">
      <w:pPr>
        <w:spacing w:line="240" w:lineRule="auto"/>
        <w:jc w:val="both"/>
        <w:rPr>
          <w:rStyle w:val="Nadruk"/>
          <w:color w:val="auto"/>
        </w:rPr>
      </w:pPr>
      <w:r w:rsidRPr="00F029D5">
        <w:rPr>
          <w:rStyle w:val="Nadruk"/>
          <w:b/>
          <w:color w:val="auto"/>
        </w:rPr>
        <w:t xml:space="preserve">Figure 13 </w:t>
      </w:r>
      <w:r w:rsidRPr="00F029D5">
        <w:rPr>
          <w:rStyle w:val="Nadruk"/>
          <w:color w:val="auto"/>
        </w:rPr>
        <w:t>Changing supply chains (source: Nijdam, 2011)</w:t>
      </w:r>
    </w:p>
    <w:p w:rsidR="0009779E" w:rsidRPr="00F029D5" w:rsidRDefault="0009779E" w:rsidP="0009779E">
      <w:pPr>
        <w:spacing w:line="240" w:lineRule="auto"/>
        <w:jc w:val="both"/>
        <w:rPr>
          <w:rStyle w:val="Nadruk"/>
          <w:color w:val="auto"/>
        </w:rPr>
      </w:pPr>
      <w:r w:rsidRPr="00F029D5">
        <w:rPr>
          <w:rStyle w:val="Nadruk"/>
          <w:b/>
          <w:color w:val="auto"/>
        </w:rPr>
        <w:t xml:space="preserve">Figure 14 </w:t>
      </w:r>
      <w:r w:rsidRPr="00F029D5">
        <w:rPr>
          <w:rStyle w:val="Nadruk"/>
          <w:color w:val="auto"/>
        </w:rPr>
        <w:t>TPL providers’ shifting tasks in the supply chain (source: Nijdam, 2011)</w:t>
      </w:r>
    </w:p>
    <w:p w:rsidR="0009779E" w:rsidRPr="00F029D5" w:rsidRDefault="0009779E" w:rsidP="0009779E">
      <w:pPr>
        <w:pStyle w:val="Bijschrift"/>
        <w:spacing w:line="240" w:lineRule="auto"/>
        <w:jc w:val="both"/>
        <w:rPr>
          <w:rStyle w:val="Nadruk"/>
          <w:color w:val="auto"/>
          <w:sz w:val="20"/>
          <w:szCs w:val="20"/>
        </w:rPr>
      </w:pPr>
      <w:r w:rsidRPr="00F029D5">
        <w:rPr>
          <w:rStyle w:val="Nadruk"/>
          <w:color w:val="auto"/>
          <w:sz w:val="20"/>
          <w:szCs w:val="20"/>
        </w:rPr>
        <w:t xml:space="preserve">Figure 15 </w:t>
      </w:r>
      <w:r w:rsidRPr="00F029D5">
        <w:rPr>
          <w:rStyle w:val="Nadruk"/>
          <w:b w:val="0"/>
          <w:color w:val="auto"/>
          <w:sz w:val="20"/>
          <w:szCs w:val="20"/>
        </w:rPr>
        <w:t>Schematic representation of the survey framework</w:t>
      </w:r>
    </w:p>
    <w:p w:rsidR="0009779E" w:rsidRPr="00F029D5" w:rsidRDefault="0009779E" w:rsidP="0009779E">
      <w:pPr>
        <w:spacing w:line="240" w:lineRule="auto"/>
        <w:jc w:val="both"/>
        <w:rPr>
          <w:b/>
          <w:sz w:val="16"/>
          <w:szCs w:val="16"/>
        </w:rPr>
      </w:pPr>
      <w:r w:rsidRPr="00F029D5">
        <w:rPr>
          <w:rStyle w:val="Nadruk"/>
          <w:b/>
          <w:color w:val="auto"/>
        </w:rPr>
        <w:t>TABLE 16</w:t>
      </w:r>
      <w:r w:rsidRPr="00F029D5">
        <w:rPr>
          <w:rStyle w:val="Nadruk"/>
          <w:color w:val="auto"/>
        </w:rPr>
        <w:t xml:space="preserve"> Statistical </w:t>
      </w:r>
      <w:r w:rsidR="002752F8" w:rsidRPr="00F029D5">
        <w:rPr>
          <w:rStyle w:val="Nadruk"/>
          <w:color w:val="auto"/>
        </w:rPr>
        <w:t>ANALYSES</w:t>
      </w:r>
      <w:r w:rsidRPr="00F029D5">
        <w:rPr>
          <w:rStyle w:val="Nadruk"/>
          <w:color w:val="auto"/>
        </w:rPr>
        <w:t xml:space="preserve"> using cross tables</w:t>
      </w:r>
    </w:p>
    <w:p w:rsidR="0009779E" w:rsidRPr="00F029D5" w:rsidRDefault="0009779E" w:rsidP="0009779E">
      <w:pPr>
        <w:spacing w:line="240" w:lineRule="auto"/>
        <w:jc w:val="both"/>
        <w:rPr>
          <w:rStyle w:val="Nadruk"/>
          <w:color w:val="auto"/>
        </w:rPr>
      </w:pPr>
      <w:r w:rsidRPr="00F029D5">
        <w:rPr>
          <w:rStyle w:val="Nadruk"/>
          <w:b/>
          <w:color w:val="auto"/>
        </w:rPr>
        <w:t xml:space="preserve">Table 17 </w:t>
      </w:r>
      <w:r w:rsidRPr="00F029D5">
        <w:rPr>
          <w:rStyle w:val="Nadruk"/>
          <w:color w:val="auto"/>
        </w:rPr>
        <w:t>Strength of relationships between variables</w:t>
      </w:r>
    </w:p>
    <w:p w:rsidR="0009779E" w:rsidRPr="00F029D5" w:rsidRDefault="0009779E" w:rsidP="0009779E">
      <w:pPr>
        <w:spacing w:line="240" w:lineRule="auto"/>
        <w:jc w:val="both"/>
        <w:rPr>
          <w:rStyle w:val="Nadruk"/>
          <w:color w:val="auto"/>
        </w:rPr>
      </w:pPr>
      <w:r w:rsidRPr="00F029D5">
        <w:rPr>
          <w:rStyle w:val="Nadruk"/>
          <w:b/>
          <w:color w:val="auto"/>
        </w:rPr>
        <w:t>Figure 18</w:t>
      </w:r>
      <w:r w:rsidRPr="00F029D5">
        <w:rPr>
          <w:rStyle w:val="Nadruk"/>
          <w:color w:val="auto"/>
        </w:rPr>
        <w:t xml:space="preserve"> Size of the parties involved</w:t>
      </w:r>
    </w:p>
    <w:p w:rsidR="0009779E" w:rsidRPr="00F029D5" w:rsidRDefault="0009779E" w:rsidP="0009779E">
      <w:pPr>
        <w:spacing w:line="240" w:lineRule="auto"/>
        <w:jc w:val="both"/>
        <w:rPr>
          <w:rStyle w:val="Nadruk"/>
          <w:color w:val="auto"/>
        </w:rPr>
      </w:pPr>
      <w:r w:rsidRPr="00F029D5">
        <w:rPr>
          <w:rStyle w:val="Nadruk"/>
          <w:b/>
          <w:color w:val="auto"/>
        </w:rPr>
        <w:t xml:space="preserve">Table 19 </w:t>
      </w:r>
      <w:r w:rsidRPr="00F029D5">
        <w:rPr>
          <w:rStyle w:val="Nadruk"/>
          <w:color w:val="auto"/>
        </w:rPr>
        <w:t>reasons for outsourcing</w:t>
      </w:r>
    </w:p>
    <w:p w:rsidR="0009779E" w:rsidRPr="00F029D5" w:rsidRDefault="0009779E" w:rsidP="0009779E">
      <w:pPr>
        <w:spacing w:line="240" w:lineRule="auto"/>
        <w:jc w:val="both"/>
        <w:rPr>
          <w:rStyle w:val="Nadruk"/>
          <w:color w:val="auto"/>
        </w:rPr>
      </w:pPr>
      <w:r w:rsidRPr="00F029D5">
        <w:rPr>
          <w:rStyle w:val="Nadruk"/>
          <w:b/>
          <w:color w:val="auto"/>
        </w:rPr>
        <w:t>Table 20</w:t>
      </w:r>
      <w:r w:rsidRPr="00F029D5">
        <w:rPr>
          <w:rStyle w:val="Nadruk"/>
          <w:color w:val="auto"/>
        </w:rPr>
        <w:t xml:space="preserve"> selecting customers</w:t>
      </w:r>
    </w:p>
    <w:p w:rsidR="0009779E" w:rsidRPr="00F029D5" w:rsidRDefault="0009779E" w:rsidP="0009779E">
      <w:pPr>
        <w:spacing w:line="240" w:lineRule="auto"/>
        <w:jc w:val="both"/>
        <w:rPr>
          <w:rStyle w:val="Nadruk"/>
          <w:color w:val="auto"/>
        </w:rPr>
      </w:pPr>
      <w:r w:rsidRPr="00F029D5">
        <w:rPr>
          <w:rStyle w:val="Nadruk"/>
          <w:b/>
          <w:color w:val="auto"/>
        </w:rPr>
        <w:t>figure 21</w:t>
      </w:r>
      <w:r w:rsidRPr="00F029D5">
        <w:rPr>
          <w:rStyle w:val="Nadruk"/>
          <w:color w:val="auto"/>
        </w:rPr>
        <w:t xml:space="preserve"> Origin of the majority of turnover</w:t>
      </w:r>
    </w:p>
    <w:p w:rsidR="0009779E" w:rsidRPr="00F029D5" w:rsidRDefault="0009779E" w:rsidP="0009779E">
      <w:pPr>
        <w:spacing w:line="240" w:lineRule="auto"/>
        <w:jc w:val="both"/>
        <w:rPr>
          <w:rStyle w:val="Nadruk"/>
          <w:color w:val="auto"/>
        </w:rPr>
      </w:pPr>
      <w:r w:rsidRPr="00F029D5">
        <w:rPr>
          <w:rStyle w:val="Nadruk"/>
          <w:b/>
          <w:color w:val="auto"/>
        </w:rPr>
        <w:t>Figure 22</w:t>
      </w:r>
      <w:r w:rsidRPr="00F029D5">
        <w:rPr>
          <w:rStyle w:val="Nadruk"/>
          <w:color w:val="auto"/>
        </w:rPr>
        <w:t xml:space="preserve"> the majority of investments made by tpl providers</w:t>
      </w:r>
    </w:p>
    <w:p w:rsidR="0009779E" w:rsidRPr="00F029D5" w:rsidRDefault="0009779E" w:rsidP="0009779E">
      <w:pPr>
        <w:spacing w:line="240" w:lineRule="auto"/>
        <w:jc w:val="both"/>
        <w:rPr>
          <w:rStyle w:val="Nadruk"/>
          <w:color w:val="auto"/>
        </w:rPr>
      </w:pPr>
      <w:r w:rsidRPr="00F029D5">
        <w:rPr>
          <w:rStyle w:val="Nadruk"/>
          <w:b/>
          <w:color w:val="auto"/>
        </w:rPr>
        <w:t>figure 23</w:t>
      </w:r>
      <w:r w:rsidRPr="00F029D5">
        <w:rPr>
          <w:rStyle w:val="Nadruk"/>
          <w:color w:val="auto"/>
        </w:rPr>
        <w:t xml:space="preserve"> financing client specific investments</w:t>
      </w:r>
    </w:p>
    <w:p w:rsidR="0009779E" w:rsidRPr="00F029D5" w:rsidRDefault="0009779E" w:rsidP="0009779E">
      <w:pPr>
        <w:spacing w:line="240" w:lineRule="auto"/>
        <w:jc w:val="both"/>
        <w:rPr>
          <w:rStyle w:val="Nadruk"/>
          <w:color w:val="auto"/>
        </w:rPr>
      </w:pPr>
      <w:r w:rsidRPr="00F029D5">
        <w:rPr>
          <w:rStyle w:val="Nadruk"/>
          <w:b/>
          <w:color w:val="auto"/>
        </w:rPr>
        <w:t>table 24</w:t>
      </w:r>
      <w:r w:rsidRPr="00F029D5">
        <w:rPr>
          <w:rStyle w:val="Nadruk"/>
          <w:color w:val="auto"/>
        </w:rPr>
        <w:t xml:space="preserve"> reasons for making client specific investments</w:t>
      </w:r>
    </w:p>
    <w:p w:rsidR="0009779E" w:rsidRPr="00F029D5" w:rsidRDefault="0009779E" w:rsidP="0009779E">
      <w:pPr>
        <w:spacing w:line="240" w:lineRule="auto"/>
        <w:jc w:val="both"/>
        <w:rPr>
          <w:rStyle w:val="Nadruk"/>
          <w:color w:val="auto"/>
        </w:rPr>
      </w:pPr>
      <w:r w:rsidRPr="00F029D5">
        <w:rPr>
          <w:rStyle w:val="Nadruk"/>
          <w:b/>
          <w:color w:val="auto"/>
        </w:rPr>
        <w:t>figure 25</w:t>
      </w:r>
      <w:r w:rsidRPr="00F029D5">
        <w:rPr>
          <w:rStyle w:val="Nadruk"/>
          <w:color w:val="auto"/>
        </w:rPr>
        <w:t xml:space="preserve"> strategic positioning of dutch tpl providers</w:t>
      </w:r>
    </w:p>
    <w:p w:rsidR="0009779E" w:rsidRPr="00F029D5" w:rsidRDefault="0009779E" w:rsidP="0009779E">
      <w:pPr>
        <w:spacing w:line="240" w:lineRule="auto"/>
        <w:jc w:val="both"/>
        <w:rPr>
          <w:rStyle w:val="Nadruk"/>
          <w:color w:val="auto"/>
        </w:rPr>
      </w:pPr>
      <w:r w:rsidRPr="00F029D5">
        <w:rPr>
          <w:rStyle w:val="Nadruk"/>
          <w:b/>
          <w:color w:val="auto"/>
        </w:rPr>
        <w:t>table 26</w:t>
      </w:r>
      <w:r w:rsidRPr="00F029D5">
        <w:rPr>
          <w:rStyle w:val="Nadruk"/>
          <w:color w:val="auto"/>
        </w:rPr>
        <w:t xml:space="preserve"> the path to follow in terms of strategic positioning</w:t>
      </w:r>
    </w:p>
    <w:p w:rsidR="00EB05A8" w:rsidRPr="0009779E" w:rsidRDefault="0009779E" w:rsidP="0009779E">
      <w:pPr>
        <w:spacing w:line="240" w:lineRule="auto"/>
        <w:jc w:val="both"/>
        <w:rPr>
          <w:caps/>
          <w:spacing w:val="5"/>
        </w:rPr>
      </w:pPr>
      <w:r w:rsidRPr="00F029D5">
        <w:rPr>
          <w:rStyle w:val="Nadruk"/>
          <w:b/>
          <w:color w:val="auto"/>
        </w:rPr>
        <w:t>figure 27</w:t>
      </w:r>
      <w:r w:rsidRPr="00F029D5">
        <w:rPr>
          <w:rStyle w:val="Nadruk"/>
          <w:color w:val="auto"/>
        </w:rPr>
        <w:t xml:space="preserve"> value added logistics offered by dutch tpl providers</w:t>
      </w:r>
    </w:p>
    <w:p w:rsidR="00DA744B" w:rsidRDefault="00F82F81" w:rsidP="00F82F81">
      <w:r>
        <w:t xml:space="preserve"> </w:t>
      </w:r>
      <w:r w:rsidR="001B6F32">
        <w:br w:type="page"/>
      </w:r>
    </w:p>
    <w:p w:rsidR="00DA744B" w:rsidRPr="004A1087" w:rsidRDefault="00DA744B" w:rsidP="00DA744B">
      <w:pPr>
        <w:pStyle w:val="Kop1"/>
        <w:rPr>
          <w:rFonts w:asciiTheme="majorHAnsi" w:hAnsiTheme="majorHAnsi"/>
        </w:rPr>
      </w:pPr>
      <w:bookmarkStart w:id="3" w:name="_Toc300411977"/>
      <w:r w:rsidRPr="004A1087">
        <w:rPr>
          <w:rFonts w:asciiTheme="majorHAnsi" w:hAnsiTheme="majorHAnsi"/>
        </w:rPr>
        <w:lastRenderedPageBreak/>
        <w:t>LIST OF ABBREVIATIONS</w:t>
      </w:r>
      <w:bookmarkEnd w:id="3"/>
    </w:p>
    <w:p w:rsidR="008B584B" w:rsidRDefault="008B584B" w:rsidP="00DA744B">
      <w:pPr>
        <w:rPr>
          <w:rStyle w:val="Zwaar"/>
        </w:rPr>
      </w:pPr>
      <w:r>
        <w:rPr>
          <w:rStyle w:val="Zwaar"/>
        </w:rPr>
        <w:t>4PL</w:t>
      </w:r>
      <w:r>
        <w:rPr>
          <w:rStyle w:val="Zwaar"/>
        </w:rPr>
        <w:tab/>
        <w:t>FOURTH PART</w:t>
      </w:r>
      <w:r w:rsidR="003019A0">
        <w:rPr>
          <w:rStyle w:val="Zwaar"/>
        </w:rPr>
        <w:t>Y</w:t>
      </w:r>
      <w:r>
        <w:rPr>
          <w:rStyle w:val="Zwaar"/>
        </w:rPr>
        <w:t xml:space="preserve"> LOGISTICS</w:t>
      </w:r>
    </w:p>
    <w:p w:rsidR="00C44AB4" w:rsidRDefault="00C44AB4" w:rsidP="00DA744B">
      <w:pPr>
        <w:rPr>
          <w:rStyle w:val="Zwaar"/>
        </w:rPr>
      </w:pPr>
      <w:r>
        <w:rPr>
          <w:rStyle w:val="Zwaar"/>
        </w:rPr>
        <w:t>TC</w:t>
      </w:r>
      <w:r w:rsidR="009E7FC1">
        <w:rPr>
          <w:rStyle w:val="Zwaar"/>
        </w:rPr>
        <w:t>E</w:t>
      </w:r>
      <w:r>
        <w:rPr>
          <w:rStyle w:val="Zwaar"/>
        </w:rPr>
        <w:tab/>
        <w:t>TRANSACTION COST ECONOMICS</w:t>
      </w:r>
    </w:p>
    <w:p w:rsidR="00415B39" w:rsidRPr="00415B39" w:rsidRDefault="00415B39" w:rsidP="00DA744B">
      <w:pPr>
        <w:rPr>
          <w:rStyle w:val="Zwaar"/>
        </w:rPr>
      </w:pPr>
      <w:r w:rsidRPr="00415B39">
        <w:rPr>
          <w:rStyle w:val="Zwaar"/>
        </w:rPr>
        <w:t>TLN</w:t>
      </w:r>
      <w:r w:rsidRPr="00415B39">
        <w:rPr>
          <w:rStyle w:val="Zwaar"/>
        </w:rPr>
        <w:tab/>
        <w:t>TRANSPORT LOGISTIEK NEDERLAND</w:t>
      </w:r>
    </w:p>
    <w:p w:rsidR="00DA744B" w:rsidRPr="00415B39" w:rsidRDefault="00415B39" w:rsidP="00DA744B">
      <w:pPr>
        <w:rPr>
          <w:rStyle w:val="Zwaar"/>
        </w:rPr>
      </w:pPr>
      <w:r w:rsidRPr="00415B39">
        <w:rPr>
          <w:rStyle w:val="Zwaar"/>
        </w:rPr>
        <w:t>TPL</w:t>
      </w:r>
      <w:r w:rsidRPr="00415B39">
        <w:rPr>
          <w:rStyle w:val="Zwaar"/>
        </w:rPr>
        <w:tab/>
        <w:t>THIRD PARTY LOGISTICS</w:t>
      </w:r>
    </w:p>
    <w:p w:rsidR="00415B39" w:rsidRPr="00415B39" w:rsidRDefault="00415B39" w:rsidP="00DA744B">
      <w:pPr>
        <w:rPr>
          <w:rFonts w:asciiTheme="majorHAnsi" w:hAnsiTheme="majorHAnsi"/>
          <w:b/>
          <w:sz w:val="24"/>
          <w:szCs w:val="24"/>
        </w:rPr>
      </w:pPr>
    </w:p>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DA744B" w:rsidRDefault="00DA744B" w:rsidP="00DA744B"/>
    <w:p w:rsidR="00524DBB" w:rsidRDefault="00524DBB" w:rsidP="00DA744B"/>
    <w:p w:rsidR="006733B7" w:rsidRPr="00DA744B" w:rsidRDefault="006733B7" w:rsidP="00DA744B">
      <w:pPr>
        <w:rPr>
          <w:b/>
          <w:bCs/>
          <w:color w:val="365F91" w:themeColor="accent1" w:themeShade="BF"/>
          <w:sz w:val="16"/>
          <w:szCs w:val="16"/>
        </w:rPr>
      </w:pPr>
    </w:p>
    <w:p w:rsidR="00BD64BC" w:rsidRPr="004A1087" w:rsidRDefault="00BD64BC" w:rsidP="00646006">
      <w:pPr>
        <w:pStyle w:val="Kop1"/>
        <w:numPr>
          <w:ilvl w:val="0"/>
          <w:numId w:val="15"/>
        </w:numPr>
        <w:rPr>
          <w:rFonts w:asciiTheme="majorHAnsi" w:hAnsiTheme="majorHAnsi"/>
        </w:rPr>
      </w:pPr>
      <w:bookmarkStart w:id="4" w:name="_Toc300411978"/>
      <w:r w:rsidRPr="004A1087">
        <w:rPr>
          <w:rFonts w:asciiTheme="majorHAnsi" w:hAnsiTheme="majorHAnsi"/>
        </w:rPr>
        <w:lastRenderedPageBreak/>
        <w:t>INTRODUCTION</w:t>
      </w:r>
      <w:bookmarkEnd w:id="4"/>
    </w:p>
    <w:p w:rsidR="006D2978" w:rsidRDefault="00462602" w:rsidP="006733B7">
      <w:pPr>
        <w:spacing w:line="360" w:lineRule="auto"/>
        <w:jc w:val="both"/>
        <w:rPr>
          <w:rFonts w:eastAsia="Times New Roman" w:cs="Arial"/>
          <w:color w:val="000000"/>
          <w:lang w:eastAsia="nl-NL"/>
        </w:rPr>
      </w:pPr>
      <w:r w:rsidRPr="006733B7">
        <w:rPr>
          <w:rFonts w:cs="Times New Roman"/>
          <w:sz w:val="22"/>
          <w:szCs w:val="22"/>
        </w:rPr>
        <w:t>After the economic crisis</w:t>
      </w:r>
      <w:r w:rsidR="00803547" w:rsidRPr="006733B7">
        <w:rPr>
          <w:rFonts w:cs="Times New Roman"/>
          <w:sz w:val="22"/>
          <w:szCs w:val="22"/>
        </w:rPr>
        <w:t xml:space="preserve"> of 2009, 2010 was all about recovery. </w:t>
      </w:r>
      <w:r w:rsidR="003C37D9" w:rsidRPr="006733B7">
        <w:rPr>
          <w:rFonts w:cs="Times New Roman"/>
          <w:sz w:val="22"/>
          <w:szCs w:val="22"/>
        </w:rPr>
        <w:t>But transportation</w:t>
      </w:r>
      <w:r w:rsidR="00803547" w:rsidRPr="006733B7">
        <w:rPr>
          <w:rFonts w:cs="Times New Roman"/>
          <w:sz w:val="22"/>
          <w:szCs w:val="22"/>
        </w:rPr>
        <w:t xml:space="preserve"> companies and lo</w:t>
      </w:r>
      <w:r w:rsidR="00846E2C" w:rsidRPr="006733B7">
        <w:rPr>
          <w:rFonts w:cs="Times New Roman"/>
          <w:sz w:val="22"/>
          <w:szCs w:val="22"/>
        </w:rPr>
        <w:t>gistics</w:t>
      </w:r>
      <w:r w:rsidR="00395C3F" w:rsidRPr="006733B7">
        <w:rPr>
          <w:rFonts w:cs="Times New Roman"/>
          <w:sz w:val="22"/>
          <w:szCs w:val="22"/>
        </w:rPr>
        <w:t xml:space="preserve"> service</w:t>
      </w:r>
      <w:r w:rsidR="00803547" w:rsidRPr="006733B7">
        <w:rPr>
          <w:rFonts w:cs="Times New Roman"/>
          <w:sz w:val="22"/>
          <w:szCs w:val="22"/>
        </w:rPr>
        <w:t xml:space="preserve"> providers could not</w:t>
      </w:r>
      <w:r w:rsidR="00282F36" w:rsidRPr="006733B7">
        <w:rPr>
          <w:rFonts w:cs="Times New Roman"/>
          <w:sz w:val="22"/>
          <w:szCs w:val="22"/>
        </w:rPr>
        <w:t xml:space="preserve"> speak of a good year for them </w:t>
      </w:r>
      <w:r w:rsidR="00803547" w:rsidRPr="006733B7">
        <w:rPr>
          <w:rFonts w:cs="Times New Roman"/>
          <w:sz w:val="22"/>
          <w:szCs w:val="22"/>
        </w:rPr>
        <w:t>since</w:t>
      </w:r>
      <w:r w:rsidR="00282F36" w:rsidRPr="006733B7">
        <w:rPr>
          <w:rFonts w:cs="Times New Roman"/>
          <w:sz w:val="22"/>
          <w:szCs w:val="22"/>
        </w:rPr>
        <w:t>,</w:t>
      </w:r>
      <w:r w:rsidR="00803547" w:rsidRPr="006733B7">
        <w:rPr>
          <w:rFonts w:cs="Times New Roman"/>
          <w:sz w:val="22"/>
          <w:szCs w:val="22"/>
        </w:rPr>
        <w:t xml:space="preserve"> </w:t>
      </w:r>
      <w:r w:rsidR="00282F36" w:rsidRPr="006733B7">
        <w:rPr>
          <w:rFonts w:cs="Times New Roman"/>
          <w:sz w:val="22"/>
          <w:szCs w:val="22"/>
        </w:rPr>
        <w:t xml:space="preserve">despite increased costs, </w:t>
      </w:r>
      <w:r w:rsidR="00803547" w:rsidRPr="006733B7">
        <w:rPr>
          <w:rFonts w:cs="Times New Roman"/>
          <w:sz w:val="22"/>
          <w:szCs w:val="22"/>
        </w:rPr>
        <w:t>price levels were still below 2009</w:t>
      </w:r>
      <w:r w:rsidR="00846E2C" w:rsidRPr="006733B7">
        <w:rPr>
          <w:rFonts w:cs="Times New Roman"/>
          <w:sz w:val="22"/>
          <w:szCs w:val="22"/>
        </w:rPr>
        <w:t xml:space="preserve"> prices</w:t>
      </w:r>
      <w:r w:rsidR="00803547" w:rsidRPr="006733B7">
        <w:rPr>
          <w:rFonts w:cs="Times New Roman"/>
          <w:sz w:val="22"/>
          <w:szCs w:val="22"/>
        </w:rPr>
        <w:t xml:space="preserve"> and profit figures</w:t>
      </w:r>
      <w:r w:rsidR="0022209F" w:rsidRPr="006733B7">
        <w:rPr>
          <w:rFonts w:cs="Times New Roman"/>
          <w:sz w:val="22"/>
          <w:szCs w:val="22"/>
        </w:rPr>
        <w:t xml:space="preserve"> were not rosy</w:t>
      </w:r>
      <w:r w:rsidR="00803547" w:rsidRPr="006733B7">
        <w:rPr>
          <w:rFonts w:cs="Times New Roman"/>
          <w:sz w:val="22"/>
          <w:szCs w:val="22"/>
        </w:rPr>
        <w:t xml:space="preserve">. </w:t>
      </w:r>
      <w:r w:rsidR="00846E2C" w:rsidRPr="006733B7">
        <w:rPr>
          <w:rFonts w:cs="Times New Roman"/>
          <w:sz w:val="22"/>
          <w:szCs w:val="22"/>
        </w:rPr>
        <w:t>Almost 45% of all companies in the industry expected no profit for 2010 (against 56% for 2009). The sectors</w:t>
      </w:r>
      <w:r w:rsidR="0022209F" w:rsidRPr="006733B7">
        <w:rPr>
          <w:rFonts w:cs="Times New Roman"/>
          <w:sz w:val="22"/>
          <w:szCs w:val="22"/>
        </w:rPr>
        <w:t xml:space="preserve"> profit indicator</w:t>
      </w:r>
      <w:r w:rsidR="00846E2C" w:rsidRPr="006733B7">
        <w:rPr>
          <w:rFonts w:cs="Times New Roman"/>
          <w:sz w:val="22"/>
          <w:szCs w:val="22"/>
        </w:rPr>
        <w:t xml:space="preserve"> declined during 2010</w:t>
      </w:r>
      <w:r w:rsidR="00976538" w:rsidRPr="006733B7">
        <w:rPr>
          <w:rFonts w:cs="Times New Roman"/>
          <w:sz w:val="22"/>
          <w:szCs w:val="22"/>
        </w:rPr>
        <w:t>. All of this resulted</w:t>
      </w:r>
      <w:r w:rsidR="0022209F" w:rsidRPr="006733B7">
        <w:rPr>
          <w:rFonts w:cs="Times New Roman"/>
          <w:sz w:val="22"/>
          <w:szCs w:val="22"/>
        </w:rPr>
        <w:t xml:space="preserve"> in an average profitability rate for the sector as a whole of 3</w:t>
      </w:r>
      <w:r w:rsidR="003C37D9" w:rsidRPr="006733B7">
        <w:rPr>
          <w:rFonts w:cs="Times New Roman"/>
          <w:sz w:val="22"/>
          <w:szCs w:val="22"/>
        </w:rPr>
        <w:t>, 3</w:t>
      </w:r>
      <w:r w:rsidR="0022209F" w:rsidRPr="006733B7">
        <w:rPr>
          <w:rFonts w:cs="Times New Roman"/>
          <w:sz w:val="22"/>
          <w:szCs w:val="22"/>
        </w:rPr>
        <w:t xml:space="preserve"> %. </w:t>
      </w:r>
      <w:r w:rsidR="00395C3F" w:rsidRPr="006733B7">
        <w:rPr>
          <w:rFonts w:cs="Times New Roman"/>
          <w:sz w:val="22"/>
          <w:szCs w:val="22"/>
        </w:rPr>
        <w:t>The logistics service providers, which are described</w:t>
      </w:r>
      <w:r w:rsidR="00A92C36" w:rsidRPr="006733B7">
        <w:rPr>
          <w:rFonts w:cs="Times New Roman"/>
          <w:sz w:val="22"/>
          <w:szCs w:val="22"/>
        </w:rPr>
        <w:t xml:space="preserve"> by Transport en Logistiek Nederland </w:t>
      </w:r>
      <w:r w:rsidR="00A92C36" w:rsidRPr="006733B7">
        <w:rPr>
          <w:rFonts w:eastAsia="Times New Roman" w:cs="Times New Roman"/>
          <w:color w:val="000000"/>
          <w:sz w:val="22"/>
          <w:szCs w:val="22"/>
          <w:lang w:eastAsia="nl-NL"/>
        </w:rPr>
        <w:t>[hereinafter TLN]</w:t>
      </w:r>
      <w:r w:rsidR="00A92C36" w:rsidRPr="006733B7">
        <w:rPr>
          <w:rFonts w:cs="Times New Roman"/>
          <w:sz w:val="22"/>
          <w:szCs w:val="22"/>
        </w:rPr>
        <w:t xml:space="preserve"> (2011)</w:t>
      </w:r>
      <w:r w:rsidR="00392009" w:rsidRPr="006733B7">
        <w:rPr>
          <w:rFonts w:cs="Times New Roman"/>
          <w:sz w:val="22"/>
          <w:szCs w:val="22"/>
        </w:rPr>
        <w:t xml:space="preserve"> as</w:t>
      </w:r>
      <w:r w:rsidR="00395C3F" w:rsidRPr="006733B7">
        <w:rPr>
          <w:rFonts w:cs="Times New Roman"/>
          <w:sz w:val="22"/>
          <w:szCs w:val="22"/>
        </w:rPr>
        <w:t xml:space="preserve"> companies which get over 40% </w:t>
      </w:r>
      <w:r w:rsidR="00282F36" w:rsidRPr="006733B7">
        <w:rPr>
          <w:rFonts w:cs="Times New Roman"/>
          <w:sz w:val="22"/>
          <w:szCs w:val="22"/>
        </w:rPr>
        <w:t xml:space="preserve">of their </w:t>
      </w:r>
      <w:r w:rsidR="00395C3F" w:rsidRPr="006733B7">
        <w:rPr>
          <w:rFonts w:eastAsia="Times New Roman" w:cs="Times New Roman"/>
          <w:color w:val="000000"/>
          <w:sz w:val="22"/>
          <w:szCs w:val="22"/>
          <w:lang w:eastAsia="nl-NL"/>
        </w:rPr>
        <w:t>revenues from logistics services other than transportation,</w:t>
      </w:r>
      <w:r w:rsidR="00395C3F" w:rsidRPr="006733B7">
        <w:rPr>
          <w:rFonts w:cs="Times New Roman"/>
          <w:sz w:val="22"/>
          <w:szCs w:val="22"/>
        </w:rPr>
        <w:t xml:space="preserve"> did better. For 2010, they achieved an average profitability rate of 4</w:t>
      </w:r>
      <w:r w:rsidR="003C37D9" w:rsidRPr="006733B7">
        <w:rPr>
          <w:rFonts w:cs="Times New Roman"/>
          <w:sz w:val="22"/>
          <w:szCs w:val="22"/>
        </w:rPr>
        <w:t>, 6</w:t>
      </w:r>
      <w:r w:rsidR="00395C3F" w:rsidRPr="006733B7">
        <w:rPr>
          <w:rFonts w:cs="Times New Roman"/>
          <w:sz w:val="22"/>
          <w:szCs w:val="22"/>
        </w:rPr>
        <w:t xml:space="preserve">%.  </w:t>
      </w:r>
      <w:r w:rsidR="00976538" w:rsidRPr="006733B7">
        <w:rPr>
          <w:rFonts w:cs="Times New Roman"/>
          <w:sz w:val="22"/>
          <w:szCs w:val="22"/>
        </w:rPr>
        <w:t>The first quarter of 2011 looked better and gave hope for the future. Despite low profit margins</w:t>
      </w:r>
      <w:r w:rsidR="00392009" w:rsidRPr="006733B7">
        <w:rPr>
          <w:rFonts w:cs="Times New Roman"/>
          <w:sz w:val="22"/>
          <w:szCs w:val="22"/>
        </w:rPr>
        <w:t>, the highest position of the cost level indicator in 3 years</w:t>
      </w:r>
      <w:r w:rsidR="00976538" w:rsidRPr="006733B7">
        <w:rPr>
          <w:rFonts w:cs="Times New Roman"/>
          <w:sz w:val="22"/>
          <w:szCs w:val="22"/>
        </w:rPr>
        <w:t xml:space="preserve"> and lagging prices</w:t>
      </w:r>
      <w:r w:rsidR="006A1C81" w:rsidRPr="006733B7">
        <w:rPr>
          <w:rFonts w:cs="Times New Roman"/>
          <w:sz w:val="22"/>
          <w:szCs w:val="22"/>
        </w:rPr>
        <w:t xml:space="preserve"> not fully offsetting the costs</w:t>
      </w:r>
      <w:r w:rsidR="00F748ED" w:rsidRPr="006733B7">
        <w:rPr>
          <w:rFonts w:cs="Times New Roman"/>
          <w:sz w:val="22"/>
          <w:szCs w:val="22"/>
        </w:rPr>
        <w:t xml:space="preserve"> involved</w:t>
      </w:r>
      <w:r w:rsidR="00976538" w:rsidRPr="006733B7">
        <w:rPr>
          <w:rFonts w:cs="Times New Roman"/>
          <w:sz w:val="22"/>
          <w:szCs w:val="22"/>
        </w:rPr>
        <w:t xml:space="preserve">, the sectors entrepreneurs voted the quarter the best since long. </w:t>
      </w:r>
      <w:r w:rsidR="00E46225" w:rsidRPr="006733B7">
        <w:rPr>
          <w:rFonts w:cs="Times New Roman"/>
          <w:sz w:val="22"/>
          <w:szCs w:val="22"/>
        </w:rPr>
        <w:t>This could</w:t>
      </w:r>
      <w:r w:rsidR="00392009" w:rsidRPr="006733B7">
        <w:rPr>
          <w:rFonts w:cs="Times New Roman"/>
          <w:sz w:val="22"/>
          <w:szCs w:val="22"/>
        </w:rPr>
        <w:t xml:space="preserve"> be explained by a clear rec</w:t>
      </w:r>
      <w:r w:rsidR="00A51F76" w:rsidRPr="006733B7">
        <w:rPr>
          <w:rFonts w:cs="Times New Roman"/>
          <w:sz w:val="22"/>
          <w:szCs w:val="22"/>
        </w:rPr>
        <w:t xml:space="preserve">overy in activity, turnover and </w:t>
      </w:r>
      <w:r w:rsidR="00322DD5" w:rsidRPr="006733B7">
        <w:rPr>
          <w:rFonts w:cs="Times New Roman"/>
          <w:sz w:val="22"/>
          <w:szCs w:val="22"/>
        </w:rPr>
        <w:t>increasing confidence</w:t>
      </w:r>
      <w:r w:rsidR="00A51F76" w:rsidRPr="006733B7">
        <w:rPr>
          <w:rFonts w:cs="Times New Roman"/>
          <w:sz w:val="22"/>
          <w:szCs w:val="22"/>
        </w:rPr>
        <w:t xml:space="preserve"> among</w:t>
      </w:r>
      <w:r w:rsidR="00E46225" w:rsidRPr="006733B7">
        <w:rPr>
          <w:rFonts w:cs="Times New Roman"/>
          <w:sz w:val="22"/>
          <w:szCs w:val="22"/>
        </w:rPr>
        <w:t xml:space="preserve">st logisticians. </w:t>
      </w:r>
      <w:r w:rsidR="00DA6A07" w:rsidRPr="006733B7">
        <w:rPr>
          <w:rFonts w:cs="Times New Roman"/>
          <w:sz w:val="22"/>
          <w:szCs w:val="22"/>
        </w:rPr>
        <w:t xml:space="preserve">Nevertheless, </w:t>
      </w:r>
      <w:r w:rsidR="00E46225" w:rsidRPr="006733B7">
        <w:rPr>
          <w:rFonts w:cs="Times New Roman"/>
          <w:sz w:val="22"/>
          <w:szCs w:val="22"/>
        </w:rPr>
        <w:t>the profit indicators were</w:t>
      </w:r>
      <w:r w:rsidR="00A51F76" w:rsidRPr="006733B7">
        <w:rPr>
          <w:rFonts w:cs="Times New Roman"/>
          <w:sz w:val="22"/>
          <w:szCs w:val="22"/>
        </w:rPr>
        <w:t xml:space="preserve"> lagging</w:t>
      </w:r>
      <w:r w:rsidR="00DA6A07" w:rsidRPr="006733B7">
        <w:rPr>
          <w:rFonts w:cs="Times New Roman"/>
          <w:sz w:val="22"/>
          <w:szCs w:val="22"/>
        </w:rPr>
        <w:t>. On a zero to eleven (maximum</w:t>
      </w:r>
      <w:r w:rsidR="006A1C81" w:rsidRPr="006733B7">
        <w:rPr>
          <w:rFonts w:cs="Times New Roman"/>
          <w:sz w:val="22"/>
          <w:szCs w:val="22"/>
        </w:rPr>
        <w:t xml:space="preserve"> profit satisfaction</w:t>
      </w:r>
      <w:r w:rsidR="00DA6A07" w:rsidRPr="006733B7">
        <w:rPr>
          <w:rFonts w:cs="Times New Roman"/>
          <w:sz w:val="22"/>
          <w:szCs w:val="22"/>
        </w:rPr>
        <w:t>) scale, the profit indicator</w:t>
      </w:r>
      <w:r w:rsidR="00752A54" w:rsidRPr="006733B7">
        <w:rPr>
          <w:rFonts w:cs="Times New Roman"/>
          <w:sz w:val="22"/>
          <w:szCs w:val="22"/>
        </w:rPr>
        <w:t xml:space="preserve"> scored a 4</w:t>
      </w:r>
      <w:r w:rsidR="003C37D9" w:rsidRPr="006733B7">
        <w:rPr>
          <w:rFonts w:cs="Times New Roman"/>
          <w:sz w:val="22"/>
          <w:szCs w:val="22"/>
        </w:rPr>
        <w:t>, 1</w:t>
      </w:r>
      <w:r w:rsidR="00752A54" w:rsidRPr="006733B7">
        <w:rPr>
          <w:rFonts w:cs="Times New Roman"/>
          <w:sz w:val="22"/>
          <w:szCs w:val="22"/>
        </w:rPr>
        <w:t xml:space="preserve"> over the first qu</w:t>
      </w:r>
      <w:r w:rsidR="005A68AB" w:rsidRPr="006733B7">
        <w:rPr>
          <w:rFonts w:cs="Times New Roman"/>
          <w:sz w:val="22"/>
          <w:szCs w:val="22"/>
        </w:rPr>
        <w:t>arter of 2011 (against a 4</w:t>
      </w:r>
      <w:r w:rsidR="003C37D9" w:rsidRPr="006733B7">
        <w:rPr>
          <w:rFonts w:cs="Times New Roman"/>
          <w:sz w:val="22"/>
          <w:szCs w:val="22"/>
        </w:rPr>
        <w:t>, 4</w:t>
      </w:r>
      <w:r w:rsidR="005A68AB" w:rsidRPr="006733B7">
        <w:rPr>
          <w:rFonts w:cs="Times New Roman"/>
          <w:sz w:val="22"/>
          <w:szCs w:val="22"/>
        </w:rPr>
        <w:t xml:space="preserve"> over</w:t>
      </w:r>
      <w:r w:rsidR="00752A54" w:rsidRPr="006733B7">
        <w:rPr>
          <w:rFonts w:cs="Times New Roman"/>
          <w:sz w:val="22"/>
          <w:szCs w:val="22"/>
        </w:rPr>
        <w:t xml:space="preserve"> the fourth quarter of 2010).</w:t>
      </w:r>
      <w:r w:rsidR="006A1C81" w:rsidRPr="006733B7">
        <w:rPr>
          <w:rFonts w:cs="Times New Roman"/>
          <w:sz w:val="22"/>
          <w:szCs w:val="22"/>
        </w:rPr>
        <w:t xml:space="preserve"> In contrast, logistics service providers profit indicator scored a 6</w:t>
      </w:r>
      <w:r w:rsidR="003C37D9" w:rsidRPr="006733B7">
        <w:rPr>
          <w:rFonts w:cs="Times New Roman"/>
          <w:sz w:val="22"/>
          <w:szCs w:val="22"/>
        </w:rPr>
        <w:t>, 6</w:t>
      </w:r>
      <w:r w:rsidR="006A1C81" w:rsidRPr="006733B7">
        <w:rPr>
          <w:rFonts w:cs="Times New Roman"/>
          <w:sz w:val="22"/>
          <w:szCs w:val="22"/>
        </w:rPr>
        <w:t xml:space="preserve"> over the first quarter of 2011: an increase over the 5</w:t>
      </w:r>
      <w:r w:rsidR="003C37D9" w:rsidRPr="006733B7">
        <w:rPr>
          <w:rFonts w:cs="Times New Roman"/>
          <w:sz w:val="22"/>
          <w:szCs w:val="22"/>
        </w:rPr>
        <w:t>, 5</w:t>
      </w:r>
      <w:r w:rsidR="006A1C81" w:rsidRPr="006733B7">
        <w:rPr>
          <w:rFonts w:cs="Times New Roman"/>
          <w:sz w:val="22"/>
          <w:szCs w:val="22"/>
        </w:rPr>
        <w:t xml:space="preserve"> scored </w:t>
      </w:r>
      <w:r w:rsidR="005A68AB" w:rsidRPr="006733B7">
        <w:rPr>
          <w:rFonts w:cs="Times New Roman"/>
          <w:sz w:val="22"/>
          <w:szCs w:val="22"/>
        </w:rPr>
        <w:t xml:space="preserve">over </w:t>
      </w:r>
      <w:r w:rsidR="006A1C81" w:rsidRPr="006733B7">
        <w:rPr>
          <w:rFonts w:cs="Times New Roman"/>
          <w:sz w:val="22"/>
          <w:szCs w:val="22"/>
        </w:rPr>
        <w:t>the fourth quarter of 2010.</w:t>
      </w:r>
      <w:r w:rsidR="00752A54" w:rsidRPr="006733B7">
        <w:rPr>
          <w:rFonts w:cs="Times New Roman"/>
          <w:sz w:val="22"/>
          <w:szCs w:val="22"/>
        </w:rPr>
        <w:t xml:space="preserve"> </w:t>
      </w:r>
      <w:r w:rsidR="006A1C81" w:rsidRPr="006733B7">
        <w:rPr>
          <w:rFonts w:cs="Times New Roman"/>
          <w:sz w:val="22"/>
          <w:szCs w:val="22"/>
        </w:rPr>
        <w:t xml:space="preserve">Notwithstanding, </w:t>
      </w:r>
      <w:r w:rsidR="006A1C81" w:rsidRPr="006733B7">
        <w:rPr>
          <w:rFonts w:eastAsia="Times New Roman" w:cs="Times New Roman"/>
          <w:color w:val="000000"/>
          <w:sz w:val="22"/>
          <w:szCs w:val="22"/>
          <w:lang w:eastAsia="nl-NL"/>
        </w:rPr>
        <w:t xml:space="preserve">75% </w:t>
      </w:r>
      <w:r w:rsidR="00752A54" w:rsidRPr="006733B7">
        <w:rPr>
          <w:rFonts w:eastAsia="Times New Roman" w:cs="Times New Roman"/>
          <w:color w:val="000000"/>
          <w:sz w:val="22"/>
          <w:szCs w:val="22"/>
          <w:lang w:eastAsia="nl-NL"/>
        </w:rPr>
        <w:t xml:space="preserve">of all </w:t>
      </w:r>
      <w:r w:rsidR="006A1C81" w:rsidRPr="006733B7">
        <w:rPr>
          <w:rFonts w:eastAsia="Times New Roman" w:cs="Times New Roman"/>
          <w:color w:val="000000"/>
          <w:sz w:val="22"/>
          <w:szCs w:val="22"/>
          <w:lang w:eastAsia="nl-NL"/>
        </w:rPr>
        <w:t>entrepreneurs</w:t>
      </w:r>
      <w:r w:rsidR="00752A54" w:rsidRPr="006733B7">
        <w:rPr>
          <w:rFonts w:eastAsia="Times New Roman" w:cs="Times New Roman"/>
          <w:color w:val="000000"/>
          <w:sz w:val="22"/>
          <w:szCs w:val="22"/>
          <w:lang w:eastAsia="nl-NL"/>
        </w:rPr>
        <w:t xml:space="preserve"> </w:t>
      </w:r>
      <w:r w:rsidR="006A1C81" w:rsidRPr="006733B7">
        <w:rPr>
          <w:rFonts w:eastAsia="Times New Roman" w:cs="Times New Roman"/>
          <w:color w:val="000000"/>
          <w:sz w:val="22"/>
          <w:szCs w:val="22"/>
          <w:lang w:eastAsia="nl-NL"/>
        </w:rPr>
        <w:t>was</w:t>
      </w:r>
      <w:r w:rsidR="00752A54" w:rsidRPr="006733B7">
        <w:rPr>
          <w:rFonts w:eastAsia="Times New Roman" w:cs="Times New Roman"/>
          <w:color w:val="000000"/>
          <w:sz w:val="22"/>
          <w:szCs w:val="22"/>
          <w:lang w:eastAsia="nl-NL"/>
        </w:rPr>
        <w:t xml:space="preserve"> dissatisfied with the level of profits in the first quarter</w:t>
      </w:r>
      <w:r w:rsidR="006A1C81" w:rsidRPr="006733B7">
        <w:rPr>
          <w:rFonts w:eastAsia="Times New Roman" w:cs="Times New Roman"/>
          <w:color w:val="000000"/>
          <w:sz w:val="22"/>
          <w:szCs w:val="22"/>
          <w:lang w:eastAsia="nl-NL"/>
        </w:rPr>
        <w:t xml:space="preserve"> of 2011</w:t>
      </w:r>
      <w:r w:rsidR="00322DD5" w:rsidRPr="006733B7">
        <w:rPr>
          <w:rFonts w:eastAsia="Times New Roman" w:cs="Times New Roman"/>
          <w:color w:val="000000"/>
          <w:sz w:val="22"/>
          <w:szCs w:val="22"/>
          <w:lang w:eastAsia="nl-NL"/>
        </w:rPr>
        <w:t xml:space="preserve"> </w:t>
      </w:r>
      <w:r w:rsidR="005A68AB" w:rsidRPr="006733B7">
        <w:rPr>
          <w:rFonts w:eastAsia="Times New Roman" w:cs="Times New Roman"/>
          <w:color w:val="000000"/>
          <w:sz w:val="22"/>
          <w:szCs w:val="22"/>
          <w:lang w:eastAsia="nl-NL"/>
        </w:rPr>
        <w:t>(</w:t>
      </w:r>
      <w:r w:rsidR="00A92C36" w:rsidRPr="006733B7">
        <w:rPr>
          <w:rFonts w:eastAsia="Times New Roman" w:cs="Times New Roman"/>
          <w:color w:val="000000"/>
          <w:sz w:val="22"/>
          <w:szCs w:val="22"/>
          <w:lang w:eastAsia="nl-NL"/>
        </w:rPr>
        <w:t xml:space="preserve">TLN, </w:t>
      </w:r>
      <w:r w:rsidR="007B22AC" w:rsidRPr="006733B7">
        <w:rPr>
          <w:rFonts w:eastAsia="Times New Roman" w:cs="Times New Roman"/>
          <w:color w:val="000000"/>
          <w:sz w:val="22"/>
          <w:szCs w:val="22"/>
          <w:lang w:eastAsia="nl-NL"/>
        </w:rPr>
        <w:t>2010; TLN, 2011</w:t>
      </w:r>
      <w:r w:rsidR="005A68AB" w:rsidRPr="006733B7">
        <w:rPr>
          <w:rFonts w:eastAsia="Times New Roman" w:cs="Times New Roman"/>
          <w:color w:val="000000"/>
          <w:sz w:val="22"/>
          <w:szCs w:val="22"/>
          <w:lang w:eastAsia="nl-NL"/>
        </w:rPr>
        <w:t>).</w:t>
      </w:r>
      <w:r w:rsidR="006733B7" w:rsidRPr="006733B7">
        <w:rPr>
          <w:rFonts w:ascii="Times New Roman" w:eastAsia="Times New Roman" w:hAnsi="Times New Roman" w:cs="Times New Roman"/>
          <w:color w:val="000000"/>
          <w:sz w:val="22"/>
          <w:szCs w:val="22"/>
          <w:lang w:eastAsia="nl-NL"/>
        </w:rPr>
        <w:tab/>
      </w:r>
      <w:r w:rsidR="006733B7" w:rsidRPr="006733B7">
        <w:rPr>
          <w:rFonts w:ascii="Times New Roman" w:eastAsia="Times New Roman" w:hAnsi="Times New Roman" w:cs="Times New Roman"/>
          <w:color w:val="000000"/>
          <w:lang w:eastAsia="nl-NL"/>
        </w:rPr>
        <w:tab/>
      </w:r>
      <w:r w:rsidR="006733B7" w:rsidRPr="006733B7">
        <w:rPr>
          <w:rFonts w:ascii="Times New Roman" w:eastAsia="Times New Roman" w:hAnsi="Times New Roman" w:cs="Times New Roman"/>
          <w:color w:val="000000"/>
          <w:lang w:eastAsia="nl-NL"/>
        </w:rPr>
        <w:tab/>
      </w:r>
      <w:r w:rsidR="006733B7" w:rsidRPr="006733B7">
        <w:rPr>
          <w:rFonts w:ascii="Times New Roman" w:eastAsia="Times New Roman" w:hAnsi="Times New Roman" w:cs="Times New Roman"/>
          <w:color w:val="000000"/>
          <w:lang w:eastAsia="nl-NL"/>
        </w:rPr>
        <w:tab/>
      </w:r>
      <w:r w:rsidR="006733B7">
        <w:rPr>
          <w:rFonts w:eastAsia="Times New Roman" w:cs="Arial"/>
          <w:color w:val="000000"/>
          <w:lang w:eastAsia="nl-NL"/>
        </w:rPr>
        <w:tab/>
      </w:r>
      <w:r w:rsidR="006733B7">
        <w:rPr>
          <w:rFonts w:eastAsia="Times New Roman" w:cs="Arial"/>
          <w:color w:val="000000"/>
          <w:lang w:eastAsia="nl-NL"/>
        </w:rPr>
        <w:tab/>
      </w:r>
      <w:r w:rsidR="006733B7">
        <w:rPr>
          <w:rFonts w:eastAsia="Times New Roman" w:cs="Arial"/>
          <w:color w:val="000000"/>
          <w:lang w:eastAsia="nl-NL"/>
        </w:rPr>
        <w:tab/>
      </w:r>
      <w:r w:rsidR="006733B7">
        <w:rPr>
          <w:rFonts w:eastAsia="Times New Roman" w:cs="Arial"/>
          <w:color w:val="000000"/>
          <w:lang w:eastAsia="nl-NL"/>
        </w:rPr>
        <w:tab/>
      </w:r>
    </w:p>
    <w:p w:rsidR="006D2978" w:rsidRDefault="00DE18CE" w:rsidP="006733B7">
      <w:pPr>
        <w:spacing w:line="360" w:lineRule="auto"/>
        <w:jc w:val="both"/>
        <w:rPr>
          <w:sz w:val="22"/>
          <w:szCs w:val="22"/>
        </w:rPr>
      </w:pPr>
      <w:r w:rsidRPr="006733B7">
        <w:rPr>
          <w:rFonts w:eastAsia="Times New Roman" w:cs="Arial"/>
          <w:color w:val="000000"/>
          <w:sz w:val="22"/>
          <w:szCs w:val="22"/>
          <w:lang w:eastAsia="nl-NL"/>
        </w:rPr>
        <w:t>The surveys conducted by TLN (2010) give some quotes by transport companies that show h</w:t>
      </w:r>
      <w:r w:rsidR="007C359F" w:rsidRPr="006733B7">
        <w:rPr>
          <w:rFonts w:eastAsia="Times New Roman" w:cs="Arial"/>
          <w:color w:val="000000"/>
          <w:sz w:val="22"/>
          <w:szCs w:val="22"/>
          <w:lang w:eastAsia="nl-NL"/>
        </w:rPr>
        <w:t>ow fierce competition a</w:t>
      </w:r>
      <w:r w:rsidR="00186A14" w:rsidRPr="006733B7">
        <w:rPr>
          <w:rFonts w:eastAsia="Times New Roman" w:cs="Arial"/>
          <w:color w:val="000000"/>
          <w:sz w:val="22"/>
          <w:szCs w:val="22"/>
          <w:lang w:eastAsia="nl-NL"/>
        </w:rPr>
        <w:t xml:space="preserve">mongst the industry is, like </w:t>
      </w:r>
      <w:r w:rsidR="003E69FA" w:rsidRPr="006733B7">
        <w:rPr>
          <w:rFonts w:eastAsia="Times New Roman" w:cs="Arial"/>
          <w:color w:val="000000"/>
          <w:sz w:val="22"/>
          <w:szCs w:val="22"/>
          <w:lang w:eastAsia="nl-NL"/>
        </w:rPr>
        <w:t>“the</w:t>
      </w:r>
      <w:r w:rsidR="007C359F" w:rsidRPr="006733B7">
        <w:rPr>
          <w:rFonts w:eastAsia="Times New Roman" w:cs="Arial"/>
          <w:i/>
          <w:color w:val="000000"/>
          <w:sz w:val="22"/>
          <w:szCs w:val="22"/>
          <w:lang w:eastAsia="nl-NL"/>
        </w:rPr>
        <w:t xml:space="preserve"> Market is broken by strong competition and everyone is moving his rate below that of others” </w:t>
      </w:r>
      <w:r w:rsidR="007C359F" w:rsidRPr="006733B7">
        <w:rPr>
          <w:rFonts w:eastAsia="Times New Roman" w:cs="Arial"/>
          <w:color w:val="000000"/>
          <w:sz w:val="22"/>
          <w:szCs w:val="22"/>
          <w:lang w:eastAsia="nl-NL"/>
        </w:rPr>
        <w:t xml:space="preserve">(p. 4). In addition, a large number of entrepreneurs surveyed by TLN (2010) </w:t>
      </w:r>
      <w:r w:rsidR="003C37D9" w:rsidRPr="006733B7">
        <w:rPr>
          <w:rFonts w:eastAsia="Times New Roman" w:cs="Arial"/>
          <w:color w:val="000000"/>
          <w:sz w:val="22"/>
          <w:szCs w:val="22"/>
          <w:lang w:eastAsia="nl-NL"/>
        </w:rPr>
        <w:t>are</w:t>
      </w:r>
      <w:r w:rsidR="007C359F" w:rsidRPr="006733B7">
        <w:rPr>
          <w:rFonts w:eastAsia="Times New Roman" w:cs="Arial"/>
          <w:color w:val="000000"/>
          <w:sz w:val="22"/>
          <w:szCs w:val="22"/>
          <w:lang w:eastAsia="nl-NL"/>
        </w:rPr>
        <w:t xml:space="preserve"> worried about increasing competition from companies in Eastern Europe: </w:t>
      </w:r>
      <w:r w:rsidR="007C359F" w:rsidRPr="006733B7">
        <w:rPr>
          <w:rFonts w:eastAsia="Times New Roman" w:cs="Arial"/>
          <w:i/>
          <w:color w:val="000000"/>
          <w:sz w:val="22"/>
          <w:szCs w:val="22"/>
          <w:lang w:eastAsia="nl-NL"/>
        </w:rPr>
        <w:t>“</w:t>
      </w:r>
      <w:r w:rsidR="00186A14" w:rsidRPr="006733B7">
        <w:rPr>
          <w:rFonts w:eastAsia="Times New Roman" w:cs="Arial"/>
          <w:i/>
          <w:color w:val="000000"/>
          <w:sz w:val="22"/>
          <w:szCs w:val="22"/>
          <w:lang w:eastAsia="nl-NL"/>
        </w:rPr>
        <w:t>w</w:t>
      </w:r>
      <w:r w:rsidR="007C359F" w:rsidRPr="006733B7">
        <w:rPr>
          <w:rFonts w:eastAsia="Times New Roman" w:cs="Arial"/>
          <w:i/>
          <w:color w:val="000000"/>
          <w:sz w:val="22"/>
          <w:szCs w:val="22"/>
          <w:lang w:eastAsia="nl-NL"/>
        </w:rPr>
        <w:t xml:space="preserve">e currently have enough work, but will that stay this way? The prices are not good. We can’t compete with the Poles, Bulgarians, etc. </w:t>
      </w:r>
      <w:r w:rsidR="003C37D9" w:rsidRPr="006733B7">
        <w:rPr>
          <w:rFonts w:eastAsia="Times New Roman" w:cs="Arial"/>
          <w:i/>
          <w:color w:val="000000"/>
          <w:sz w:val="22"/>
          <w:szCs w:val="22"/>
          <w:lang w:eastAsia="nl-NL"/>
        </w:rPr>
        <w:t>“</w:t>
      </w:r>
      <w:r w:rsidR="003C37D9" w:rsidRPr="006733B7">
        <w:rPr>
          <w:rFonts w:eastAsia="Times New Roman" w:cs="Arial"/>
          <w:color w:val="000000"/>
          <w:sz w:val="22"/>
          <w:szCs w:val="22"/>
          <w:lang w:eastAsia="nl-NL"/>
        </w:rPr>
        <w:t>(</w:t>
      </w:r>
      <w:r w:rsidR="007C359F" w:rsidRPr="006733B7">
        <w:rPr>
          <w:rFonts w:eastAsia="Times New Roman" w:cs="Arial"/>
          <w:color w:val="000000"/>
          <w:sz w:val="22"/>
          <w:szCs w:val="22"/>
          <w:lang w:eastAsia="nl-NL"/>
        </w:rPr>
        <w:t>p. 4).</w:t>
      </w:r>
      <w:r w:rsidR="00762243" w:rsidRPr="006733B7">
        <w:rPr>
          <w:rFonts w:eastAsia="Times New Roman" w:cs="Arial"/>
          <w:color w:val="000000"/>
          <w:sz w:val="22"/>
          <w:szCs w:val="22"/>
          <w:lang w:eastAsia="nl-NL"/>
        </w:rPr>
        <w:t xml:space="preserve"> </w:t>
      </w:r>
      <w:r w:rsidR="00EC09CA" w:rsidRPr="006733B7">
        <w:rPr>
          <w:rFonts w:eastAsia="Times New Roman" w:cs="Arial"/>
          <w:color w:val="000000"/>
          <w:sz w:val="22"/>
          <w:szCs w:val="22"/>
          <w:lang w:eastAsia="nl-NL"/>
        </w:rPr>
        <w:t xml:space="preserve">The above information shows that the transport- and logistics sector </w:t>
      </w:r>
      <w:r w:rsidR="00EC09CA" w:rsidRPr="006733B7">
        <w:rPr>
          <w:sz w:val="22"/>
          <w:szCs w:val="22"/>
        </w:rPr>
        <w:t xml:space="preserve">faces low margins and a continuing price pressure. This mainly has to do with their customers looking </w:t>
      </w:r>
      <w:r w:rsidR="003C37D9" w:rsidRPr="006733B7">
        <w:rPr>
          <w:sz w:val="22"/>
          <w:szCs w:val="22"/>
        </w:rPr>
        <w:t>at transportation</w:t>
      </w:r>
      <w:r w:rsidR="002563B3" w:rsidRPr="006733B7">
        <w:rPr>
          <w:sz w:val="22"/>
          <w:szCs w:val="22"/>
        </w:rPr>
        <w:t xml:space="preserve"> and </w:t>
      </w:r>
      <w:r w:rsidR="00EC09CA" w:rsidRPr="006733B7">
        <w:rPr>
          <w:sz w:val="22"/>
          <w:szCs w:val="22"/>
        </w:rPr>
        <w:t xml:space="preserve">logistics as being </w:t>
      </w:r>
      <w:r w:rsidR="003C37D9" w:rsidRPr="006733B7">
        <w:rPr>
          <w:sz w:val="22"/>
          <w:szCs w:val="22"/>
        </w:rPr>
        <w:t>like commodity</w:t>
      </w:r>
      <w:r w:rsidR="00EC09CA" w:rsidRPr="006733B7">
        <w:rPr>
          <w:sz w:val="22"/>
          <w:szCs w:val="22"/>
        </w:rPr>
        <w:t xml:space="preserve"> service</w:t>
      </w:r>
      <w:r w:rsidR="002563B3" w:rsidRPr="006733B7">
        <w:rPr>
          <w:sz w:val="22"/>
          <w:szCs w:val="22"/>
        </w:rPr>
        <w:t>s</w:t>
      </w:r>
      <w:r w:rsidR="00EC09CA" w:rsidRPr="006733B7">
        <w:rPr>
          <w:sz w:val="22"/>
          <w:szCs w:val="22"/>
        </w:rPr>
        <w:t>.</w:t>
      </w:r>
      <w:r w:rsidR="006D2978">
        <w:rPr>
          <w:sz w:val="22"/>
          <w:szCs w:val="22"/>
        </w:rPr>
        <w:t xml:space="preserve"> </w:t>
      </w:r>
      <w:r w:rsidR="006D2978">
        <w:rPr>
          <w:sz w:val="22"/>
          <w:szCs w:val="22"/>
        </w:rPr>
        <w:tab/>
      </w:r>
    </w:p>
    <w:p w:rsidR="00BC3892" w:rsidRDefault="00EC09CA" w:rsidP="00BC3892">
      <w:pPr>
        <w:spacing w:line="360" w:lineRule="auto"/>
        <w:jc w:val="both"/>
        <w:rPr>
          <w:sz w:val="22"/>
          <w:szCs w:val="22"/>
        </w:rPr>
      </w:pPr>
      <w:r w:rsidRPr="006733B7">
        <w:rPr>
          <w:sz w:val="22"/>
          <w:szCs w:val="22"/>
        </w:rPr>
        <w:t xml:space="preserve">A typical characteristic for a commodity good or service </w:t>
      </w:r>
      <w:r w:rsidR="004570E2" w:rsidRPr="006733B7">
        <w:rPr>
          <w:sz w:val="22"/>
          <w:szCs w:val="22"/>
        </w:rPr>
        <w:t xml:space="preserve">is a service </w:t>
      </w:r>
      <w:r w:rsidRPr="006733B7">
        <w:rPr>
          <w:sz w:val="22"/>
          <w:szCs w:val="22"/>
        </w:rPr>
        <w:t>which is supplied without qu</w:t>
      </w:r>
      <w:r w:rsidR="004570E2" w:rsidRPr="006733B7">
        <w:rPr>
          <w:sz w:val="22"/>
          <w:szCs w:val="22"/>
        </w:rPr>
        <w:t>alitative differentiation on</w:t>
      </w:r>
      <w:r w:rsidRPr="006733B7">
        <w:rPr>
          <w:sz w:val="22"/>
          <w:szCs w:val="22"/>
        </w:rPr>
        <w:t xml:space="preserve"> a market. In other words: the market treats it as a service for which it is</w:t>
      </w:r>
      <w:r w:rsidR="004570E2" w:rsidRPr="006733B7">
        <w:rPr>
          <w:sz w:val="22"/>
          <w:szCs w:val="22"/>
        </w:rPr>
        <w:t xml:space="preserve"> irrelevant who provides it </w:t>
      </w:r>
      <w:r w:rsidR="004570E2" w:rsidRPr="006733B7">
        <w:rPr>
          <w:rFonts w:eastAsia="Times New Roman" w:cs="Arial"/>
          <w:color w:val="000000"/>
          <w:sz w:val="22"/>
          <w:szCs w:val="22"/>
          <w:lang w:eastAsia="nl-NL"/>
        </w:rPr>
        <w:t xml:space="preserve">(O’Sullivan &amp; Sheffrin, 2003). </w:t>
      </w:r>
      <w:r w:rsidR="00BC3892">
        <w:rPr>
          <w:rFonts w:cs="TimesNewRoman"/>
          <w:sz w:val="22"/>
          <w:szCs w:val="22"/>
          <w:lang w:bidi="ar-SA"/>
        </w:rPr>
        <w:t xml:space="preserve">As mentioned before, </w:t>
      </w:r>
      <w:r w:rsidR="00BC3892" w:rsidRPr="004C0273">
        <w:rPr>
          <w:rFonts w:cs="TimesNewRoman"/>
          <w:sz w:val="22"/>
          <w:szCs w:val="22"/>
          <w:lang w:bidi="ar-SA"/>
        </w:rPr>
        <w:t xml:space="preserve">Marc Levinson (2006) </w:t>
      </w:r>
      <w:r w:rsidR="00BC3892">
        <w:rPr>
          <w:rFonts w:cs="TimesNewRoman"/>
          <w:sz w:val="22"/>
          <w:szCs w:val="22"/>
          <w:lang w:bidi="ar-SA"/>
        </w:rPr>
        <w:t xml:space="preserve">wrote the book </w:t>
      </w:r>
      <w:r w:rsidR="00BC3892" w:rsidRPr="004C0273">
        <w:rPr>
          <w:rFonts w:cs="TimesNewRoman"/>
          <w:i/>
          <w:sz w:val="22"/>
          <w:szCs w:val="22"/>
          <w:lang w:bidi="ar-SA"/>
        </w:rPr>
        <w:t>The Box</w:t>
      </w:r>
      <w:r w:rsidR="00BC3892">
        <w:rPr>
          <w:rFonts w:cs="TimesNewRoman"/>
          <w:sz w:val="22"/>
          <w:szCs w:val="22"/>
          <w:lang w:bidi="ar-SA"/>
        </w:rPr>
        <w:t xml:space="preserve"> about how the Shipping c</w:t>
      </w:r>
      <w:r w:rsidR="00BC3892" w:rsidRPr="004C0273">
        <w:rPr>
          <w:rFonts w:cs="TimesNewRoman"/>
          <w:sz w:val="22"/>
          <w:szCs w:val="22"/>
          <w:lang w:bidi="ar-SA"/>
        </w:rPr>
        <w:t>ontainer made the world smaller and the world economy bigger</w:t>
      </w:r>
      <w:r w:rsidR="00BC3892">
        <w:rPr>
          <w:rFonts w:cs="TimesNewRoman"/>
          <w:sz w:val="22"/>
          <w:szCs w:val="22"/>
          <w:lang w:bidi="ar-SA"/>
        </w:rPr>
        <w:t>, which</w:t>
      </w:r>
      <w:r w:rsidR="00BC3892" w:rsidRPr="004C0273">
        <w:rPr>
          <w:rFonts w:cs="TimesNewRoman"/>
          <w:sz w:val="22"/>
          <w:szCs w:val="22"/>
          <w:lang w:bidi="ar-SA"/>
        </w:rPr>
        <w:t xml:space="preserve"> </w:t>
      </w:r>
      <w:r w:rsidR="00BC3892">
        <w:rPr>
          <w:rFonts w:cs="TimesNewRoman"/>
          <w:sz w:val="22"/>
          <w:szCs w:val="22"/>
          <w:lang w:bidi="ar-SA"/>
        </w:rPr>
        <w:t>inspired me to write this thesis</w:t>
      </w:r>
      <w:r w:rsidR="00F378B0">
        <w:rPr>
          <w:rFonts w:cs="TimesNewRoman"/>
          <w:sz w:val="22"/>
          <w:szCs w:val="22"/>
          <w:lang w:bidi="ar-SA"/>
        </w:rPr>
        <w:t xml:space="preserve"> because of the following phrases</w:t>
      </w:r>
      <w:r w:rsidR="00BC3892">
        <w:rPr>
          <w:rFonts w:cs="TimesNewRoman"/>
          <w:sz w:val="22"/>
          <w:szCs w:val="22"/>
          <w:lang w:bidi="ar-SA"/>
        </w:rPr>
        <w:t>:</w:t>
      </w:r>
    </w:p>
    <w:p w:rsidR="00F378B0" w:rsidRDefault="00BC3892" w:rsidP="00F378B0">
      <w:pPr>
        <w:spacing w:before="0" w:after="0" w:line="360" w:lineRule="auto"/>
        <w:ind w:left="708"/>
        <w:jc w:val="both"/>
        <w:rPr>
          <w:sz w:val="22"/>
          <w:szCs w:val="22"/>
        </w:rPr>
      </w:pPr>
      <w:r w:rsidRPr="003137D5">
        <w:rPr>
          <w:i/>
          <w:sz w:val="22"/>
          <w:szCs w:val="22"/>
        </w:rPr>
        <w:lastRenderedPageBreak/>
        <w:t xml:space="preserve">Sea-land and its competitors were not all like Polaroid or Xerox, companies whose proprietary technology and constant stream of innovations provided inordinately high profits for decades. Ship lines’ end product was basically a commodity. Just like farmers and steelmakers, they would always be hostage to external forces, their prices and profit margins depending mainly on economic growth and on their competitors’ decisions to build new ships. </w:t>
      </w:r>
      <w:r w:rsidRPr="003137D5">
        <w:rPr>
          <w:sz w:val="22"/>
          <w:szCs w:val="22"/>
        </w:rPr>
        <w:t>(p. 230)</w:t>
      </w:r>
    </w:p>
    <w:p w:rsidR="00F378B0" w:rsidRPr="00F378B0" w:rsidRDefault="00A24ADC" w:rsidP="00F378B0">
      <w:pPr>
        <w:spacing w:before="0" w:after="0" w:line="360" w:lineRule="auto"/>
        <w:jc w:val="both"/>
        <w:rPr>
          <w:sz w:val="22"/>
          <w:szCs w:val="22"/>
        </w:rPr>
      </w:pPr>
      <w:r>
        <w:rPr>
          <w:sz w:val="22"/>
          <w:szCs w:val="22"/>
        </w:rPr>
        <w:t>This quote shows t</w:t>
      </w:r>
      <w:r w:rsidR="003F6C64">
        <w:rPr>
          <w:sz w:val="22"/>
          <w:szCs w:val="22"/>
        </w:rPr>
        <w:t xml:space="preserve">he characteristics of, and problems related to, a commodity. </w:t>
      </w:r>
      <w:r w:rsidR="00F378B0">
        <w:rPr>
          <w:sz w:val="22"/>
          <w:szCs w:val="22"/>
        </w:rPr>
        <w:t>The book is mainly focused on</w:t>
      </w:r>
      <w:r w:rsidR="007D61CB">
        <w:rPr>
          <w:sz w:val="22"/>
          <w:szCs w:val="22"/>
        </w:rPr>
        <w:t xml:space="preserve"> Malcolm McLean, the ‘inventor’ of the container, and his shipping line </w:t>
      </w:r>
      <w:r w:rsidR="00F378B0">
        <w:rPr>
          <w:sz w:val="22"/>
          <w:szCs w:val="22"/>
        </w:rPr>
        <w:t>Sea-land</w:t>
      </w:r>
      <w:r w:rsidR="007D61CB">
        <w:rPr>
          <w:sz w:val="22"/>
          <w:szCs w:val="22"/>
        </w:rPr>
        <w:t>. After container shipping was well established in maritime transport and all shipping lines build many containerships causing an oversupply of capacity and dramatically declining tariffs, the nature of the service of container shipping became clear to banks and investors</w:t>
      </w:r>
      <w:r>
        <w:rPr>
          <w:sz w:val="22"/>
          <w:szCs w:val="22"/>
        </w:rPr>
        <w:t>. They</w:t>
      </w:r>
      <w:r w:rsidR="00190975">
        <w:rPr>
          <w:sz w:val="22"/>
          <w:szCs w:val="22"/>
        </w:rPr>
        <w:t xml:space="preserve"> learned the hard way that </w:t>
      </w:r>
      <w:r>
        <w:rPr>
          <w:sz w:val="22"/>
          <w:szCs w:val="22"/>
        </w:rPr>
        <w:t xml:space="preserve">their investments wouldn’t provide tremendous yields, since the characteristics of the service eventually made it a commodity. </w:t>
      </w:r>
      <w:r w:rsidR="00F378B0">
        <w:rPr>
          <w:sz w:val="22"/>
          <w:szCs w:val="22"/>
        </w:rPr>
        <w:t xml:space="preserve"> </w:t>
      </w:r>
    </w:p>
    <w:p w:rsidR="00FA669C" w:rsidRPr="006733B7" w:rsidRDefault="002563B3" w:rsidP="006733B7">
      <w:pPr>
        <w:spacing w:line="360" w:lineRule="auto"/>
        <w:jc w:val="both"/>
        <w:rPr>
          <w:rFonts w:eastAsia="Times New Roman" w:cs="Arial"/>
          <w:color w:val="000000"/>
          <w:sz w:val="22"/>
          <w:szCs w:val="22"/>
          <w:lang w:eastAsia="nl-NL"/>
        </w:rPr>
      </w:pPr>
      <w:r w:rsidRPr="006733B7">
        <w:rPr>
          <w:sz w:val="22"/>
          <w:szCs w:val="22"/>
        </w:rPr>
        <w:t>A commodity good</w:t>
      </w:r>
      <w:r w:rsidR="00FA669C" w:rsidRPr="006733B7">
        <w:rPr>
          <w:sz w:val="22"/>
          <w:szCs w:val="22"/>
        </w:rPr>
        <w:t xml:space="preserve"> </w:t>
      </w:r>
      <w:r w:rsidRPr="006733B7">
        <w:rPr>
          <w:sz w:val="22"/>
          <w:szCs w:val="22"/>
        </w:rPr>
        <w:t xml:space="preserve">its </w:t>
      </w:r>
      <w:r w:rsidR="00FA669C" w:rsidRPr="006733B7">
        <w:rPr>
          <w:sz w:val="22"/>
          <w:szCs w:val="22"/>
        </w:rPr>
        <w:t>price is determined as a function of its market: physical commodities like iron ore, gold, coal and crude oil are traded on spot and derived markets</w:t>
      </w:r>
      <w:r w:rsidR="001655B6" w:rsidRPr="006733B7">
        <w:rPr>
          <w:sz w:val="22"/>
          <w:szCs w:val="22"/>
        </w:rPr>
        <w:t xml:space="preserve"> </w:t>
      </w:r>
      <w:r w:rsidR="001655B6" w:rsidRPr="006733B7">
        <w:rPr>
          <w:rFonts w:eastAsia="Times New Roman" w:cs="Arial"/>
          <w:color w:val="000000"/>
          <w:sz w:val="22"/>
          <w:szCs w:val="22"/>
          <w:lang w:eastAsia="nl-NL"/>
        </w:rPr>
        <w:t>(O’Sullivan &amp; Sheffrin, 2003)</w:t>
      </w:r>
      <w:r w:rsidR="00FA669C" w:rsidRPr="006733B7">
        <w:rPr>
          <w:sz w:val="22"/>
          <w:szCs w:val="22"/>
        </w:rPr>
        <w:t xml:space="preserve"> </w:t>
      </w:r>
      <w:r w:rsidR="005B3544" w:rsidRPr="006733B7">
        <w:rPr>
          <w:sz w:val="22"/>
          <w:szCs w:val="22"/>
        </w:rPr>
        <w:t>with buyers looking solely at quantity and thus without them worrying about</w:t>
      </w:r>
      <w:r w:rsidR="00D1384F" w:rsidRPr="006733B7">
        <w:rPr>
          <w:sz w:val="22"/>
          <w:szCs w:val="22"/>
        </w:rPr>
        <w:t xml:space="preserve"> </w:t>
      </w:r>
      <w:r w:rsidR="001655B6" w:rsidRPr="006733B7">
        <w:rPr>
          <w:sz w:val="22"/>
          <w:szCs w:val="22"/>
        </w:rPr>
        <w:t xml:space="preserve">the </w:t>
      </w:r>
      <w:r w:rsidR="00D1384F" w:rsidRPr="006733B7">
        <w:rPr>
          <w:sz w:val="22"/>
          <w:szCs w:val="22"/>
        </w:rPr>
        <w:t>quality</w:t>
      </w:r>
      <w:r w:rsidR="001655B6" w:rsidRPr="006733B7">
        <w:rPr>
          <w:sz w:val="22"/>
          <w:szCs w:val="22"/>
        </w:rPr>
        <w:t xml:space="preserve"> of the goods</w:t>
      </w:r>
      <w:r w:rsidR="00D1384F" w:rsidRPr="006733B7">
        <w:rPr>
          <w:rFonts w:eastAsia="Times New Roman" w:cs="Arial"/>
          <w:color w:val="000000"/>
          <w:sz w:val="22"/>
          <w:szCs w:val="22"/>
          <w:lang w:eastAsia="nl-NL"/>
        </w:rPr>
        <w:t xml:space="preserve">. Rushkoff (2005) </w:t>
      </w:r>
      <w:r w:rsidR="00582EEC" w:rsidRPr="006733B7">
        <w:rPr>
          <w:rFonts w:eastAsia="Times New Roman" w:cs="Arial"/>
          <w:color w:val="000000"/>
          <w:sz w:val="22"/>
          <w:szCs w:val="22"/>
          <w:lang w:eastAsia="nl-NL"/>
        </w:rPr>
        <w:t xml:space="preserve">uses the term </w:t>
      </w:r>
      <w:r w:rsidR="005B3544" w:rsidRPr="006733B7">
        <w:rPr>
          <w:rFonts w:eastAsia="Times New Roman" w:cs="Arial"/>
          <w:color w:val="000000"/>
          <w:sz w:val="22"/>
          <w:szCs w:val="22"/>
          <w:lang w:eastAsia="nl-NL"/>
        </w:rPr>
        <w:t>commoditization to refer to goods or services that used to be different in terms of quality or attributes, but end up becoming commodities in the eyes of the market.</w:t>
      </w:r>
      <w:r w:rsidR="00377ABD" w:rsidRPr="006733B7">
        <w:rPr>
          <w:rFonts w:eastAsia="Times New Roman" w:cs="Arial"/>
          <w:color w:val="000000"/>
          <w:sz w:val="22"/>
          <w:szCs w:val="22"/>
          <w:lang w:eastAsia="nl-NL"/>
        </w:rPr>
        <w:t xml:space="preserve"> The example Rushkoff (2005) gives, is about t</w:t>
      </w:r>
      <w:r w:rsidR="005B3544" w:rsidRPr="006733B7">
        <w:rPr>
          <w:rFonts w:eastAsia="Times New Roman" w:cs="Arial"/>
          <w:color w:val="000000"/>
          <w:sz w:val="22"/>
          <w:szCs w:val="22"/>
          <w:lang w:eastAsia="nl-NL"/>
        </w:rPr>
        <w:t xml:space="preserve">he collapse of Marlboro’s brand </w:t>
      </w:r>
      <w:r w:rsidR="00377ABD" w:rsidRPr="006733B7">
        <w:rPr>
          <w:rFonts w:eastAsia="Times New Roman" w:cs="Arial"/>
          <w:color w:val="000000"/>
          <w:sz w:val="22"/>
          <w:szCs w:val="22"/>
          <w:lang w:eastAsia="nl-NL"/>
        </w:rPr>
        <w:t>value, thereby convincing</w:t>
      </w:r>
      <w:r w:rsidR="005B3544" w:rsidRPr="006733B7">
        <w:rPr>
          <w:rFonts w:eastAsia="Times New Roman" w:cs="Arial"/>
          <w:color w:val="000000"/>
          <w:sz w:val="22"/>
          <w:szCs w:val="22"/>
          <w:lang w:eastAsia="nl-NL"/>
        </w:rPr>
        <w:t xml:space="preserve"> cigarette manufacturers </w:t>
      </w:r>
      <w:r w:rsidR="00377ABD" w:rsidRPr="006733B7">
        <w:rPr>
          <w:rFonts w:eastAsia="Times New Roman" w:cs="Arial"/>
          <w:color w:val="000000"/>
          <w:sz w:val="22"/>
          <w:szCs w:val="22"/>
          <w:lang w:eastAsia="nl-NL"/>
        </w:rPr>
        <w:t>that their products had been commoditized. According to Rushkoff (2005)</w:t>
      </w:r>
      <w:r w:rsidR="00F513DE" w:rsidRPr="006733B7">
        <w:rPr>
          <w:rFonts w:eastAsia="Times New Roman" w:cs="Arial"/>
          <w:color w:val="000000"/>
          <w:sz w:val="22"/>
          <w:szCs w:val="22"/>
          <w:lang w:eastAsia="nl-NL"/>
        </w:rPr>
        <w:t xml:space="preserve"> com</w:t>
      </w:r>
      <w:r w:rsidR="001655B6" w:rsidRPr="006733B7">
        <w:rPr>
          <w:rFonts w:eastAsia="Times New Roman" w:cs="Arial"/>
          <w:color w:val="000000"/>
          <w:sz w:val="22"/>
          <w:szCs w:val="22"/>
          <w:lang w:eastAsia="nl-NL"/>
        </w:rPr>
        <w:t xml:space="preserve">moditization, a good or service becoming a commodity, is </w:t>
      </w:r>
      <w:r w:rsidR="00F513DE" w:rsidRPr="006733B7">
        <w:rPr>
          <w:rFonts w:eastAsia="Times New Roman" w:cs="Arial"/>
          <w:color w:val="000000"/>
          <w:sz w:val="22"/>
          <w:szCs w:val="22"/>
          <w:lang w:eastAsia="nl-NL"/>
        </w:rPr>
        <w:t xml:space="preserve">a market problem for the producers of branded goods. </w:t>
      </w:r>
      <w:r w:rsidR="00C2075F" w:rsidRPr="006733B7">
        <w:rPr>
          <w:rFonts w:eastAsia="Times New Roman" w:cs="Arial"/>
          <w:color w:val="000000"/>
          <w:sz w:val="22"/>
          <w:szCs w:val="22"/>
          <w:lang w:eastAsia="nl-NL"/>
        </w:rPr>
        <w:t>As Rushkoff (2005) states, the problem with commoditization is that only price</w:t>
      </w:r>
      <w:r w:rsidR="003C37D9" w:rsidRPr="006733B7">
        <w:rPr>
          <w:rFonts w:eastAsia="Times New Roman" w:cs="Arial"/>
          <w:color w:val="000000"/>
          <w:sz w:val="22"/>
          <w:szCs w:val="22"/>
          <w:lang w:eastAsia="nl-NL"/>
        </w:rPr>
        <w:t>s are left to make a distinction</w:t>
      </w:r>
      <w:r w:rsidR="00C2075F" w:rsidRPr="006733B7">
        <w:rPr>
          <w:rFonts w:eastAsia="Times New Roman" w:cs="Arial"/>
          <w:color w:val="000000"/>
          <w:sz w:val="22"/>
          <w:szCs w:val="22"/>
          <w:lang w:eastAsia="nl-NL"/>
        </w:rPr>
        <w:t xml:space="preserve"> between products, thereby causing profit margins to shrink. </w:t>
      </w:r>
    </w:p>
    <w:p w:rsidR="00EC09CA" w:rsidRPr="006733B7" w:rsidRDefault="006362F6" w:rsidP="00EC09CA">
      <w:pPr>
        <w:spacing w:after="0" w:line="360" w:lineRule="auto"/>
        <w:jc w:val="both"/>
        <w:textAlignment w:val="top"/>
        <w:rPr>
          <w:sz w:val="22"/>
          <w:szCs w:val="22"/>
        </w:rPr>
      </w:pPr>
      <w:r w:rsidRPr="006733B7">
        <w:rPr>
          <w:sz w:val="22"/>
          <w:szCs w:val="22"/>
        </w:rPr>
        <w:t>Commoditization can explain why the transport- and logisti</w:t>
      </w:r>
      <w:r w:rsidR="0007370C" w:rsidRPr="006733B7">
        <w:rPr>
          <w:sz w:val="22"/>
          <w:szCs w:val="22"/>
        </w:rPr>
        <w:t>cs sector</w:t>
      </w:r>
      <w:r w:rsidR="00D335FE" w:rsidRPr="006733B7">
        <w:rPr>
          <w:sz w:val="22"/>
          <w:szCs w:val="22"/>
        </w:rPr>
        <w:t xml:space="preserve"> face</w:t>
      </w:r>
      <w:r w:rsidR="00AF34E0" w:rsidRPr="006733B7">
        <w:rPr>
          <w:sz w:val="22"/>
          <w:szCs w:val="22"/>
        </w:rPr>
        <w:t>s</w:t>
      </w:r>
      <w:r w:rsidR="00D335FE" w:rsidRPr="006733B7">
        <w:rPr>
          <w:sz w:val="22"/>
          <w:szCs w:val="22"/>
        </w:rPr>
        <w:t xml:space="preserve"> low margins and continui</w:t>
      </w:r>
      <w:r w:rsidR="00AF34E0" w:rsidRPr="006733B7">
        <w:rPr>
          <w:sz w:val="22"/>
          <w:szCs w:val="22"/>
        </w:rPr>
        <w:t xml:space="preserve">ng price pressure, although transport- and logistic services can’t be seen as a completely non-differential. </w:t>
      </w:r>
      <w:r w:rsidR="00D335FE" w:rsidRPr="006733B7">
        <w:rPr>
          <w:sz w:val="22"/>
          <w:szCs w:val="22"/>
        </w:rPr>
        <w:t xml:space="preserve"> </w:t>
      </w:r>
      <w:r w:rsidR="0007370C" w:rsidRPr="006733B7">
        <w:rPr>
          <w:sz w:val="22"/>
          <w:szCs w:val="22"/>
        </w:rPr>
        <w:t>Apparently</w:t>
      </w:r>
      <w:r w:rsidR="00EC09CA" w:rsidRPr="006733B7">
        <w:rPr>
          <w:sz w:val="22"/>
          <w:szCs w:val="22"/>
        </w:rPr>
        <w:t>,</w:t>
      </w:r>
      <w:r w:rsidR="0007370C" w:rsidRPr="006733B7">
        <w:rPr>
          <w:sz w:val="22"/>
          <w:szCs w:val="22"/>
        </w:rPr>
        <w:t xml:space="preserve"> the sectors clientele </w:t>
      </w:r>
      <w:r w:rsidR="00EC09CA" w:rsidRPr="006733B7">
        <w:rPr>
          <w:sz w:val="22"/>
          <w:szCs w:val="22"/>
        </w:rPr>
        <w:t>i</w:t>
      </w:r>
      <w:r w:rsidR="0007370C" w:rsidRPr="006733B7">
        <w:rPr>
          <w:sz w:val="22"/>
          <w:szCs w:val="22"/>
        </w:rPr>
        <w:t>s mainly focused on prices,</w:t>
      </w:r>
      <w:r w:rsidR="00EC09CA" w:rsidRPr="006733B7">
        <w:rPr>
          <w:sz w:val="22"/>
          <w:szCs w:val="22"/>
        </w:rPr>
        <w:t xml:space="preserve"> thereby crushing </w:t>
      </w:r>
      <w:r w:rsidR="0007370C" w:rsidRPr="006733B7">
        <w:rPr>
          <w:sz w:val="22"/>
          <w:szCs w:val="22"/>
        </w:rPr>
        <w:t xml:space="preserve">the sector’s </w:t>
      </w:r>
      <w:r w:rsidR="00EC09CA" w:rsidRPr="006733B7">
        <w:rPr>
          <w:sz w:val="22"/>
          <w:szCs w:val="22"/>
        </w:rPr>
        <w:t xml:space="preserve">premium margins. Low service differentiation amongst </w:t>
      </w:r>
      <w:r w:rsidR="0007370C" w:rsidRPr="006733B7">
        <w:rPr>
          <w:sz w:val="22"/>
          <w:szCs w:val="22"/>
        </w:rPr>
        <w:t xml:space="preserve">competitors </w:t>
      </w:r>
      <w:r w:rsidR="00EC09CA" w:rsidRPr="006733B7">
        <w:rPr>
          <w:sz w:val="22"/>
          <w:szCs w:val="22"/>
        </w:rPr>
        <w:t>caused</w:t>
      </w:r>
      <w:r w:rsidR="0007370C" w:rsidRPr="006733B7">
        <w:rPr>
          <w:sz w:val="22"/>
          <w:szCs w:val="22"/>
        </w:rPr>
        <w:t xml:space="preserve"> low switching costs for customers, low involvement of customers</w:t>
      </w:r>
      <w:r w:rsidR="00EC09CA" w:rsidRPr="006733B7">
        <w:rPr>
          <w:sz w:val="22"/>
          <w:szCs w:val="22"/>
        </w:rPr>
        <w:t xml:space="preserve"> and thus a low stability of customer relationships. On top, many existing competitors and many new suppliers of transportation and logistical services entering from new EU-me</w:t>
      </w:r>
      <w:r w:rsidR="0007370C" w:rsidRPr="006733B7">
        <w:rPr>
          <w:sz w:val="22"/>
          <w:szCs w:val="22"/>
        </w:rPr>
        <w:t xml:space="preserve">mber states </w:t>
      </w:r>
      <w:r w:rsidR="00EC09CA" w:rsidRPr="006733B7">
        <w:rPr>
          <w:sz w:val="22"/>
          <w:szCs w:val="22"/>
        </w:rPr>
        <w:t xml:space="preserve">provide heavy competition in the market. </w:t>
      </w:r>
      <w:r w:rsidR="006D3971" w:rsidRPr="006733B7">
        <w:rPr>
          <w:sz w:val="22"/>
          <w:szCs w:val="22"/>
        </w:rPr>
        <w:t xml:space="preserve"> As </w:t>
      </w:r>
      <w:r w:rsidR="00AD49E1" w:rsidRPr="006733B7">
        <w:rPr>
          <w:sz w:val="22"/>
          <w:szCs w:val="22"/>
        </w:rPr>
        <w:t>is evident from the surveys conducted by TLN (2011)</w:t>
      </w:r>
      <w:r w:rsidR="00980426" w:rsidRPr="006733B7">
        <w:rPr>
          <w:sz w:val="22"/>
          <w:szCs w:val="22"/>
        </w:rPr>
        <w:t xml:space="preserve">, there is a difference in profitability between the logistics service providers and transportation companies focusing on the more traditional task of transporting goods from </w:t>
      </w:r>
      <w:r w:rsidR="00684669" w:rsidRPr="006733B7">
        <w:rPr>
          <w:sz w:val="22"/>
          <w:szCs w:val="22"/>
        </w:rPr>
        <w:t xml:space="preserve">(international) </w:t>
      </w:r>
      <w:r w:rsidR="00980426" w:rsidRPr="006733B7">
        <w:rPr>
          <w:sz w:val="22"/>
          <w:szCs w:val="22"/>
        </w:rPr>
        <w:t xml:space="preserve">location A to B. This difference in profitability is presumably explained by </w:t>
      </w:r>
      <w:r w:rsidR="00980426" w:rsidRPr="006733B7">
        <w:rPr>
          <w:sz w:val="22"/>
          <w:szCs w:val="22"/>
        </w:rPr>
        <w:lastRenderedPageBreak/>
        <w:t xml:space="preserve">the fact that logistics services providers offer </w:t>
      </w:r>
      <w:r w:rsidR="003C37D9" w:rsidRPr="006733B7">
        <w:rPr>
          <w:sz w:val="22"/>
          <w:szCs w:val="22"/>
        </w:rPr>
        <w:t>a more differentiated service</w:t>
      </w:r>
      <w:r w:rsidR="00980426" w:rsidRPr="006733B7">
        <w:rPr>
          <w:sz w:val="22"/>
          <w:szCs w:val="22"/>
        </w:rPr>
        <w:t xml:space="preserve"> </w:t>
      </w:r>
      <w:r w:rsidR="003C37D9" w:rsidRPr="006733B7">
        <w:rPr>
          <w:sz w:val="22"/>
          <w:szCs w:val="22"/>
        </w:rPr>
        <w:t>than just</w:t>
      </w:r>
      <w:r w:rsidR="00980426" w:rsidRPr="006733B7">
        <w:rPr>
          <w:sz w:val="22"/>
          <w:szCs w:val="22"/>
        </w:rPr>
        <w:t xml:space="preserve"> (road</w:t>
      </w:r>
      <w:r w:rsidR="003C37D9" w:rsidRPr="006733B7">
        <w:rPr>
          <w:sz w:val="22"/>
          <w:szCs w:val="22"/>
        </w:rPr>
        <w:t>) haulage</w:t>
      </w:r>
      <w:r w:rsidR="00980426" w:rsidRPr="006733B7">
        <w:rPr>
          <w:sz w:val="22"/>
          <w:szCs w:val="22"/>
        </w:rPr>
        <w:t xml:space="preserve">: a service that seems to be commoditized. </w:t>
      </w:r>
    </w:p>
    <w:p w:rsidR="00C9619D" w:rsidRPr="006733B7" w:rsidRDefault="00066ADD" w:rsidP="000634A8">
      <w:pPr>
        <w:spacing w:line="360" w:lineRule="auto"/>
        <w:jc w:val="both"/>
        <w:rPr>
          <w:sz w:val="22"/>
          <w:szCs w:val="22"/>
        </w:rPr>
      </w:pPr>
      <w:r w:rsidRPr="006733B7">
        <w:rPr>
          <w:sz w:val="22"/>
          <w:szCs w:val="22"/>
        </w:rPr>
        <w:t xml:space="preserve">The purpose of this thesis is to study how logistics service providers in the Netherlands (try to) differentiate their business to be more than a commodity service for their customers. The objective of this thesis is to find out how, and to what extent, this is successfully done. To define the term logistics service providers, from now on this group will be defined as </w:t>
      </w:r>
      <w:r w:rsidR="00980154" w:rsidRPr="006733B7">
        <w:rPr>
          <w:sz w:val="22"/>
          <w:szCs w:val="22"/>
        </w:rPr>
        <w:t xml:space="preserve">third party logistics (hereinafter TPL) providers. TPL is a shared internationally used term of which the exact definition will be described in the following chapter. </w:t>
      </w:r>
      <w:r w:rsidR="00635099" w:rsidRPr="006733B7">
        <w:rPr>
          <w:sz w:val="22"/>
          <w:szCs w:val="22"/>
        </w:rPr>
        <w:t xml:space="preserve"> Because of this,</w:t>
      </w:r>
      <w:r w:rsidR="000634A8" w:rsidRPr="006733B7">
        <w:rPr>
          <w:sz w:val="22"/>
          <w:szCs w:val="22"/>
        </w:rPr>
        <w:t xml:space="preserve"> the following research question was formulated: </w:t>
      </w:r>
    </w:p>
    <w:tbl>
      <w:tblPr>
        <w:tblStyle w:val="Lichtearcering-accent6"/>
        <w:tblW w:w="0" w:type="auto"/>
        <w:tblLayout w:type="fixed"/>
        <w:tblLook w:val="04A0"/>
      </w:tblPr>
      <w:tblGrid>
        <w:gridCol w:w="9288"/>
      </w:tblGrid>
      <w:tr w:rsidR="00236316" w:rsidTr="003A6753">
        <w:trPr>
          <w:cnfStyle w:val="100000000000"/>
          <w:trHeight w:val="520"/>
        </w:trPr>
        <w:tc>
          <w:tcPr>
            <w:cnfStyle w:val="001000000000"/>
            <w:tcW w:w="9288" w:type="dxa"/>
            <w:vAlign w:val="center"/>
          </w:tcPr>
          <w:p w:rsidR="00236316" w:rsidRPr="00236316" w:rsidRDefault="00236316" w:rsidP="003A6753">
            <w:pPr>
              <w:spacing w:line="360" w:lineRule="auto"/>
              <w:jc w:val="center"/>
              <w:rPr>
                <w:rFonts w:asciiTheme="majorHAnsi" w:hAnsiTheme="majorHAnsi"/>
                <w:i/>
                <w:sz w:val="22"/>
                <w:szCs w:val="22"/>
              </w:rPr>
            </w:pPr>
            <w:r w:rsidRPr="00236316">
              <w:rPr>
                <w:rFonts w:asciiTheme="majorHAnsi" w:hAnsiTheme="majorHAnsi"/>
                <w:i/>
                <w:sz w:val="22"/>
                <w:szCs w:val="22"/>
              </w:rPr>
              <w:t xml:space="preserve">“How do third party logistics providers in the Netherlands develop their </w:t>
            </w:r>
            <w:r w:rsidR="003E69FA" w:rsidRPr="00236316">
              <w:rPr>
                <w:rFonts w:asciiTheme="majorHAnsi" w:hAnsiTheme="majorHAnsi"/>
                <w:i/>
                <w:sz w:val="22"/>
                <w:szCs w:val="22"/>
              </w:rPr>
              <w:t>busi</w:t>
            </w:r>
            <w:r w:rsidR="003E69FA">
              <w:rPr>
                <w:rFonts w:asciiTheme="majorHAnsi" w:hAnsiTheme="majorHAnsi"/>
                <w:i/>
                <w:sz w:val="22"/>
                <w:szCs w:val="22"/>
              </w:rPr>
              <w:t>ness?”</w:t>
            </w:r>
          </w:p>
        </w:tc>
      </w:tr>
    </w:tbl>
    <w:p w:rsidR="00241209" w:rsidRPr="006D2978" w:rsidRDefault="007E7A7A" w:rsidP="00773039">
      <w:pPr>
        <w:spacing w:line="360" w:lineRule="auto"/>
        <w:jc w:val="both"/>
        <w:rPr>
          <w:sz w:val="22"/>
          <w:szCs w:val="22"/>
        </w:rPr>
      </w:pPr>
      <w:r w:rsidRPr="006733B7">
        <w:rPr>
          <w:sz w:val="22"/>
          <w:szCs w:val="22"/>
        </w:rPr>
        <w:t xml:space="preserve">In recent years there has been much academic attention, interest and publications concerning third party logistics, although literature on the subject is typified by Selviaridis &amp; Spring (2007) </w:t>
      </w:r>
      <w:r w:rsidR="00086DB7" w:rsidRPr="006733B7">
        <w:rPr>
          <w:sz w:val="22"/>
          <w:szCs w:val="22"/>
        </w:rPr>
        <w:t xml:space="preserve">as being </w:t>
      </w:r>
      <w:r w:rsidR="00086DB7" w:rsidRPr="006D2978">
        <w:rPr>
          <w:sz w:val="22"/>
          <w:szCs w:val="22"/>
        </w:rPr>
        <w:t xml:space="preserve">disjointed. </w:t>
      </w:r>
      <w:r w:rsidR="0093536E" w:rsidRPr="006D2978">
        <w:rPr>
          <w:sz w:val="22"/>
          <w:szCs w:val="22"/>
        </w:rPr>
        <w:t xml:space="preserve"> </w:t>
      </w:r>
      <w:r w:rsidR="006B2AB9" w:rsidRPr="006D2978">
        <w:rPr>
          <w:sz w:val="22"/>
          <w:szCs w:val="22"/>
        </w:rPr>
        <w:t xml:space="preserve">The TPL definition seems overlapping and ambiguous. </w:t>
      </w:r>
      <w:r w:rsidR="00086DB7" w:rsidRPr="006D2978">
        <w:rPr>
          <w:sz w:val="22"/>
          <w:szCs w:val="22"/>
        </w:rPr>
        <w:t>An analyses on literature published between 1990 and 2005</w:t>
      </w:r>
      <w:r w:rsidR="000A6F56" w:rsidRPr="006D2978">
        <w:rPr>
          <w:sz w:val="22"/>
          <w:szCs w:val="22"/>
        </w:rPr>
        <w:t xml:space="preserve"> shows that most TPL studies (about 60</w:t>
      </w:r>
      <w:r w:rsidR="00086DB7" w:rsidRPr="006D2978">
        <w:rPr>
          <w:sz w:val="22"/>
          <w:szCs w:val="22"/>
        </w:rPr>
        <w:t>%) are empir</w:t>
      </w:r>
      <w:r w:rsidR="006B2AB9" w:rsidRPr="006D2978">
        <w:rPr>
          <w:sz w:val="22"/>
          <w:szCs w:val="22"/>
        </w:rPr>
        <w:t>ic</w:t>
      </w:r>
      <w:r w:rsidR="00086DB7" w:rsidRPr="006D2978">
        <w:rPr>
          <w:sz w:val="22"/>
          <w:szCs w:val="22"/>
        </w:rPr>
        <w:t>al-descriptive in nature</w:t>
      </w:r>
      <w:r w:rsidR="00241209" w:rsidRPr="006D2978">
        <w:rPr>
          <w:sz w:val="22"/>
          <w:szCs w:val="22"/>
        </w:rPr>
        <w:t xml:space="preserve"> (Marasco, 2007; Selviaridis &amp; Spring, 2007)</w:t>
      </w:r>
      <w:r w:rsidR="006B2AB9" w:rsidRPr="006D2978">
        <w:rPr>
          <w:sz w:val="22"/>
          <w:szCs w:val="22"/>
        </w:rPr>
        <w:t>. The most used methods employed for researching the subject are surveys (51%) and case studies (15%). TPL studies are weakly theorized: 69% of the papers are describing trends in the indu</w:t>
      </w:r>
      <w:r w:rsidR="00427963" w:rsidRPr="006D2978">
        <w:rPr>
          <w:sz w:val="22"/>
          <w:szCs w:val="22"/>
        </w:rPr>
        <w:t xml:space="preserve">stry without paying attention to a theoretical framework. Concluding with the level of analysis of TPL studies, 67% of the studies was focused on the firm level, either from the shipper’s or logistics service provider’s </w:t>
      </w:r>
      <w:r w:rsidR="003C37D9" w:rsidRPr="006D2978">
        <w:rPr>
          <w:sz w:val="22"/>
          <w:szCs w:val="22"/>
        </w:rPr>
        <w:t>viewpoint (</w:t>
      </w:r>
      <w:r w:rsidR="00427963" w:rsidRPr="006D2978">
        <w:rPr>
          <w:sz w:val="22"/>
          <w:szCs w:val="22"/>
        </w:rPr>
        <w:t>Selviaridis &amp; Spring, 2007).</w:t>
      </w:r>
      <w:r w:rsidR="00241209" w:rsidRPr="006D2978">
        <w:rPr>
          <w:sz w:val="22"/>
          <w:szCs w:val="22"/>
        </w:rPr>
        <w:t xml:space="preserve"> </w:t>
      </w:r>
    </w:p>
    <w:p w:rsidR="00427963" w:rsidRPr="006D2978" w:rsidRDefault="00241209" w:rsidP="00427963">
      <w:pPr>
        <w:spacing w:line="360" w:lineRule="auto"/>
        <w:jc w:val="both"/>
        <w:rPr>
          <w:sz w:val="22"/>
          <w:szCs w:val="22"/>
        </w:rPr>
      </w:pPr>
      <w:r w:rsidRPr="006D2978">
        <w:rPr>
          <w:sz w:val="22"/>
          <w:szCs w:val="22"/>
        </w:rPr>
        <w:t xml:space="preserve">Marasco (2007) reviewed 152 articles on </w:t>
      </w:r>
      <w:r w:rsidR="003C37D9" w:rsidRPr="006D2978">
        <w:rPr>
          <w:sz w:val="22"/>
          <w:szCs w:val="22"/>
        </w:rPr>
        <w:t>TPL published</w:t>
      </w:r>
      <w:r w:rsidRPr="006D2978">
        <w:rPr>
          <w:sz w:val="22"/>
          <w:szCs w:val="22"/>
        </w:rPr>
        <w:t xml:space="preserve"> between 1989-2006. She found out that early studies focused on the user of third party logistics services, but this is gradually changing</w:t>
      </w:r>
      <w:r w:rsidR="00C9619D" w:rsidRPr="006D2978">
        <w:rPr>
          <w:sz w:val="22"/>
          <w:szCs w:val="22"/>
        </w:rPr>
        <w:t xml:space="preserve">. More recent studies have turned their attention towards </w:t>
      </w:r>
      <w:r w:rsidR="00192DC0" w:rsidRPr="006D2978">
        <w:rPr>
          <w:sz w:val="22"/>
          <w:szCs w:val="22"/>
        </w:rPr>
        <w:t xml:space="preserve">TPL </w:t>
      </w:r>
      <w:r w:rsidR="00C9619D" w:rsidRPr="006D2978">
        <w:rPr>
          <w:sz w:val="22"/>
          <w:szCs w:val="22"/>
        </w:rPr>
        <w:t>providers. A possible explanation for this might be the fast expansion and transformation of the industry. Much of the research in this area has been focusing on the strategic development of third party logistics p</w:t>
      </w:r>
      <w:r w:rsidR="00192DC0" w:rsidRPr="006D2978">
        <w:rPr>
          <w:sz w:val="22"/>
          <w:szCs w:val="22"/>
        </w:rPr>
        <w:t>rovides, the services being offered and developed</w:t>
      </w:r>
      <w:r w:rsidR="00C9619D" w:rsidRPr="006D2978">
        <w:rPr>
          <w:sz w:val="22"/>
          <w:szCs w:val="22"/>
        </w:rPr>
        <w:t>, current status and</w:t>
      </w:r>
      <w:r w:rsidR="00192DC0" w:rsidRPr="006D2978">
        <w:rPr>
          <w:sz w:val="22"/>
          <w:szCs w:val="22"/>
        </w:rPr>
        <w:t xml:space="preserve"> their future prospects</w:t>
      </w:r>
      <w:r w:rsidR="00C9619D" w:rsidRPr="006D2978">
        <w:rPr>
          <w:sz w:val="22"/>
          <w:szCs w:val="22"/>
        </w:rPr>
        <w:t xml:space="preserve"> </w:t>
      </w:r>
      <w:r w:rsidR="00192DC0" w:rsidRPr="006D2978">
        <w:rPr>
          <w:sz w:val="22"/>
          <w:szCs w:val="22"/>
        </w:rPr>
        <w:t xml:space="preserve">(Marasco, 2007). Besides that, Marasco (2007) states that most recent studies are focusing more on the IT adaption of the industry since this is determined as key success factor for TPL providers. </w:t>
      </w:r>
      <w:r w:rsidR="00F92534" w:rsidRPr="006D2978">
        <w:rPr>
          <w:sz w:val="22"/>
          <w:szCs w:val="22"/>
        </w:rPr>
        <w:t>Still, Rahman (2011)</w:t>
      </w:r>
      <w:r w:rsidR="0093536E" w:rsidRPr="006D2978">
        <w:rPr>
          <w:sz w:val="22"/>
          <w:szCs w:val="22"/>
        </w:rPr>
        <w:t xml:space="preserve"> quotes that “</w:t>
      </w:r>
      <w:r w:rsidR="002920B6" w:rsidRPr="006D2978">
        <w:rPr>
          <w:rFonts w:cs="Times-Roman"/>
          <w:sz w:val="22"/>
          <w:szCs w:val="22"/>
        </w:rPr>
        <w:t>t</w:t>
      </w:r>
      <w:r w:rsidR="0093536E" w:rsidRPr="006D2978">
        <w:rPr>
          <w:rFonts w:cs="Times-Roman"/>
          <w:sz w:val="22"/>
          <w:szCs w:val="22"/>
        </w:rPr>
        <w:t>he vast majority of the 3PL studies have been conducted from the users’ perspective” (p. 5). Relatively little attention has been paid to the TPL service providers’ perspective, although even less attention has been pa</w:t>
      </w:r>
      <w:r w:rsidR="002920B6" w:rsidRPr="006D2978">
        <w:rPr>
          <w:rFonts w:cs="Times-Roman"/>
          <w:sz w:val="22"/>
          <w:szCs w:val="22"/>
        </w:rPr>
        <w:t>id to studies simultaneously examining users’ and providers’ perspectives</w:t>
      </w:r>
      <w:r w:rsidR="002920B6" w:rsidRPr="006D2978">
        <w:rPr>
          <w:rFonts w:ascii="Times-Roman" w:hAnsi="Times-Roman" w:cs="Times-Roman"/>
          <w:sz w:val="22"/>
          <w:szCs w:val="22"/>
        </w:rPr>
        <w:t xml:space="preserve"> (</w:t>
      </w:r>
      <w:r w:rsidR="002920B6" w:rsidRPr="006D2978">
        <w:rPr>
          <w:rFonts w:cs="Times-Roman"/>
          <w:sz w:val="22"/>
          <w:szCs w:val="22"/>
        </w:rPr>
        <w:t>Rahman, 2011).</w:t>
      </w:r>
    </w:p>
    <w:p w:rsidR="00233B37" w:rsidRDefault="00E35EF5" w:rsidP="00066ADD">
      <w:pPr>
        <w:spacing w:line="360" w:lineRule="auto"/>
        <w:jc w:val="both"/>
        <w:rPr>
          <w:sz w:val="22"/>
          <w:szCs w:val="22"/>
        </w:rPr>
      </w:pPr>
      <w:r w:rsidRPr="006D2978">
        <w:rPr>
          <w:sz w:val="22"/>
          <w:szCs w:val="22"/>
        </w:rPr>
        <w:t xml:space="preserve">This study contributes to the research field by focusing on the providers’ perspective. The level of analysis will be that of the Dutch TPL sector. The focus will be on describing trends in the industry </w:t>
      </w:r>
      <w:r w:rsidRPr="006D2978">
        <w:rPr>
          <w:sz w:val="22"/>
          <w:szCs w:val="22"/>
        </w:rPr>
        <w:lastRenderedPageBreak/>
        <w:t xml:space="preserve">and trying to link these trends with a </w:t>
      </w:r>
      <w:r w:rsidR="00782902" w:rsidRPr="006D2978">
        <w:rPr>
          <w:sz w:val="22"/>
          <w:szCs w:val="22"/>
        </w:rPr>
        <w:t xml:space="preserve">firm </w:t>
      </w:r>
      <w:r w:rsidRPr="006D2978">
        <w:rPr>
          <w:sz w:val="22"/>
          <w:szCs w:val="22"/>
        </w:rPr>
        <w:t>theoretical foundation. In general, the study will be descriptive in nature: describing how third party logistics providers in the Netherlands develop their business.</w:t>
      </w:r>
      <w:r w:rsidR="00782902" w:rsidRPr="006D2978">
        <w:rPr>
          <w:sz w:val="22"/>
          <w:szCs w:val="22"/>
        </w:rPr>
        <w:t xml:space="preserve"> Empirically, surveys will be used to obtain data. Although third party logistics conceived much attention during recent years, </w:t>
      </w:r>
      <w:r w:rsidR="003C37D9" w:rsidRPr="006D2978">
        <w:rPr>
          <w:sz w:val="22"/>
          <w:szCs w:val="22"/>
        </w:rPr>
        <w:t>fewer studies</w:t>
      </w:r>
      <w:r w:rsidR="00A24F02" w:rsidRPr="006D2978">
        <w:rPr>
          <w:sz w:val="22"/>
          <w:szCs w:val="22"/>
        </w:rPr>
        <w:t xml:space="preserve"> have been performed from a TPL providers’ perspective.  Studies on TPL providers identified some issues of importance such as </w:t>
      </w:r>
      <w:r w:rsidR="003C37D9" w:rsidRPr="006D2978">
        <w:rPr>
          <w:sz w:val="22"/>
          <w:szCs w:val="22"/>
        </w:rPr>
        <w:t>providers’</w:t>
      </w:r>
      <w:r w:rsidR="00A24F02" w:rsidRPr="006D2978">
        <w:rPr>
          <w:sz w:val="22"/>
          <w:szCs w:val="22"/>
        </w:rPr>
        <w:t xml:space="preserve"> strategic development and positioning, customer relationships, value added logistics, postponed manufacturing, competency development </w:t>
      </w:r>
      <w:r w:rsidR="00FC0D24" w:rsidRPr="006D2978">
        <w:rPr>
          <w:sz w:val="22"/>
          <w:szCs w:val="22"/>
        </w:rPr>
        <w:t xml:space="preserve">and TPL </w:t>
      </w:r>
      <w:r w:rsidR="003C37D9" w:rsidRPr="006D2978">
        <w:rPr>
          <w:sz w:val="22"/>
          <w:szCs w:val="22"/>
        </w:rPr>
        <w:t>providers’</w:t>
      </w:r>
      <w:r w:rsidR="00FC0D24" w:rsidRPr="006D2978">
        <w:rPr>
          <w:sz w:val="22"/>
          <w:szCs w:val="22"/>
        </w:rPr>
        <w:t xml:space="preserve"> position in the supply chain. By combining these issues, </w:t>
      </w:r>
      <w:r w:rsidR="00A328F2" w:rsidRPr="006D2978">
        <w:rPr>
          <w:sz w:val="22"/>
          <w:szCs w:val="22"/>
        </w:rPr>
        <w:t>t</w:t>
      </w:r>
      <w:r w:rsidR="00FC0D24" w:rsidRPr="006D2978">
        <w:rPr>
          <w:sz w:val="22"/>
          <w:szCs w:val="22"/>
        </w:rPr>
        <w:t>his research will be about differentiating services and developing</w:t>
      </w:r>
      <w:r w:rsidR="00A328F2" w:rsidRPr="006D2978">
        <w:rPr>
          <w:sz w:val="22"/>
          <w:szCs w:val="22"/>
        </w:rPr>
        <w:t xml:space="preserve"> the TPL</w:t>
      </w:r>
      <w:r w:rsidR="00FC0D24" w:rsidRPr="006D2978">
        <w:rPr>
          <w:sz w:val="22"/>
          <w:szCs w:val="22"/>
        </w:rPr>
        <w:t xml:space="preserve"> business to overcome the probl</w:t>
      </w:r>
      <w:r w:rsidR="00B95465" w:rsidRPr="006D2978">
        <w:rPr>
          <w:sz w:val="22"/>
          <w:szCs w:val="22"/>
        </w:rPr>
        <w:t xml:space="preserve">ems related </w:t>
      </w:r>
      <w:r w:rsidR="00513139" w:rsidRPr="006D2978">
        <w:rPr>
          <w:sz w:val="22"/>
          <w:szCs w:val="22"/>
        </w:rPr>
        <w:t>to commodity goods, thereby</w:t>
      </w:r>
      <w:r w:rsidR="00B95465" w:rsidRPr="006D2978">
        <w:rPr>
          <w:sz w:val="22"/>
          <w:szCs w:val="22"/>
        </w:rPr>
        <w:t xml:space="preserve"> be</w:t>
      </w:r>
      <w:r w:rsidR="00513139" w:rsidRPr="006D2978">
        <w:rPr>
          <w:sz w:val="22"/>
          <w:szCs w:val="22"/>
        </w:rPr>
        <w:t>coming</w:t>
      </w:r>
      <w:r w:rsidR="00B95465" w:rsidRPr="006D2978">
        <w:rPr>
          <w:sz w:val="22"/>
          <w:szCs w:val="22"/>
        </w:rPr>
        <w:t xml:space="preserve"> of strategic importance for their clients.</w:t>
      </w:r>
      <w:r w:rsidR="006D754D">
        <w:rPr>
          <w:sz w:val="22"/>
          <w:szCs w:val="22"/>
        </w:rPr>
        <w:t xml:space="preserve"> Concluding, figure 1 schematically shows the thesis framework.</w:t>
      </w:r>
    </w:p>
    <w:p w:rsidR="00211660" w:rsidRDefault="003D51C0" w:rsidP="00BC3892">
      <w:pPr>
        <w:rPr>
          <w:sz w:val="22"/>
          <w:szCs w:val="22"/>
        </w:rPr>
      </w:pPr>
      <w:r>
        <w:rPr>
          <w:noProof/>
          <w:sz w:val="22"/>
          <w:szCs w:val="22"/>
          <w:lang w:val="nl-NL" w:eastAsia="nl-NL" w:bidi="ar-SA"/>
        </w:rPr>
        <w:drawing>
          <wp:inline distT="0" distB="0" distL="0" distR="0">
            <wp:extent cx="5591175" cy="5772150"/>
            <wp:effectExtent l="19050" t="0" r="28575" b="0"/>
            <wp:docPr id="13" name="Di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BD64BC" w:rsidRDefault="00211660" w:rsidP="00211660">
      <w:pPr>
        <w:pStyle w:val="Bijschrift"/>
        <w:jc w:val="center"/>
        <w:rPr>
          <w:sz w:val="22"/>
          <w:szCs w:val="22"/>
        </w:rPr>
      </w:pPr>
      <w:r>
        <w:t>Figure 1 Thesis framework</w:t>
      </w:r>
      <w:r w:rsidR="00233B37">
        <w:rPr>
          <w:sz w:val="22"/>
          <w:szCs w:val="22"/>
        </w:rPr>
        <w:br w:type="page"/>
      </w:r>
    </w:p>
    <w:p w:rsidR="00BD64BC" w:rsidRPr="004A1087" w:rsidRDefault="00BD64BC" w:rsidP="00595FB8">
      <w:pPr>
        <w:pStyle w:val="Kop1"/>
        <w:numPr>
          <w:ilvl w:val="0"/>
          <w:numId w:val="14"/>
        </w:numPr>
        <w:spacing w:before="0" w:after="240"/>
        <w:rPr>
          <w:rFonts w:asciiTheme="majorHAnsi" w:hAnsiTheme="majorHAnsi"/>
        </w:rPr>
      </w:pPr>
      <w:bookmarkStart w:id="5" w:name="_Toc300411979"/>
      <w:r w:rsidRPr="004A1087">
        <w:rPr>
          <w:rFonts w:asciiTheme="majorHAnsi" w:hAnsiTheme="majorHAnsi"/>
        </w:rPr>
        <w:lastRenderedPageBreak/>
        <w:t>THEORETICAL FRAMEWORK</w:t>
      </w:r>
      <w:bookmarkEnd w:id="5"/>
    </w:p>
    <w:p w:rsidR="00CC4287" w:rsidRPr="00560CD8" w:rsidRDefault="00CC4287" w:rsidP="00066ADD">
      <w:pPr>
        <w:spacing w:line="360" w:lineRule="auto"/>
        <w:jc w:val="both"/>
        <w:rPr>
          <w:sz w:val="22"/>
          <w:szCs w:val="22"/>
        </w:rPr>
      </w:pPr>
      <w:r w:rsidRPr="006D2978">
        <w:rPr>
          <w:sz w:val="22"/>
          <w:szCs w:val="22"/>
        </w:rPr>
        <w:t xml:space="preserve">For understanding the development of TPL providers in the indentified issues of importance, such as </w:t>
      </w:r>
      <w:r w:rsidR="00CD740F">
        <w:rPr>
          <w:sz w:val="22"/>
          <w:szCs w:val="22"/>
        </w:rPr>
        <w:t xml:space="preserve">TPL </w:t>
      </w:r>
      <w:r w:rsidRPr="006D2978">
        <w:rPr>
          <w:sz w:val="22"/>
          <w:szCs w:val="22"/>
        </w:rPr>
        <w:t>providers’ strategic development and positioning, customer relationships, value added logistics, postponed manufacturing, competency development and TPL providers’ position in the supply chain</w:t>
      </w:r>
      <w:r w:rsidR="003E69FA" w:rsidRPr="006D2978">
        <w:rPr>
          <w:sz w:val="22"/>
          <w:szCs w:val="22"/>
        </w:rPr>
        <w:t>, business</w:t>
      </w:r>
      <w:r w:rsidRPr="00560CD8">
        <w:rPr>
          <w:sz w:val="22"/>
          <w:szCs w:val="22"/>
        </w:rPr>
        <w:t xml:space="preserve"> logistics and supply chain management literature will be used. </w:t>
      </w:r>
    </w:p>
    <w:p w:rsidR="00106F86" w:rsidRDefault="00CC4287" w:rsidP="00066ADD">
      <w:pPr>
        <w:spacing w:line="360" w:lineRule="auto"/>
        <w:jc w:val="both"/>
        <w:rPr>
          <w:sz w:val="22"/>
          <w:szCs w:val="22"/>
          <w:lang w:bidi="ar-SA"/>
        </w:rPr>
      </w:pPr>
      <w:r w:rsidRPr="00560CD8">
        <w:rPr>
          <w:sz w:val="22"/>
          <w:szCs w:val="22"/>
        </w:rPr>
        <w:t xml:space="preserve">The </w:t>
      </w:r>
      <w:r w:rsidR="008E7680">
        <w:rPr>
          <w:sz w:val="22"/>
          <w:szCs w:val="22"/>
        </w:rPr>
        <w:t xml:space="preserve">theoretical </w:t>
      </w:r>
      <w:r w:rsidRPr="00560CD8">
        <w:rPr>
          <w:sz w:val="22"/>
          <w:szCs w:val="22"/>
        </w:rPr>
        <w:t>frame</w:t>
      </w:r>
      <w:r w:rsidR="00605795">
        <w:rPr>
          <w:sz w:val="22"/>
          <w:szCs w:val="22"/>
        </w:rPr>
        <w:t>work is divided into eleven</w:t>
      </w:r>
      <w:r w:rsidRPr="00560CD8">
        <w:rPr>
          <w:sz w:val="22"/>
          <w:szCs w:val="22"/>
        </w:rPr>
        <w:t xml:space="preserve"> parts. The first part is a debate on </w:t>
      </w:r>
      <w:r w:rsidR="00D25FE8">
        <w:rPr>
          <w:sz w:val="22"/>
          <w:szCs w:val="22"/>
        </w:rPr>
        <w:t>the definition of TPL providers, in which the most relevant logistics service providers are discussed. It is important to distinguish between these ‘types’ of logistics services providers since they</w:t>
      </w:r>
      <w:r w:rsidR="00D25FE8">
        <w:t xml:space="preserve"> </w:t>
      </w:r>
      <w:r w:rsidR="00D25FE8">
        <w:rPr>
          <w:sz w:val="22"/>
          <w:szCs w:val="22"/>
        </w:rPr>
        <w:t xml:space="preserve">are often used interchangeably. </w:t>
      </w:r>
      <w:r w:rsidR="008E7680">
        <w:rPr>
          <w:sz w:val="22"/>
          <w:szCs w:val="22"/>
        </w:rPr>
        <w:t>After explaining why this thesis focuses on TPL providers, t</w:t>
      </w:r>
      <w:r w:rsidRPr="00560CD8">
        <w:rPr>
          <w:sz w:val="22"/>
          <w:szCs w:val="22"/>
        </w:rPr>
        <w:t xml:space="preserve">he second part describes the </w:t>
      </w:r>
      <w:r w:rsidR="0032605F" w:rsidRPr="00560CD8">
        <w:rPr>
          <w:sz w:val="22"/>
          <w:szCs w:val="22"/>
        </w:rPr>
        <w:t>histori</w:t>
      </w:r>
      <w:r w:rsidR="008E7680">
        <w:rPr>
          <w:sz w:val="22"/>
          <w:szCs w:val="22"/>
        </w:rPr>
        <w:t>cal development of this</w:t>
      </w:r>
      <w:r w:rsidR="009A5E67" w:rsidRPr="00560CD8">
        <w:rPr>
          <w:sz w:val="22"/>
          <w:szCs w:val="22"/>
        </w:rPr>
        <w:t xml:space="preserve"> TPL business</w:t>
      </w:r>
      <w:r w:rsidR="0032605F" w:rsidRPr="00560CD8">
        <w:rPr>
          <w:sz w:val="22"/>
          <w:szCs w:val="22"/>
        </w:rPr>
        <w:t>,</w:t>
      </w:r>
      <w:r w:rsidR="008E7680">
        <w:rPr>
          <w:sz w:val="22"/>
          <w:szCs w:val="22"/>
        </w:rPr>
        <w:t xml:space="preserve"> since this gives a better understanding of the features</w:t>
      </w:r>
      <w:r w:rsidR="00EB7E4F">
        <w:rPr>
          <w:sz w:val="22"/>
          <w:szCs w:val="22"/>
        </w:rPr>
        <w:t xml:space="preserve"> of the business. Moreover, describing past developments in the business</w:t>
      </w:r>
      <w:r w:rsidR="0032605F" w:rsidRPr="00560CD8">
        <w:rPr>
          <w:sz w:val="22"/>
          <w:szCs w:val="22"/>
        </w:rPr>
        <w:t xml:space="preserve"> </w:t>
      </w:r>
      <w:r w:rsidR="005422CB">
        <w:rPr>
          <w:sz w:val="22"/>
          <w:szCs w:val="22"/>
        </w:rPr>
        <w:t>will</w:t>
      </w:r>
      <w:r w:rsidR="00A0250C">
        <w:rPr>
          <w:sz w:val="22"/>
          <w:szCs w:val="22"/>
        </w:rPr>
        <w:t xml:space="preserve"> ensure that future developments in the industry are better understood. The reason for the existence of the industry lies in the fact that companies outsource their logistics. Thus, t</w:t>
      </w:r>
      <w:r w:rsidR="00CD740F" w:rsidRPr="00560CD8">
        <w:rPr>
          <w:sz w:val="22"/>
          <w:szCs w:val="22"/>
        </w:rPr>
        <w:t>he third part explains the</w:t>
      </w:r>
      <w:r w:rsidR="008E7680">
        <w:rPr>
          <w:sz w:val="22"/>
          <w:szCs w:val="22"/>
        </w:rPr>
        <w:t xml:space="preserve"> reasons and rationale companies have for outsourcing their logistics</w:t>
      </w:r>
      <w:r w:rsidR="00CD740F" w:rsidRPr="00560CD8">
        <w:rPr>
          <w:sz w:val="22"/>
          <w:szCs w:val="22"/>
        </w:rPr>
        <w:t xml:space="preserve">. </w:t>
      </w:r>
      <w:r w:rsidR="00A0250C">
        <w:rPr>
          <w:sz w:val="22"/>
          <w:szCs w:val="22"/>
          <w:lang w:bidi="ar-SA"/>
        </w:rPr>
        <w:t xml:space="preserve">How can the inter-organizational relationship between buyers and suppliers of TPL services be explained?  </w:t>
      </w:r>
      <w:r w:rsidR="00686571">
        <w:rPr>
          <w:sz w:val="22"/>
          <w:szCs w:val="22"/>
          <w:lang w:bidi="ar-SA"/>
        </w:rPr>
        <w:t>The first three parts are more or less introductory to the subject, while from the fourth part on the strategic development of third party logistics providers is examined on a number of key areas.</w:t>
      </w:r>
    </w:p>
    <w:p w:rsidR="00441BB4" w:rsidRPr="00E82BDC" w:rsidRDefault="00CD740F" w:rsidP="00066ADD">
      <w:pPr>
        <w:spacing w:line="360" w:lineRule="auto"/>
        <w:jc w:val="both"/>
        <w:rPr>
          <w:rFonts w:eastAsia="Times New Roman" w:cs="Arial"/>
          <w:color w:val="000000"/>
          <w:sz w:val="22"/>
          <w:szCs w:val="22"/>
          <w:lang w:eastAsia="nl-NL" w:bidi="ar-SA"/>
        </w:rPr>
      </w:pPr>
      <w:r w:rsidRPr="00560CD8">
        <w:rPr>
          <w:sz w:val="22"/>
          <w:szCs w:val="22"/>
        </w:rPr>
        <w:t>The fourth part analyzes TPL buyer-supplier relationships. Besides describing the current status of these relationships,</w:t>
      </w:r>
      <w:r w:rsidR="00106F86">
        <w:rPr>
          <w:sz w:val="22"/>
          <w:szCs w:val="22"/>
        </w:rPr>
        <w:t xml:space="preserve"> a prelude to the question how TPL relationships can be characterized,</w:t>
      </w:r>
      <w:r w:rsidRPr="00560CD8">
        <w:rPr>
          <w:sz w:val="22"/>
          <w:szCs w:val="22"/>
        </w:rPr>
        <w:t xml:space="preserve"> the agency theory and the network approach are applied on buyer-supplier links.</w:t>
      </w:r>
      <w:r w:rsidR="00106F86">
        <w:rPr>
          <w:sz w:val="22"/>
          <w:szCs w:val="22"/>
        </w:rPr>
        <w:t xml:space="preserve"> These theories have a totally different angle on establishing win-win relationships with mutual trust between the buyer and supplier of TPL services.</w:t>
      </w:r>
      <w:r w:rsidR="00686571">
        <w:rPr>
          <w:sz w:val="22"/>
          <w:szCs w:val="22"/>
        </w:rPr>
        <w:t xml:space="preserve"> </w:t>
      </w:r>
      <w:r w:rsidRPr="00560CD8">
        <w:rPr>
          <w:sz w:val="22"/>
          <w:szCs w:val="22"/>
        </w:rPr>
        <w:t>In part five, the geographic service area of TPL</w:t>
      </w:r>
      <w:r w:rsidR="00560CD8">
        <w:rPr>
          <w:sz w:val="22"/>
          <w:szCs w:val="22"/>
        </w:rPr>
        <w:t xml:space="preserve"> providers</w:t>
      </w:r>
      <w:r w:rsidRPr="00560CD8">
        <w:rPr>
          <w:sz w:val="22"/>
          <w:szCs w:val="22"/>
        </w:rPr>
        <w:t xml:space="preserve"> is analyzed. </w:t>
      </w:r>
      <w:r w:rsidR="002752F8">
        <w:rPr>
          <w:sz w:val="22"/>
          <w:szCs w:val="22"/>
        </w:rPr>
        <w:t>These parts gives insights in the (absent) geographical expansionist drive</w:t>
      </w:r>
      <w:r w:rsidR="00686571">
        <w:rPr>
          <w:sz w:val="22"/>
          <w:szCs w:val="22"/>
        </w:rPr>
        <w:t xml:space="preserve"> of TPL providers. </w:t>
      </w:r>
      <w:r w:rsidRPr="00560CD8">
        <w:rPr>
          <w:sz w:val="22"/>
          <w:szCs w:val="22"/>
        </w:rPr>
        <w:t>Part six is about TPL providers’ capabilities a</w:t>
      </w:r>
      <w:r w:rsidR="00FF0C8E">
        <w:rPr>
          <w:sz w:val="22"/>
          <w:szCs w:val="22"/>
        </w:rPr>
        <w:t>nd the role of path dependency. To what extent do TPL providers learn from existing and former client relationships? This is interesting because of</w:t>
      </w:r>
      <w:r w:rsidR="00FF0C8E" w:rsidRPr="00FF0C8E">
        <w:rPr>
          <w:rFonts w:eastAsia="Times New Roman" w:cs="Arial"/>
          <w:color w:val="000000"/>
          <w:sz w:val="22"/>
          <w:szCs w:val="22"/>
          <w:lang w:eastAsia="nl-NL" w:bidi="ar-SA"/>
        </w:rPr>
        <w:t xml:space="preserve"> </w:t>
      </w:r>
      <w:r w:rsidR="00FF0C8E">
        <w:rPr>
          <w:rFonts w:eastAsia="Times New Roman" w:cs="Arial"/>
          <w:color w:val="000000"/>
          <w:sz w:val="22"/>
          <w:szCs w:val="22"/>
          <w:lang w:eastAsia="nl-NL" w:bidi="ar-SA"/>
        </w:rPr>
        <w:t>the possible relevance of path dependency for TPL providers and their organizations’ capabilities and future strategic orientation.</w:t>
      </w:r>
      <w:r w:rsidR="00FF0C8E">
        <w:rPr>
          <w:sz w:val="22"/>
          <w:szCs w:val="22"/>
        </w:rPr>
        <w:t xml:space="preserve"> </w:t>
      </w:r>
      <w:r w:rsidRPr="00560CD8">
        <w:rPr>
          <w:sz w:val="22"/>
          <w:szCs w:val="22"/>
        </w:rPr>
        <w:t xml:space="preserve">The seventh part is about client specific investments, </w:t>
      </w:r>
      <w:r w:rsidR="00FF0C8E">
        <w:rPr>
          <w:sz w:val="22"/>
          <w:szCs w:val="22"/>
        </w:rPr>
        <w:t xml:space="preserve">since investment decisions have a </w:t>
      </w:r>
      <w:r w:rsidR="006F5B32">
        <w:rPr>
          <w:sz w:val="22"/>
          <w:szCs w:val="22"/>
        </w:rPr>
        <w:t>huge</w:t>
      </w:r>
      <w:r w:rsidR="00FF0C8E">
        <w:rPr>
          <w:sz w:val="22"/>
          <w:szCs w:val="22"/>
        </w:rPr>
        <w:t xml:space="preserve"> influence on future strategic development</w:t>
      </w:r>
      <w:r w:rsidR="006F5B32">
        <w:rPr>
          <w:sz w:val="22"/>
          <w:szCs w:val="22"/>
        </w:rPr>
        <w:t>. P</w:t>
      </w:r>
      <w:r w:rsidRPr="00560CD8">
        <w:rPr>
          <w:sz w:val="22"/>
          <w:szCs w:val="22"/>
        </w:rPr>
        <w:t>art eight focuses on the</w:t>
      </w:r>
      <w:r w:rsidR="00560CD8" w:rsidRPr="00560CD8">
        <w:rPr>
          <w:sz w:val="22"/>
          <w:szCs w:val="22"/>
        </w:rPr>
        <w:t xml:space="preserve"> tradeoff between offering general services versus the ability for customer adaption. </w:t>
      </w:r>
      <w:r w:rsidR="00773039" w:rsidRPr="00563BB0">
        <w:rPr>
          <w:rFonts w:eastAsia="Times New Roman" w:cs="Arial"/>
          <w:color w:val="000000"/>
          <w:sz w:val="22"/>
          <w:szCs w:val="22"/>
          <w:lang w:eastAsia="nl-NL" w:bidi="ar-SA"/>
        </w:rPr>
        <w:t>The depth</w:t>
      </w:r>
      <w:r w:rsidR="00773039">
        <w:rPr>
          <w:rFonts w:eastAsia="Times New Roman" w:cs="Arial"/>
          <w:color w:val="000000"/>
          <w:sz w:val="22"/>
          <w:szCs w:val="22"/>
          <w:lang w:eastAsia="nl-NL" w:bidi="ar-SA"/>
        </w:rPr>
        <w:t xml:space="preserve"> of the customer relationship and the degree of customer adaption</w:t>
      </w:r>
      <w:r w:rsidR="00773039" w:rsidRPr="00563BB0">
        <w:rPr>
          <w:rFonts w:eastAsia="Times New Roman" w:cs="Arial"/>
          <w:color w:val="000000"/>
          <w:sz w:val="22"/>
          <w:szCs w:val="22"/>
          <w:lang w:eastAsia="nl-NL" w:bidi="ar-SA"/>
        </w:rPr>
        <w:t xml:space="preserve"> has a negative impact on </w:t>
      </w:r>
      <w:r w:rsidR="00773039">
        <w:rPr>
          <w:rFonts w:eastAsia="Times New Roman" w:cs="Arial"/>
          <w:color w:val="000000"/>
          <w:sz w:val="22"/>
          <w:szCs w:val="22"/>
          <w:lang w:eastAsia="nl-NL" w:bidi="ar-SA"/>
        </w:rPr>
        <w:t>the general capabilities of the TPL provider</w:t>
      </w:r>
      <w:r w:rsidR="00773039" w:rsidRPr="00563BB0">
        <w:rPr>
          <w:rFonts w:eastAsia="Times New Roman" w:cs="Arial"/>
          <w:color w:val="000000"/>
          <w:sz w:val="22"/>
          <w:szCs w:val="22"/>
          <w:lang w:eastAsia="nl-NL" w:bidi="ar-SA"/>
        </w:rPr>
        <w:t xml:space="preserve"> and vice versa</w:t>
      </w:r>
      <w:r w:rsidR="00773039">
        <w:rPr>
          <w:rFonts w:eastAsia="Times New Roman" w:cs="Arial"/>
          <w:color w:val="000000"/>
          <w:sz w:val="22"/>
          <w:szCs w:val="22"/>
          <w:lang w:eastAsia="nl-NL" w:bidi="ar-SA"/>
        </w:rPr>
        <w:t xml:space="preserve">. This situation causes a strategic frontier. When having a deeper customer relationship, this will decline the actual number of clients you serve. From a strategic perspective, positioning along this strategic frontier involves how and where the TPL providers want to target a </w:t>
      </w:r>
      <w:r w:rsidR="00773039">
        <w:rPr>
          <w:rFonts w:eastAsia="Times New Roman" w:cs="Arial"/>
          <w:color w:val="000000"/>
          <w:sz w:val="22"/>
          <w:szCs w:val="22"/>
          <w:lang w:eastAsia="nl-NL" w:bidi="ar-SA"/>
        </w:rPr>
        <w:lastRenderedPageBreak/>
        <w:t>market and compete</w:t>
      </w:r>
      <w:sdt>
        <w:sdtPr>
          <w:rPr>
            <w:rFonts w:eastAsia="Times New Roman" w:cs="Arial"/>
            <w:color w:val="000000"/>
            <w:sz w:val="22"/>
            <w:szCs w:val="22"/>
            <w:lang w:eastAsia="nl-NL" w:bidi="ar-SA"/>
          </w:rPr>
          <w:id w:val="11391802"/>
          <w:citation/>
        </w:sdtPr>
        <w:sdtContent>
          <w:r w:rsidR="00BD69D8">
            <w:rPr>
              <w:rFonts w:eastAsia="Times New Roman" w:cs="Arial"/>
              <w:color w:val="000000"/>
              <w:sz w:val="22"/>
              <w:szCs w:val="22"/>
              <w:lang w:eastAsia="nl-NL" w:bidi="ar-SA"/>
            </w:rPr>
            <w:fldChar w:fldCharType="begin"/>
          </w:r>
          <w:r w:rsidR="00773039">
            <w:rPr>
              <w:rFonts w:eastAsia="Times New Roman" w:cs="Arial"/>
              <w:color w:val="000000"/>
              <w:sz w:val="22"/>
              <w:szCs w:val="22"/>
              <w:lang w:eastAsia="nl-NL" w:bidi="ar-SA"/>
            </w:rPr>
            <w:instrText xml:space="preserve"> CITATION Hoo93 \l 1033 </w:instrText>
          </w:r>
          <w:r w:rsidR="00BD69D8">
            <w:rPr>
              <w:rFonts w:eastAsia="Times New Roman" w:cs="Arial"/>
              <w:color w:val="000000"/>
              <w:sz w:val="22"/>
              <w:szCs w:val="22"/>
              <w:lang w:eastAsia="nl-NL" w:bidi="ar-SA"/>
            </w:rPr>
            <w:fldChar w:fldCharType="separate"/>
          </w:r>
          <w:r w:rsidR="00F26771">
            <w:rPr>
              <w:rFonts w:eastAsia="Times New Roman" w:cs="Arial"/>
              <w:noProof/>
              <w:color w:val="000000"/>
              <w:sz w:val="22"/>
              <w:szCs w:val="22"/>
              <w:lang w:eastAsia="nl-NL" w:bidi="ar-SA"/>
            </w:rPr>
            <w:t xml:space="preserve"> </w:t>
          </w:r>
          <w:r w:rsidR="00F26771" w:rsidRPr="00F26771">
            <w:rPr>
              <w:rFonts w:eastAsia="Times New Roman" w:cs="Arial"/>
              <w:noProof/>
              <w:color w:val="000000"/>
              <w:sz w:val="22"/>
              <w:szCs w:val="22"/>
              <w:lang w:eastAsia="nl-NL" w:bidi="ar-SA"/>
            </w:rPr>
            <w:t>(Hooley &amp; Saunders, 1993)</w:t>
          </w:r>
          <w:r w:rsidR="00BD69D8">
            <w:rPr>
              <w:rFonts w:eastAsia="Times New Roman" w:cs="Arial"/>
              <w:color w:val="000000"/>
              <w:sz w:val="22"/>
              <w:szCs w:val="22"/>
              <w:lang w:eastAsia="nl-NL" w:bidi="ar-SA"/>
            </w:rPr>
            <w:fldChar w:fldCharType="end"/>
          </w:r>
        </w:sdtContent>
      </w:sdt>
      <w:r w:rsidR="00773039">
        <w:rPr>
          <w:rFonts w:eastAsia="Times New Roman" w:cs="Arial"/>
          <w:color w:val="000000"/>
          <w:sz w:val="22"/>
          <w:szCs w:val="22"/>
          <w:lang w:eastAsia="nl-NL" w:bidi="ar-SA"/>
        </w:rPr>
        <w:t xml:space="preserve">. </w:t>
      </w:r>
      <w:r w:rsidR="00560CD8" w:rsidRPr="00560CD8">
        <w:rPr>
          <w:sz w:val="22"/>
          <w:szCs w:val="22"/>
        </w:rPr>
        <w:t xml:space="preserve">Part nine describes the environmental awareness in the TPL industry. </w:t>
      </w:r>
      <w:r w:rsidR="00773039">
        <w:rPr>
          <w:sz w:val="22"/>
          <w:szCs w:val="22"/>
        </w:rPr>
        <w:t xml:space="preserve">Being environmental sustainable could be seen as a way to attract (certain) clients. </w:t>
      </w:r>
      <w:r w:rsidR="00560CD8" w:rsidRPr="00560CD8">
        <w:rPr>
          <w:sz w:val="22"/>
          <w:szCs w:val="22"/>
        </w:rPr>
        <w:t xml:space="preserve">The tenth part is about which value added logistics TPL </w:t>
      </w:r>
      <w:r w:rsidR="003E69FA" w:rsidRPr="00560CD8">
        <w:rPr>
          <w:sz w:val="22"/>
          <w:szCs w:val="22"/>
        </w:rPr>
        <w:t>providers offer</w:t>
      </w:r>
      <w:r w:rsidR="00560CD8" w:rsidRPr="00560CD8">
        <w:rPr>
          <w:sz w:val="22"/>
          <w:szCs w:val="22"/>
        </w:rPr>
        <w:t>.</w:t>
      </w:r>
      <w:r w:rsidR="00773039">
        <w:rPr>
          <w:sz w:val="22"/>
          <w:szCs w:val="22"/>
        </w:rPr>
        <w:t xml:space="preserve"> Offering a wider variety of services is seen as a way to develop the TPL providers’ business.</w:t>
      </w:r>
      <w:r w:rsidR="00560CD8" w:rsidRPr="00560CD8">
        <w:rPr>
          <w:sz w:val="22"/>
          <w:szCs w:val="22"/>
        </w:rPr>
        <w:t xml:space="preserve"> Part eleven</w:t>
      </w:r>
      <w:r w:rsidR="00152DC7">
        <w:rPr>
          <w:sz w:val="22"/>
          <w:szCs w:val="22"/>
        </w:rPr>
        <w:t xml:space="preserve"> expands on part ten by describing</w:t>
      </w:r>
      <w:r w:rsidR="00560CD8" w:rsidRPr="00560CD8">
        <w:rPr>
          <w:sz w:val="22"/>
          <w:szCs w:val="22"/>
        </w:rPr>
        <w:t xml:space="preserve"> how TPL providers try to achieve their ambition of capturing a larger part of the supply chain. </w:t>
      </w:r>
      <w:r w:rsidR="00152DC7">
        <w:rPr>
          <w:sz w:val="22"/>
          <w:szCs w:val="22"/>
        </w:rPr>
        <w:t>External developments such as the wish to shorten supply chains (reducing costs), mass customization and related postponed manufacturing made TPL providers see the potential of these developments for their strategic development.</w:t>
      </w:r>
      <w:r w:rsidR="00CC645B">
        <w:rPr>
          <w:sz w:val="22"/>
          <w:szCs w:val="22"/>
        </w:rPr>
        <w:t xml:space="preserve"> Their interest for providing postponement driven services is clear. According to van Hoek (2000), </w:t>
      </w:r>
      <w:r w:rsidR="00CC645B" w:rsidRPr="00873C16">
        <w:rPr>
          <w:sz w:val="22"/>
          <w:szCs w:val="22"/>
        </w:rPr>
        <w:t>TPL providers started offering customization services, since this part of the supply chain has higher value-added activities and thus yields higher margins in comparison to distribution and storage.</w:t>
      </w:r>
      <w:r w:rsidR="00CC645B">
        <w:rPr>
          <w:sz w:val="22"/>
          <w:szCs w:val="22"/>
        </w:rPr>
        <w:t xml:space="preserve"> Concluding, after studying </w:t>
      </w:r>
      <w:r w:rsidR="00CC645B" w:rsidRPr="006D2978">
        <w:rPr>
          <w:sz w:val="22"/>
          <w:szCs w:val="22"/>
        </w:rPr>
        <w:t>business</w:t>
      </w:r>
      <w:r w:rsidR="00CC645B" w:rsidRPr="00560CD8">
        <w:rPr>
          <w:sz w:val="22"/>
          <w:szCs w:val="22"/>
        </w:rPr>
        <w:t xml:space="preserve"> logistics and supply chain management literature</w:t>
      </w:r>
      <w:r w:rsidR="00CC645B">
        <w:rPr>
          <w:sz w:val="22"/>
          <w:szCs w:val="22"/>
        </w:rPr>
        <w:t xml:space="preserve"> I think the mentioned topics give a good coverage of the different ways TPL providers’ business developments and strategic decision making take place.</w:t>
      </w:r>
      <w:r w:rsidR="00E82BDC">
        <w:rPr>
          <w:sz w:val="22"/>
          <w:szCs w:val="22"/>
        </w:rPr>
        <w:t xml:space="preserve"> While developing the theoretical framework, various sub-questions arose.</w:t>
      </w:r>
      <w:r w:rsidR="00605795">
        <w:rPr>
          <w:rFonts w:eastAsia="Times New Roman" w:cs="Arial"/>
          <w:color w:val="000000"/>
          <w:sz w:val="22"/>
          <w:szCs w:val="22"/>
          <w:lang w:eastAsia="nl-NL" w:bidi="ar-SA"/>
        </w:rPr>
        <w:t xml:space="preserve"> </w:t>
      </w:r>
      <w:r w:rsidR="00CC645B">
        <w:rPr>
          <w:sz w:val="22"/>
          <w:szCs w:val="22"/>
        </w:rPr>
        <w:t>The</w:t>
      </w:r>
      <w:r w:rsidR="00605795">
        <w:rPr>
          <w:sz w:val="22"/>
          <w:szCs w:val="22"/>
        </w:rPr>
        <w:t>se</w:t>
      </w:r>
      <w:r w:rsidR="00CC645B">
        <w:rPr>
          <w:sz w:val="22"/>
          <w:szCs w:val="22"/>
        </w:rPr>
        <w:t xml:space="preserve"> sub-questions give answer to the research-question, all from a different angle. When combining all the</w:t>
      </w:r>
      <w:r w:rsidR="00605795">
        <w:rPr>
          <w:sz w:val="22"/>
          <w:szCs w:val="22"/>
        </w:rPr>
        <w:t>se</w:t>
      </w:r>
      <w:r w:rsidR="00CC645B">
        <w:rPr>
          <w:sz w:val="22"/>
          <w:szCs w:val="22"/>
        </w:rPr>
        <w:t xml:space="preserve"> answers to the different sub-questions, the research-question can be answered. </w:t>
      </w:r>
      <w:r w:rsidR="00560CD8">
        <w:rPr>
          <w:sz w:val="22"/>
          <w:szCs w:val="22"/>
        </w:rPr>
        <w:t>Summarizing,</w:t>
      </w:r>
      <w:r w:rsidR="000D6D28" w:rsidRPr="00560CD8">
        <w:rPr>
          <w:sz w:val="22"/>
          <w:szCs w:val="22"/>
        </w:rPr>
        <w:t xml:space="preserve"> this theoretical framework</w:t>
      </w:r>
      <w:r w:rsidR="006D754D">
        <w:rPr>
          <w:sz w:val="22"/>
          <w:szCs w:val="22"/>
        </w:rPr>
        <w:t>, which is schematically shown in figure 2</w:t>
      </w:r>
      <w:r w:rsidR="002752F8">
        <w:rPr>
          <w:sz w:val="22"/>
          <w:szCs w:val="22"/>
        </w:rPr>
        <w:t xml:space="preserve">, </w:t>
      </w:r>
      <w:r w:rsidR="002752F8" w:rsidRPr="00560CD8">
        <w:rPr>
          <w:sz w:val="22"/>
          <w:szCs w:val="22"/>
        </w:rPr>
        <w:t>will</w:t>
      </w:r>
      <w:r w:rsidR="00AA16AA" w:rsidRPr="00560CD8">
        <w:rPr>
          <w:sz w:val="22"/>
          <w:szCs w:val="22"/>
        </w:rPr>
        <w:t xml:space="preserve"> form the basis for understanding the </w:t>
      </w:r>
      <w:r w:rsidR="00605795">
        <w:rPr>
          <w:sz w:val="22"/>
          <w:szCs w:val="22"/>
        </w:rPr>
        <w:t xml:space="preserve">strategic </w:t>
      </w:r>
      <w:r w:rsidR="00AA16AA" w:rsidRPr="00560CD8">
        <w:rPr>
          <w:sz w:val="22"/>
          <w:szCs w:val="22"/>
        </w:rPr>
        <w:t>development of</w:t>
      </w:r>
      <w:r w:rsidR="00AA16AA" w:rsidRPr="000D6D28">
        <w:rPr>
          <w:sz w:val="22"/>
          <w:szCs w:val="22"/>
        </w:rPr>
        <w:t xml:space="preserve"> TPL providers</w:t>
      </w:r>
      <w:r w:rsidR="00605795">
        <w:rPr>
          <w:sz w:val="22"/>
          <w:szCs w:val="22"/>
        </w:rPr>
        <w:t xml:space="preserve"> in the Netherlands</w:t>
      </w:r>
      <w:r w:rsidR="00AA16AA" w:rsidRPr="000D6D28">
        <w:rPr>
          <w:sz w:val="22"/>
          <w:szCs w:val="22"/>
        </w:rPr>
        <w:t xml:space="preserve">.  </w:t>
      </w:r>
    </w:p>
    <w:p w:rsidR="00605795" w:rsidRDefault="008B4E38" w:rsidP="00605795">
      <w:pPr>
        <w:keepNext/>
      </w:pPr>
      <w:r>
        <w:rPr>
          <w:rFonts w:asciiTheme="majorHAnsi" w:hAnsiTheme="majorHAnsi"/>
          <w:noProof/>
          <w:lang w:val="nl-NL" w:eastAsia="nl-NL" w:bidi="ar-SA"/>
        </w:rPr>
        <w:drawing>
          <wp:inline distT="0" distB="0" distL="0" distR="0">
            <wp:extent cx="5438775" cy="3790950"/>
            <wp:effectExtent l="19050" t="0" r="9525" b="0"/>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773039" w:rsidRPr="00605795" w:rsidRDefault="00605795" w:rsidP="00605795">
      <w:pPr>
        <w:pStyle w:val="Bijschrift"/>
        <w:jc w:val="center"/>
        <w:rPr>
          <w:rFonts w:asciiTheme="majorHAnsi" w:hAnsiTheme="majorHAnsi"/>
        </w:rPr>
      </w:pPr>
      <w:r>
        <w:t>Figure 2 Theoretical framework</w:t>
      </w:r>
    </w:p>
    <w:p w:rsidR="00441BB4" w:rsidRPr="004A1087" w:rsidRDefault="00186A14" w:rsidP="00605795">
      <w:pPr>
        <w:pStyle w:val="Kop2"/>
        <w:numPr>
          <w:ilvl w:val="1"/>
          <w:numId w:val="13"/>
        </w:numPr>
        <w:pBdr>
          <w:left w:val="single" w:sz="24" w:space="2" w:color="DBE5F1" w:themeColor="accent1" w:themeTint="33"/>
        </w:pBdr>
        <w:spacing w:after="240"/>
        <w:rPr>
          <w:rFonts w:asciiTheme="majorHAnsi" w:hAnsiTheme="majorHAnsi"/>
        </w:rPr>
      </w:pPr>
      <w:bookmarkStart w:id="6" w:name="_Toc300411980"/>
      <w:r w:rsidRPr="004A1087">
        <w:rPr>
          <w:rFonts w:asciiTheme="majorHAnsi" w:hAnsiTheme="majorHAnsi"/>
        </w:rPr>
        <w:lastRenderedPageBreak/>
        <w:t>Defining</w:t>
      </w:r>
      <w:r w:rsidR="00441BB4" w:rsidRPr="004A1087">
        <w:rPr>
          <w:rFonts w:asciiTheme="majorHAnsi" w:hAnsiTheme="majorHAnsi"/>
        </w:rPr>
        <w:t xml:space="preserve"> </w:t>
      </w:r>
      <w:r w:rsidR="000E365E" w:rsidRPr="004A1087">
        <w:rPr>
          <w:rFonts w:asciiTheme="majorHAnsi" w:hAnsiTheme="majorHAnsi"/>
        </w:rPr>
        <w:t>logistics services providers</w:t>
      </w:r>
      <w:bookmarkEnd w:id="6"/>
    </w:p>
    <w:p w:rsidR="00590513" w:rsidRPr="00595FB8" w:rsidRDefault="00595FB8" w:rsidP="00595FB8">
      <w:pPr>
        <w:spacing w:line="360" w:lineRule="auto"/>
        <w:jc w:val="both"/>
        <w:textAlignment w:val="top"/>
        <w:rPr>
          <w:rFonts w:eastAsia="Times New Roman" w:cs="Arial"/>
          <w:color w:val="888888"/>
          <w:sz w:val="22"/>
          <w:szCs w:val="22"/>
          <w:lang w:eastAsia="nl-NL" w:bidi="ar-SA"/>
        </w:rPr>
      </w:pPr>
      <w:r>
        <w:rPr>
          <w:sz w:val="22"/>
          <w:szCs w:val="22"/>
        </w:rPr>
        <w:t>The most relevant logistics services providers</w:t>
      </w:r>
      <w:r w:rsidR="00CA0E4B">
        <w:rPr>
          <w:sz w:val="22"/>
          <w:szCs w:val="22"/>
        </w:rPr>
        <w:t xml:space="preserve"> related to this research</w:t>
      </w:r>
      <w:r>
        <w:rPr>
          <w:sz w:val="22"/>
          <w:szCs w:val="22"/>
        </w:rPr>
        <w:t xml:space="preserve"> are discussed below. It is important to distinguish between third party logistics providers, fourth party logistics providers and carriers &amp; transport operators, since these ‘types’ of logistics services providers are often used interchangeably </w:t>
      </w:r>
      <w:r w:rsidRPr="00595FB8">
        <w:rPr>
          <w:rFonts w:eastAsia="Times New Roman" w:cs="Arial"/>
          <w:color w:val="000000"/>
          <w:sz w:val="22"/>
          <w:szCs w:val="22"/>
          <w:lang w:eastAsia="nl-NL" w:bidi="ar-SA"/>
        </w:rPr>
        <w:t xml:space="preserve">although there </w:t>
      </w:r>
      <w:r>
        <w:rPr>
          <w:rFonts w:eastAsia="Times New Roman" w:cs="Arial"/>
          <w:color w:val="000000"/>
          <w:sz w:val="22"/>
          <w:szCs w:val="22"/>
          <w:lang w:eastAsia="nl-NL" w:bidi="ar-SA"/>
        </w:rPr>
        <w:t xml:space="preserve">are substantial </w:t>
      </w:r>
      <w:r w:rsidRPr="00595FB8">
        <w:rPr>
          <w:rFonts w:eastAsia="Times New Roman" w:cs="Arial"/>
          <w:color w:val="000000"/>
          <w:sz w:val="22"/>
          <w:szCs w:val="22"/>
          <w:lang w:eastAsia="nl-NL" w:bidi="ar-SA"/>
        </w:rPr>
        <w:t xml:space="preserve">differences in </w:t>
      </w:r>
      <w:r w:rsidR="00CA0E4B">
        <w:rPr>
          <w:rFonts w:eastAsia="Times New Roman" w:cs="Arial"/>
          <w:color w:val="000000"/>
          <w:sz w:val="22"/>
          <w:szCs w:val="22"/>
          <w:lang w:eastAsia="nl-NL" w:bidi="ar-SA"/>
        </w:rPr>
        <w:t>the set</w:t>
      </w:r>
      <w:r w:rsidRPr="00595FB8">
        <w:rPr>
          <w:rFonts w:eastAsia="Times New Roman" w:cs="Arial"/>
          <w:color w:val="000000"/>
          <w:sz w:val="22"/>
          <w:szCs w:val="22"/>
          <w:lang w:eastAsia="nl-NL" w:bidi="ar-SA"/>
        </w:rPr>
        <w:t xml:space="preserve"> of services is that they offer</w:t>
      </w:r>
      <w:r w:rsidR="00CA0E4B">
        <w:rPr>
          <w:rFonts w:eastAsia="Times New Roman" w:cs="Arial"/>
          <w:color w:val="000000"/>
          <w:sz w:val="22"/>
          <w:szCs w:val="22"/>
          <w:lang w:eastAsia="nl-NL" w:bidi="ar-SA"/>
        </w:rPr>
        <w:t>.</w:t>
      </w:r>
    </w:p>
    <w:p w:rsidR="000E365E" w:rsidRPr="004A1087" w:rsidRDefault="000E365E" w:rsidP="00333945">
      <w:pPr>
        <w:pStyle w:val="Kop3"/>
        <w:numPr>
          <w:ilvl w:val="2"/>
          <w:numId w:val="13"/>
        </w:numPr>
        <w:spacing w:before="0"/>
        <w:rPr>
          <w:rFonts w:asciiTheme="majorHAnsi" w:hAnsiTheme="majorHAnsi"/>
        </w:rPr>
      </w:pPr>
      <w:bookmarkStart w:id="7" w:name="_Toc300411981"/>
      <w:r w:rsidRPr="004A1087">
        <w:rPr>
          <w:rFonts w:asciiTheme="majorHAnsi" w:hAnsiTheme="majorHAnsi"/>
        </w:rPr>
        <w:t>Third party logistics providers</w:t>
      </w:r>
      <w:bookmarkEnd w:id="7"/>
    </w:p>
    <w:p w:rsidR="00687171" w:rsidRPr="006D2978" w:rsidRDefault="00795933" w:rsidP="00186A14">
      <w:pPr>
        <w:spacing w:line="360" w:lineRule="auto"/>
        <w:jc w:val="both"/>
        <w:rPr>
          <w:sz w:val="22"/>
          <w:szCs w:val="22"/>
        </w:rPr>
      </w:pPr>
      <w:r w:rsidRPr="006D2978">
        <w:rPr>
          <w:sz w:val="22"/>
          <w:szCs w:val="22"/>
        </w:rPr>
        <w:t xml:space="preserve">Before we can answer the research question, it is important to define a TPL provider. As stated before, the TPL definition seems overlapping and ambiguous. </w:t>
      </w:r>
      <w:r w:rsidR="00F876FD" w:rsidRPr="006D2978">
        <w:rPr>
          <w:sz w:val="22"/>
          <w:szCs w:val="22"/>
        </w:rPr>
        <w:t xml:space="preserve">As the name third party logistics suggest, there also exist first and second parties. The first party is the shipper or supplier, so the origin of the goods that need to be transported. The second party is the buyer and thus the destination of the transported goods (Hertz &amp; Alfredsson, 2003). </w:t>
      </w:r>
      <w:r w:rsidR="009C0377" w:rsidRPr="006D2978">
        <w:rPr>
          <w:sz w:val="22"/>
          <w:szCs w:val="22"/>
        </w:rPr>
        <w:t xml:space="preserve">The term </w:t>
      </w:r>
      <w:r w:rsidR="003E69FA" w:rsidRPr="006D2978">
        <w:rPr>
          <w:sz w:val="22"/>
          <w:szCs w:val="22"/>
        </w:rPr>
        <w:t>‘third</w:t>
      </w:r>
      <w:r w:rsidR="009C0377" w:rsidRPr="006D2978">
        <w:rPr>
          <w:sz w:val="22"/>
          <w:szCs w:val="22"/>
        </w:rPr>
        <w:t xml:space="preserve"> party </w:t>
      </w:r>
      <w:r w:rsidR="003E69FA" w:rsidRPr="006D2978">
        <w:rPr>
          <w:sz w:val="22"/>
          <w:szCs w:val="22"/>
        </w:rPr>
        <w:t>logistics’ has</w:t>
      </w:r>
      <w:r w:rsidR="009C0377" w:rsidRPr="006D2978">
        <w:rPr>
          <w:sz w:val="22"/>
          <w:szCs w:val="22"/>
        </w:rPr>
        <w:t xml:space="preserve"> its origin in a triadic relationship between seller, buyer </w:t>
      </w:r>
      <w:r w:rsidR="003E69FA" w:rsidRPr="006D2978">
        <w:rPr>
          <w:sz w:val="22"/>
          <w:szCs w:val="22"/>
        </w:rPr>
        <w:t>and TPL</w:t>
      </w:r>
      <w:r w:rsidR="009C0377" w:rsidRPr="006D2978">
        <w:rPr>
          <w:sz w:val="22"/>
          <w:szCs w:val="22"/>
        </w:rPr>
        <w:t xml:space="preserve"> provider. Although the term TPL suggests that the relationship consists between three parties, in general, these relationships are mostly limited </w:t>
      </w:r>
      <w:r w:rsidR="003E69FA" w:rsidRPr="006D2978">
        <w:rPr>
          <w:sz w:val="22"/>
          <w:szCs w:val="22"/>
        </w:rPr>
        <w:t>to relationships</w:t>
      </w:r>
      <w:r w:rsidR="009C0377" w:rsidRPr="006D2978">
        <w:rPr>
          <w:sz w:val="22"/>
          <w:szCs w:val="22"/>
        </w:rPr>
        <w:t xml:space="preserve"> between seller and TPL provider or between buyer and TPL provider (Bask, 2001). </w:t>
      </w:r>
    </w:p>
    <w:p w:rsidR="006D2978" w:rsidRDefault="005E5DAF" w:rsidP="006D2978">
      <w:pPr>
        <w:keepNext/>
        <w:spacing w:line="360" w:lineRule="auto"/>
        <w:jc w:val="both"/>
      </w:pPr>
      <w:r>
        <w:rPr>
          <w:noProof/>
          <w:lang w:val="nl-NL" w:eastAsia="nl-NL" w:bidi="ar-SA"/>
        </w:rPr>
        <w:drawing>
          <wp:inline distT="0" distB="0" distL="0" distR="0">
            <wp:extent cx="5753100" cy="2790825"/>
            <wp:effectExtent l="19050" t="19050" r="19050" b="2857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srcRect/>
                    <a:stretch>
                      <a:fillRect/>
                    </a:stretch>
                  </pic:blipFill>
                  <pic:spPr bwMode="auto">
                    <a:xfrm>
                      <a:off x="0" y="0"/>
                      <a:ext cx="5753100" cy="2790825"/>
                    </a:xfrm>
                    <a:prstGeom prst="rect">
                      <a:avLst/>
                    </a:prstGeom>
                    <a:ln w="12700" cap="sq">
                      <a:solidFill>
                        <a:schemeClr val="accent1">
                          <a:lumMod val="75000"/>
                        </a:schemeClr>
                      </a:solidFill>
                      <a:prstDash val="solid"/>
                      <a:miter lim="800000"/>
                    </a:ln>
                    <a:effectLst/>
                  </pic:spPr>
                </pic:pic>
              </a:graphicData>
            </a:graphic>
          </wp:inline>
        </w:drawing>
      </w:r>
    </w:p>
    <w:p w:rsidR="00C467D1" w:rsidRDefault="00415B39" w:rsidP="00415B39">
      <w:pPr>
        <w:pStyle w:val="Bijschrift"/>
        <w:jc w:val="center"/>
      </w:pPr>
      <w:r>
        <w:t>F</w:t>
      </w:r>
      <w:r w:rsidR="00333945">
        <w:t>igure 3</w:t>
      </w:r>
      <w:r w:rsidR="006D2978">
        <w:t xml:space="preserve"> Triadic </w:t>
      </w:r>
      <w:r w:rsidR="003E69FA">
        <w:t>relationships</w:t>
      </w:r>
      <w:r w:rsidR="006D2978">
        <w:t xml:space="preserve"> among seller, buyer and third party logistics provider </w:t>
      </w:r>
      <w:r w:rsidR="00A86233">
        <w:rPr>
          <w:noProof/>
        </w:rPr>
        <w:t>(</w:t>
      </w:r>
      <w:r w:rsidR="00F82F81">
        <w:rPr>
          <w:noProof/>
        </w:rPr>
        <w:t xml:space="preserve">source: </w:t>
      </w:r>
      <w:r w:rsidR="00A86233">
        <w:rPr>
          <w:noProof/>
        </w:rPr>
        <w:t>Bask, 2001)</w:t>
      </w:r>
    </w:p>
    <w:p w:rsidR="00097C88" w:rsidRPr="000E365E" w:rsidRDefault="002D14AD" w:rsidP="005E5DAF">
      <w:pPr>
        <w:spacing w:line="360" w:lineRule="auto"/>
        <w:jc w:val="both"/>
        <w:rPr>
          <w:sz w:val="22"/>
          <w:szCs w:val="22"/>
        </w:rPr>
      </w:pPr>
      <w:r w:rsidRPr="000E365E">
        <w:rPr>
          <w:sz w:val="22"/>
          <w:szCs w:val="22"/>
        </w:rPr>
        <w:t>TPL providers have been classified according to their type and duration of relationships with clients, degree of customization, material flow characteristics, knowledge level of the provider and performed activities</w:t>
      </w:r>
      <w:r w:rsidR="000651F5" w:rsidRPr="000E365E">
        <w:rPr>
          <w:sz w:val="22"/>
          <w:szCs w:val="22"/>
        </w:rPr>
        <w:t xml:space="preserve">. Besides that, </w:t>
      </w:r>
      <w:r w:rsidRPr="000E365E">
        <w:rPr>
          <w:sz w:val="22"/>
          <w:szCs w:val="22"/>
        </w:rPr>
        <w:t>TPL providers can be characterized by to what extent TPL providers themselves are outsourcing (parts) of their logistics services and</w:t>
      </w:r>
      <w:r w:rsidR="000651F5" w:rsidRPr="000E365E">
        <w:rPr>
          <w:sz w:val="22"/>
          <w:szCs w:val="22"/>
        </w:rPr>
        <w:t xml:space="preserve"> to what extent the TPL business is more than just a side business to transport and/or warehousing</w:t>
      </w:r>
      <w:r w:rsidRPr="000E365E">
        <w:rPr>
          <w:sz w:val="22"/>
          <w:szCs w:val="22"/>
        </w:rPr>
        <w:t xml:space="preserve"> (Hertz &amp; Alfredsson, </w:t>
      </w:r>
      <w:r w:rsidRPr="000E365E">
        <w:rPr>
          <w:sz w:val="22"/>
          <w:szCs w:val="22"/>
        </w:rPr>
        <w:lastRenderedPageBreak/>
        <w:t>2003).</w:t>
      </w:r>
      <w:r w:rsidR="000651F5" w:rsidRPr="000E365E">
        <w:rPr>
          <w:sz w:val="22"/>
          <w:szCs w:val="22"/>
        </w:rPr>
        <w:t xml:space="preserve"> So,</w:t>
      </w:r>
      <w:r w:rsidRPr="000E365E">
        <w:rPr>
          <w:sz w:val="22"/>
          <w:szCs w:val="22"/>
        </w:rPr>
        <w:t xml:space="preserve"> </w:t>
      </w:r>
      <w:r w:rsidR="00551D93" w:rsidRPr="000E365E">
        <w:rPr>
          <w:sz w:val="22"/>
          <w:szCs w:val="22"/>
        </w:rPr>
        <w:t>TPL has many definitions</w:t>
      </w:r>
      <w:r w:rsidR="009C79D7" w:rsidRPr="000E365E">
        <w:rPr>
          <w:sz w:val="22"/>
          <w:szCs w:val="22"/>
        </w:rPr>
        <w:t xml:space="preserve">, which can be divided into a number of broad and </w:t>
      </w:r>
      <w:r w:rsidR="003E69FA" w:rsidRPr="000E365E">
        <w:rPr>
          <w:sz w:val="22"/>
          <w:szCs w:val="22"/>
        </w:rPr>
        <w:t>narrower</w:t>
      </w:r>
      <w:r w:rsidR="009C79D7" w:rsidRPr="000E365E">
        <w:rPr>
          <w:sz w:val="22"/>
          <w:szCs w:val="22"/>
        </w:rPr>
        <w:t xml:space="preserve"> definitions/interpretations. An example of a broad definition is given by Lieb (1992). According to Lieb (1992), </w:t>
      </w:r>
      <w:r w:rsidR="00186A14" w:rsidRPr="000E365E">
        <w:rPr>
          <w:sz w:val="22"/>
          <w:szCs w:val="22"/>
        </w:rPr>
        <w:t xml:space="preserve">TPL involves </w:t>
      </w:r>
      <w:r w:rsidR="00186A14" w:rsidRPr="000E365E">
        <w:rPr>
          <w:i/>
          <w:sz w:val="22"/>
          <w:szCs w:val="22"/>
        </w:rPr>
        <w:t>‘’</w:t>
      </w:r>
      <w:r w:rsidR="00186A14" w:rsidRPr="000E365E">
        <w:rPr>
          <w:rFonts w:cs="AdvTimes"/>
          <w:i/>
          <w:sz w:val="22"/>
          <w:szCs w:val="22"/>
        </w:rPr>
        <w:t>the use of external companies to perform logistics functions that have traditionally been performed within an organization. The functions performed by the third party can encompass the entire logistics</w:t>
      </w:r>
      <w:r w:rsidR="00186A14" w:rsidRPr="000E365E">
        <w:rPr>
          <w:i/>
          <w:sz w:val="22"/>
          <w:szCs w:val="22"/>
        </w:rPr>
        <w:t xml:space="preserve"> </w:t>
      </w:r>
      <w:r w:rsidR="00186A14" w:rsidRPr="000E365E">
        <w:rPr>
          <w:rFonts w:cs="AdvTimes"/>
          <w:i/>
          <w:sz w:val="22"/>
          <w:szCs w:val="22"/>
        </w:rPr>
        <w:t>process or selected activities within that process’’</w:t>
      </w:r>
      <w:r w:rsidR="00901543" w:rsidRPr="000E365E">
        <w:rPr>
          <w:rFonts w:cs="AdvTimes"/>
          <w:i/>
          <w:sz w:val="22"/>
          <w:szCs w:val="22"/>
        </w:rPr>
        <w:t xml:space="preserve"> </w:t>
      </w:r>
      <w:r w:rsidR="00901543" w:rsidRPr="000E365E">
        <w:rPr>
          <w:rFonts w:cs="AdvTimes"/>
          <w:sz w:val="22"/>
          <w:szCs w:val="22"/>
        </w:rPr>
        <w:t>(p. 29)</w:t>
      </w:r>
      <w:r w:rsidR="00186A14" w:rsidRPr="000E365E">
        <w:rPr>
          <w:rFonts w:cs="AdvTimes"/>
          <w:i/>
          <w:sz w:val="22"/>
          <w:szCs w:val="22"/>
        </w:rPr>
        <w:t>.</w:t>
      </w:r>
      <w:r w:rsidR="00186A14" w:rsidRPr="000E365E">
        <w:rPr>
          <w:rFonts w:cs="AdvTimes"/>
          <w:sz w:val="22"/>
          <w:szCs w:val="22"/>
        </w:rPr>
        <w:t xml:space="preserve"> </w:t>
      </w:r>
    </w:p>
    <w:p w:rsidR="00186A14" w:rsidRPr="000E365E" w:rsidRDefault="00186A14" w:rsidP="00186A14">
      <w:pPr>
        <w:spacing w:line="360" w:lineRule="auto"/>
        <w:jc w:val="both"/>
        <w:rPr>
          <w:rFonts w:cs="AdvTimes"/>
          <w:i/>
          <w:color w:val="000000"/>
          <w:sz w:val="22"/>
          <w:szCs w:val="22"/>
        </w:rPr>
      </w:pPr>
      <w:r w:rsidRPr="000E365E">
        <w:rPr>
          <w:rFonts w:cs="AdvTimes"/>
          <w:sz w:val="22"/>
          <w:szCs w:val="22"/>
        </w:rPr>
        <w:t xml:space="preserve">An example of a more narrow definition is given by </w:t>
      </w:r>
      <w:r w:rsidR="00901543" w:rsidRPr="000E365E">
        <w:rPr>
          <w:rFonts w:cs="AdvTimes"/>
          <w:sz w:val="22"/>
          <w:szCs w:val="22"/>
        </w:rPr>
        <w:t>Berglund et al. (1999)</w:t>
      </w:r>
      <w:r w:rsidRPr="000E365E">
        <w:rPr>
          <w:rFonts w:cs="AdvTimes"/>
          <w:sz w:val="22"/>
          <w:szCs w:val="22"/>
        </w:rPr>
        <w:t xml:space="preserve">: </w:t>
      </w:r>
      <w:r w:rsidRPr="000E365E">
        <w:rPr>
          <w:rFonts w:cs="AdvTimes"/>
          <w:i/>
          <w:color w:val="000000"/>
          <w:sz w:val="22"/>
          <w:szCs w:val="22"/>
        </w:rPr>
        <w:t>‘‘Third-party logistics are activities carried out by a logistics service provider on behalf of a shipper and consisting of at least management and execution of transportation and warehousing. In addition, other activities can be included, for example inventory management, information related activities, such as tracking and tracing, value added activities, such as secondary assembly and installation of products, or even supply chain management. Also, the contract is required to contain some management, analytical or design activities, and the length of the co-operation between shipper and</w:t>
      </w:r>
      <w:r w:rsidRPr="000E365E">
        <w:rPr>
          <w:rFonts w:cs="AdvTimes"/>
          <w:i/>
          <w:sz w:val="22"/>
          <w:szCs w:val="22"/>
        </w:rPr>
        <w:t xml:space="preserve"> </w:t>
      </w:r>
      <w:r w:rsidRPr="000E365E">
        <w:rPr>
          <w:rFonts w:cs="AdvTimes"/>
          <w:i/>
          <w:color w:val="000000"/>
          <w:sz w:val="22"/>
          <w:szCs w:val="22"/>
        </w:rPr>
        <w:t>provider to be at least one year, to distinguish third party logistics from traditional ‘‘arm’s length’’ sourcing of transportation and/or warehousing’’</w:t>
      </w:r>
      <w:r w:rsidR="00901543" w:rsidRPr="000E365E">
        <w:rPr>
          <w:rFonts w:cs="AdvTimes"/>
          <w:color w:val="000000"/>
          <w:sz w:val="22"/>
          <w:szCs w:val="22"/>
        </w:rPr>
        <w:t>(p. 59)</w:t>
      </w:r>
      <w:r w:rsidRPr="000E365E">
        <w:rPr>
          <w:rFonts w:cs="AdvTimes"/>
          <w:i/>
          <w:color w:val="000000"/>
          <w:sz w:val="22"/>
          <w:szCs w:val="22"/>
        </w:rPr>
        <w:t xml:space="preserve">. </w:t>
      </w:r>
      <w:r w:rsidR="00097C88" w:rsidRPr="000E365E">
        <w:rPr>
          <w:rFonts w:cs="AdvTimes"/>
          <w:color w:val="000000"/>
          <w:sz w:val="22"/>
          <w:szCs w:val="22"/>
        </w:rPr>
        <w:t>While Berglund et al. (1999) stress a broad range of logistics services and the duration of the contract, Murphy and Poist (1998</w:t>
      </w:r>
      <w:r w:rsidR="00000FEE" w:rsidRPr="000E365E">
        <w:rPr>
          <w:rFonts w:cs="AdvTimes"/>
          <w:color w:val="000000"/>
          <w:sz w:val="22"/>
          <w:szCs w:val="22"/>
        </w:rPr>
        <w:t xml:space="preserve">) also </w:t>
      </w:r>
      <w:r w:rsidR="006C2014" w:rsidRPr="000E365E">
        <w:rPr>
          <w:rFonts w:cs="AdvTimes"/>
          <w:color w:val="000000"/>
          <w:sz w:val="22"/>
          <w:szCs w:val="22"/>
        </w:rPr>
        <w:t>stress</w:t>
      </w:r>
      <w:r w:rsidR="00000FEE" w:rsidRPr="000E365E">
        <w:rPr>
          <w:rFonts w:cs="AdvTimes"/>
          <w:color w:val="000000"/>
          <w:sz w:val="22"/>
          <w:szCs w:val="22"/>
        </w:rPr>
        <w:t xml:space="preserve"> the win-win nature of the involved relationship. They state that TPL involves </w:t>
      </w:r>
      <w:r w:rsidR="00000FEE" w:rsidRPr="000E365E">
        <w:rPr>
          <w:rFonts w:cs="AdvTimes"/>
          <w:i/>
          <w:color w:val="000000"/>
          <w:sz w:val="22"/>
          <w:szCs w:val="22"/>
        </w:rPr>
        <w:t>‘‘a relationship between a shipper and third party, which, compared with basic services, has more customized offerings, encompasses a broader number of service functions and is characterized by a longer term, more mutually beneficial relationship’’</w:t>
      </w:r>
      <w:r w:rsidR="00901543" w:rsidRPr="000E365E">
        <w:rPr>
          <w:rFonts w:cs="AdvTimes"/>
          <w:color w:val="000000"/>
          <w:sz w:val="22"/>
          <w:szCs w:val="22"/>
        </w:rPr>
        <w:t>(p. 26)</w:t>
      </w:r>
      <w:r w:rsidR="00901543" w:rsidRPr="000E365E">
        <w:rPr>
          <w:rFonts w:cs="AdvTimes"/>
          <w:i/>
          <w:color w:val="000000"/>
          <w:sz w:val="22"/>
          <w:szCs w:val="22"/>
        </w:rPr>
        <w:t xml:space="preserve"> </w:t>
      </w:r>
      <w:r w:rsidR="00000FEE" w:rsidRPr="000E365E">
        <w:rPr>
          <w:rFonts w:cs="AdvTimes"/>
          <w:i/>
          <w:color w:val="000000"/>
          <w:sz w:val="22"/>
          <w:szCs w:val="22"/>
        </w:rPr>
        <w:t>.</w:t>
      </w:r>
    </w:p>
    <w:p w:rsidR="005E5DAF" w:rsidRPr="000E365E" w:rsidRDefault="00000FEE" w:rsidP="00901543">
      <w:pPr>
        <w:autoSpaceDE w:val="0"/>
        <w:autoSpaceDN w:val="0"/>
        <w:adjustRightInd w:val="0"/>
        <w:spacing w:after="0" w:line="360" w:lineRule="auto"/>
        <w:jc w:val="both"/>
        <w:rPr>
          <w:rFonts w:cs="AdvTimes"/>
          <w:color w:val="000000"/>
          <w:sz w:val="22"/>
          <w:szCs w:val="22"/>
        </w:rPr>
      </w:pPr>
      <w:r w:rsidRPr="000E365E">
        <w:rPr>
          <w:rFonts w:cs="AdvTimes"/>
          <w:color w:val="000000"/>
          <w:sz w:val="22"/>
          <w:szCs w:val="22"/>
        </w:rPr>
        <w:t xml:space="preserve">Although the above mentioned broader and narrower definitions give </w:t>
      </w:r>
      <w:r w:rsidR="003E69FA" w:rsidRPr="000E365E">
        <w:rPr>
          <w:rFonts w:cs="AdvTimes"/>
          <w:color w:val="000000"/>
          <w:sz w:val="22"/>
          <w:szCs w:val="22"/>
        </w:rPr>
        <w:t>a</w:t>
      </w:r>
      <w:r w:rsidRPr="000E365E">
        <w:rPr>
          <w:rFonts w:cs="AdvTimes"/>
          <w:color w:val="000000"/>
          <w:sz w:val="22"/>
          <w:szCs w:val="22"/>
        </w:rPr>
        <w:t xml:space="preserve"> </w:t>
      </w:r>
      <w:r w:rsidR="00C46D42" w:rsidRPr="000E365E">
        <w:rPr>
          <w:rFonts w:cs="AdvTimes"/>
          <w:color w:val="000000"/>
          <w:sz w:val="22"/>
          <w:szCs w:val="22"/>
        </w:rPr>
        <w:t xml:space="preserve">good </w:t>
      </w:r>
      <w:r w:rsidRPr="000E365E">
        <w:rPr>
          <w:rFonts w:cs="AdvTimes"/>
          <w:color w:val="000000"/>
          <w:sz w:val="22"/>
          <w:szCs w:val="22"/>
        </w:rPr>
        <w:t>idea about how to interpret TPL, another definition is applied in this study</w:t>
      </w:r>
      <w:r w:rsidR="00580421" w:rsidRPr="000E365E">
        <w:rPr>
          <w:rFonts w:cs="AdvTimes"/>
          <w:color w:val="000000"/>
          <w:sz w:val="22"/>
          <w:szCs w:val="22"/>
        </w:rPr>
        <w:t>. This can be justified by the fact that the broad definition is just that (or even to</w:t>
      </w:r>
      <w:r w:rsidR="00C46D42" w:rsidRPr="000E365E">
        <w:rPr>
          <w:rFonts w:cs="AdvTimes"/>
          <w:color w:val="000000"/>
          <w:sz w:val="22"/>
          <w:szCs w:val="22"/>
        </w:rPr>
        <w:t>o</w:t>
      </w:r>
      <w:r w:rsidR="00580421" w:rsidRPr="000E365E">
        <w:rPr>
          <w:rFonts w:cs="AdvTimes"/>
          <w:color w:val="000000"/>
          <w:sz w:val="22"/>
          <w:szCs w:val="22"/>
        </w:rPr>
        <w:t xml:space="preserve"> broad) and the narrow definitions putting, in my opinion, too much emphasize on the long duration of the contract, the broad range of services and the level of customization. An intermediate between the broader and narrower views of TPL is found in the definition given by Bask (2001)</w:t>
      </w:r>
      <w:r w:rsidR="00901543" w:rsidRPr="000E365E">
        <w:rPr>
          <w:rFonts w:cs="AdvTimes"/>
          <w:color w:val="000000"/>
          <w:sz w:val="22"/>
          <w:szCs w:val="22"/>
        </w:rPr>
        <w:t xml:space="preserve">. He describes TPL as </w:t>
      </w:r>
      <w:r w:rsidR="00097C88" w:rsidRPr="000E365E">
        <w:rPr>
          <w:rFonts w:cs="AdvTimes"/>
          <w:i/>
          <w:color w:val="000000"/>
          <w:sz w:val="22"/>
          <w:szCs w:val="22"/>
        </w:rPr>
        <w:t xml:space="preserve"> ‘‘relationships between interfaces</w:t>
      </w:r>
      <w:r w:rsidR="00901543" w:rsidRPr="000E365E">
        <w:rPr>
          <w:rFonts w:cs="AdvTimes"/>
          <w:i/>
          <w:color w:val="000000"/>
          <w:sz w:val="22"/>
          <w:szCs w:val="22"/>
        </w:rPr>
        <w:t xml:space="preserve"> </w:t>
      </w:r>
      <w:r w:rsidR="00097C88" w:rsidRPr="000E365E">
        <w:rPr>
          <w:rFonts w:cs="AdvTimes"/>
          <w:i/>
          <w:color w:val="000000"/>
          <w:sz w:val="22"/>
          <w:szCs w:val="22"/>
        </w:rPr>
        <w:t>in the supply chains and third-party logistics</w:t>
      </w:r>
      <w:r w:rsidR="00901543" w:rsidRPr="000E365E">
        <w:rPr>
          <w:rFonts w:cs="AdvTimes"/>
          <w:i/>
          <w:color w:val="000000"/>
          <w:sz w:val="22"/>
          <w:szCs w:val="22"/>
        </w:rPr>
        <w:t xml:space="preserve"> </w:t>
      </w:r>
      <w:r w:rsidR="00097C88" w:rsidRPr="000E365E">
        <w:rPr>
          <w:rFonts w:cs="AdvTimes"/>
          <w:i/>
          <w:color w:val="000000"/>
          <w:sz w:val="22"/>
          <w:szCs w:val="22"/>
        </w:rPr>
        <w:t>providers, where logistics services are offered, from</w:t>
      </w:r>
      <w:r w:rsidR="00901543" w:rsidRPr="000E365E">
        <w:rPr>
          <w:rFonts w:cs="AdvTimes"/>
          <w:i/>
          <w:color w:val="000000"/>
          <w:sz w:val="22"/>
          <w:szCs w:val="22"/>
        </w:rPr>
        <w:t xml:space="preserve"> </w:t>
      </w:r>
      <w:r w:rsidR="00097C88" w:rsidRPr="000E365E">
        <w:rPr>
          <w:rFonts w:cs="AdvTimes"/>
          <w:i/>
          <w:color w:val="000000"/>
          <w:sz w:val="22"/>
          <w:szCs w:val="22"/>
        </w:rPr>
        <w:t xml:space="preserve">basic to customized ones, in a shorter or </w:t>
      </w:r>
      <w:r w:rsidR="00901543" w:rsidRPr="000E365E">
        <w:rPr>
          <w:rFonts w:cs="AdvTimes"/>
          <w:i/>
          <w:color w:val="000000"/>
          <w:sz w:val="22"/>
          <w:szCs w:val="22"/>
        </w:rPr>
        <w:t xml:space="preserve">longer term </w:t>
      </w:r>
      <w:r w:rsidR="00097C88" w:rsidRPr="000E365E">
        <w:rPr>
          <w:rFonts w:cs="AdvTimes"/>
          <w:i/>
          <w:color w:val="000000"/>
          <w:sz w:val="22"/>
          <w:szCs w:val="22"/>
        </w:rPr>
        <w:t>relationship, with the aim of effectiveness and</w:t>
      </w:r>
      <w:r w:rsidR="00901543" w:rsidRPr="000E365E">
        <w:rPr>
          <w:rFonts w:cs="AdvTimes"/>
          <w:i/>
          <w:color w:val="000000"/>
          <w:sz w:val="22"/>
          <w:szCs w:val="22"/>
        </w:rPr>
        <w:t xml:space="preserve"> </w:t>
      </w:r>
      <w:r w:rsidR="00097C88" w:rsidRPr="000E365E">
        <w:rPr>
          <w:rFonts w:cs="AdvTimes"/>
          <w:i/>
          <w:color w:val="000000"/>
          <w:sz w:val="22"/>
          <w:szCs w:val="22"/>
        </w:rPr>
        <w:t>efficiency’’</w:t>
      </w:r>
      <w:r w:rsidR="00901543" w:rsidRPr="000E365E">
        <w:rPr>
          <w:rFonts w:cs="AdvTimes"/>
          <w:color w:val="000000"/>
          <w:sz w:val="22"/>
          <w:szCs w:val="22"/>
        </w:rPr>
        <w:t>(p. 474).</w:t>
      </w:r>
      <w:r w:rsidR="00AC4F2E" w:rsidRPr="000E365E">
        <w:rPr>
          <w:rFonts w:cs="AdvTimes"/>
          <w:color w:val="000000"/>
          <w:sz w:val="22"/>
          <w:szCs w:val="22"/>
        </w:rPr>
        <w:t xml:space="preserve"> This definition is applied during this thesis, since it really </w:t>
      </w:r>
      <w:r w:rsidR="001B258D" w:rsidRPr="000E365E">
        <w:rPr>
          <w:rFonts w:cs="AdvTimes"/>
          <w:color w:val="000000"/>
          <w:sz w:val="22"/>
          <w:szCs w:val="22"/>
        </w:rPr>
        <w:t>grabs the essence of TPL without being too narrow and thereby needless excluding genuine members of the TPL sector</w:t>
      </w:r>
      <w:r w:rsidR="002D14AD" w:rsidRPr="000E365E">
        <w:rPr>
          <w:rFonts w:cs="AdvTimes"/>
          <w:color w:val="000000"/>
          <w:sz w:val="22"/>
          <w:szCs w:val="22"/>
        </w:rPr>
        <w:t>.</w:t>
      </w:r>
    </w:p>
    <w:p w:rsidR="00560CD8" w:rsidRDefault="008860F3" w:rsidP="008860F3">
      <w:pPr>
        <w:autoSpaceDE w:val="0"/>
        <w:autoSpaceDN w:val="0"/>
        <w:adjustRightInd w:val="0"/>
        <w:spacing w:after="0" w:line="360" w:lineRule="auto"/>
        <w:jc w:val="both"/>
        <w:rPr>
          <w:sz w:val="22"/>
          <w:szCs w:val="22"/>
        </w:rPr>
      </w:pPr>
      <w:r w:rsidRPr="000E365E">
        <w:rPr>
          <w:rFonts w:cs="AdvPS405B6"/>
          <w:sz w:val="22"/>
          <w:szCs w:val="22"/>
        </w:rPr>
        <w:t>Terms such as “logistics outsourcing”, “logistics alliances”, “third party logistics”, “contract logistics” and “contract distribution” have been used to describe the contracting-out part of or all logistics activities that were previously performed in-house (Lieb, 1992</w:t>
      </w:r>
      <w:r w:rsidRPr="000E365E">
        <w:rPr>
          <w:sz w:val="22"/>
          <w:szCs w:val="22"/>
        </w:rPr>
        <w:t xml:space="preserve">; Selviaridis &amp; Spring, 2007). Different definitions emphasize on different aspects of the outsourcing arrangements. To avoid confusion </w:t>
      </w:r>
      <w:r w:rsidRPr="000E365E">
        <w:rPr>
          <w:sz w:val="22"/>
          <w:szCs w:val="22"/>
        </w:rPr>
        <w:lastRenderedPageBreak/>
        <w:t>amongst the most important and often used terminology</w:t>
      </w:r>
      <w:r w:rsidR="00481695" w:rsidRPr="000E365E">
        <w:rPr>
          <w:sz w:val="22"/>
          <w:szCs w:val="22"/>
        </w:rPr>
        <w:t>, the terms carrier</w:t>
      </w:r>
      <w:r w:rsidR="0096404A" w:rsidRPr="000E365E">
        <w:rPr>
          <w:sz w:val="22"/>
          <w:szCs w:val="22"/>
        </w:rPr>
        <w:t xml:space="preserve"> or transport operator</w:t>
      </w:r>
      <w:r w:rsidR="00481695" w:rsidRPr="000E365E">
        <w:rPr>
          <w:sz w:val="22"/>
          <w:szCs w:val="22"/>
        </w:rPr>
        <w:t xml:space="preserve"> and fourth party logistics </w:t>
      </w:r>
      <w:r w:rsidR="0096404A" w:rsidRPr="000E365E">
        <w:rPr>
          <w:sz w:val="22"/>
          <w:szCs w:val="22"/>
        </w:rPr>
        <w:t xml:space="preserve">provider </w:t>
      </w:r>
      <w:r w:rsidR="00481695" w:rsidRPr="000E365E">
        <w:rPr>
          <w:sz w:val="22"/>
          <w:szCs w:val="22"/>
        </w:rPr>
        <w:t>will be defined. There is much confusion about carriers, TPL providers and fourth party logistics providers (hereinafter 4PL) since the mutual differences that divide them are a bit vague. Besides that, many logistic services providers try to</w:t>
      </w:r>
      <w:r w:rsidR="00592E57" w:rsidRPr="000E365E">
        <w:rPr>
          <w:sz w:val="22"/>
          <w:szCs w:val="22"/>
        </w:rPr>
        <w:t xml:space="preserve"> market themselves as more than they actually are: carriers </w:t>
      </w:r>
      <w:r w:rsidR="002752F8" w:rsidRPr="000E365E">
        <w:rPr>
          <w:sz w:val="22"/>
          <w:szCs w:val="22"/>
        </w:rPr>
        <w:t>self are proclaiming</w:t>
      </w:r>
      <w:r w:rsidR="00592E57" w:rsidRPr="000E365E">
        <w:rPr>
          <w:sz w:val="22"/>
          <w:szCs w:val="22"/>
        </w:rPr>
        <w:t xml:space="preserve"> to be TPL providers and, on the other hand, TPL providers using the fashionably term 4PL provider. </w:t>
      </w:r>
    </w:p>
    <w:p w:rsidR="00224388" w:rsidRPr="000E365E" w:rsidRDefault="00224388" w:rsidP="00224388">
      <w:pPr>
        <w:autoSpaceDE w:val="0"/>
        <w:autoSpaceDN w:val="0"/>
        <w:adjustRightInd w:val="0"/>
        <w:spacing w:before="0" w:after="0" w:line="360" w:lineRule="auto"/>
        <w:jc w:val="both"/>
        <w:rPr>
          <w:sz w:val="22"/>
          <w:szCs w:val="22"/>
        </w:rPr>
      </w:pPr>
    </w:p>
    <w:p w:rsidR="00333945" w:rsidRDefault="00333945">
      <w:pPr>
        <w:rPr>
          <w:rFonts w:asciiTheme="majorHAnsi" w:hAnsiTheme="majorHAnsi"/>
          <w:caps/>
          <w:color w:val="243F60" w:themeColor="accent1" w:themeShade="7F"/>
          <w:spacing w:val="15"/>
          <w:sz w:val="22"/>
          <w:szCs w:val="22"/>
        </w:rPr>
      </w:pPr>
      <w:r>
        <w:rPr>
          <w:rFonts w:asciiTheme="majorHAnsi" w:hAnsiTheme="majorHAnsi"/>
        </w:rPr>
        <w:br w:type="page"/>
      </w:r>
    </w:p>
    <w:p w:rsidR="00EA1F80" w:rsidRPr="00333945" w:rsidRDefault="000E365E" w:rsidP="00333945">
      <w:pPr>
        <w:pStyle w:val="Kop3"/>
        <w:numPr>
          <w:ilvl w:val="2"/>
          <w:numId w:val="13"/>
        </w:numPr>
        <w:spacing w:before="0"/>
        <w:rPr>
          <w:rFonts w:asciiTheme="majorHAnsi" w:hAnsiTheme="majorHAnsi"/>
        </w:rPr>
      </w:pPr>
      <w:bookmarkStart w:id="8" w:name="_Toc300411982"/>
      <w:r w:rsidRPr="004A1087">
        <w:rPr>
          <w:rFonts w:asciiTheme="majorHAnsi" w:hAnsiTheme="majorHAnsi"/>
        </w:rPr>
        <w:lastRenderedPageBreak/>
        <w:t>Fourth party logistics provider</w:t>
      </w:r>
      <w:r w:rsidR="00EA1F80" w:rsidRPr="004A1087">
        <w:rPr>
          <w:rFonts w:asciiTheme="majorHAnsi" w:hAnsiTheme="majorHAnsi"/>
        </w:rPr>
        <w:t>s</w:t>
      </w:r>
      <w:bookmarkEnd w:id="8"/>
      <w:r w:rsidR="00EA1F80">
        <w:tab/>
      </w:r>
    </w:p>
    <w:p w:rsidR="00DA36F7" w:rsidRPr="001E226C" w:rsidRDefault="00827F19" w:rsidP="00333945">
      <w:pPr>
        <w:autoSpaceDE w:val="0"/>
        <w:autoSpaceDN w:val="0"/>
        <w:adjustRightInd w:val="0"/>
        <w:spacing w:after="0" w:line="360" w:lineRule="auto"/>
        <w:jc w:val="both"/>
        <w:rPr>
          <w:rFonts w:cs="AdvPS405B6"/>
          <w:sz w:val="22"/>
          <w:szCs w:val="22"/>
        </w:rPr>
      </w:pPr>
      <w:r w:rsidRPr="000E365E">
        <w:rPr>
          <w:rFonts w:cs="AdvPS405B6"/>
          <w:sz w:val="22"/>
          <w:szCs w:val="22"/>
        </w:rPr>
        <w:t>The term 4PL</w:t>
      </w:r>
      <w:r w:rsidR="00913161">
        <w:rPr>
          <w:rFonts w:cs="AdvPS405B6"/>
          <w:sz w:val="22"/>
          <w:szCs w:val="22"/>
        </w:rPr>
        <w:t xml:space="preserve">, </w:t>
      </w:r>
      <w:r w:rsidR="00913161" w:rsidRPr="00913161">
        <w:rPr>
          <w:rFonts w:cs="AdvPS405B6"/>
          <w:sz w:val="22"/>
          <w:szCs w:val="22"/>
          <w:lang w:bidi="ar-SA"/>
        </w:rPr>
        <w:t>a trademark of And</w:t>
      </w:r>
      <w:r w:rsidR="00913161">
        <w:rPr>
          <w:rFonts w:cs="AdvPS405B6"/>
          <w:sz w:val="22"/>
          <w:szCs w:val="22"/>
          <w:lang w:bidi="ar-SA"/>
        </w:rPr>
        <w:t>ersen Consulting/Accenture</w:t>
      </w:r>
      <w:sdt>
        <w:sdtPr>
          <w:rPr>
            <w:rFonts w:cs="AdvPS405B6"/>
            <w:sz w:val="22"/>
            <w:szCs w:val="22"/>
            <w:lang w:bidi="ar-SA"/>
          </w:rPr>
          <w:id w:val="6260850"/>
          <w:citation/>
        </w:sdtPr>
        <w:sdtContent>
          <w:r w:rsidR="00BD69D8">
            <w:rPr>
              <w:rFonts w:cs="AdvPS405B6"/>
              <w:sz w:val="22"/>
              <w:szCs w:val="22"/>
              <w:lang w:bidi="ar-SA"/>
            </w:rPr>
            <w:fldChar w:fldCharType="begin"/>
          </w:r>
          <w:r w:rsidR="00913161">
            <w:rPr>
              <w:rFonts w:cs="AdvPS405B6"/>
              <w:sz w:val="22"/>
              <w:szCs w:val="22"/>
              <w:lang w:bidi="ar-SA"/>
            </w:rPr>
            <w:instrText xml:space="preserve"> CITATION Rus07 \l 1033 </w:instrText>
          </w:r>
          <w:r w:rsidR="00BD69D8">
            <w:rPr>
              <w:rFonts w:cs="AdvPS405B6"/>
              <w:sz w:val="22"/>
              <w:szCs w:val="22"/>
              <w:lang w:bidi="ar-SA"/>
            </w:rPr>
            <w:fldChar w:fldCharType="separate"/>
          </w:r>
          <w:r w:rsidR="00F26771">
            <w:rPr>
              <w:rFonts w:cs="AdvPS405B6"/>
              <w:noProof/>
              <w:sz w:val="22"/>
              <w:szCs w:val="22"/>
              <w:lang w:bidi="ar-SA"/>
            </w:rPr>
            <w:t xml:space="preserve"> </w:t>
          </w:r>
          <w:r w:rsidR="00F26771" w:rsidRPr="00F26771">
            <w:rPr>
              <w:rFonts w:cs="AdvPS405B6"/>
              <w:noProof/>
              <w:sz w:val="22"/>
              <w:szCs w:val="22"/>
              <w:lang w:bidi="ar-SA"/>
            </w:rPr>
            <w:t>(Rushton &amp; Walker, 2007)</w:t>
          </w:r>
          <w:r w:rsidR="00BD69D8">
            <w:rPr>
              <w:rFonts w:cs="AdvPS405B6"/>
              <w:sz w:val="22"/>
              <w:szCs w:val="22"/>
              <w:lang w:bidi="ar-SA"/>
            </w:rPr>
            <w:fldChar w:fldCharType="end"/>
          </w:r>
        </w:sdtContent>
      </w:sdt>
      <w:r w:rsidR="00913161">
        <w:rPr>
          <w:rFonts w:cs="AdvPS405B6"/>
          <w:sz w:val="22"/>
          <w:szCs w:val="22"/>
          <w:lang w:bidi="ar-SA"/>
        </w:rPr>
        <w:t xml:space="preserve">, </w:t>
      </w:r>
      <w:r w:rsidRPr="000E365E">
        <w:rPr>
          <w:rFonts w:cs="AdvPS405B6"/>
          <w:sz w:val="22"/>
          <w:szCs w:val="22"/>
        </w:rPr>
        <w:t xml:space="preserve">describes more advanced arrangements compared to TPL arrangements. </w:t>
      </w:r>
      <w:r w:rsidR="008941B1" w:rsidRPr="000E365E">
        <w:rPr>
          <w:rFonts w:cs="AdvPS405B6"/>
          <w:sz w:val="22"/>
          <w:szCs w:val="22"/>
        </w:rPr>
        <w:t xml:space="preserve">The 4PL provider </w:t>
      </w:r>
      <w:r w:rsidR="00183C99" w:rsidRPr="000E365E">
        <w:rPr>
          <w:rFonts w:cs="AdvPS405B6"/>
          <w:sz w:val="22"/>
          <w:szCs w:val="22"/>
        </w:rPr>
        <w:t xml:space="preserve">task or service is to </w:t>
      </w:r>
      <w:r w:rsidR="008941B1" w:rsidRPr="000E365E">
        <w:rPr>
          <w:rFonts w:cs="AdvPS405B6"/>
          <w:sz w:val="22"/>
          <w:szCs w:val="22"/>
        </w:rPr>
        <w:t xml:space="preserve">acts as a single point of contact within the client’s supply chain (van Hoek and Chong, 2001). </w:t>
      </w:r>
      <w:r w:rsidR="00F5664C" w:rsidRPr="000E365E">
        <w:rPr>
          <w:rFonts w:cs="AdvPS405B6"/>
          <w:sz w:val="22"/>
          <w:szCs w:val="22"/>
        </w:rPr>
        <w:t xml:space="preserve"> </w:t>
      </w:r>
      <w:r w:rsidR="00183C99" w:rsidRPr="000E365E">
        <w:rPr>
          <w:rFonts w:cs="AdvPS405B6"/>
          <w:sz w:val="22"/>
          <w:szCs w:val="22"/>
        </w:rPr>
        <w:t>A 4PL provider is defined by van Hoek &amp; Chong (2001) as ‘’</w:t>
      </w:r>
      <w:r w:rsidR="00183C99" w:rsidRPr="000E365E">
        <w:rPr>
          <w:rFonts w:cs="AdvPS405B6"/>
          <w:i/>
          <w:sz w:val="22"/>
          <w:szCs w:val="22"/>
        </w:rPr>
        <w:t>a supply chain service provider that participates rather in supply chain co-ordination than</w:t>
      </w:r>
      <w:r w:rsidR="00183C99" w:rsidRPr="000E365E">
        <w:rPr>
          <w:rFonts w:cs="AdvPS405B6"/>
          <w:sz w:val="22"/>
          <w:szCs w:val="22"/>
        </w:rPr>
        <w:t xml:space="preserve"> </w:t>
      </w:r>
      <w:r w:rsidR="00183C99" w:rsidRPr="000E365E">
        <w:rPr>
          <w:rFonts w:cs="AdvPS405B6"/>
          <w:i/>
          <w:sz w:val="22"/>
          <w:szCs w:val="22"/>
        </w:rPr>
        <w:t>operational services. It is highly information based and co-ordinates multiple asset-based</w:t>
      </w:r>
      <w:r w:rsidR="00183C99" w:rsidRPr="000E365E">
        <w:rPr>
          <w:rFonts w:cs="AdvPS405B6"/>
          <w:sz w:val="22"/>
          <w:szCs w:val="22"/>
        </w:rPr>
        <w:t xml:space="preserve"> </w:t>
      </w:r>
      <w:r w:rsidR="00183C99" w:rsidRPr="000E365E">
        <w:rPr>
          <w:rFonts w:cs="AdvPS405B6"/>
          <w:i/>
          <w:sz w:val="22"/>
          <w:szCs w:val="22"/>
        </w:rPr>
        <w:t xml:space="preserve">players on behalf of its clients’’ </w:t>
      </w:r>
      <w:r w:rsidR="00183C99" w:rsidRPr="000E365E">
        <w:rPr>
          <w:rFonts w:cs="AdvPS405B6"/>
          <w:sz w:val="22"/>
          <w:szCs w:val="22"/>
        </w:rPr>
        <w:t>(p. 463)</w:t>
      </w:r>
      <w:r w:rsidR="00183C99" w:rsidRPr="000E365E">
        <w:rPr>
          <w:rFonts w:cs="AdvPS405B6"/>
          <w:i/>
          <w:sz w:val="22"/>
          <w:szCs w:val="22"/>
        </w:rPr>
        <w:t>.</w:t>
      </w:r>
      <w:r w:rsidR="00AD7D89">
        <w:rPr>
          <w:rFonts w:cs="AdvPS405B6"/>
          <w:i/>
          <w:sz w:val="22"/>
          <w:szCs w:val="22"/>
        </w:rPr>
        <w:t xml:space="preserve"> </w:t>
      </w:r>
      <w:r w:rsidR="003E69FA">
        <w:rPr>
          <w:rFonts w:cs="AdvPS405B6"/>
          <w:sz w:val="22"/>
          <w:szCs w:val="22"/>
        </w:rPr>
        <w:t>Skjott</w:t>
      </w:r>
      <w:r w:rsidR="003E69FA" w:rsidRPr="000E365E">
        <w:rPr>
          <w:rFonts w:cs="AdvPS405B6"/>
          <w:sz w:val="22"/>
          <w:szCs w:val="22"/>
        </w:rPr>
        <w:t xml:space="preserve">-Larsen (2000) states that 4PL providers are non asset-based companies which make use of their planning capabilities and IT solutions and act as a single interface between the client and multiple asset-based logistics services providers, such as carriers and TPL providers. </w:t>
      </w:r>
      <w:r w:rsidR="00D81B70">
        <w:rPr>
          <w:rFonts w:cs="AdvPS405B6"/>
          <w:sz w:val="22"/>
          <w:szCs w:val="22"/>
        </w:rPr>
        <w:t xml:space="preserve">About 25% of the </w:t>
      </w:r>
      <w:r w:rsidR="001E226C">
        <w:rPr>
          <w:rFonts w:cs="AdvPS405B6"/>
          <w:sz w:val="22"/>
          <w:szCs w:val="22"/>
        </w:rPr>
        <w:t xml:space="preserve">TPL providers’ </w:t>
      </w:r>
      <w:r w:rsidR="00D81B70">
        <w:rPr>
          <w:rFonts w:cs="AdvPS405B6"/>
          <w:sz w:val="22"/>
          <w:szCs w:val="22"/>
        </w:rPr>
        <w:t xml:space="preserve">CEOs interviewed by </w:t>
      </w:r>
      <w:r w:rsidR="003E69FA">
        <w:rPr>
          <w:rFonts w:cs="AdvPS405B6"/>
          <w:sz w:val="22"/>
          <w:szCs w:val="22"/>
        </w:rPr>
        <w:t>Lieb &amp;</w:t>
      </w:r>
      <w:r w:rsidR="00D81B70">
        <w:rPr>
          <w:rFonts w:cs="AdvPS405B6"/>
          <w:sz w:val="22"/>
          <w:szCs w:val="22"/>
        </w:rPr>
        <w:t xml:space="preserve"> Lieb (2009) </w:t>
      </w:r>
      <w:r w:rsidR="00D81B70" w:rsidRPr="001E226C">
        <w:rPr>
          <w:rFonts w:cs="AdvPS405B6"/>
          <w:sz w:val="22"/>
          <w:szCs w:val="22"/>
        </w:rPr>
        <w:t>said that</w:t>
      </w:r>
      <w:r w:rsidR="00D81B70" w:rsidRPr="001E226C">
        <w:rPr>
          <w:rFonts w:cs="Avenir LT Std 35 Light"/>
          <w:color w:val="000000"/>
          <w:sz w:val="22"/>
          <w:szCs w:val="22"/>
        </w:rPr>
        <w:t xml:space="preserve"> they increased company focus on consulting serv</w:t>
      </w:r>
      <w:r w:rsidR="001E226C" w:rsidRPr="001E226C">
        <w:rPr>
          <w:rFonts w:cs="Avenir LT Std 35 Light"/>
          <w:color w:val="000000"/>
          <w:sz w:val="22"/>
          <w:szCs w:val="22"/>
        </w:rPr>
        <w:t xml:space="preserve">ices such as network modeling and </w:t>
      </w:r>
      <w:r w:rsidR="00D81B70" w:rsidRPr="001E226C">
        <w:rPr>
          <w:rFonts w:cs="Avenir LT Std 35 Light"/>
          <w:color w:val="000000"/>
          <w:sz w:val="22"/>
          <w:szCs w:val="22"/>
        </w:rPr>
        <w:t>development of 4PL service offerings</w:t>
      </w:r>
      <w:r w:rsidR="001E226C">
        <w:rPr>
          <w:rFonts w:cs="Avenir LT Std 35 Light"/>
          <w:color w:val="000000"/>
          <w:sz w:val="22"/>
          <w:szCs w:val="22"/>
        </w:rPr>
        <w:t>.</w:t>
      </w:r>
      <w:r w:rsidR="004C50AD">
        <w:rPr>
          <w:rFonts w:cs="Avenir LT Std 35 Light"/>
          <w:color w:val="000000"/>
          <w:sz w:val="22"/>
          <w:szCs w:val="22"/>
        </w:rPr>
        <w:t xml:space="preserve"> E</w:t>
      </w:r>
      <w:r w:rsidR="004C50AD" w:rsidRPr="004C50AD">
        <w:rPr>
          <w:rFonts w:cs="Avenir LT Std 35 Light"/>
          <w:color w:val="000000"/>
          <w:sz w:val="22"/>
          <w:szCs w:val="22"/>
        </w:rPr>
        <w:t>xpansion of consulting services</w:t>
      </w:r>
      <w:r w:rsidR="004C50AD">
        <w:rPr>
          <w:rFonts w:cs="Avenir LT Std 35 Light"/>
          <w:color w:val="000000"/>
          <w:sz w:val="22"/>
          <w:szCs w:val="22"/>
        </w:rPr>
        <w:t xml:space="preserve"> was ranked 4</w:t>
      </w:r>
      <w:r w:rsidR="004C50AD" w:rsidRPr="004C50AD">
        <w:rPr>
          <w:rFonts w:cs="Avenir LT Std 35 Light"/>
          <w:color w:val="000000"/>
          <w:sz w:val="22"/>
          <w:szCs w:val="22"/>
          <w:vertAlign w:val="superscript"/>
        </w:rPr>
        <w:t>th</w:t>
      </w:r>
      <w:r w:rsidR="004C50AD">
        <w:rPr>
          <w:rFonts w:cs="Avenir LT Std 35 Light"/>
          <w:color w:val="000000"/>
          <w:sz w:val="22"/>
          <w:szCs w:val="22"/>
        </w:rPr>
        <w:t xml:space="preserve"> in the identified industry opportunities.</w:t>
      </w:r>
      <w:r w:rsidR="004C50AD">
        <w:rPr>
          <w:rFonts w:cs="AdvPS405B6"/>
          <w:sz w:val="22"/>
          <w:szCs w:val="22"/>
        </w:rPr>
        <w:t xml:space="preserve"> </w:t>
      </w:r>
      <w:r w:rsidR="002F02D9" w:rsidRPr="000E365E">
        <w:rPr>
          <w:rFonts w:cs="AdvPS405B6"/>
          <w:sz w:val="22"/>
          <w:szCs w:val="22"/>
        </w:rPr>
        <w:t>The fact that asset-based TPL providers pro</w:t>
      </w:r>
      <w:r w:rsidR="007971E1" w:rsidRPr="000E365E">
        <w:rPr>
          <w:rFonts w:cs="AdvPS405B6"/>
          <w:sz w:val="22"/>
          <w:szCs w:val="22"/>
        </w:rPr>
        <w:t>file</w:t>
      </w:r>
      <w:r w:rsidR="00EA1F80">
        <w:rPr>
          <w:rFonts w:cs="AdvPS405B6"/>
          <w:sz w:val="22"/>
          <w:szCs w:val="22"/>
        </w:rPr>
        <w:t xml:space="preserve"> </w:t>
      </w:r>
      <w:r w:rsidR="007971E1" w:rsidRPr="000E365E">
        <w:rPr>
          <w:rFonts w:cs="AdvPS405B6"/>
          <w:sz w:val="22"/>
          <w:szCs w:val="22"/>
        </w:rPr>
        <w:t>themselves as being 4PL providers is raising questions about whether or not to have the right incentives for acting as 4PL provider. It is not that difficult to see the conflicting interest of these parties: being a supply chain coordinator opti</w:t>
      </w:r>
      <w:r w:rsidR="001E226C">
        <w:rPr>
          <w:rFonts w:cs="AdvPS405B6"/>
          <w:sz w:val="22"/>
          <w:szCs w:val="22"/>
        </w:rPr>
        <w:t xml:space="preserve">mizing </w:t>
      </w:r>
      <w:r w:rsidR="007971E1" w:rsidRPr="000E365E">
        <w:rPr>
          <w:rFonts w:cs="AdvPS405B6"/>
          <w:sz w:val="22"/>
          <w:szCs w:val="22"/>
        </w:rPr>
        <w:t xml:space="preserve">customers’ supply chain management </w:t>
      </w:r>
      <w:r w:rsidR="00A557F9" w:rsidRPr="000E365E">
        <w:rPr>
          <w:rFonts w:cs="AdvPS405B6"/>
          <w:sz w:val="22"/>
          <w:szCs w:val="22"/>
        </w:rPr>
        <w:t xml:space="preserve">thereby looking at all the options available on the market </w:t>
      </w:r>
      <w:r w:rsidR="007971E1" w:rsidRPr="000E365E">
        <w:rPr>
          <w:rFonts w:cs="AdvPS405B6"/>
          <w:sz w:val="22"/>
          <w:szCs w:val="22"/>
        </w:rPr>
        <w:t xml:space="preserve">and, at the same time, having the task to maximize the companies’ capacity utilization.  </w:t>
      </w:r>
      <w:r w:rsidR="00D659B7" w:rsidRPr="000E365E">
        <w:rPr>
          <w:rFonts w:cs="AdvPS405B6"/>
          <w:sz w:val="22"/>
          <w:szCs w:val="22"/>
        </w:rPr>
        <w:t>Concluding, the most</w:t>
      </w:r>
      <w:r w:rsidR="00746298" w:rsidRPr="000E365E">
        <w:rPr>
          <w:rFonts w:cs="AdvPS405B6"/>
          <w:sz w:val="22"/>
          <w:szCs w:val="22"/>
        </w:rPr>
        <w:t xml:space="preserve"> striking and important difference between TPL (3PL) and 4PL providers is whether or not they are asset or non-asset based, because this largely influences the role they play within the supply chain. </w:t>
      </w:r>
    </w:p>
    <w:p w:rsidR="00EA1F80" w:rsidRDefault="00EA1F80" w:rsidP="00AD7D89">
      <w:pPr>
        <w:autoSpaceDE w:val="0"/>
        <w:autoSpaceDN w:val="0"/>
        <w:adjustRightInd w:val="0"/>
        <w:spacing w:before="0" w:after="0" w:line="360" w:lineRule="auto"/>
        <w:jc w:val="both"/>
        <w:rPr>
          <w:rFonts w:cs="AdvPS405B6"/>
          <w:sz w:val="22"/>
          <w:szCs w:val="22"/>
        </w:rPr>
      </w:pPr>
    </w:p>
    <w:p w:rsidR="004C50AD" w:rsidRDefault="004C50AD" w:rsidP="00AD7D89">
      <w:pPr>
        <w:autoSpaceDE w:val="0"/>
        <w:autoSpaceDN w:val="0"/>
        <w:adjustRightInd w:val="0"/>
        <w:spacing w:before="0" w:after="0" w:line="360" w:lineRule="auto"/>
        <w:jc w:val="both"/>
        <w:rPr>
          <w:rFonts w:cs="AdvPS405B6"/>
          <w:sz w:val="22"/>
          <w:szCs w:val="22"/>
        </w:rPr>
      </w:pPr>
    </w:p>
    <w:p w:rsidR="00333945" w:rsidRDefault="00333945" w:rsidP="00AD7D89">
      <w:pPr>
        <w:autoSpaceDE w:val="0"/>
        <w:autoSpaceDN w:val="0"/>
        <w:adjustRightInd w:val="0"/>
        <w:spacing w:before="0" w:after="0" w:line="360" w:lineRule="auto"/>
        <w:jc w:val="both"/>
        <w:rPr>
          <w:rFonts w:cs="AdvPS405B6"/>
          <w:sz w:val="22"/>
          <w:szCs w:val="22"/>
        </w:rPr>
      </w:pPr>
      <w:r w:rsidRPr="00333945">
        <w:rPr>
          <w:rFonts w:cs="AdvPS405B6"/>
          <w:noProof/>
          <w:sz w:val="22"/>
          <w:szCs w:val="22"/>
          <w:lang w:val="nl-NL" w:eastAsia="nl-NL" w:bidi="ar-SA"/>
        </w:rPr>
        <w:drawing>
          <wp:anchor distT="0" distB="0" distL="114300" distR="114300" simplePos="0" relativeHeight="251693056" behindDoc="0" locked="0" layoutInCell="1" allowOverlap="1">
            <wp:simplePos x="0" y="0"/>
            <wp:positionH relativeFrom="margin">
              <wp:posOffset>-13970</wp:posOffset>
            </wp:positionH>
            <wp:positionV relativeFrom="margin">
              <wp:posOffset>3148330</wp:posOffset>
            </wp:positionV>
            <wp:extent cx="2317115" cy="5162550"/>
            <wp:effectExtent l="38100" t="19050" r="26035" b="19050"/>
            <wp:wrapSquare wrapText="bothSides"/>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a:stretch>
                      <a:fillRect/>
                    </a:stretch>
                  </pic:blipFill>
                  <pic:spPr bwMode="auto">
                    <a:xfrm>
                      <a:off x="0" y="0"/>
                      <a:ext cx="2317115" cy="5162550"/>
                    </a:xfrm>
                    <a:prstGeom prst="rect">
                      <a:avLst/>
                    </a:prstGeom>
                    <a:ln w="12700" cap="sq">
                      <a:solidFill>
                        <a:schemeClr val="accent1">
                          <a:lumMod val="75000"/>
                        </a:schemeClr>
                      </a:solidFill>
                      <a:prstDash val="solid"/>
                      <a:miter lim="800000"/>
                    </a:ln>
                    <a:effectLst/>
                  </pic:spPr>
                </pic:pic>
              </a:graphicData>
            </a:graphic>
          </wp:anchor>
        </w:drawing>
      </w:r>
    </w:p>
    <w:p w:rsidR="00333945" w:rsidRDefault="00333945" w:rsidP="00AD7D89">
      <w:pPr>
        <w:autoSpaceDE w:val="0"/>
        <w:autoSpaceDN w:val="0"/>
        <w:adjustRightInd w:val="0"/>
        <w:spacing w:before="0" w:after="0" w:line="360" w:lineRule="auto"/>
        <w:jc w:val="both"/>
        <w:rPr>
          <w:rFonts w:cs="AdvPS405B6"/>
          <w:sz w:val="22"/>
          <w:szCs w:val="22"/>
        </w:rPr>
      </w:pPr>
    </w:p>
    <w:p w:rsidR="00333945" w:rsidRDefault="00333945" w:rsidP="00AD7D89">
      <w:pPr>
        <w:autoSpaceDE w:val="0"/>
        <w:autoSpaceDN w:val="0"/>
        <w:adjustRightInd w:val="0"/>
        <w:spacing w:before="0" w:after="0" w:line="360" w:lineRule="auto"/>
        <w:jc w:val="both"/>
        <w:rPr>
          <w:rFonts w:cs="AdvPS405B6"/>
          <w:sz w:val="22"/>
          <w:szCs w:val="22"/>
        </w:rPr>
      </w:pPr>
    </w:p>
    <w:p w:rsidR="00333945" w:rsidRDefault="00BD69D8" w:rsidP="00AD7D89">
      <w:pPr>
        <w:autoSpaceDE w:val="0"/>
        <w:autoSpaceDN w:val="0"/>
        <w:adjustRightInd w:val="0"/>
        <w:spacing w:before="0" w:after="0" w:line="360" w:lineRule="auto"/>
        <w:jc w:val="both"/>
        <w:rPr>
          <w:rFonts w:cs="AdvPS405B6"/>
          <w:sz w:val="22"/>
          <w:szCs w:val="22"/>
        </w:rPr>
      </w:pPr>
      <w:r>
        <w:rPr>
          <w:rFonts w:cs="AdvPS405B6"/>
          <w:noProof/>
          <w:sz w:val="22"/>
          <w:szCs w:val="22"/>
          <w:lang w:val="nl-NL" w:eastAsia="nl-NL" w:bidi="ar-SA"/>
        </w:rPr>
        <w:pict>
          <v:shapetype id="_x0000_t202" coordsize="21600,21600" o:spt="202" path="m,l,21600r21600,l21600,xe">
            <v:stroke joinstyle="miter"/>
            <v:path gradientshapeok="t" o:connecttype="rect"/>
          </v:shapetype>
          <v:shape id="_x0000_s1029" type="#_x0000_t202" style="position:absolute;left:0;text-align:left;margin-left:-206.25pt;margin-top:6.65pt;width:193.5pt;height:29.3pt;z-index:251664384" stroked="f">
            <v:textbox style="mso-next-textbox:#_x0000_s1029" inset="0,0,0,0">
              <w:txbxContent>
                <w:p w:rsidR="002752F8" w:rsidRPr="00C467D1" w:rsidRDefault="002752F8" w:rsidP="005900B0">
                  <w:pPr>
                    <w:pStyle w:val="Bijschrift"/>
                    <w:keepNext/>
                    <w:jc w:val="center"/>
                    <w:rPr>
                      <w:rFonts w:cs="AdvPS405B6"/>
                      <w:b w:val="0"/>
                      <w:noProof/>
                    </w:rPr>
                  </w:pPr>
                  <w:r>
                    <w:t xml:space="preserve">Figure 4 The positioning of 4PL providers in the supply chain (source: </w:t>
                  </w:r>
                  <w:r>
                    <w:rPr>
                      <w:noProof/>
                    </w:rPr>
                    <w:t>van Hoek, 2001</w:t>
                  </w:r>
                  <w:r>
                    <w:t>)</w:t>
                  </w:r>
                  <w:r>
                    <w:rPr>
                      <w:b w:val="0"/>
                    </w:rPr>
                    <w:t xml:space="preserve">  </w:t>
                  </w:r>
                </w:p>
                <w:p w:rsidR="002752F8" w:rsidRDefault="002752F8" w:rsidP="005900B0">
                  <w:pPr>
                    <w:pStyle w:val="Bijschrift"/>
                    <w:jc w:val="center"/>
                  </w:pPr>
                </w:p>
              </w:txbxContent>
            </v:textbox>
            <w10:wrap type="square"/>
          </v:shape>
        </w:pict>
      </w:r>
    </w:p>
    <w:p w:rsidR="00333945" w:rsidRDefault="00333945" w:rsidP="00AD7D89">
      <w:pPr>
        <w:autoSpaceDE w:val="0"/>
        <w:autoSpaceDN w:val="0"/>
        <w:adjustRightInd w:val="0"/>
        <w:spacing w:before="0" w:after="0" w:line="360" w:lineRule="auto"/>
        <w:jc w:val="both"/>
        <w:rPr>
          <w:rFonts w:cs="AdvPS405B6"/>
          <w:sz w:val="22"/>
          <w:szCs w:val="22"/>
        </w:rPr>
      </w:pPr>
    </w:p>
    <w:p w:rsidR="000E365E" w:rsidRPr="004A1087" w:rsidRDefault="008F1407" w:rsidP="008F1407">
      <w:pPr>
        <w:pStyle w:val="Kop3"/>
        <w:numPr>
          <w:ilvl w:val="2"/>
          <w:numId w:val="13"/>
        </w:numPr>
        <w:rPr>
          <w:rFonts w:asciiTheme="majorHAnsi" w:hAnsiTheme="majorHAnsi"/>
        </w:rPr>
      </w:pPr>
      <w:bookmarkStart w:id="9" w:name="_Toc300411983"/>
      <w:r w:rsidRPr="004A1087">
        <w:rPr>
          <w:rFonts w:asciiTheme="majorHAnsi" w:hAnsiTheme="majorHAnsi"/>
        </w:rPr>
        <w:lastRenderedPageBreak/>
        <w:t xml:space="preserve">Carriers &amp; </w:t>
      </w:r>
      <w:r w:rsidR="00493810" w:rsidRPr="004A1087">
        <w:rPr>
          <w:rFonts w:asciiTheme="majorHAnsi" w:hAnsiTheme="majorHAnsi"/>
        </w:rPr>
        <w:t xml:space="preserve">transport </w:t>
      </w:r>
      <w:r w:rsidRPr="004A1087">
        <w:rPr>
          <w:rFonts w:asciiTheme="majorHAnsi" w:hAnsiTheme="majorHAnsi"/>
        </w:rPr>
        <w:t>Operators</w:t>
      </w:r>
      <w:bookmarkEnd w:id="9"/>
    </w:p>
    <w:p w:rsidR="00994B6A" w:rsidRDefault="0096404A" w:rsidP="00183C99">
      <w:pPr>
        <w:autoSpaceDE w:val="0"/>
        <w:autoSpaceDN w:val="0"/>
        <w:adjustRightInd w:val="0"/>
        <w:spacing w:after="0" w:line="360" w:lineRule="auto"/>
        <w:jc w:val="both"/>
        <w:rPr>
          <w:rFonts w:cs="AdvPS405B6"/>
          <w:sz w:val="22"/>
          <w:szCs w:val="22"/>
        </w:rPr>
      </w:pPr>
      <w:r w:rsidRPr="000E365E">
        <w:rPr>
          <w:rFonts w:cs="AdvPS405B6"/>
          <w:sz w:val="22"/>
          <w:szCs w:val="22"/>
        </w:rPr>
        <w:t>Carriers or transport operators carry out the haulage from one point to another. Common services provided by carriers are inbound and outbound transportation, door-to-door transportation service, contract delivery, transportation administration, document handling, scheduling and sometimes also track and tracing services are provided. These typical services are provided as basic services with low levels of customization. The scope of carriers is at performing physical transport</w:t>
      </w:r>
      <w:r w:rsidR="00B25A45" w:rsidRPr="000E365E">
        <w:rPr>
          <w:rFonts w:cs="AdvPS405B6"/>
          <w:sz w:val="22"/>
          <w:szCs w:val="22"/>
        </w:rPr>
        <w:t xml:space="preserve">, although the </w:t>
      </w:r>
      <w:r w:rsidR="002752F8" w:rsidRPr="000E365E">
        <w:rPr>
          <w:rFonts w:cs="AdvPS405B6"/>
          <w:sz w:val="22"/>
          <w:szCs w:val="22"/>
        </w:rPr>
        <w:t>large (</w:t>
      </w:r>
      <w:r w:rsidR="00B25A45" w:rsidRPr="000E365E">
        <w:rPr>
          <w:rFonts w:cs="AdvPS405B6"/>
          <w:sz w:val="22"/>
          <w:szCs w:val="22"/>
        </w:rPr>
        <w:t>st) carriers sometimes run warehouses and transshipment terminals</w:t>
      </w:r>
      <w:r w:rsidR="00833A6B" w:rsidRPr="000E365E">
        <w:rPr>
          <w:rFonts w:cs="AdvPS405B6"/>
          <w:sz w:val="22"/>
          <w:szCs w:val="22"/>
        </w:rPr>
        <w:t xml:space="preserve"> (Stefansson, 2005)</w:t>
      </w:r>
      <w:r w:rsidR="00B25A45" w:rsidRPr="000E365E">
        <w:rPr>
          <w:rFonts w:cs="AdvPS405B6"/>
          <w:sz w:val="22"/>
          <w:szCs w:val="22"/>
        </w:rPr>
        <w:t xml:space="preserve">. </w:t>
      </w:r>
      <w:r w:rsidR="008B4D27">
        <w:rPr>
          <w:rFonts w:cs="AdvPS405B6"/>
          <w:sz w:val="22"/>
          <w:szCs w:val="22"/>
        </w:rPr>
        <w:t xml:space="preserve">Companies that hold assets, such as trucks, ships, warehouse and other physical property, were hit the hardest during the economic downturn. The </w:t>
      </w:r>
      <w:r w:rsidR="002752F8">
        <w:rPr>
          <w:rFonts w:cs="AdvPS405B6"/>
          <w:sz w:val="22"/>
          <w:szCs w:val="22"/>
        </w:rPr>
        <w:t>decreases in demand ensured that the companies concerned needed to idle assets and reduce</w:t>
      </w:r>
      <w:r w:rsidR="008B4D27">
        <w:rPr>
          <w:rFonts w:cs="AdvPS405B6"/>
          <w:sz w:val="22"/>
          <w:szCs w:val="22"/>
        </w:rPr>
        <w:t xml:space="preserve"> tariffs. Because of the improving economic </w:t>
      </w:r>
      <w:r w:rsidR="00092A1E">
        <w:rPr>
          <w:rFonts w:cs="AdvPS405B6"/>
          <w:sz w:val="22"/>
          <w:szCs w:val="22"/>
        </w:rPr>
        <w:t xml:space="preserve">situation, </w:t>
      </w:r>
      <w:r w:rsidR="008B4D27">
        <w:rPr>
          <w:rFonts w:cs="AdvPS405B6"/>
          <w:sz w:val="22"/>
          <w:szCs w:val="22"/>
        </w:rPr>
        <w:t>asset-owning companies are recovering</w:t>
      </w:r>
      <w:r w:rsidR="00092A1E">
        <w:rPr>
          <w:rFonts w:cs="AdvPS405B6"/>
          <w:sz w:val="22"/>
          <w:szCs w:val="22"/>
        </w:rPr>
        <w:t xml:space="preserve"> again</w:t>
      </w:r>
      <w:sdt>
        <w:sdtPr>
          <w:rPr>
            <w:rFonts w:cs="AdvPS405B6"/>
            <w:sz w:val="22"/>
            <w:szCs w:val="22"/>
          </w:rPr>
          <w:id w:val="11577009"/>
          <w:citation/>
        </w:sdtPr>
        <w:sdtContent>
          <w:r w:rsidR="00BD69D8">
            <w:rPr>
              <w:rFonts w:cs="AdvPS405B6"/>
              <w:sz w:val="22"/>
              <w:szCs w:val="22"/>
            </w:rPr>
            <w:fldChar w:fldCharType="begin"/>
          </w:r>
          <w:r w:rsidR="00092A1E">
            <w:rPr>
              <w:rFonts w:cs="AdvPS405B6"/>
              <w:sz w:val="22"/>
              <w:szCs w:val="22"/>
            </w:rPr>
            <w:instrText xml:space="preserve"> CITATION Lan10 \l 1033 </w:instrText>
          </w:r>
          <w:r w:rsidR="00BD69D8">
            <w:rPr>
              <w:rFonts w:cs="AdvPS405B6"/>
              <w:sz w:val="22"/>
              <w:szCs w:val="22"/>
            </w:rPr>
            <w:fldChar w:fldCharType="separate"/>
          </w:r>
          <w:r w:rsidR="00F26771">
            <w:rPr>
              <w:rFonts w:cs="AdvPS405B6"/>
              <w:noProof/>
              <w:sz w:val="22"/>
              <w:szCs w:val="22"/>
            </w:rPr>
            <w:t xml:space="preserve"> </w:t>
          </w:r>
          <w:r w:rsidR="00F26771" w:rsidRPr="00F26771">
            <w:rPr>
              <w:rFonts w:cs="AdvPS405B6"/>
              <w:noProof/>
              <w:sz w:val="22"/>
              <w:szCs w:val="22"/>
            </w:rPr>
            <w:t>(Langley &amp; Capgemini, 2010)</w:t>
          </w:r>
          <w:r w:rsidR="00BD69D8">
            <w:rPr>
              <w:rFonts w:cs="AdvPS405B6"/>
              <w:sz w:val="22"/>
              <w:szCs w:val="22"/>
            </w:rPr>
            <w:fldChar w:fldCharType="end"/>
          </w:r>
        </w:sdtContent>
      </w:sdt>
      <w:r w:rsidR="00092A1E">
        <w:rPr>
          <w:rFonts w:cs="AdvPS405B6"/>
          <w:sz w:val="22"/>
          <w:szCs w:val="22"/>
        </w:rPr>
        <w:t>.</w:t>
      </w:r>
      <w:r w:rsidR="008B4D27">
        <w:rPr>
          <w:rFonts w:cs="AdvPS405B6"/>
          <w:sz w:val="22"/>
          <w:szCs w:val="22"/>
        </w:rPr>
        <w:t xml:space="preserve"> </w:t>
      </w:r>
      <w:r w:rsidR="008B4D27" w:rsidRPr="000E365E">
        <w:rPr>
          <w:rFonts w:cs="AdvPS405B6"/>
          <w:sz w:val="22"/>
          <w:szCs w:val="22"/>
        </w:rPr>
        <w:t xml:space="preserve">Just like TPL operators, carriers are commonly owning or leasing their resources and </w:t>
      </w:r>
      <w:r w:rsidR="008B4D27">
        <w:rPr>
          <w:rFonts w:cs="AdvPS405B6"/>
          <w:sz w:val="22"/>
          <w:szCs w:val="22"/>
        </w:rPr>
        <w:t xml:space="preserve">thus are asset-based operators. </w:t>
      </w:r>
      <w:r w:rsidR="00B25A45" w:rsidRPr="000E365E">
        <w:rPr>
          <w:rFonts w:cs="AdvPS405B6"/>
          <w:sz w:val="22"/>
          <w:szCs w:val="22"/>
        </w:rPr>
        <w:t>Compared to carriers, TPL providers perform more diverse</w:t>
      </w:r>
      <w:r w:rsidR="00833A6B" w:rsidRPr="000E365E">
        <w:rPr>
          <w:rFonts w:cs="AdvPS405B6"/>
          <w:sz w:val="22"/>
          <w:szCs w:val="22"/>
        </w:rPr>
        <w:t xml:space="preserve"> and advanced</w:t>
      </w:r>
      <w:r w:rsidR="00B25A45" w:rsidRPr="000E365E">
        <w:rPr>
          <w:rFonts w:cs="AdvPS405B6"/>
          <w:sz w:val="22"/>
          <w:szCs w:val="22"/>
        </w:rPr>
        <w:t xml:space="preserve"> services in addition to the basic transportation and warehouse servi</w:t>
      </w:r>
      <w:r w:rsidR="00833A6B" w:rsidRPr="000E365E">
        <w:rPr>
          <w:rFonts w:cs="AdvPS405B6"/>
          <w:sz w:val="22"/>
          <w:szCs w:val="22"/>
        </w:rPr>
        <w:t xml:space="preserve">ces. As mentioned before, TPL providers’ scope is much wider than just transportation and warehousing: services </w:t>
      </w:r>
      <w:r w:rsidR="00067613" w:rsidRPr="000E365E">
        <w:rPr>
          <w:rFonts w:cs="AdvPS405B6"/>
          <w:sz w:val="22"/>
          <w:szCs w:val="22"/>
        </w:rPr>
        <w:t>which could</w:t>
      </w:r>
      <w:r w:rsidR="00833A6B" w:rsidRPr="000E365E">
        <w:rPr>
          <w:rFonts w:cs="AdvPS405B6"/>
          <w:sz w:val="22"/>
          <w:szCs w:val="22"/>
        </w:rPr>
        <w:t xml:space="preserve"> be outsourced to carriers</w:t>
      </w:r>
      <w:r w:rsidR="00327BA1" w:rsidRPr="000E365E">
        <w:rPr>
          <w:rFonts w:cs="AdvPS405B6"/>
          <w:sz w:val="22"/>
          <w:szCs w:val="22"/>
        </w:rPr>
        <w:t xml:space="preserve">/transport operators. </w:t>
      </w:r>
      <w:r w:rsidR="008B4D27">
        <w:rPr>
          <w:rFonts w:cs="AdvPS405B6"/>
          <w:sz w:val="22"/>
          <w:szCs w:val="22"/>
        </w:rPr>
        <w:t xml:space="preserve"> </w:t>
      </w:r>
    </w:p>
    <w:p w:rsidR="005F4CBF" w:rsidRDefault="0012547B" w:rsidP="00183C99">
      <w:pPr>
        <w:autoSpaceDE w:val="0"/>
        <w:autoSpaceDN w:val="0"/>
        <w:adjustRightInd w:val="0"/>
        <w:spacing w:after="0" w:line="360" w:lineRule="auto"/>
        <w:jc w:val="both"/>
        <w:rPr>
          <w:rFonts w:cs="AdvPS405B6"/>
          <w:sz w:val="22"/>
          <w:szCs w:val="22"/>
        </w:rPr>
      </w:pPr>
      <w:r w:rsidRPr="0012547B">
        <w:rPr>
          <w:rFonts w:cs="AdvPS405B6"/>
          <w:noProof/>
          <w:sz w:val="22"/>
          <w:szCs w:val="22"/>
          <w:lang w:val="nl-NL" w:eastAsia="nl-NL" w:bidi="ar-SA"/>
        </w:rPr>
        <w:drawing>
          <wp:inline distT="0" distB="0" distL="0" distR="0">
            <wp:extent cx="5572125" cy="2667000"/>
            <wp:effectExtent l="0" t="19050" r="0" b="57150"/>
            <wp:docPr id="20" name="Diagram 1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5F4CBF" w:rsidRDefault="00BD69D8" w:rsidP="00183C99">
      <w:pPr>
        <w:autoSpaceDE w:val="0"/>
        <w:autoSpaceDN w:val="0"/>
        <w:adjustRightInd w:val="0"/>
        <w:spacing w:after="0" w:line="360" w:lineRule="auto"/>
        <w:jc w:val="both"/>
        <w:rPr>
          <w:rFonts w:cs="AdvPS405B6"/>
          <w:sz w:val="22"/>
          <w:szCs w:val="22"/>
        </w:rPr>
      </w:pPr>
      <w:r>
        <w:rPr>
          <w:rFonts w:cs="AdvPS405B6"/>
          <w:noProof/>
          <w:sz w:val="22"/>
          <w:szCs w:val="22"/>
          <w:lang w:val="nl-NL" w:eastAsia="nl-NL" w:bidi="ar-SA"/>
        </w:rPr>
        <w:pict>
          <v:shape id="_x0000_s1038" type="#_x0000_t202" style="position:absolute;left:0;text-align:left;margin-left:91.35pt;margin-top:2.75pt;width:242.25pt;height:38.25pt;z-index:251671552" stroked="f">
            <v:textbox style="mso-next-textbox:#_x0000_s1038" inset="0,0,0,0">
              <w:txbxContent>
                <w:p w:rsidR="002752F8" w:rsidRPr="00A557F9" w:rsidRDefault="002752F8" w:rsidP="005F4CBF">
                  <w:pPr>
                    <w:pStyle w:val="Bijschrift"/>
                    <w:jc w:val="center"/>
                    <w:rPr>
                      <w:rFonts w:ascii="AdvPS405B7" w:hAnsi="AdvPS405B7" w:cs="AdvPS405B7"/>
                      <w:b w:val="0"/>
                      <w:noProof/>
                      <w:sz w:val="20"/>
                      <w:szCs w:val="20"/>
                    </w:rPr>
                  </w:pPr>
                  <w:r>
                    <w:t>Figure 5 Breakdown of logistics services providers to the degree of advanced services provided (source: Siz, 2011)</w:t>
                  </w:r>
                  <w:r>
                    <w:rPr>
                      <w:b w:val="0"/>
                    </w:rPr>
                    <w:t xml:space="preserve">  </w:t>
                  </w:r>
                </w:p>
                <w:p w:rsidR="002752F8" w:rsidRPr="00DA5191" w:rsidRDefault="002752F8" w:rsidP="005F4CBF">
                  <w:pPr>
                    <w:pStyle w:val="Bijschrift"/>
                    <w:rPr>
                      <w:szCs w:val="20"/>
                    </w:rPr>
                  </w:pPr>
                </w:p>
              </w:txbxContent>
            </v:textbox>
            <w10:wrap type="square"/>
          </v:shape>
        </w:pict>
      </w:r>
    </w:p>
    <w:p w:rsidR="005F4CBF" w:rsidRDefault="005F4CBF" w:rsidP="00183C99">
      <w:pPr>
        <w:autoSpaceDE w:val="0"/>
        <w:autoSpaceDN w:val="0"/>
        <w:adjustRightInd w:val="0"/>
        <w:spacing w:after="0" w:line="360" w:lineRule="auto"/>
        <w:jc w:val="both"/>
        <w:rPr>
          <w:rFonts w:cs="AdvPS405B6"/>
          <w:sz w:val="22"/>
          <w:szCs w:val="22"/>
        </w:rPr>
      </w:pPr>
    </w:p>
    <w:p w:rsidR="005F4CBF" w:rsidRDefault="005F4CBF" w:rsidP="00183C99">
      <w:pPr>
        <w:autoSpaceDE w:val="0"/>
        <w:autoSpaceDN w:val="0"/>
        <w:adjustRightInd w:val="0"/>
        <w:spacing w:after="0" w:line="360" w:lineRule="auto"/>
        <w:jc w:val="both"/>
        <w:rPr>
          <w:rFonts w:cs="AdvPS405B6"/>
          <w:sz w:val="22"/>
          <w:szCs w:val="22"/>
        </w:rPr>
      </w:pPr>
    </w:p>
    <w:p w:rsidR="0012547B" w:rsidRPr="0012547B" w:rsidRDefault="0012547B">
      <w:pPr>
        <w:rPr>
          <w:rFonts w:cs="AdvPS405B6"/>
          <w:sz w:val="22"/>
          <w:szCs w:val="22"/>
        </w:rPr>
      </w:pPr>
    </w:p>
    <w:p w:rsidR="0094143D" w:rsidRPr="004A1087" w:rsidRDefault="00D03FE3" w:rsidP="002C24B8">
      <w:pPr>
        <w:pStyle w:val="Kop2"/>
        <w:numPr>
          <w:ilvl w:val="1"/>
          <w:numId w:val="13"/>
        </w:numPr>
        <w:spacing w:after="240"/>
        <w:rPr>
          <w:rFonts w:asciiTheme="majorHAnsi" w:hAnsiTheme="majorHAnsi"/>
        </w:rPr>
      </w:pPr>
      <w:bookmarkStart w:id="10" w:name="_Toc300411984"/>
      <w:r w:rsidRPr="004A1087">
        <w:rPr>
          <w:rFonts w:asciiTheme="majorHAnsi" w:hAnsiTheme="majorHAnsi"/>
        </w:rPr>
        <w:lastRenderedPageBreak/>
        <w:t xml:space="preserve">The historical development of </w:t>
      </w:r>
      <w:r w:rsidR="009A5E67" w:rsidRPr="004A1087">
        <w:rPr>
          <w:rFonts w:asciiTheme="majorHAnsi" w:hAnsiTheme="majorHAnsi"/>
        </w:rPr>
        <w:t>the TPL business</w:t>
      </w:r>
      <w:bookmarkEnd w:id="10"/>
    </w:p>
    <w:p w:rsidR="00387D32" w:rsidRDefault="00F72A84" w:rsidP="00495880">
      <w:pPr>
        <w:spacing w:line="360" w:lineRule="auto"/>
        <w:jc w:val="both"/>
        <w:rPr>
          <w:sz w:val="22"/>
          <w:szCs w:val="22"/>
        </w:rPr>
      </w:pPr>
      <w:r>
        <w:rPr>
          <w:sz w:val="22"/>
          <w:szCs w:val="22"/>
        </w:rPr>
        <w:t>Nowadays</w:t>
      </w:r>
      <w:r w:rsidR="00134305">
        <w:rPr>
          <w:sz w:val="22"/>
          <w:szCs w:val="22"/>
        </w:rPr>
        <w:t>, typical services outsourced to TPL providers are warehousing</w:t>
      </w:r>
      <w:r w:rsidR="00D34B3D">
        <w:rPr>
          <w:sz w:val="22"/>
          <w:szCs w:val="22"/>
        </w:rPr>
        <w:t xml:space="preserve"> and inventory, transport, value-added services, information services and reengineering the supply chain</w:t>
      </w:r>
      <w:sdt>
        <w:sdtPr>
          <w:rPr>
            <w:sz w:val="22"/>
            <w:szCs w:val="22"/>
          </w:rPr>
          <w:id w:val="4799930"/>
          <w:citation/>
        </w:sdtPr>
        <w:sdtContent>
          <w:r w:rsidR="00BD69D8">
            <w:rPr>
              <w:sz w:val="22"/>
              <w:szCs w:val="22"/>
            </w:rPr>
            <w:fldChar w:fldCharType="begin"/>
          </w:r>
          <w:r w:rsidR="00D34B3D">
            <w:rPr>
              <w:sz w:val="22"/>
              <w:szCs w:val="22"/>
            </w:rPr>
            <w:instrText xml:space="preserve"> CITATION And97 \l 1033 </w:instrText>
          </w:r>
          <w:r w:rsidR="00BD69D8">
            <w:rPr>
              <w:sz w:val="22"/>
              <w:szCs w:val="22"/>
            </w:rPr>
            <w:fldChar w:fldCharType="separate"/>
          </w:r>
          <w:r w:rsidR="00F26771">
            <w:rPr>
              <w:noProof/>
              <w:sz w:val="22"/>
              <w:szCs w:val="22"/>
            </w:rPr>
            <w:t xml:space="preserve"> </w:t>
          </w:r>
          <w:r w:rsidR="00F26771" w:rsidRPr="00F26771">
            <w:rPr>
              <w:noProof/>
              <w:sz w:val="22"/>
              <w:szCs w:val="22"/>
            </w:rPr>
            <w:t>(Andersson, Third party logistics- outsourcing logistics in partnership, 1997)</w:t>
          </w:r>
          <w:r w:rsidR="00BD69D8">
            <w:rPr>
              <w:sz w:val="22"/>
              <w:szCs w:val="22"/>
            </w:rPr>
            <w:fldChar w:fldCharType="end"/>
          </w:r>
        </w:sdtContent>
      </w:sdt>
      <w:r w:rsidR="00D34B3D">
        <w:rPr>
          <w:sz w:val="22"/>
          <w:szCs w:val="22"/>
        </w:rPr>
        <w:t xml:space="preserve">. </w:t>
      </w:r>
      <w:r w:rsidR="006705AB">
        <w:rPr>
          <w:sz w:val="22"/>
          <w:szCs w:val="22"/>
        </w:rPr>
        <w:t>Other commonly performed activities are forwarding, packaging, distribution and logistics postponement</w:t>
      </w:r>
      <w:sdt>
        <w:sdtPr>
          <w:rPr>
            <w:sz w:val="22"/>
            <w:szCs w:val="22"/>
          </w:rPr>
          <w:id w:val="6260445"/>
          <w:citation/>
        </w:sdtPr>
        <w:sdtContent>
          <w:r w:rsidR="00BD69D8">
            <w:rPr>
              <w:sz w:val="22"/>
              <w:szCs w:val="22"/>
            </w:rPr>
            <w:fldChar w:fldCharType="begin"/>
          </w:r>
          <w:r w:rsidR="006705AB">
            <w:rPr>
              <w:sz w:val="22"/>
              <w:szCs w:val="22"/>
            </w:rPr>
            <w:instrText xml:space="preserve"> CITATION Bas01 \l 1033 </w:instrText>
          </w:r>
          <w:r w:rsidR="00BD69D8">
            <w:rPr>
              <w:sz w:val="22"/>
              <w:szCs w:val="22"/>
            </w:rPr>
            <w:fldChar w:fldCharType="separate"/>
          </w:r>
          <w:r w:rsidR="00F26771">
            <w:rPr>
              <w:noProof/>
              <w:sz w:val="22"/>
              <w:szCs w:val="22"/>
            </w:rPr>
            <w:t xml:space="preserve"> </w:t>
          </w:r>
          <w:r w:rsidR="00F26771" w:rsidRPr="00F26771">
            <w:rPr>
              <w:noProof/>
              <w:sz w:val="22"/>
              <w:szCs w:val="22"/>
            </w:rPr>
            <w:t>(Bask, 2001)</w:t>
          </w:r>
          <w:r w:rsidR="00BD69D8">
            <w:rPr>
              <w:sz w:val="22"/>
              <w:szCs w:val="22"/>
            </w:rPr>
            <w:fldChar w:fldCharType="end"/>
          </w:r>
        </w:sdtContent>
      </w:sdt>
      <w:r w:rsidR="006705AB">
        <w:rPr>
          <w:sz w:val="22"/>
          <w:szCs w:val="22"/>
        </w:rPr>
        <w:t xml:space="preserve">. </w:t>
      </w:r>
      <w:r w:rsidR="00D34B3D">
        <w:rPr>
          <w:sz w:val="22"/>
          <w:szCs w:val="22"/>
        </w:rPr>
        <w:t>These services have been developed over time, both in knowledge and in technology/IT. This had its effect on the way the business evolved itself</w:t>
      </w:r>
      <w:sdt>
        <w:sdtPr>
          <w:rPr>
            <w:sz w:val="22"/>
            <w:szCs w:val="22"/>
          </w:rPr>
          <w:id w:val="4799931"/>
          <w:citation/>
        </w:sdtPr>
        <w:sdtContent>
          <w:r w:rsidR="00BD69D8">
            <w:rPr>
              <w:sz w:val="22"/>
              <w:szCs w:val="22"/>
            </w:rPr>
            <w:fldChar w:fldCharType="begin"/>
          </w:r>
          <w:r w:rsidR="00D34B3D">
            <w:rPr>
              <w:sz w:val="22"/>
              <w:szCs w:val="22"/>
            </w:rPr>
            <w:instrText xml:space="preserve"> CITATION Her03 \l 1033 </w:instrText>
          </w:r>
          <w:r w:rsidR="00BD69D8">
            <w:rPr>
              <w:sz w:val="22"/>
              <w:szCs w:val="22"/>
            </w:rPr>
            <w:fldChar w:fldCharType="separate"/>
          </w:r>
          <w:r w:rsidR="00F26771">
            <w:rPr>
              <w:noProof/>
              <w:sz w:val="22"/>
              <w:szCs w:val="22"/>
            </w:rPr>
            <w:t xml:space="preserve"> </w:t>
          </w:r>
          <w:r w:rsidR="00F26771" w:rsidRPr="00F26771">
            <w:rPr>
              <w:noProof/>
              <w:sz w:val="22"/>
              <w:szCs w:val="22"/>
            </w:rPr>
            <w:t>(Hertz &amp; Alfredsson, 2003)</w:t>
          </w:r>
          <w:r w:rsidR="00BD69D8">
            <w:rPr>
              <w:sz w:val="22"/>
              <w:szCs w:val="22"/>
            </w:rPr>
            <w:fldChar w:fldCharType="end"/>
          </w:r>
        </w:sdtContent>
      </w:sdt>
      <w:r w:rsidR="00D34B3D">
        <w:rPr>
          <w:sz w:val="22"/>
          <w:szCs w:val="22"/>
        </w:rPr>
        <w:t xml:space="preserve">. </w:t>
      </w:r>
      <w:r w:rsidR="00495880">
        <w:rPr>
          <w:sz w:val="22"/>
          <w:szCs w:val="22"/>
        </w:rPr>
        <w:t>According to Berglund et all. (1999) the TPL business is formed by three waves of entrants into the TPL market.  The first wave took place in the 1980s when traditional transport firms developed into TPL providers. Frans Maas (currently named DSV</w:t>
      </w:r>
      <w:r w:rsidR="003E69FA">
        <w:rPr>
          <w:sz w:val="22"/>
          <w:szCs w:val="22"/>
        </w:rPr>
        <w:t>) is</w:t>
      </w:r>
      <w:r w:rsidR="00495880">
        <w:rPr>
          <w:sz w:val="22"/>
          <w:szCs w:val="22"/>
        </w:rPr>
        <w:t xml:space="preserve"> a Dutch example of such a company. An important characteristic of these entrants was that they had a strong position in either transportation or warehousing. </w:t>
      </w:r>
      <w:r w:rsidR="003A0DEB">
        <w:rPr>
          <w:sz w:val="22"/>
          <w:szCs w:val="22"/>
        </w:rPr>
        <w:t xml:space="preserve">The second wave dates from the early 1990s and introduced </w:t>
      </w:r>
      <w:r w:rsidR="001D174C">
        <w:rPr>
          <w:sz w:val="22"/>
          <w:szCs w:val="22"/>
        </w:rPr>
        <w:t xml:space="preserve">global network </w:t>
      </w:r>
      <w:r w:rsidR="003A0DEB">
        <w:rPr>
          <w:sz w:val="22"/>
          <w:szCs w:val="22"/>
        </w:rPr>
        <w:t>firms such as UPS, DHL, FedEx and TNT</w:t>
      </w:r>
      <w:r w:rsidR="001D174C">
        <w:rPr>
          <w:sz w:val="22"/>
          <w:szCs w:val="22"/>
        </w:rPr>
        <w:t xml:space="preserve">: all massive companies with </w:t>
      </w:r>
      <w:r w:rsidR="003E69FA">
        <w:rPr>
          <w:sz w:val="22"/>
          <w:szCs w:val="22"/>
        </w:rPr>
        <w:t>a</w:t>
      </w:r>
      <w:r w:rsidR="001D174C">
        <w:rPr>
          <w:sz w:val="22"/>
          <w:szCs w:val="22"/>
        </w:rPr>
        <w:t xml:space="preserve"> continental or even global postal, parcel and (air) express background. During the last wave, which started around the late 1990s, some companies from unexpected markets entered the TPL business. Examples are management consultants, financials</w:t>
      </w:r>
      <w:r w:rsidR="003E69FA">
        <w:rPr>
          <w:sz w:val="22"/>
          <w:szCs w:val="22"/>
        </w:rPr>
        <w:t>, information</w:t>
      </w:r>
      <w:r w:rsidR="001D174C">
        <w:rPr>
          <w:sz w:val="22"/>
          <w:szCs w:val="22"/>
        </w:rPr>
        <w:t xml:space="preserve"> technologists etc</w:t>
      </w:r>
      <w:r w:rsidR="003E69FA">
        <w:rPr>
          <w:sz w:val="22"/>
          <w:szCs w:val="22"/>
        </w:rPr>
        <w:t>.</w:t>
      </w:r>
      <w:r w:rsidR="001D174C">
        <w:rPr>
          <w:sz w:val="22"/>
          <w:szCs w:val="22"/>
        </w:rPr>
        <w:t xml:space="preserve"> </w:t>
      </w:r>
      <w:r w:rsidR="00A53568">
        <w:rPr>
          <w:sz w:val="22"/>
          <w:szCs w:val="22"/>
        </w:rPr>
        <w:t xml:space="preserve"> The first and second wave entrants base their skills on their competence in more traditional logistics, such as transport, warehousing and running a scheduled distribution network. By contrast, third wave entrants brought very different skills to the market: IT, financial and consultancy skills</w:t>
      </w:r>
      <w:sdt>
        <w:sdtPr>
          <w:rPr>
            <w:sz w:val="22"/>
            <w:szCs w:val="22"/>
          </w:rPr>
          <w:id w:val="6260849"/>
          <w:citation/>
        </w:sdtPr>
        <w:sdtContent>
          <w:r w:rsidR="00BD69D8">
            <w:rPr>
              <w:sz w:val="22"/>
              <w:szCs w:val="22"/>
            </w:rPr>
            <w:fldChar w:fldCharType="begin"/>
          </w:r>
          <w:r w:rsidR="00FE23BA">
            <w:rPr>
              <w:sz w:val="22"/>
              <w:szCs w:val="22"/>
            </w:rPr>
            <w:instrText xml:space="preserve"> CITATION Car05 \l 1033 </w:instrText>
          </w:r>
          <w:r w:rsidR="00BD69D8">
            <w:rPr>
              <w:sz w:val="22"/>
              <w:szCs w:val="22"/>
            </w:rPr>
            <w:fldChar w:fldCharType="separate"/>
          </w:r>
          <w:r w:rsidR="00F26771">
            <w:rPr>
              <w:noProof/>
              <w:sz w:val="22"/>
              <w:szCs w:val="22"/>
            </w:rPr>
            <w:t xml:space="preserve"> </w:t>
          </w:r>
          <w:r w:rsidR="00F26771" w:rsidRPr="00F26771">
            <w:rPr>
              <w:noProof/>
              <w:sz w:val="22"/>
              <w:szCs w:val="22"/>
            </w:rPr>
            <w:t>(Carbone &amp; Stone, 2005)</w:t>
          </w:r>
          <w:r w:rsidR="00BD69D8">
            <w:rPr>
              <w:sz w:val="22"/>
              <w:szCs w:val="22"/>
            </w:rPr>
            <w:fldChar w:fldCharType="end"/>
          </w:r>
        </w:sdtContent>
      </w:sdt>
      <w:r w:rsidR="00A53568">
        <w:rPr>
          <w:sz w:val="22"/>
          <w:szCs w:val="22"/>
        </w:rPr>
        <w:t>.</w:t>
      </w:r>
      <w:r w:rsidR="008B584B">
        <w:rPr>
          <w:sz w:val="22"/>
          <w:szCs w:val="22"/>
        </w:rPr>
        <w:t xml:space="preserve"> So, in the development of TPL providers we already saw a shift from asset-based to skill-based providers. This trend is currently expanding in the form of the rise of </w:t>
      </w:r>
      <w:r w:rsidR="00493AFE">
        <w:rPr>
          <w:sz w:val="22"/>
          <w:szCs w:val="22"/>
        </w:rPr>
        <w:t xml:space="preserve">self-appointed </w:t>
      </w:r>
      <w:r w:rsidR="008B584B">
        <w:rPr>
          <w:sz w:val="22"/>
          <w:szCs w:val="22"/>
        </w:rPr>
        <w:t>4PL providers</w:t>
      </w:r>
      <w:r w:rsidR="00913161">
        <w:rPr>
          <w:sz w:val="22"/>
          <w:szCs w:val="22"/>
        </w:rPr>
        <w:t xml:space="preserve"> (</w:t>
      </w:r>
      <w:r w:rsidR="00913161" w:rsidRPr="00913161">
        <w:rPr>
          <w:rFonts w:cs="AdvPS405B6"/>
          <w:sz w:val="22"/>
          <w:szCs w:val="22"/>
          <w:lang w:bidi="ar-SA"/>
        </w:rPr>
        <w:t>4PL is a trademark of Andersen Consulting)</w:t>
      </w:r>
      <w:r w:rsidR="008B584B">
        <w:rPr>
          <w:sz w:val="22"/>
          <w:szCs w:val="22"/>
        </w:rPr>
        <w:t>. Although these companies are named different and thereby differentiating themselves form TPL providers, these newly formed companies could also be characterized as the fourth wave in the development of the TPL market.</w:t>
      </w:r>
    </w:p>
    <w:p w:rsidR="00493AFE" w:rsidRDefault="00493AFE" w:rsidP="00495880">
      <w:pPr>
        <w:spacing w:line="360" w:lineRule="auto"/>
        <w:jc w:val="both"/>
        <w:rPr>
          <w:sz w:val="22"/>
          <w:szCs w:val="22"/>
        </w:rPr>
      </w:pPr>
      <w:r>
        <w:rPr>
          <w:sz w:val="22"/>
          <w:szCs w:val="22"/>
        </w:rPr>
        <w:t xml:space="preserve">The described waves of entrants do provide information on the participants of the TPL market, but don’t explain the reasons for participating. </w:t>
      </w:r>
      <w:r w:rsidR="00345A27">
        <w:rPr>
          <w:sz w:val="22"/>
          <w:szCs w:val="22"/>
        </w:rPr>
        <w:t xml:space="preserve">According to Andersson (1997) the opportunity to participate in TPL activities was made possible by deregulations in the market(s) involved.  Heavy competition in the </w:t>
      </w:r>
      <w:r w:rsidR="003E69FA">
        <w:rPr>
          <w:sz w:val="22"/>
          <w:szCs w:val="22"/>
        </w:rPr>
        <w:t>providers’</w:t>
      </w:r>
      <w:r w:rsidR="00345A27">
        <w:rPr>
          <w:sz w:val="22"/>
          <w:szCs w:val="22"/>
        </w:rPr>
        <w:t xml:space="preserve"> original service and/or market led to decreasing margins and made entering the TPL market a necessity. Combined with the positive attitude of shippers towards outsourcing and the shippers wish to focus on its core business, these factors explain why the TPL industry emerged. </w:t>
      </w:r>
    </w:p>
    <w:p w:rsidR="004F7A7C" w:rsidRPr="004F7A7C" w:rsidRDefault="00345A27" w:rsidP="006705AB">
      <w:pPr>
        <w:spacing w:line="360" w:lineRule="auto"/>
        <w:jc w:val="both"/>
        <w:rPr>
          <w:sz w:val="22"/>
          <w:szCs w:val="22"/>
        </w:rPr>
      </w:pPr>
      <w:r>
        <w:rPr>
          <w:sz w:val="22"/>
          <w:szCs w:val="22"/>
        </w:rPr>
        <w:t xml:space="preserve">In a more recent paper, </w:t>
      </w:r>
      <w:r w:rsidR="00187D98">
        <w:rPr>
          <w:sz w:val="22"/>
          <w:szCs w:val="22"/>
        </w:rPr>
        <w:t>Lieb (200</w:t>
      </w:r>
      <w:r w:rsidR="00A33FD2">
        <w:rPr>
          <w:sz w:val="22"/>
          <w:szCs w:val="22"/>
        </w:rPr>
        <w:t>5</w:t>
      </w:r>
      <w:r w:rsidR="00187D98">
        <w:rPr>
          <w:sz w:val="22"/>
          <w:szCs w:val="22"/>
        </w:rPr>
        <w:t xml:space="preserve">) describes </w:t>
      </w:r>
      <w:r w:rsidR="00C35B2C">
        <w:rPr>
          <w:sz w:val="22"/>
          <w:szCs w:val="22"/>
        </w:rPr>
        <w:t xml:space="preserve">North American </w:t>
      </w:r>
      <w:r w:rsidR="00187D98">
        <w:rPr>
          <w:sz w:val="22"/>
          <w:szCs w:val="22"/>
        </w:rPr>
        <w:t xml:space="preserve">TPL industry dynamics. </w:t>
      </w:r>
      <w:r w:rsidR="00D24C1F">
        <w:rPr>
          <w:sz w:val="22"/>
          <w:szCs w:val="22"/>
        </w:rPr>
        <w:t xml:space="preserve">The study conducted among North American TPL providers CEOs pointed out that the most important dynamics indentified are a continuing downward price pressure, large-scale mergers among TPL providers and </w:t>
      </w:r>
      <w:r w:rsidR="003E69FA">
        <w:rPr>
          <w:sz w:val="22"/>
          <w:szCs w:val="22"/>
        </w:rPr>
        <w:lastRenderedPageBreak/>
        <w:t>an</w:t>
      </w:r>
      <w:r w:rsidR="00D24C1F">
        <w:rPr>
          <w:sz w:val="22"/>
          <w:szCs w:val="22"/>
        </w:rPr>
        <w:t xml:space="preserve"> increasing interest of shippers in outsourcing non-core activities such as their logistic activities. </w:t>
      </w:r>
      <w:r w:rsidR="006D45DA">
        <w:rPr>
          <w:sz w:val="22"/>
          <w:szCs w:val="22"/>
        </w:rPr>
        <w:t xml:space="preserve">The most important market opportunities are related to expanding supply chain integration activities, increasing international scope and further expansion of the usage of IT in their services. Besides the downward price pressure, the most important market threats are the low returns on IT investments and </w:t>
      </w:r>
      <w:r w:rsidR="006705AB">
        <w:rPr>
          <w:sz w:val="22"/>
          <w:szCs w:val="22"/>
        </w:rPr>
        <w:t xml:space="preserve">finding and keeping talent. </w:t>
      </w:r>
      <w:r w:rsidR="003E69FA" w:rsidRPr="00A563FA">
        <w:rPr>
          <w:sz w:val="22"/>
          <w:szCs w:val="22"/>
        </w:rPr>
        <w:t xml:space="preserve">In their 2010 survey Lieb &amp; Lieb </w:t>
      </w:r>
      <w:r w:rsidR="003E69FA">
        <w:rPr>
          <w:sz w:val="22"/>
          <w:szCs w:val="22"/>
        </w:rPr>
        <w:t>describe</w:t>
      </w:r>
      <w:r w:rsidR="003E69FA" w:rsidRPr="00A563FA">
        <w:rPr>
          <w:sz w:val="22"/>
          <w:szCs w:val="22"/>
        </w:rPr>
        <w:t xml:space="preserve"> main industry dynamics. </w:t>
      </w:r>
      <w:r w:rsidR="004F7A7C" w:rsidRPr="004F7A7C">
        <w:rPr>
          <w:sz w:val="22"/>
          <w:szCs w:val="22"/>
        </w:rPr>
        <w:t>T</w:t>
      </w:r>
      <w:r w:rsidR="004F7A7C">
        <w:rPr>
          <w:sz w:val="22"/>
          <w:szCs w:val="22"/>
        </w:rPr>
        <w:t xml:space="preserve">he continuing downward price pressure on pricing is still the most important problem faced by TPL providers. Provider CEOs expected continuing resistance against tariff raisings. As it was in 2005, </w:t>
      </w:r>
      <w:r w:rsidR="00864493">
        <w:rPr>
          <w:sz w:val="22"/>
          <w:szCs w:val="22"/>
        </w:rPr>
        <w:t xml:space="preserve">attracting professional talent </w:t>
      </w:r>
      <w:r w:rsidR="004F7A7C">
        <w:rPr>
          <w:sz w:val="22"/>
          <w:szCs w:val="22"/>
        </w:rPr>
        <w:t>in 2010 was the second most important problem for the industry: this situation was worsened because after laying people off during the recession, the workforce ha</w:t>
      </w:r>
      <w:r w:rsidR="00864493">
        <w:rPr>
          <w:sz w:val="22"/>
          <w:szCs w:val="22"/>
        </w:rPr>
        <w:t>d</w:t>
      </w:r>
      <w:r w:rsidR="004F7A7C">
        <w:rPr>
          <w:sz w:val="22"/>
          <w:szCs w:val="22"/>
        </w:rPr>
        <w:t xml:space="preserve"> to be rebuild </w:t>
      </w:r>
      <w:sdt>
        <w:sdtPr>
          <w:rPr>
            <w:sz w:val="22"/>
            <w:szCs w:val="22"/>
          </w:rPr>
          <w:id w:val="11580908"/>
          <w:citation/>
        </w:sdtPr>
        <w:sdtContent>
          <w:r w:rsidR="00BD69D8">
            <w:rPr>
              <w:sz w:val="22"/>
              <w:szCs w:val="22"/>
            </w:rPr>
            <w:fldChar w:fldCharType="begin"/>
          </w:r>
          <w:r w:rsidR="00864493">
            <w:rPr>
              <w:sz w:val="22"/>
              <w:szCs w:val="22"/>
            </w:rPr>
            <w:instrText xml:space="preserve"> CITATION Lie10 \t  \l 1033  </w:instrText>
          </w:r>
          <w:r w:rsidR="00BD69D8">
            <w:rPr>
              <w:sz w:val="22"/>
              <w:szCs w:val="22"/>
            </w:rPr>
            <w:fldChar w:fldCharType="separate"/>
          </w:r>
          <w:r w:rsidR="00F26771" w:rsidRPr="00F26771">
            <w:rPr>
              <w:noProof/>
              <w:sz w:val="22"/>
              <w:szCs w:val="22"/>
            </w:rPr>
            <w:t>(Lieb &amp; Lieb, 2010)</w:t>
          </w:r>
          <w:r w:rsidR="00BD69D8">
            <w:rPr>
              <w:sz w:val="22"/>
              <w:szCs w:val="22"/>
            </w:rPr>
            <w:fldChar w:fldCharType="end"/>
          </w:r>
        </w:sdtContent>
      </w:sdt>
      <w:r w:rsidR="00864493">
        <w:rPr>
          <w:sz w:val="22"/>
          <w:szCs w:val="22"/>
        </w:rPr>
        <w:t>.</w:t>
      </w:r>
    </w:p>
    <w:p w:rsidR="00821BB3" w:rsidRDefault="00BC4455" w:rsidP="00346FD9">
      <w:pPr>
        <w:autoSpaceDE w:val="0"/>
        <w:autoSpaceDN w:val="0"/>
        <w:adjustRightInd w:val="0"/>
        <w:spacing w:before="0" w:line="360" w:lineRule="auto"/>
        <w:jc w:val="both"/>
        <w:rPr>
          <w:rFonts w:eastAsia="Times New Roman" w:cs="Times New Roman"/>
          <w:sz w:val="22"/>
          <w:szCs w:val="22"/>
          <w:lang w:eastAsia="nl-NL" w:bidi="ar-SA"/>
        </w:rPr>
      </w:pPr>
      <w:r>
        <w:rPr>
          <w:rFonts w:eastAsia="Times New Roman" w:cs="Times New Roman"/>
          <w:sz w:val="22"/>
          <w:szCs w:val="22"/>
          <w:lang w:eastAsia="nl-NL" w:bidi="ar-SA"/>
        </w:rPr>
        <w:t xml:space="preserve">The </w:t>
      </w:r>
      <w:r w:rsidR="00410C15">
        <w:rPr>
          <w:rFonts w:eastAsia="Times New Roman" w:cs="Times New Roman"/>
          <w:sz w:val="22"/>
          <w:szCs w:val="22"/>
          <w:lang w:eastAsia="nl-NL" w:bidi="ar-SA"/>
        </w:rPr>
        <w:t xml:space="preserve">demand </w:t>
      </w:r>
      <w:r w:rsidR="003E69FA">
        <w:rPr>
          <w:rFonts w:eastAsia="Times New Roman" w:cs="Times New Roman"/>
          <w:sz w:val="22"/>
          <w:szCs w:val="22"/>
          <w:lang w:eastAsia="nl-NL" w:bidi="ar-SA"/>
        </w:rPr>
        <w:t>for TPL</w:t>
      </w:r>
      <w:r w:rsidR="00410C15">
        <w:rPr>
          <w:rFonts w:eastAsia="Times New Roman" w:cs="Times New Roman"/>
          <w:sz w:val="22"/>
          <w:szCs w:val="22"/>
          <w:lang w:eastAsia="nl-NL" w:bidi="ar-SA"/>
        </w:rPr>
        <w:t xml:space="preserve"> services can </w:t>
      </w:r>
      <w:r>
        <w:rPr>
          <w:rFonts w:eastAsia="Times New Roman" w:cs="Times New Roman"/>
          <w:sz w:val="22"/>
          <w:szCs w:val="22"/>
          <w:lang w:eastAsia="nl-NL" w:bidi="ar-SA"/>
        </w:rPr>
        <w:t xml:space="preserve">be analyzed further. </w:t>
      </w:r>
      <w:r w:rsidR="00FE5D25">
        <w:rPr>
          <w:rFonts w:eastAsia="Times New Roman" w:cs="Times New Roman"/>
          <w:sz w:val="22"/>
          <w:szCs w:val="22"/>
          <w:lang w:eastAsia="nl-NL" w:bidi="ar-SA"/>
        </w:rPr>
        <w:t>On a global scale, t</w:t>
      </w:r>
      <w:r w:rsidR="00FE5D25" w:rsidRPr="00FE5D25">
        <w:rPr>
          <w:rFonts w:eastAsia="Times New Roman" w:cs="Times New Roman"/>
          <w:sz w:val="22"/>
          <w:szCs w:val="22"/>
          <w:lang w:eastAsia="nl-NL" w:bidi="ar-SA"/>
        </w:rPr>
        <w:t>he</w:t>
      </w:r>
      <w:r w:rsidR="00FE5D25">
        <w:rPr>
          <w:rFonts w:eastAsia="Times New Roman" w:cs="Times New Roman"/>
          <w:sz w:val="22"/>
          <w:szCs w:val="22"/>
          <w:lang w:eastAsia="nl-NL" w:bidi="ar-SA"/>
        </w:rPr>
        <w:t>re are several</w:t>
      </w:r>
      <w:r w:rsidR="00FE5D25" w:rsidRPr="00FE5D25">
        <w:rPr>
          <w:rFonts w:eastAsia="Times New Roman" w:cs="Times New Roman"/>
          <w:sz w:val="22"/>
          <w:szCs w:val="22"/>
          <w:lang w:eastAsia="nl-NL" w:bidi="ar-SA"/>
        </w:rPr>
        <w:t xml:space="preserve"> main factors behind the increasing role of TPL</w:t>
      </w:r>
      <w:r w:rsidR="00FE5D25">
        <w:rPr>
          <w:rFonts w:eastAsia="Times New Roman" w:cs="Times New Roman"/>
          <w:sz w:val="22"/>
          <w:szCs w:val="22"/>
          <w:lang w:eastAsia="nl-NL" w:bidi="ar-SA"/>
        </w:rPr>
        <w:t xml:space="preserve"> providers. Firstly, globalization caused a global network of manufacturing activities, thereby separating producers and consumers</w:t>
      </w:r>
      <w:r>
        <w:rPr>
          <w:rFonts w:eastAsia="Times New Roman" w:cs="Times New Roman"/>
          <w:sz w:val="22"/>
          <w:szCs w:val="22"/>
          <w:lang w:eastAsia="nl-NL" w:bidi="ar-SA"/>
        </w:rPr>
        <w:t>. This</w:t>
      </w:r>
      <w:r w:rsidR="00FE5D25">
        <w:rPr>
          <w:rFonts w:eastAsia="Times New Roman" w:cs="Times New Roman"/>
          <w:sz w:val="22"/>
          <w:szCs w:val="22"/>
          <w:lang w:eastAsia="nl-NL" w:bidi="ar-SA"/>
        </w:rPr>
        <w:t xml:space="preserve"> caused the demand for complicated </w:t>
      </w:r>
      <w:r w:rsidR="00410C15">
        <w:rPr>
          <w:rFonts w:eastAsia="Times New Roman" w:cs="Times New Roman"/>
          <w:sz w:val="22"/>
          <w:szCs w:val="22"/>
          <w:lang w:eastAsia="nl-NL" w:bidi="ar-SA"/>
        </w:rPr>
        <w:t>transportation services, since segments of the transport chain take place in countries which are unfamiliar to the outsourcing company</w:t>
      </w:r>
      <w:sdt>
        <w:sdtPr>
          <w:rPr>
            <w:rFonts w:eastAsia="Times New Roman" w:cs="Times New Roman"/>
            <w:sz w:val="22"/>
            <w:szCs w:val="22"/>
            <w:lang w:eastAsia="nl-NL" w:bidi="ar-SA"/>
          </w:rPr>
          <w:id w:val="6260847"/>
          <w:citation/>
        </w:sdtPr>
        <w:sdtContent>
          <w:r w:rsidR="00BD69D8">
            <w:rPr>
              <w:rFonts w:eastAsia="Times New Roman" w:cs="Times New Roman"/>
              <w:sz w:val="22"/>
              <w:szCs w:val="22"/>
              <w:lang w:eastAsia="nl-NL" w:bidi="ar-SA"/>
            </w:rPr>
            <w:fldChar w:fldCharType="begin"/>
          </w:r>
          <w:r w:rsidR="003C661B">
            <w:rPr>
              <w:rFonts w:eastAsia="Times New Roman" w:cs="Times New Roman"/>
              <w:sz w:val="22"/>
              <w:szCs w:val="22"/>
              <w:lang w:eastAsia="nl-NL" w:bidi="ar-SA"/>
            </w:rPr>
            <w:instrText xml:space="preserve"> CITATION Rod09 \l 1033 </w:instrText>
          </w:r>
          <w:r w:rsidR="00BD69D8">
            <w:rPr>
              <w:rFonts w:eastAsia="Times New Roman" w:cs="Times New Roman"/>
              <w:sz w:val="22"/>
              <w:szCs w:val="22"/>
              <w:lang w:eastAsia="nl-NL" w:bidi="ar-SA"/>
            </w:rPr>
            <w:fldChar w:fldCharType="separate"/>
          </w:r>
          <w:r w:rsidR="00F26771">
            <w:rPr>
              <w:rFonts w:eastAsia="Times New Roman" w:cs="Times New Roman"/>
              <w:noProof/>
              <w:sz w:val="22"/>
              <w:szCs w:val="22"/>
              <w:lang w:eastAsia="nl-NL" w:bidi="ar-SA"/>
            </w:rPr>
            <w:t xml:space="preserve"> </w:t>
          </w:r>
          <w:r w:rsidR="00F26771" w:rsidRPr="00F26771">
            <w:rPr>
              <w:rFonts w:eastAsia="Times New Roman" w:cs="Times New Roman"/>
              <w:noProof/>
              <w:sz w:val="22"/>
              <w:szCs w:val="22"/>
              <w:lang w:eastAsia="nl-NL" w:bidi="ar-SA"/>
            </w:rPr>
            <w:t>(Rodrique, Comtois, &amp; Slack, 2009)</w:t>
          </w:r>
          <w:r w:rsidR="00BD69D8">
            <w:rPr>
              <w:rFonts w:eastAsia="Times New Roman" w:cs="Times New Roman"/>
              <w:sz w:val="22"/>
              <w:szCs w:val="22"/>
              <w:lang w:eastAsia="nl-NL" w:bidi="ar-SA"/>
            </w:rPr>
            <w:fldChar w:fldCharType="end"/>
          </w:r>
        </w:sdtContent>
      </w:sdt>
      <w:r w:rsidR="00410C15">
        <w:rPr>
          <w:rFonts w:eastAsia="Times New Roman" w:cs="Times New Roman"/>
          <w:sz w:val="22"/>
          <w:szCs w:val="22"/>
          <w:lang w:eastAsia="nl-NL" w:bidi="ar-SA"/>
        </w:rPr>
        <w:t xml:space="preserve">. </w:t>
      </w:r>
      <w:r>
        <w:rPr>
          <w:rFonts w:eastAsia="Times New Roman" w:cs="Times New Roman"/>
          <w:sz w:val="22"/>
          <w:szCs w:val="22"/>
          <w:lang w:eastAsia="nl-NL" w:bidi="ar-SA"/>
        </w:rPr>
        <w:t>Second, an increasing focus on their core business and core competencies made retailers and manufacturers decide to sub-contract activities where they have less knowledge</w:t>
      </w:r>
      <w:r w:rsidR="00A86233">
        <w:rPr>
          <w:rFonts w:eastAsia="Times New Roman" w:cs="Times New Roman"/>
          <w:noProof/>
          <w:sz w:val="22"/>
          <w:szCs w:val="22"/>
          <w:lang w:eastAsia="nl-NL" w:bidi="ar-SA"/>
        </w:rPr>
        <w:t xml:space="preserve"> </w:t>
      </w:r>
      <w:r w:rsidR="00A86233" w:rsidRPr="00A86233">
        <w:rPr>
          <w:rFonts w:eastAsia="Times New Roman" w:cs="Times New Roman"/>
          <w:noProof/>
          <w:sz w:val="22"/>
          <w:szCs w:val="22"/>
          <w:lang w:eastAsia="nl-NL" w:bidi="ar-SA"/>
        </w:rPr>
        <w:t>(van Damme &amp; van Amstel, 1996</w:t>
      </w:r>
      <w:r w:rsidR="00FC6787">
        <w:rPr>
          <w:rFonts w:eastAsia="Times New Roman" w:cs="Times New Roman"/>
          <w:noProof/>
          <w:sz w:val="22"/>
          <w:szCs w:val="22"/>
          <w:lang w:eastAsia="nl-NL" w:bidi="ar-SA"/>
        </w:rPr>
        <w:t>; Hertz &amp; Alfredsson, 2003</w:t>
      </w:r>
      <w:r w:rsidR="00A86233" w:rsidRPr="00A86233">
        <w:rPr>
          <w:rFonts w:eastAsia="Times New Roman" w:cs="Times New Roman"/>
          <w:noProof/>
          <w:sz w:val="22"/>
          <w:szCs w:val="22"/>
          <w:lang w:eastAsia="nl-NL" w:bidi="ar-SA"/>
        </w:rPr>
        <w:t>)</w:t>
      </w:r>
      <w:r>
        <w:rPr>
          <w:rFonts w:eastAsia="Times New Roman" w:cs="Times New Roman"/>
          <w:sz w:val="22"/>
          <w:szCs w:val="22"/>
          <w:lang w:eastAsia="nl-NL" w:bidi="ar-SA"/>
        </w:rPr>
        <w:t>. Because of the expertise of the subcontractor in these sub-contracted fields, productivity gains such as less costs and more reliability can be achieved. Third, TPL providers can make better utilization of their transportation equipment by employing their assets for multiple clients, thereby lowering the costs involved</w:t>
      </w:r>
      <w:sdt>
        <w:sdtPr>
          <w:rPr>
            <w:rFonts w:eastAsia="Times New Roman" w:cs="Times New Roman"/>
            <w:sz w:val="22"/>
            <w:szCs w:val="22"/>
            <w:lang w:eastAsia="nl-NL" w:bidi="ar-SA"/>
          </w:rPr>
          <w:id w:val="6260840"/>
          <w:citation/>
        </w:sdtPr>
        <w:sdtContent>
          <w:r w:rsidR="00BD69D8">
            <w:rPr>
              <w:rFonts w:eastAsia="Times New Roman" w:cs="Times New Roman"/>
              <w:sz w:val="22"/>
              <w:szCs w:val="22"/>
              <w:lang w:eastAsia="nl-NL" w:bidi="ar-SA"/>
            </w:rPr>
            <w:fldChar w:fldCharType="begin"/>
          </w:r>
          <w:r w:rsidR="003C661B">
            <w:rPr>
              <w:rFonts w:eastAsia="Times New Roman" w:cs="Times New Roman"/>
              <w:sz w:val="22"/>
              <w:szCs w:val="22"/>
              <w:lang w:eastAsia="nl-NL" w:bidi="ar-SA"/>
            </w:rPr>
            <w:instrText xml:space="preserve"> CITATION van96 \l 1033 </w:instrText>
          </w:r>
          <w:r w:rsidR="00BD69D8">
            <w:rPr>
              <w:rFonts w:eastAsia="Times New Roman" w:cs="Times New Roman"/>
              <w:sz w:val="22"/>
              <w:szCs w:val="22"/>
              <w:lang w:eastAsia="nl-NL" w:bidi="ar-SA"/>
            </w:rPr>
            <w:fldChar w:fldCharType="separate"/>
          </w:r>
          <w:r w:rsidR="00F26771">
            <w:rPr>
              <w:rFonts w:eastAsia="Times New Roman" w:cs="Times New Roman"/>
              <w:noProof/>
              <w:sz w:val="22"/>
              <w:szCs w:val="22"/>
              <w:lang w:eastAsia="nl-NL" w:bidi="ar-SA"/>
            </w:rPr>
            <w:t xml:space="preserve"> </w:t>
          </w:r>
          <w:r w:rsidR="00F26771" w:rsidRPr="00F26771">
            <w:rPr>
              <w:rFonts w:eastAsia="Times New Roman" w:cs="Times New Roman"/>
              <w:noProof/>
              <w:sz w:val="22"/>
              <w:szCs w:val="22"/>
              <w:lang w:eastAsia="nl-NL" w:bidi="ar-SA"/>
            </w:rPr>
            <w:t>(van Damme &amp; van Amstel, 1996)</w:t>
          </w:r>
          <w:r w:rsidR="00BD69D8">
            <w:rPr>
              <w:rFonts w:eastAsia="Times New Roman" w:cs="Times New Roman"/>
              <w:sz w:val="22"/>
              <w:szCs w:val="22"/>
              <w:lang w:eastAsia="nl-NL" w:bidi="ar-SA"/>
            </w:rPr>
            <w:fldChar w:fldCharType="end"/>
          </w:r>
        </w:sdtContent>
      </w:sdt>
      <w:r>
        <w:rPr>
          <w:rFonts w:eastAsia="Times New Roman" w:cs="Times New Roman"/>
          <w:sz w:val="22"/>
          <w:szCs w:val="22"/>
          <w:lang w:eastAsia="nl-NL" w:bidi="ar-SA"/>
        </w:rPr>
        <w:t xml:space="preserve">. Fourth, </w:t>
      </w:r>
      <w:r w:rsidR="00410C15">
        <w:rPr>
          <w:rFonts w:eastAsia="Times New Roman" w:cs="Times New Roman"/>
          <w:sz w:val="22"/>
          <w:szCs w:val="22"/>
          <w:lang w:eastAsia="nl-NL" w:bidi="ar-SA"/>
        </w:rPr>
        <w:t>deregulation made a higher level of interaction between different transportation modes possible. Intermodal transport is a complex transport service: users of such services need TPL providers. Last but not least, TPL providers are innovative in implementing new supply chain solutions, thereby further lowering costs and improving service and reliability</w:t>
      </w:r>
      <w:r w:rsidR="00346FD9">
        <w:rPr>
          <w:rFonts w:eastAsia="Times New Roman" w:cs="Times New Roman"/>
          <w:noProof/>
          <w:sz w:val="22"/>
          <w:szCs w:val="22"/>
          <w:lang w:eastAsia="nl-NL" w:bidi="ar-SA"/>
        </w:rPr>
        <w:t xml:space="preserve"> </w:t>
      </w:r>
      <w:r w:rsidR="00346FD9" w:rsidRPr="00346FD9">
        <w:rPr>
          <w:rFonts w:eastAsia="Times New Roman" w:cs="Times New Roman"/>
          <w:noProof/>
          <w:sz w:val="22"/>
          <w:szCs w:val="22"/>
          <w:lang w:eastAsia="nl-NL" w:bidi="ar-SA"/>
        </w:rPr>
        <w:t>(Rodrique, Comtois, &amp; Slack, 2009)</w:t>
      </w:r>
      <w:r w:rsidR="00410C15">
        <w:rPr>
          <w:rFonts w:eastAsia="Times New Roman" w:cs="Times New Roman"/>
          <w:sz w:val="22"/>
          <w:szCs w:val="22"/>
          <w:lang w:eastAsia="nl-NL" w:bidi="ar-SA"/>
        </w:rPr>
        <w:t>.</w:t>
      </w:r>
      <w:r w:rsidR="00821BB3">
        <w:rPr>
          <w:rFonts w:eastAsia="Times New Roman" w:cs="Times New Roman"/>
          <w:sz w:val="22"/>
          <w:szCs w:val="22"/>
          <w:lang w:eastAsia="nl-NL" w:bidi="ar-SA"/>
        </w:rPr>
        <w:t xml:space="preserve"> </w:t>
      </w:r>
    </w:p>
    <w:p w:rsidR="00E736DC" w:rsidRDefault="00821BB3" w:rsidP="00484236">
      <w:pPr>
        <w:spacing w:before="100" w:beforeAutospacing="1" w:after="100" w:afterAutospacing="1" w:line="360" w:lineRule="auto"/>
        <w:jc w:val="both"/>
        <w:rPr>
          <w:rFonts w:eastAsia="Times New Roman" w:cs="Times New Roman"/>
          <w:sz w:val="22"/>
          <w:szCs w:val="22"/>
          <w:lang w:eastAsia="nl-NL" w:bidi="ar-SA"/>
        </w:rPr>
      </w:pPr>
      <w:r>
        <w:rPr>
          <w:rFonts w:eastAsia="Times New Roman" w:cs="Times New Roman"/>
          <w:sz w:val="22"/>
          <w:szCs w:val="22"/>
          <w:lang w:eastAsia="nl-NL" w:bidi="ar-SA"/>
        </w:rPr>
        <w:t xml:space="preserve">These factors above explain how the TPL industry </w:t>
      </w:r>
      <w:r w:rsidR="003E69FA">
        <w:rPr>
          <w:rFonts w:eastAsia="Times New Roman" w:cs="Times New Roman"/>
          <w:sz w:val="22"/>
          <w:szCs w:val="22"/>
          <w:lang w:eastAsia="nl-NL" w:bidi="ar-SA"/>
        </w:rPr>
        <w:t>emerged and</w:t>
      </w:r>
      <w:r>
        <w:rPr>
          <w:rFonts w:eastAsia="Times New Roman" w:cs="Times New Roman"/>
          <w:sz w:val="22"/>
          <w:szCs w:val="22"/>
          <w:lang w:eastAsia="nl-NL" w:bidi="ar-SA"/>
        </w:rPr>
        <w:t xml:space="preserve"> expanded into its current magnitude.</w:t>
      </w:r>
      <w:r w:rsidR="00E736DC">
        <w:rPr>
          <w:rFonts w:eastAsia="Times New Roman" w:cs="Times New Roman"/>
          <w:sz w:val="22"/>
          <w:szCs w:val="22"/>
          <w:lang w:eastAsia="nl-NL" w:bidi="ar-SA"/>
        </w:rPr>
        <w:t xml:space="preserve"> As can be seen in table</w:t>
      </w:r>
      <w:r w:rsidR="009B64D0">
        <w:rPr>
          <w:rFonts w:eastAsia="Times New Roman" w:cs="Times New Roman"/>
          <w:sz w:val="22"/>
          <w:szCs w:val="22"/>
          <w:lang w:eastAsia="nl-NL" w:bidi="ar-SA"/>
        </w:rPr>
        <w:t xml:space="preserve"> 6</w:t>
      </w:r>
      <w:r w:rsidR="002C24B8">
        <w:rPr>
          <w:rFonts w:eastAsia="Times New Roman" w:cs="Times New Roman"/>
          <w:sz w:val="22"/>
          <w:szCs w:val="22"/>
          <w:lang w:eastAsia="nl-NL" w:bidi="ar-SA"/>
        </w:rPr>
        <w:t>, global TPL revenues for 2009 were estimated to be 507 billion US$.</w:t>
      </w:r>
      <w:r>
        <w:rPr>
          <w:rFonts w:eastAsia="Times New Roman" w:cs="Times New Roman"/>
          <w:sz w:val="22"/>
          <w:szCs w:val="22"/>
          <w:lang w:eastAsia="nl-NL" w:bidi="ar-SA"/>
        </w:rPr>
        <w:t xml:space="preserve"> But</w:t>
      </w:r>
      <w:r w:rsidR="00AF4B5B">
        <w:rPr>
          <w:rFonts w:eastAsia="Times New Roman" w:cs="Times New Roman"/>
          <w:sz w:val="22"/>
          <w:szCs w:val="22"/>
          <w:lang w:eastAsia="nl-NL" w:bidi="ar-SA"/>
        </w:rPr>
        <w:t xml:space="preserve"> can we </w:t>
      </w:r>
      <w:r>
        <w:rPr>
          <w:rFonts w:eastAsia="Times New Roman" w:cs="Times New Roman"/>
          <w:sz w:val="22"/>
          <w:szCs w:val="22"/>
          <w:lang w:eastAsia="nl-NL" w:bidi="ar-SA"/>
        </w:rPr>
        <w:t xml:space="preserve">speak </w:t>
      </w:r>
      <w:r w:rsidR="00AF4B5B">
        <w:rPr>
          <w:rFonts w:eastAsia="Times New Roman" w:cs="Times New Roman"/>
          <w:sz w:val="22"/>
          <w:szCs w:val="22"/>
          <w:lang w:eastAsia="nl-NL" w:bidi="ar-SA"/>
        </w:rPr>
        <w:t>of</w:t>
      </w:r>
      <w:r>
        <w:rPr>
          <w:rFonts w:eastAsia="Times New Roman" w:cs="Times New Roman"/>
          <w:sz w:val="22"/>
          <w:szCs w:val="22"/>
          <w:lang w:eastAsia="nl-NL" w:bidi="ar-SA"/>
        </w:rPr>
        <w:t xml:space="preserve"> a mature market</w:t>
      </w:r>
      <w:r w:rsidR="00AF4B5B">
        <w:rPr>
          <w:rFonts w:eastAsia="Times New Roman" w:cs="Times New Roman"/>
          <w:sz w:val="22"/>
          <w:szCs w:val="22"/>
          <w:lang w:eastAsia="nl-NL" w:bidi="ar-SA"/>
        </w:rPr>
        <w:t xml:space="preserve"> yet?</w:t>
      </w:r>
      <w:r>
        <w:rPr>
          <w:rFonts w:eastAsia="Times New Roman" w:cs="Times New Roman"/>
          <w:sz w:val="22"/>
          <w:szCs w:val="22"/>
          <w:lang w:eastAsia="nl-NL" w:bidi="ar-SA"/>
        </w:rPr>
        <w:t xml:space="preserve"> According to Berglund at all. (1998) there are several arguments which underpin that the TPL industry has not yet reached its maturity stage. First of all, there are still a large number of TPL providers in the US and Europe, although Lieb (2005) states that TPL providers CEOs describe large-scale mergers among </w:t>
      </w:r>
      <w:r w:rsidR="004F7A7C">
        <w:rPr>
          <w:rFonts w:eastAsia="Times New Roman" w:cs="Times New Roman"/>
          <w:sz w:val="22"/>
          <w:szCs w:val="22"/>
          <w:lang w:eastAsia="nl-NL" w:bidi="ar-SA"/>
        </w:rPr>
        <w:t>TPL providers.</w:t>
      </w:r>
      <w:r w:rsidR="004F7A7C" w:rsidRPr="004F7A7C">
        <w:rPr>
          <w:rFonts w:eastAsia="Times New Roman" w:cs="Times New Roman"/>
          <w:sz w:val="22"/>
          <w:szCs w:val="22"/>
          <w:lang w:eastAsia="nl-NL" w:bidi="ar-SA"/>
        </w:rPr>
        <w:t xml:space="preserve"> Most of the </w:t>
      </w:r>
      <w:r w:rsidR="003E69FA" w:rsidRPr="004F7A7C">
        <w:rPr>
          <w:rFonts w:eastAsia="Times New Roman" w:cs="Times New Roman"/>
          <w:sz w:val="22"/>
          <w:szCs w:val="22"/>
          <w:lang w:eastAsia="nl-NL" w:bidi="ar-SA"/>
        </w:rPr>
        <w:t>CEOs interviewed</w:t>
      </w:r>
      <w:r w:rsidR="004F7A7C" w:rsidRPr="004F7A7C">
        <w:rPr>
          <w:rFonts w:eastAsia="Times New Roman" w:cs="Times New Roman"/>
          <w:sz w:val="22"/>
          <w:szCs w:val="22"/>
          <w:lang w:eastAsia="nl-NL" w:bidi="ar-SA"/>
        </w:rPr>
        <w:t xml:space="preserve"> in 2010 think that the TPL industry has not fully stabilized and are p</w:t>
      </w:r>
      <w:r w:rsidR="00864493">
        <w:rPr>
          <w:rFonts w:eastAsia="Times New Roman" w:cs="Times New Roman"/>
          <w:sz w:val="22"/>
          <w:szCs w:val="22"/>
          <w:lang w:eastAsia="nl-NL" w:bidi="ar-SA"/>
        </w:rPr>
        <w:t>redicting further consolidation</w:t>
      </w:r>
      <w:sdt>
        <w:sdtPr>
          <w:rPr>
            <w:rFonts w:eastAsia="Times New Roman" w:cs="Times New Roman"/>
            <w:sz w:val="22"/>
            <w:szCs w:val="22"/>
            <w:lang w:eastAsia="nl-NL" w:bidi="ar-SA"/>
          </w:rPr>
          <w:id w:val="11580909"/>
          <w:citation/>
        </w:sdtPr>
        <w:sdtContent>
          <w:r w:rsidR="00BD69D8">
            <w:rPr>
              <w:rFonts w:eastAsia="Times New Roman" w:cs="Times New Roman"/>
              <w:sz w:val="22"/>
              <w:szCs w:val="22"/>
              <w:lang w:eastAsia="nl-NL" w:bidi="ar-SA"/>
            </w:rPr>
            <w:fldChar w:fldCharType="begin"/>
          </w:r>
          <w:r w:rsidR="00864493">
            <w:rPr>
              <w:rFonts w:eastAsia="Times New Roman" w:cs="Times New Roman"/>
              <w:sz w:val="22"/>
              <w:szCs w:val="22"/>
              <w:lang w:eastAsia="nl-NL" w:bidi="ar-SA"/>
            </w:rPr>
            <w:instrText xml:space="preserve"> CITATION Lie10 \t  \l 1033  </w:instrText>
          </w:r>
          <w:r w:rsidR="00BD69D8">
            <w:rPr>
              <w:rFonts w:eastAsia="Times New Roman" w:cs="Times New Roman"/>
              <w:sz w:val="22"/>
              <w:szCs w:val="22"/>
              <w:lang w:eastAsia="nl-NL" w:bidi="ar-SA"/>
            </w:rPr>
            <w:fldChar w:fldCharType="separate"/>
          </w:r>
          <w:r w:rsidR="00F26771">
            <w:rPr>
              <w:rFonts w:eastAsia="Times New Roman" w:cs="Times New Roman"/>
              <w:noProof/>
              <w:sz w:val="22"/>
              <w:szCs w:val="22"/>
              <w:lang w:eastAsia="nl-NL" w:bidi="ar-SA"/>
            </w:rPr>
            <w:t xml:space="preserve"> </w:t>
          </w:r>
          <w:r w:rsidR="00F26771" w:rsidRPr="00F26771">
            <w:rPr>
              <w:rFonts w:eastAsia="Times New Roman" w:cs="Times New Roman"/>
              <w:noProof/>
              <w:sz w:val="22"/>
              <w:szCs w:val="22"/>
              <w:lang w:eastAsia="nl-NL" w:bidi="ar-SA"/>
            </w:rPr>
            <w:t>(Lieb &amp; Lieb, 2010)</w:t>
          </w:r>
          <w:r w:rsidR="00BD69D8">
            <w:rPr>
              <w:rFonts w:eastAsia="Times New Roman" w:cs="Times New Roman"/>
              <w:sz w:val="22"/>
              <w:szCs w:val="22"/>
              <w:lang w:eastAsia="nl-NL" w:bidi="ar-SA"/>
            </w:rPr>
            <w:fldChar w:fldCharType="end"/>
          </w:r>
        </w:sdtContent>
      </w:sdt>
      <w:r w:rsidR="00864493">
        <w:rPr>
          <w:rFonts w:eastAsia="Times New Roman" w:cs="Times New Roman"/>
          <w:sz w:val="22"/>
          <w:szCs w:val="22"/>
          <w:lang w:eastAsia="nl-NL" w:bidi="ar-SA"/>
        </w:rPr>
        <w:t>.</w:t>
      </w:r>
    </w:p>
    <w:tbl>
      <w:tblPr>
        <w:tblStyle w:val="Gemiddeldraster3-accent1"/>
        <w:tblW w:w="0" w:type="auto"/>
        <w:tblLook w:val="04A0"/>
      </w:tblPr>
      <w:tblGrid>
        <w:gridCol w:w="4606"/>
        <w:gridCol w:w="4606"/>
      </w:tblGrid>
      <w:tr w:rsidR="00E736DC" w:rsidTr="00AC5F7B">
        <w:trPr>
          <w:cnfStyle w:val="100000000000"/>
        </w:trPr>
        <w:tc>
          <w:tcPr>
            <w:cnfStyle w:val="001000000000"/>
            <w:tcW w:w="9212" w:type="dxa"/>
            <w:gridSpan w:val="2"/>
          </w:tcPr>
          <w:p w:rsidR="00E736DC" w:rsidRDefault="00484236" w:rsidP="008321D1">
            <w:pPr>
              <w:spacing w:after="100" w:afterAutospacing="1" w:line="360" w:lineRule="auto"/>
              <w:jc w:val="center"/>
              <w:rPr>
                <w:rFonts w:eastAsia="Times New Roman" w:cs="Times New Roman"/>
                <w:sz w:val="22"/>
                <w:szCs w:val="22"/>
                <w:lang w:eastAsia="nl-NL" w:bidi="ar-SA"/>
              </w:rPr>
            </w:pPr>
            <w:r>
              <w:rPr>
                <w:rFonts w:eastAsia="Times New Roman" w:cs="Times New Roman"/>
                <w:sz w:val="22"/>
                <w:szCs w:val="22"/>
                <w:lang w:eastAsia="nl-NL" w:bidi="ar-SA"/>
              </w:rPr>
              <w:lastRenderedPageBreak/>
              <w:t xml:space="preserve"> Table 6 </w:t>
            </w:r>
            <w:r w:rsidR="00E736DC">
              <w:rPr>
                <w:rFonts w:eastAsia="Times New Roman" w:cs="Times New Roman"/>
                <w:sz w:val="22"/>
                <w:szCs w:val="22"/>
                <w:lang w:eastAsia="nl-NL" w:bidi="ar-SA"/>
              </w:rPr>
              <w:t>Global TPL Revenues for 2009</w:t>
            </w:r>
            <w:r>
              <w:rPr>
                <w:rFonts w:eastAsia="Times New Roman" w:cs="Times New Roman"/>
                <w:sz w:val="22"/>
                <w:szCs w:val="22"/>
                <w:lang w:eastAsia="nl-NL" w:bidi="ar-SA"/>
              </w:rPr>
              <w:t xml:space="preserve"> </w:t>
            </w:r>
            <w:r w:rsidRPr="00484236">
              <w:rPr>
                <w:sz w:val="22"/>
                <w:szCs w:val="22"/>
              </w:rPr>
              <w:t xml:space="preserve">(source: </w:t>
            </w:r>
            <w:r w:rsidRPr="00484236">
              <w:rPr>
                <w:noProof/>
                <w:sz w:val="22"/>
                <w:szCs w:val="22"/>
              </w:rPr>
              <w:t>Langley &amp; Capgemini, 2010)</w:t>
            </w:r>
          </w:p>
        </w:tc>
      </w:tr>
      <w:tr w:rsidR="00E736DC" w:rsidTr="00AC5F7B">
        <w:trPr>
          <w:cnfStyle w:val="000000100000"/>
        </w:trPr>
        <w:tc>
          <w:tcPr>
            <w:cnfStyle w:val="001000000000"/>
            <w:tcW w:w="4606" w:type="dxa"/>
          </w:tcPr>
          <w:p w:rsidR="00E736DC" w:rsidRDefault="00E736DC" w:rsidP="008321D1">
            <w:pPr>
              <w:spacing w:after="100" w:afterAutospacing="1" w:line="360" w:lineRule="auto"/>
              <w:jc w:val="center"/>
              <w:rPr>
                <w:rFonts w:eastAsia="Times New Roman" w:cs="Times New Roman"/>
                <w:sz w:val="22"/>
                <w:szCs w:val="22"/>
                <w:lang w:eastAsia="nl-NL" w:bidi="ar-SA"/>
              </w:rPr>
            </w:pPr>
            <w:r>
              <w:rPr>
                <w:rFonts w:eastAsia="Times New Roman" w:cs="Times New Roman"/>
                <w:sz w:val="22"/>
                <w:szCs w:val="22"/>
                <w:lang w:eastAsia="nl-NL" w:bidi="ar-SA"/>
              </w:rPr>
              <w:t>Region</w:t>
            </w:r>
          </w:p>
        </w:tc>
        <w:tc>
          <w:tcPr>
            <w:tcW w:w="4606" w:type="dxa"/>
          </w:tcPr>
          <w:p w:rsidR="00E736DC" w:rsidRPr="008321D1" w:rsidRDefault="00E736DC" w:rsidP="008321D1">
            <w:pPr>
              <w:spacing w:after="100" w:afterAutospacing="1" w:line="360" w:lineRule="auto"/>
              <w:jc w:val="center"/>
              <w:cnfStyle w:val="000000100000"/>
              <w:rPr>
                <w:rFonts w:eastAsia="Times New Roman" w:cs="Times New Roman"/>
                <w:b/>
                <w:sz w:val="22"/>
                <w:szCs w:val="22"/>
                <w:lang w:eastAsia="nl-NL" w:bidi="ar-SA"/>
              </w:rPr>
            </w:pPr>
            <w:r w:rsidRPr="008321D1">
              <w:rPr>
                <w:rFonts w:eastAsia="Times New Roman" w:cs="Times New Roman"/>
                <w:b/>
                <w:sz w:val="22"/>
                <w:szCs w:val="22"/>
                <w:lang w:eastAsia="nl-NL" w:bidi="ar-SA"/>
              </w:rPr>
              <w:t>2009 Global</w:t>
            </w:r>
            <w:r w:rsidR="008321D1" w:rsidRPr="008321D1">
              <w:rPr>
                <w:rFonts w:eastAsia="Times New Roman" w:cs="Times New Roman"/>
                <w:b/>
                <w:sz w:val="22"/>
                <w:szCs w:val="22"/>
                <w:lang w:eastAsia="nl-NL" w:bidi="ar-SA"/>
              </w:rPr>
              <w:t xml:space="preserve"> TPL revenues (US$ billions)</w:t>
            </w:r>
          </w:p>
        </w:tc>
      </w:tr>
      <w:tr w:rsidR="00E736DC" w:rsidRPr="008321D1" w:rsidTr="00AC5F7B">
        <w:tc>
          <w:tcPr>
            <w:cnfStyle w:val="001000000000"/>
            <w:tcW w:w="4606" w:type="dxa"/>
          </w:tcPr>
          <w:p w:rsidR="00E736DC" w:rsidRPr="008321D1" w:rsidRDefault="008321D1" w:rsidP="008321D1">
            <w:pPr>
              <w:spacing w:after="100" w:afterAutospacing="1" w:line="360" w:lineRule="auto"/>
              <w:jc w:val="center"/>
              <w:rPr>
                <w:rFonts w:eastAsia="Times New Roman" w:cs="Times New Roman"/>
                <w:b w:val="0"/>
                <w:sz w:val="22"/>
                <w:szCs w:val="22"/>
                <w:lang w:eastAsia="nl-NL" w:bidi="ar-SA"/>
              </w:rPr>
            </w:pPr>
            <w:r w:rsidRPr="008321D1">
              <w:rPr>
                <w:rFonts w:eastAsia="Times New Roman" w:cs="Times New Roman"/>
                <w:b w:val="0"/>
                <w:sz w:val="22"/>
                <w:szCs w:val="22"/>
                <w:lang w:eastAsia="nl-NL" w:bidi="ar-SA"/>
              </w:rPr>
              <w:t>North America</w:t>
            </w:r>
          </w:p>
        </w:tc>
        <w:tc>
          <w:tcPr>
            <w:tcW w:w="4606" w:type="dxa"/>
          </w:tcPr>
          <w:p w:rsidR="00E736DC" w:rsidRPr="008321D1" w:rsidRDefault="008321D1" w:rsidP="008321D1">
            <w:pPr>
              <w:spacing w:after="100" w:afterAutospacing="1" w:line="360" w:lineRule="auto"/>
              <w:jc w:val="center"/>
              <w:cnfStyle w:val="000000000000"/>
              <w:rPr>
                <w:rFonts w:eastAsia="Times New Roman" w:cs="Times New Roman"/>
                <w:sz w:val="22"/>
                <w:szCs w:val="22"/>
                <w:lang w:eastAsia="nl-NL" w:bidi="ar-SA"/>
              </w:rPr>
            </w:pPr>
            <w:r w:rsidRPr="008321D1">
              <w:rPr>
                <w:rFonts w:eastAsia="Times New Roman" w:cs="Times New Roman"/>
                <w:sz w:val="22"/>
                <w:szCs w:val="22"/>
                <w:lang w:eastAsia="nl-NL" w:bidi="ar-SA"/>
              </w:rPr>
              <w:t>128.1</w:t>
            </w:r>
          </w:p>
        </w:tc>
      </w:tr>
      <w:tr w:rsidR="00E736DC" w:rsidRPr="008321D1" w:rsidTr="00AC5F7B">
        <w:trPr>
          <w:cnfStyle w:val="000000100000"/>
        </w:trPr>
        <w:tc>
          <w:tcPr>
            <w:cnfStyle w:val="001000000000"/>
            <w:tcW w:w="4606" w:type="dxa"/>
          </w:tcPr>
          <w:p w:rsidR="00E736DC" w:rsidRPr="008321D1" w:rsidRDefault="008321D1" w:rsidP="008321D1">
            <w:pPr>
              <w:spacing w:after="100" w:afterAutospacing="1" w:line="360" w:lineRule="auto"/>
              <w:jc w:val="center"/>
              <w:rPr>
                <w:rFonts w:eastAsia="Times New Roman" w:cs="Times New Roman"/>
                <w:b w:val="0"/>
                <w:sz w:val="22"/>
                <w:szCs w:val="22"/>
                <w:lang w:eastAsia="nl-NL" w:bidi="ar-SA"/>
              </w:rPr>
            </w:pPr>
            <w:r w:rsidRPr="008321D1">
              <w:rPr>
                <w:rFonts w:eastAsia="Times New Roman" w:cs="Times New Roman"/>
                <w:b w:val="0"/>
                <w:sz w:val="22"/>
                <w:szCs w:val="22"/>
                <w:lang w:eastAsia="nl-NL" w:bidi="ar-SA"/>
              </w:rPr>
              <w:t>Europe</w:t>
            </w:r>
          </w:p>
        </w:tc>
        <w:tc>
          <w:tcPr>
            <w:tcW w:w="4606" w:type="dxa"/>
          </w:tcPr>
          <w:p w:rsidR="00E736DC" w:rsidRPr="008321D1" w:rsidRDefault="008321D1" w:rsidP="008321D1">
            <w:pPr>
              <w:spacing w:after="100" w:afterAutospacing="1" w:line="360" w:lineRule="auto"/>
              <w:jc w:val="center"/>
              <w:cnfStyle w:val="000000100000"/>
              <w:rPr>
                <w:rFonts w:eastAsia="Times New Roman" w:cs="Times New Roman"/>
                <w:sz w:val="22"/>
                <w:szCs w:val="22"/>
                <w:lang w:eastAsia="nl-NL" w:bidi="ar-SA"/>
              </w:rPr>
            </w:pPr>
            <w:r w:rsidRPr="008321D1">
              <w:rPr>
                <w:rFonts w:eastAsia="Times New Roman" w:cs="Times New Roman"/>
                <w:sz w:val="22"/>
                <w:szCs w:val="22"/>
                <w:lang w:eastAsia="nl-NL" w:bidi="ar-SA"/>
              </w:rPr>
              <w:t>162.3</w:t>
            </w:r>
          </w:p>
        </w:tc>
      </w:tr>
      <w:tr w:rsidR="00E736DC" w:rsidRPr="008321D1" w:rsidTr="00AC5F7B">
        <w:tc>
          <w:tcPr>
            <w:cnfStyle w:val="001000000000"/>
            <w:tcW w:w="4606" w:type="dxa"/>
          </w:tcPr>
          <w:p w:rsidR="00E736DC" w:rsidRPr="008321D1" w:rsidRDefault="008321D1" w:rsidP="008321D1">
            <w:pPr>
              <w:spacing w:after="100" w:afterAutospacing="1" w:line="360" w:lineRule="auto"/>
              <w:jc w:val="center"/>
              <w:rPr>
                <w:rFonts w:eastAsia="Times New Roman" w:cs="Times New Roman"/>
                <w:b w:val="0"/>
                <w:sz w:val="22"/>
                <w:szCs w:val="22"/>
                <w:lang w:eastAsia="nl-NL" w:bidi="ar-SA"/>
              </w:rPr>
            </w:pPr>
            <w:r w:rsidRPr="008321D1">
              <w:rPr>
                <w:rFonts w:eastAsia="Times New Roman" w:cs="Times New Roman"/>
                <w:b w:val="0"/>
                <w:sz w:val="22"/>
                <w:szCs w:val="22"/>
                <w:lang w:eastAsia="nl-NL" w:bidi="ar-SA"/>
              </w:rPr>
              <w:t>Asia- Pacific</w:t>
            </w:r>
          </w:p>
        </w:tc>
        <w:tc>
          <w:tcPr>
            <w:tcW w:w="4606" w:type="dxa"/>
          </w:tcPr>
          <w:p w:rsidR="00E736DC" w:rsidRPr="008321D1" w:rsidRDefault="008321D1" w:rsidP="008321D1">
            <w:pPr>
              <w:spacing w:after="100" w:afterAutospacing="1" w:line="360" w:lineRule="auto"/>
              <w:jc w:val="center"/>
              <w:cnfStyle w:val="000000000000"/>
              <w:rPr>
                <w:rFonts w:eastAsia="Times New Roman" w:cs="Times New Roman"/>
                <w:sz w:val="22"/>
                <w:szCs w:val="22"/>
                <w:lang w:eastAsia="nl-NL" w:bidi="ar-SA"/>
              </w:rPr>
            </w:pPr>
            <w:r w:rsidRPr="008321D1">
              <w:rPr>
                <w:rFonts w:eastAsia="Times New Roman" w:cs="Times New Roman"/>
                <w:sz w:val="22"/>
                <w:szCs w:val="22"/>
                <w:lang w:eastAsia="nl-NL" w:bidi="ar-SA"/>
              </w:rPr>
              <w:t>136.7</w:t>
            </w:r>
          </w:p>
        </w:tc>
      </w:tr>
      <w:tr w:rsidR="00E736DC" w:rsidRPr="008321D1" w:rsidTr="00AC5F7B">
        <w:trPr>
          <w:cnfStyle w:val="000000100000"/>
        </w:trPr>
        <w:tc>
          <w:tcPr>
            <w:cnfStyle w:val="001000000000"/>
            <w:tcW w:w="4606" w:type="dxa"/>
          </w:tcPr>
          <w:p w:rsidR="00E736DC" w:rsidRPr="008321D1" w:rsidRDefault="008321D1" w:rsidP="008321D1">
            <w:pPr>
              <w:spacing w:after="100" w:afterAutospacing="1" w:line="360" w:lineRule="auto"/>
              <w:jc w:val="center"/>
              <w:rPr>
                <w:rFonts w:eastAsia="Times New Roman" w:cs="Times New Roman"/>
                <w:b w:val="0"/>
                <w:sz w:val="22"/>
                <w:szCs w:val="22"/>
                <w:lang w:eastAsia="nl-NL" w:bidi="ar-SA"/>
              </w:rPr>
            </w:pPr>
            <w:r w:rsidRPr="008321D1">
              <w:rPr>
                <w:rFonts w:eastAsia="Times New Roman" w:cs="Times New Roman"/>
                <w:b w:val="0"/>
                <w:sz w:val="22"/>
                <w:szCs w:val="22"/>
                <w:lang w:eastAsia="nl-NL" w:bidi="ar-SA"/>
              </w:rPr>
              <w:t>Latin America</w:t>
            </w:r>
          </w:p>
        </w:tc>
        <w:tc>
          <w:tcPr>
            <w:tcW w:w="4606" w:type="dxa"/>
          </w:tcPr>
          <w:p w:rsidR="00E736DC" w:rsidRPr="008321D1" w:rsidRDefault="008321D1" w:rsidP="008321D1">
            <w:pPr>
              <w:spacing w:after="100" w:afterAutospacing="1" w:line="360" w:lineRule="auto"/>
              <w:jc w:val="center"/>
              <w:cnfStyle w:val="000000100000"/>
              <w:rPr>
                <w:rFonts w:eastAsia="Times New Roman" w:cs="Times New Roman"/>
                <w:sz w:val="22"/>
                <w:szCs w:val="22"/>
                <w:lang w:eastAsia="nl-NL" w:bidi="ar-SA"/>
              </w:rPr>
            </w:pPr>
            <w:r w:rsidRPr="008321D1">
              <w:rPr>
                <w:rFonts w:eastAsia="Times New Roman" w:cs="Times New Roman"/>
                <w:sz w:val="22"/>
                <w:szCs w:val="22"/>
                <w:lang w:eastAsia="nl-NL" w:bidi="ar-SA"/>
              </w:rPr>
              <w:t>27.6</w:t>
            </w:r>
          </w:p>
        </w:tc>
      </w:tr>
      <w:tr w:rsidR="00E736DC" w:rsidRPr="008321D1" w:rsidTr="00AC5F7B">
        <w:tc>
          <w:tcPr>
            <w:cnfStyle w:val="001000000000"/>
            <w:tcW w:w="4606" w:type="dxa"/>
          </w:tcPr>
          <w:p w:rsidR="00E736DC" w:rsidRPr="008321D1" w:rsidRDefault="008321D1" w:rsidP="008321D1">
            <w:pPr>
              <w:spacing w:after="100" w:afterAutospacing="1" w:line="360" w:lineRule="auto"/>
              <w:jc w:val="center"/>
              <w:rPr>
                <w:rFonts w:eastAsia="Times New Roman" w:cs="Times New Roman"/>
                <w:b w:val="0"/>
                <w:sz w:val="22"/>
                <w:szCs w:val="22"/>
                <w:lang w:eastAsia="nl-NL" w:bidi="ar-SA"/>
              </w:rPr>
            </w:pPr>
            <w:r w:rsidRPr="008321D1">
              <w:rPr>
                <w:rFonts w:eastAsia="Times New Roman" w:cs="Times New Roman"/>
                <w:b w:val="0"/>
                <w:sz w:val="22"/>
                <w:szCs w:val="22"/>
                <w:lang w:eastAsia="nl-NL" w:bidi="ar-SA"/>
              </w:rPr>
              <w:t>Other Regions</w:t>
            </w:r>
          </w:p>
        </w:tc>
        <w:tc>
          <w:tcPr>
            <w:tcW w:w="4606" w:type="dxa"/>
          </w:tcPr>
          <w:p w:rsidR="00E736DC" w:rsidRPr="008321D1" w:rsidRDefault="008321D1" w:rsidP="008321D1">
            <w:pPr>
              <w:spacing w:after="100" w:afterAutospacing="1" w:line="360" w:lineRule="auto"/>
              <w:jc w:val="center"/>
              <w:cnfStyle w:val="000000000000"/>
              <w:rPr>
                <w:rFonts w:eastAsia="Times New Roman" w:cs="Times New Roman"/>
                <w:sz w:val="22"/>
                <w:szCs w:val="22"/>
                <w:lang w:eastAsia="nl-NL" w:bidi="ar-SA"/>
              </w:rPr>
            </w:pPr>
            <w:r w:rsidRPr="008321D1">
              <w:rPr>
                <w:rFonts w:eastAsia="Times New Roman" w:cs="Times New Roman"/>
                <w:sz w:val="22"/>
                <w:szCs w:val="22"/>
                <w:lang w:eastAsia="nl-NL" w:bidi="ar-SA"/>
              </w:rPr>
              <w:t>52.4</w:t>
            </w:r>
          </w:p>
        </w:tc>
      </w:tr>
      <w:tr w:rsidR="00E736DC" w:rsidRPr="008321D1" w:rsidTr="00AC5F7B">
        <w:trPr>
          <w:cnfStyle w:val="000000100000"/>
        </w:trPr>
        <w:tc>
          <w:tcPr>
            <w:cnfStyle w:val="001000000000"/>
            <w:tcW w:w="4606" w:type="dxa"/>
          </w:tcPr>
          <w:p w:rsidR="00E736DC" w:rsidRPr="008321D1" w:rsidRDefault="008321D1" w:rsidP="008321D1">
            <w:pPr>
              <w:spacing w:after="100" w:afterAutospacing="1" w:line="360" w:lineRule="auto"/>
              <w:jc w:val="center"/>
              <w:rPr>
                <w:rFonts w:eastAsia="Times New Roman" w:cs="Times New Roman"/>
                <w:b w:val="0"/>
                <w:sz w:val="22"/>
                <w:szCs w:val="22"/>
                <w:lang w:eastAsia="nl-NL" w:bidi="ar-SA"/>
              </w:rPr>
            </w:pPr>
            <w:r w:rsidRPr="008321D1">
              <w:rPr>
                <w:rFonts w:eastAsia="Times New Roman" w:cs="Times New Roman"/>
                <w:b w:val="0"/>
                <w:sz w:val="22"/>
                <w:szCs w:val="22"/>
                <w:lang w:eastAsia="nl-NL" w:bidi="ar-SA"/>
              </w:rPr>
              <w:t>Total</w:t>
            </w:r>
          </w:p>
        </w:tc>
        <w:tc>
          <w:tcPr>
            <w:tcW w:w="4606" w:type="dxa"/>
          </w:tcPr>
          <w:p w:rsidR="00E736DC" w:rsidRPr="008321D1" w:rsidRDefault="008321D1" w:rsidP="008321D1">
            <w:pPr>
              <w:spacing w:after="100" w:afterAutospacing="1" w:line="360" w:lineRule="auto"/>
              <w:jc w:val="center"/>
              <w:cnfStyle w:val="000000100000"/>
              <w:rPr>
                <w:rFonts w:eastAsia="Times New Roman" w:cs="Times New Roman"/>
                <w:sz w:val="22"/>
                <w:szCs w:val="22"/>
                <w:lang w:eastAsia="nl-NL" w:bidi="ar-SA"/>
              </w:rPr>
            </w:pPr>
            <w:r w:rsidRPr="008321D1">
              <w:rPr>
                <w:rFonts w:eastAsia="Times New Roman" w:cs="Times New Roman"/>
                <w:sz w:val="22"/>
                <w:szCs w:val="22"/>
                <w:lang w:eastAsia="nl-NL" w:bidi="ar-SA"/>
              </w:rPr>
              <w:t>507.1</w:t>
            </w:r>
          </w:p>
        </w:tc>
      </w:tr>
    </w:tbl>
    <w:p w:rsidR="008321D1" w:rsidRDefault="008321D1" w:rsidP="008321D1">
      <w:pPr>
        <w:spacing w:before="0" w:after="0" w:line="360" w:lineRule="auto"/>
        <w:jc w:val="both"/>
        <w:rPr>
          <w:rFonts w:eastAsia="Times New Roman" w:cs="Times New Roman"/>
          <w:sz w:val="22"/>
          <w:szCs w:val="22"/>
          <w:lang w:eastAsia="nl-NL" w:bidi="ar-SA"/>
        </w:rPr>
      </w:pPr>
    </w:p>
    <w:p w:rsidR="00480DDC" w:rsidRDefault="004F7A7C" w:rsidP="003A6753">
      <w:pPr>
        <w:spacing w:before="0" w:after="0" w:line="360" w:lineRule="auto"/>
        <w:jc w:val="both"/>
        <w:rPr>
          <w:rFonts w:eastAsia="Times New Roman" w:cs="Times New Roman"/>
          <w:sz w:val="22"/>
          <w:szCs w:val="22"/>
          <w:lang w:eastAsia="nl-NL" w:bidi="ar-SA"/>
        </w:rPr>
      </w:pPr>
      <w:r>
        <w:rPr>
          <w:rFonts w:eastAsia="Times New Roman" w:cs="Times New Roman"/>
          <w:sz w:val="22"/>
          <w:szCs w:val="22"/>
          <w:lang w:eastAsia="nl-NL" w:bidi="ar-SA"/>
        </w:rPr>
        <w:t>Judging from these</w:t>
      </w:r>
      <w:r w:rsidR="00821BB3">
        <w:rPr>
          <w:rFonts w:eastAsia="Times New Roman" w:cs="Times New Roman"/>
          <w:sz w:val="22"/>
          <w:szCs w:val="22"/>
          <w:lang w:eastAsia="nl-NL" w:bidi="ar-SA"/>
        </w:rPr>
        <w:t xml:space="preserve"> fact</w:t>
      </w:r>
      <w:r>
        <w:rPr>
          <w:rFonts w:eastAsia="Times New Roman" w:cs="Times New Roman"/>
          <w:sz w:val="22"/>
          <w:szCs w:val="22"/>
          <w:lang w:eastAsia="nl-NL" w:bidi="ar-SA"/>
        </w:rPr>
        <w:t>s</w:t>
      </w:r>
      <w:r w:rsidR="00BC57E9">
        <w:rPr>
          <w:rFonts w:eastAsia="Times New Roman" w:cs="Times New Roman"/>
          <w:sz w:val="22"/>
          <w:szCs w:val="22"/>
          <w:lang w:eastAsia="nl-NL" w:bidi="ar-SA"/>
        </w:rPr>
        <w:t xml:space="preserve"> and seen the year of publication</w:t>
      </w:r>
      <w:r w:rsidR="00087A65">
        <w:rPr>
          <w:rFonts w:eastAsia="Times New Roman" w:cs="Times New Roman"/>
          <w:sz w:val="22"/>
          <w:szCs w:val="22"/>
          <w:lang w:eastAsia="nl-NL" w:bidi="ar-SA"/>
        </w:rPr>
        <w:t xml:space="preserve"> of the papers mentioned, the industry is on its way to maturity. But there are still other factors that prove that this process of maturing isn’t finished yet. As mentioned before, t</w:t>
      </w:r>
      <w:r w:rsidR="00A86696">
        <w:rPr>
          <w:rFonts w:eastAsia="Times New Roman" w:cs="Times New Roman"/>
          <w:sz w:val="22"/>
          <w:szCs w:val="22"/>
          <w:lang w:eastAsia="nl-NL" w:bidi="ar-SA"/>
        </w:rPr>
        <w:t xml:space="preserve">he absence of ambiguous terminology is still existing and thus an indicator for relative immatureness. The same can be said about the lack of companies completely focusing on TPL services: Berglund et all. (1998) state that most TPL activities are being conducted by large </w:t>
      </w:r>
      <w:r w:rsidR="003E69FA">
        <w:rPr>
          <w:rFonts w:eastAsia="Times New Roman" w:cs="Times New Roman"/>
          <w:sz w:val="22"/>
          <w:szCs w:val="22"/>
          <w:lang w:eastAsia="nl-NL" w:bidi="ar-SA"/>
        </w:rPr>
        <w:t>transport operators</w:t>
      </w:r>
      <w:r w:rsidR="00A86696">
        <w:rPr>
          <w:rFonts w:eastAsia="Times New Roman" w:cs="Times New Roman"/>
          <w:sz w:val="22"/>
          <w:szCs w:val="22"/>
          <w:lang w:eastAsia="nl-NL" w:bidi="ar-SA"/>
        </w:rPr>
        <w:t xml:space="preserve">. In my opinion, large transportation companies operating TPL services should be recognized as fully fledged TPL operators. Summarizing, </w:t>
      </w:r>
      <w:r w:rsidR="002752F8">
        <w:rPr>
          <w:rFonts w:eastAsia="Times New Roman" w:cs="Times New Roman"/>
          <w:sz w:val="22"/>
          <w:szCs w:val="22"/>
          <w:lang w:eastAsia="nl-NL" w:bidi="ar-SA"/>
        </w:rPr>
        <w:t>it</w:t>
      </w:r>
      <w:r w:rsidR="00A86696">
        <w:rPr>
          <w:rFonts w:eastAsia="Times New Roman" w:cs="Times New Roman"/>
          <w:sz w:val="22"/>
          <w:szCs w:val="22"/>
          <w:lang w:eastAsia="nl-NL" w:bidi="ar-SA"/>
        </w:rPr>
        <w:t xml:space="preserve"> can be said that the TPL industry is </w:t>
      </w:r>
      <w:r w:rsidR="00E17CA4">
        <w:rPr>
          <w:rFonts w:eastAsia="Times New Roman" w:cs="Times New Roman"/>
          <w:sz w:val="22"/>
          <w:szCs w:val="22"/>
          <w:lang w:eastAsia="nl-NL" w:bidi="ar-SA"/>
        </w:rPr>
        <w:t xml:space="preserve">arrived at the last stage of the maturing process. </w:t>
      </w:r>
    </w:p>
    <w:p w:rsidR="00C427F0" w:rsidRPr="00410C15" w:rsidRDefault="00C427F0" w:rsidP="00480DDC">
      <w:pPr>
        <w:spacing w:before="0"/>
        <w:rPr>
          <w:rFonts w:eastAsia="Times New Roman" w:cs="Times New Roman"/>
          <w:sz w:val="22"/>
          <w:szCs w:val="22"/>
          <w:lang w:eastAsia="nl-NL" w:bidi="ar-SA"/>
        </w:rPr>
      </w:pPr>
    </w:p>
    <w:p w:rsidR="009E6BCE" w:rsidRPr="004A1087" w:rsidRDefault="0097033B" w:rsidP="009E6BCE">
      <w:pPr>
        <w:pStyle w:val="Kop2"/>
        <w:numPr>
          <w:ilvl w:val="1"/>
          <w:numId w:val="13"/>
        </w:numPr>
        <w:spacing w:after="240"/>
        <w:rPr>
          <w:rFonts w:asciiTheme="majorHAnsi" w:hAnsiTheme="majorHAnsi"/>
        </w:rPr>
      </w:pPr>
      <w:bookmarkStart w:id="11" w:name="_Toc300411985"/>
      <w:r w:rsidRPr="004A1087">
        <w:rPr>
          <w:rFonts w:asciiTheme="majorHAnsi" w:hAnsiTheme="majorHAnsi"/>
        </w:rPr>
        <w:t>O</w:t>
      </w:r>
      <w:r w:rsidR="00D03FE3" w:rsidRPr="004A1087">
        <w:rPr>
          <w:rFonts w:asciiTheme="majorHAnsi" w:hAnsiTheme="majorHAnsi"/>
        </w:rPr>
        <w:t>utsourcing logistics</w:t>
      </w:r>
      <w:bookmarkEnd w:id="11"/>
      <w:r w:rsidR="00D03FE3" w:rsidRPr="004A1087">
        <w:rPr>
          <w:rFonts w:asciiTheme="majorHAnsi" w:hAnsiTheme="majorHAnsi"/>
        </w:rPr>
        <w:t xml:space="preserve"> </w:t>
      </w:r>
    </w:p>
    <w:p w:rsidR="00F72833" w:rsidRPr="009E414C" w:rsidRDefault="001A5184" w:rsidP="009E414C">
      <w:pPr>
        <w:autoSpaceDE w:val="0"/>
        <w:autoSpaceDN w:val="0"/>
        <w:adjustRightInd w:val="0"/>
        <w:spacing w:before="0" w:line="360" w:lineRule="auto"/>
        <w:jc w:val="both"/>
        <w:rPr>
          <w:rFonts w:cs="AdvPS405B7"/>
          <w:sz w:val="22"/>
          <w:szCs w:val="22"/>
        </w:rPr>
      </w:pPr>
      <w:r>
        <w:rPr>
          <w:rFonts w:cs="AdvPS405B7"/>
          <w:sz w:val="22"/>
          <w:szCs w:val="22"/>
        </w:rPr>
        <w:t>Outsourc</w:t>
      </w:r>
      <w:r w:rsidR="00E81089">
        <w:rPr>
          <w:rFonts w:cs="AdvPS405B7"/>
          <w:sz w:val="22"/>
          <w:szCs w:val="22"/>
        </w:rPr>
        <w:t>e</w:t>
      </w:r>
      <w:r>
        <w:rPr>
          <w:rFonts w:cs="AdvPS405B7"/>
          <w:sz w:val="22"/>
          <w:szCs w:val="22"/>
        </w:rPr>
        <w:t xml:space="preserve"> or in-house</w:t>
      </w:r>
      <w:r w:rsidR="00E81089">
        <w:rPr>
          <w:rFonts w:cs="AdvPS405B7"/>
          <w:sz w:val="22"/>
          <w:szCs w:val="22"/>
        </w:rPr>
        <w:t xml:space="preserve"> service:</w:t>
      </w:r>
      <w:r>
        <w:rPr>
          <w:rFonts w:cs="AdvPS405B7"/>
          <w:sz w:val="22"/>
          <w:szCs w:val="22"/>
        </w:rPr>
        <w:t xml:space="preserve"> that’s the question.  There can be regulatory or economic reasons for organizing certain activities. Rules can prevent management and operations to split if, for example, otherwise an unfair competitive position would be obtained. There are three major economic approaches generally discussed with regard to logistics outsourcing or in-house decisions: transaction cost view, resource-based view and the supply chain management theory</w:t>
      </w:r>
      <w:sdt>
        <w:sdtPr>
          <w:rPr>
            <w:rFonts w:cs="AdvPS405B7"/>
            <w:sz w:val="22"/>
            <w:szCs w:val="22"/>
          </w:rPr>
          <w:id w:val="4385302"/>
          <w:citation/>
        </w:sdtPr>
        <w:sdtContent>
          <w:r w:rsidR="00BD69D8">
            <w:rPr>
              <w:rFonts w:cs="AdvPS405B7"/>
              <w:sz w:val="22"/>
              <w:szCs w:val="22"/>
            </w:rPr>
            <w:fldChar w:fldCharType="begin"/>
          </w:r>
          <w:r>
            <w:rPr>
              <w:rFonts w:cs="AdvPS405B7"/>
              <w:sz w:val="22"/>
              <w:szCs w:val="22"/>
            </w:rPr>
            <w:instrText xml:space="preserve"> CITATION Hsi11 \l 1033 </w:instrText>
          </w:r>
          <w:r w:rsidR="00BD69D8">
            <w:rPr>
              <w:rFonts w:cs="AdvPS405B7"/>
              <w:sz w:val="22"/>
              <w:szCs w:val="22"/>
            </w:rPr>
            <w:fldChar w:fldCharType="separate"/>
          </w:r>
          <w:r w:rsidR="00F26771">
            <w:rPr>
              <w:rFonts w:cs="AdvPS405B7"/>
              <w:noProof/>
              <w:sz w:val="22"/>
              <w:szCs w:val="22"/>
            </w:rPr>
            <w:t xml:space="preserve"> </w:t>
          </w:r>
          <w:r w:rsidR="00F26771" w:rsidRPr="00F26771">
            <w:rPr>
              <w:rFonts w:cs="AdvPS405B7"/>
              <w:noProof/>
              <w:sz w:val="22"/>
              <w:szCs w:val="22"/>
            </w:rPr>
            <w:t>(Hsiao, Kemp, van der Vorst, &amp; Omta, 2011)</w:t>
          </w:r>
          <w:r w:rsidR="00BD69D8">
            <w:rPr>
              <w:rFonts w:cs="AdvPS405B7"/>
              <w:sz w:val="22"/>
              <w:szCs w:val="22"/>
            </w:rPr>
            <w:fldChar w:fldCharType="end"/>
          </w:r>
        </w:sdtContent>
      </w:sdt>
      <w:r>
        <w:rPr>
          <w:rFonts w:cs="AdvPS405B7"/>
          <w:sz w:val="22"/>
          <w:szCs w:val="22"/>
        </w:rPr>
        <w:t>.  Transaction costs economics explains why economic activities are organized as they are</w:t>
      </w:r>
      <w:r w:rsidR="00B35A41">
        <w:rPr>
          <w:rFonts w:cs="AdvPS405B7"/>
          <w:sz w:val="22"/>
          <w:szCs w:val="22"/>
        </w:rPr>
        <w:t xml:space="preserve">: on a market, within the firm or in a hybrid form (networks etc.) In selecting the right governance model for transaction, the transaction cost should be minimized. Transaction difficulties are caused by bounded rationality and opportunism. Bounded rationality means that people intend to behave rationally, but often are not rational because of incomplete information. Opportunism is a term to describe the fact that people are led by self-interest. Determinant for the choice of governance are: asset specificity, complexity, uncertainty and frequency. If a transaction involves high determinants, so high frequency of the transaction etc., transaction costs will also be high  </w:t>
      </w:r>
      <w:sdt>
        <w:sdtPr>
          <w:rPr>
            <w:rFonts w:cs="AdvPS405B7"/>
            <w:sz w:val="22"/>
            <w:szCs w:val="22"/>
          </w:rPr>
          <w:id w:val="4385303"/>
          <w:citation/>
        </w:sdtPr>
        <w:sdtContent>
          <w:r w:rsidR="00BD69D8">
            <w:rPr>
              <w:rFonts w:cs="AdvPS405B7"/>
              <w:sz w:val="22"/>
              <w:szCs w:val="22"/>
            </w:rPr>
            <w:fldChar w:fldCharType="begin"/>
          </w:r>
          <w:r w:rsidR="00B35A41">
            <w:rPr>
              <w:rFonts w:cs="AdvPS405B7"/>
              <w:sz w:val="22"/>
              <w:szCs w:val="22"/>
            </w:rPr>
            <w:instrText xml:space="preserve"> CITATION Wil79 \l 1033 </w:instrText>
          </w:r>
          <w:r w:rsidR="00BD69D8">
            <w:rPr>
              <w:rFonts w:cs="AdvPS405B7"/>
              <w:sz w:val="22"/>
              <w:szCs w:val="22"/>
            </w:rPr>
            <w:fldChar w:fldCharType="separate"/>
          </w:r>
          <w:r w:rsidR="00F26771" w:rsidRPr="00F26771">
            <w:rPr>
              <w:rFonts w:cs="AdvPS405B7"/>
              <w:noProof/>
              <w:sz w:val="22"/>
              <w:szCs w:val="22"/>
            </w:rPr>
            <w:t>(Williamson, Transaction cost economics: the governance of contractual relations, 1979)</w:t>
          </w:r>
          <w:r w:rsidR="00BD69D8">
            <w:rPr>
              <w:rFonts w:cs="AdvPS405B7"/>
              <w:sz w:val="22"/>
              <w:szCs w:val="22"/>
            </w:rPr>
            <w:fldChar w:fldCharType="end"/>
          </w:r>
        </w:sdtContent>
      </w:sdt>
      <w:r w:rsidR="00B35A41">
        <w:rPr>
          <w:rFonts w:cs="AdvPS405B7"/>
          <w:sz w:val="22"/>
          <w:szCs w:val="22"/>
        </w:rPr>
        <w:t>.</w:t>
      </w:r>
      <w:r w:rsidR="003466D2">
        <w:rPr>
          <w:rFonts w:cs="AdvPS405B7"/>
          <w:sz w:val="22"/>
          <w:szCs w:val="22"/>
        </w:rPr>
        <w:t xml:space="preserve"> The </w:t>
      </w:r>
      <w:r w:rsidR="003466D2">
        <w:rPr>
          <w:rFonts w:cs="AdvPS405B7"/>
          <w:sz w:val="22"/>
          <w:szCs w:val="22"/>
        </w:rPr>
        <w:lastRenderedPageBreak/>
        <w:t xml:space="preserve">resource based view of the firm studies a firm’s internal strengths and weaknesses. </w:t>
      </w:r>
      <w:r w:rsidR="003E69FA">
        <w:rPr>
          <w:rFonts w:cs="AdvPS405B7"/>
          <w:sz w:val="22"/>
          <w:szCs w:val="22"/>
        </w:rPr>
        <w:t>This view suggests</w:t>
      </w:r>
      <w:r w:rsidR="003466D2">
        <w:rPr>
          <w:rFonts w:cs="AdvPS405B7"/>
          <w:sz w:val="22"/>
          <w:szCs w:val="22"/>
        </w:rPr>
        <w:t xml:space="preserve"> that each company has unique competencies which they make leverage with. These unique competencies form the basis of their core business </w:t>
      </w:r>
      <w:r w:rsidR="003E69FA">
        <w:rPr>
          <w:rFonts w:cs="AdvPS405B7"/>
          <w:sz w:val="22"/>
          <w:szCs w:val="22"/>
        </w:rPr>
        <w:t>and thus</w:t>
      </w:r>
      <w:r w:rsidR="003466D2">
        <w:rPr>
          <w:rFonts w:cs="AdvPS405B7"/>
          <w:sz w:val="22"/>
          <w:szCs w:val="22"/>
        </w:rPr>
        <w:t xml:space="preserve"> will their core business not be outsourced.</w:t>
      </w:r>
      <w:r w:rsidR="003466D2">
        <w:rPr>
          <w:rFonts w:cs="AdvPS405B7"/>
          <w:noProof/>
          <w:sz w:val="22"/>
          <w:szCs w:val="22"/>
        </w:rPr>
        <w:t xml:space="preserve"> </w:t>
      </w:r>
      <w:r w:rsidR="003466D2" w:rsidRPr="003466D2">
        <w:rPr>
          <w:rFonts w:cs="AdvPS405B7"/>
          <w:noProof/>
          <w:sz w:val="22"/>
          <w:szCs w:val="22"/>
        </w:rPr>
        <w:t>(</w:t>
      </w:r>
      <w:r w:rsidR="00F72833">
        <w:rPr>
          <w:rFonts w:cs="AdvPS405B7"/>
          <w:noProof/>
          <w:sz w:val="22"/>
          <w:szCs w:val="22"/>
        </w:rPr>
        <w:t xml:space="preserve">Insigna &amp; Werle, 2000; </w:t>
      </w:r>
      <w:r w:rsidR="003466D2" w:rsidRPr="003466D2">
        <w:rPr>
          <w:rFonts w:cs="AdvPS405B7"/>
          <w:noProof/>
          <w:sz w:val="22"/>
          <w:szCs w:val="22"/>
        </w:rPr>
        <w:t>Leiblein &amp; Miller, 2003)</w:t>
      </w:r>
      <w:r w:rsidR="009E414C">
        <w:rPr>
          <w:rFonts w:cs="AdvPS405B7"/>
          <w:sz w:val="22"/>
          <w:szCs w:val="22"/>
        </w:rPr>
        <w:t xml:space="preserve"> </w:t>
      </w:r>
      <w:r w:rsidR="009E414C" w:rsidRPr="009E414C">
        <w:rPr>
          <w:rFonts w:cs="AdvPS405B6"/>
          <w:sz w:val="22"/>
          <w:szCs w:val="22"/>
          <w:lang w:bidi="ar-SA"/>
        </w:rPr>
        <w:t xml:space="preserve">The third economic </w:t>
      </w:r>
      <w:r w:rsidRPr="009E414C">
        <w:rPr>
          <w:rFonts w:cs="AdvPS405B6"/>
          <w:sz w:val="22"/>
          <w:szCs w:val="22"/>
          <w:lang w:bidi="ar-SA"/>
        </w:rPr>
        <w:t>outsourcing approach is</w:t>
      </w:r>
      <w:r w:rsidR="00F72833" w:rsidRPr="009E414C">
        <w:rPr>
          <w:rFonts w:cs="AdvPS405B6"/>
          <w:sz w:val="22"/>
          <w:szCs w:val="22"/>
          <w:lang w:bidi="ar-SA"/>
        </w:rPr>
        <w:t xml:space="preserve"> </w:t>
      </w:r>
      <w:r w:rsidRPr="009E414C">
        <w:rPr>
          <w:rFonts w:cs="AdvPS405B6"/>
          <w:sz w:val="22"/>
          <w:szCs w:val="22"/>
          <w:lang w:bidi="ar-SA"/>
        </w:rPr>
        <w:t xml:space="preserve">supply chain management theory. </w:t>
      </w:r>
      <w:r w:rsidR="00F72833" w:rsidRPr="009E414C">
        <w:rPr>
          <w:rFonts w:cs="AdvPS405B6"/>
          <w:sz w:val="22"/>
          <w:szCs w:val="22"/>
          <w:lang w:bidi="ar-SA"/>
        </w:rPr>
        <w:t xml:space="preserve"> </w:t>
      </w:r>
      <w:r w:rsidR="003E69FA">
        <w:rPr>
          <w:rFonts w:cs="AdvPS405B6"/>
          <w:sz w:val="22"/>
          <w:szCs w:val="22"/>
          <w:lang w:bidi="ar-SA"/>
        </w:rPr>
        <w:t>This theory suggests</w:t>
      </w:r>
      <w:r w:rsidR="009E414C">
        <w:rPr>
          <w:rFonts w:cs="AdvPS405B6"/>
          <w:sz w:val="22"/>
          <w:szCs w:val="22"/>
          <w:lang w:bidi="ar-SA"/>
        </w:rPr>
        <w:t xml:space="preserve"> that firms consider outsourcing their logistics when logistics complexity is high. Outsourcing the problem of complexity can easily be done be relying on TPL providers</w:t>
      </w:r>
      <w:r w:rsidR="00622BDE">
        <w:rPr>
          <w:rFonts w:cs="AdvPS405B6"/>
          <w:noProof/>
          <w:sz w:val="22"/>
          <w:szCs w:val="22"/>
          <w:lang w:bidi="ar-SA"/>
        </w:rPr>
        <w:t xml:space="preserve"> (Rao &amp; Young, 1994; </w:t>
      </w:r>
      <w:r w:rsidR="00622BDE" w:rsidRPr="00622BDE">
        <w:rPr>
          <w:rFonts w:cs="AdvPS405B6"/>
          <w:noProof/>
          <w:sz w:val="22"/>
          <w:szCs w:val="22"/>
          <w:lang w:bidi="ar-SA"/>
        </w:rPr>
        <w:t>van Damme &amp; van Amstel, 1996)</w:t>
      </w:r>
      <w:r w:rsidR="00622BDE">
        <w:rPr>
          <w:rFonts w:cs="AdvPS405B6"/>
          <w:noProof/>
          <w:sz w:val="22"/>
          <w:szCs w:val="22"/>
          <w:lang w:bidi="ar-SA"/>
        </w:rPr>
        <w:t>.</w:t>
      </w:r>
    </w:p>
    <w:p w:rsidR="005A64F2" w:rsidRDefault="009E6BCE" w:rsidP="009E6BCE">
      <w:pPr>
        <w:autoSpaceDE w:val="0"/>
        <w:autoSpaceDN w:val="0"/>
        <w:adjustRightInd w:val="0"/>
        <w:spacing w:before="0" w:line="360" w:lineRule="auto"/>
        <w:jc w:val="both"/>
        <w:rPr>
          <w:rFonts w:cs="AdvPS405B7"/>
          <w:sz w:val="22"/>
          <w:szCs w:val="22"/>
        </w:rPr>
      </w:pPr>
      <w:r w:rsidRPr="009E6BCE">
        <w:rPr>
          <w:rFonts w:cs="AdvPS405B7"/>
          <w:sz w:val="22"/>
          <w:szCs w:val="22"/>
        </w:rPr>
        <w:t xml:space="preserve">TPL providers can be seen as supportive supply chain members </w:t>
      </w:r>
      <w:sdt>
        <w:sdtPr>
          <w:rPr>
            <w:rFonts w:cs="AdvPS405B7"/>
            <w:sz w:val="22"/>
            <w:szCs w:val="22"/>
          </w:rPr>
          <w:id w:val="6260446"/>
          <w:citation/>
        </w:sdtPr>
        <w:sdtContent>
          <w:r w:rsidR="00BD69D8" w:rsidRPr="009E6BCE">
            <w:rPr>
              <w:rFonts w:cs="AdvPS405B7"/>
              <w:sz w:val="22"/>
              <w:szCs w:val="22"/>
            </w:rPr>
            <w:fldChar w:fldCharType="begin"/>
          </w:r>
          <w:r w:rsidR="008851C7" w:rsidRPr="009E6BCE">
            <w:rPr>
              <w:rFonts w:cs="AdvPS405B7"/>
              <w:sz w:val="22"/>
              <w:szCs w:val="22"/>
            </w:rPr>
            <w:instrText xml:space="preserve"> CITATION Lam98 \l 1033 </w:instrText>
          </w:r>
          <w:r w:rsidR="00BD69D8" w:rsidRPr="009E6BCE">
            <w:rPr>
              <w:rFonts w:cs="AdvPS405B7"/>
              <w:sz w:val="22"/>
              <w:szCs w:val="22"/>
            </w:rPr>
            <w:fldChar w:fldCharType="separate"/>
          </w:r>
          <w:r w:rsidR="00F26771" w:rsidRPr="00F26771">
            <w:rPr>
              <w:rFonts w:cs="AdvPS405B7"/>
              <w:noProof/>
              <w:sz w:val="22"/>
              <w:szCs w:val="22"/>
            </w:rPr>
            <w:t>(Lambert, Cooper, &amp; Pagh, 1998)</w:t>
          </w:r>
          <w:r w:rsidR="00BD69D8" w:rsidRPr="009E6BCE">
            <w:rPr>
              <w:rFonts w:cs="AdvPS405B7"/>
              <w:sz w:val="22"/>
              <w:szCs w:val="22"/>
            </w:rPr>
            <w:fldChar w:fldCharType="end"/>
          </w:r>
        </w:sdtContent>
      </w:sdt>
      <w:r w:rsidRPr="009E6BCE">
        <w:rPr>
          <w:rFonts w:cs="AdvPS405B7"/>
          <w:sz w:val="22"/>
          <w:szCs w:val="22"/>
        </w:rPr>
        <w:t xml:space="preserve"> and can thus be defined as companies that provide knowledge or assets for the primary supply chain members</w:t>
      </w:r>
      <w:r>
        <w:rPr>
          <w:rFonts w:cs="AdvPS405B7"/>
          <w:sz w:val="22"/>
          <w:szCs w:val="22"/>
        </w:rPr>
        <w:t xml:space="preserve">. Supply chains can benefit from provided TPL services by being able to enhance total </w:t>
      </w:r>
      <w:r w:rsidR="007276A4">
        <w:rPr>
          <w:rFonts w:cs="AdvPS405B7"/>
          <w:sz w:val="22"/>
          <w:szCs w:val="22"/>
        </w:rPr>
        <w:t xml:space="preserve">company performance through </w:t>
      </w:r>
      <w:r>
        <w:rPr>
          <w:rFonts w:cs="AdvPS405B7"/>
          <w:sz w:val="22"/>
          <w:szCs w:val="22"/>
        </w:rPr>
        <w:t>added-value created by outsourcing logistics</w:t>
      </w:r>
      <w:sdt>
        <w:sdtPr>
          <w:rPr>
            <w:rFonts w:cs="AdvPS405B7"/>
            <w:sz w:val="22"/>
            <w:szCs w:val="22"/>
          </w:rPr>
          <w:id w:val="6260454"/>
          <w:citation/>
        </w:sdtPr>
        <w:sdtContent>
          <w:r w:rsidR="00BD69D8">
            <w:rPr>
              <w:rFonts w:cs="AdvPS405B7"/>
              <w:sz w:val="22"/>
              <w:szCs w:val="22"/>
            </w:rPr>
            <w:fldChar w:fldCharType="begin"/>
          </w:r>
          <w:r>
            <w:rPr>
              <w:rFonts w:cs="AdvPS405B7"/>
              <w:sz w:val="22"/>
              <w:szCs w:val="22"/>
            </w:rPr>
            <w:instrText xml:space="preserve"> CITATION Bas01 \l 1033 </w:instrText>
          </w:r>
          <w:r w:rsidR="00BD69D8">
            <w:rPr>
              <w:rFonts w:cs="AdvPS405B7"/>
              <w:sz w:val="22"/>
              <w:szCs w:val="22"/>
            </w:rPr>
            <w:fldChar w:fldCharType="separate"/>
          </w:r>
          <w:r w:rsidR="00F26771">
            <w:rPr>
              <w:rFonts w:cs="AdvPS405B7"/>
              <w:noProof/>
              <w:sz w:val="22"/>
              <w:szCs w:val="22"/>
            </w:rPr>
            <w:t xml:space="preserve"> </w:t>
          </w:r>
          <w:r w:rsidR="00F26771" w:rsidRPr="00F26771">
            <w:rPr>
              <w:rFonts w:cs="AdvPS405B7"/>
              <w:noProof/>
              <w:sz w:val="22"/>
              <w:szCs w:val="22"/>
            </w:rPr>
            <w:t>(Bask, 2001)</w:t>
          </w:r>
          <w:r w:rsidR="00BD69D8">
            <w:rPr>
              <w:rFonts w:cs="AdvPS405B7"/>
              <w:sz w:val="22"/>
              <w:szCs w:val="22"/>
            </w:rPr>
            <w:fldChar w:fldCharType="end"/>
          </w:r>
        </w:sdtContent>
      </w:sdt>
      <w:r>
        <w:rPr>
          <w:rFonts w:cs="AdvPS405B7"/>
          <w:sz w:val="22"/>
          <w:szCs w:val="22"/>
        </w:rPr>
        <w:t>.</w:t>
      </w:r>
      <w:r w:rsidR="009A5E67">
        <w:rPr>
          <w:rFonts w:cs="AdvPS405B7"/>
          <w:sz w:val="22"/>
          <w:szCs w:val="22"/>
        </w:rPr>
        <w:t xml:space="preserve"> The main benefits </w:t>
      </w:r>
      <w:r w:rsidR="001077D5">
        <w:rPr>
          <w:rFonts w:cs="AdvPS405B7"/>
          <w:sz w:val="22"/>
          <w:szCs w:val="22"/>
        </w:rPr>
        <w:t>one should think of are bargaining power, improvement of economies of scale and scope, efficient operations, faster implementation of IT systems, knowledge base</w:t>
      </w:r>
      <w:r w:rsidR="003E69FA">
        <w:rPr>
          <w:rFonts w:cs="AdvPS405B7"/>
          <w:sz w:val="22"/>
          <w:szCs w:val="22"/>
        </w:rPr>
        <w:t>, reduced</w:t>
      </w:r>
      <w:r w:rsidR="001077D5">
        <w:rPr>
          <w:rFonts w:cs="AdvPS405B7"/>
          <w:sz w:val="22"/>
          <w:szCs w:val="22"/>
        </w:rPr>
        <w:t xml:space="preserve"> investment base and the re-organization of the supply chain</w:t>
      </w:r>
      <w:sdt>
        <w:sdtPr>
          <w:rPr>
            <w:rFonts w:cs="AdvPS405B7"/>
            <w:sz w:val="22"/>
            <w:szCs w:val="22"/>
          </w:rPr>
          <w:id w:val="6260469"/>
          <w:citation/>
        </w:sdtPr>
        <w:sdtContent>
          <w:r w:rsidR="00BD69D8">
            <w:rPr>
              <w:rFonts w:cs="AdvPS405B7"/>
              <w:sz w:val="22"/>
              <w:szCs w:val="22"/>
            </w:rPr>
            <w:fldChar w:fldCharType="begin"/>
          </w:r>
          <w:r w:rsidR="007276A4">
            <w:rPr>
              <w:rFonts w:cs="AdvPS405B7"/>
              <w:sz w:val="22"/>
              <w:szCs w:val="22"/>
            </w:rPr>
            <w:instrText xml:space="preserve"> CITATION And95 \t  \l 1033  </w:instrText>
          </w:r>
          <w:r w:rsidR="00BD69D8">
            <w:rPr>
              <w:rFonts w:cs="AdvPS405B7"/>
              <w:sz w:val="22"/>
              <w:szCs w:val="22"/>
            </w:rPr>
            <w:fldChar w:fldCharType="separate"/>
          </w:r>
          <w:r w:rsidR="00F26771">
            <w:rPr>
              <w:rFonts w:cs="AdvPS405B7"/>
              <w:noProof/>
              <w:sz w:val="22"/>
              <w:szCs w:val="22"/>
            </w:rPr>
            <w:t xml:space="preserve"> </w:t>
          </w:r>
          <w:r w:rsidR="00F26771" w:rsidRPr="00F26771">
            <w:rPr>
              <w:rFonts w:cs="AdvPS405B7"/>
              <w:noProof/>
              <w:sz w:val="22"/>
              <w:szCs w:val="22"/>
            </w:rPr>
            <w:t>(Andersson, 1995)</w:t>
          </w:r>
          <w:r w:rsidR="00BD69D8">
            <w:rPr>
              <w:rFonts w:cs="AdvPS405B7"/>
              <w:sz w:val="22"/>
              <w:szCs w:val="22"/>
            </w:rPr>
            <w:fldChar w:fldCharType="end"/>
          </w:r>
        </w:sdtContent>
      </w:sdt>
      <w:r w:rsidR="001077D5">
        <w:rPr>
          <w:rFonts w:cs="AdvPS405B7"/>
          <w:sz w:val="22"/>
          <w:szCs w:val="22"/>
        </w:rPr>
        <w:t>. These benefits associated with TPL can lead to the creation of added value for the o</w:t>
      </w:r>
      <w:r w:rsidR="007276A4">
        <w:rPr>
          <w:rFonts w:cs="AdvPS405B7"/>
          <w:sz w:val="22"/>
          <w:szCs w:val="22"/>
        </w:rPr>
        <w:t>utsourcer, thereby enhancing its total company performance.</w:t>
      </w:r>
      <w:r w:rsidR="005A64F2">
        <w:rPr>
          <w:rFonts w:cs="AdvPS405B7"/>
          <w:sz w:val="22"/>
          <w:szCs w:val="22"/>
        </w:rPr>
        <w:t xml:space="preserve"> </w:t>
      </w:r>
    </w:p>
    <w:p w:rsidR="00484236" w:rsidRDefault="005A64F2" w:rsidP="00484236">
      <w:pPr>
        <w:autoSpaceDE w:val="0"/>
        <w:autoSpaceDN w:val="0"/>
        <w:adjustRightInd w:val="0"/>
        <w:spacing w:before="0" w:after="0" w:line="360" w:lineRule="auto"/>
        <w:jc w:val="both"/>
        <w:rPr>
          <w:rFonts w:cs="Times-Roman"/>
          <w:sz w:val="22"/>
          <w:szCs w:val="22"/>
          <w:lang w:bidi="ar-SA"/>
        </w:rPr>
      </w:pPr>
      <w:r>
        <w:rPr>
          <w:rFonts w:cs="AdvPS405B7"/>
          <w:sz w:val="22"/>
          <w:szCs w:val="22"/>
        </w:rPr>
        <w:t>The</w:t>
      </w:r>
      <w:r w:rsidR="00FA123A">
        <w:rPr>
          <w:rFonts w:cs="AdvPS405B7"/>
          <w:sz w:val="22"/>
          <w:szCs w:val="22"/>
        </w:rPr>
        <w:t xml:space="preserve"> benefits and risks of outsourcing activities to TPL operators can be classified into three categories: strategic-, financial- and operational-related</w:t>
      </w:r>
      <w:sdt>
        <w:sdtPr>
          <w:rPr>
            <w:rFonts w:cs="AdvPS405B7"/>
            <w:sz w:val="22"/>
            <w:szCs w:val="22"/>
          </w:rPr>
          <w:id w:val="6260473"/>
          <w:citation/>
        </w:sdtPr>
        <w:sdtContent>
          <w:r w:rsidR="00BD69D8">
            <w:rPr>
              <w:rFonts w:cs="AdvPS405B7"/>
              <w:sz w:val="22"/>
              <w:szCs w:val="22"/>
            </w:rPr>
            <w:fldChar w:fldCharType="begin"/>
          </w:r>
          <w:r w:rsidR="00D1563A">
            <w:rPr>
              <w:rFonts w:cs="AdvPS405B7"/>
              <w:sz w:val="22"/>
              <w:szCs w:val="22"/>
            </w:rPr>
            <w:instrText xml:space="preserve"> CITATION Sel07 \l 1033 </w:instrText>
          </w:r>
          <w:r w:rsidR="00BD69D8">
            <w:rPr>
              <w:rFonts w:cs="AdvPS405B7"/>
              <w:sz w:val="22"/>
              <w:szCs w:val="22"/>
            </w:rPr>
            <w:fldChar w:fldCharType="separate"/>
          </w:r>
          <w:r w:rsidR="00F26771">
            <w:rPr>
              <w:rFonts w:cs="AdvPS405B7"/>
              <w:noProof/>
              <w:sz w:val="22"/>
              <w:szCs w:val="22"/>
            </w:rPr>
            <w:t xml:space="preserve"> </w:t>
          </w:r>
          <w:r w:rsidR="00F26771" w:rsidRPr="00F26771">
            <w:rPr>
              <w:rFonts w:cs="AdvPS405B7"/>
              <w:noProof/>
              <w:sz w:val="22"/>
              <w:szCs w:val="22"/>
            </w:rPr>
            <w:t>(Selviaridis &amp; Spring, 2007)</w:t>
          </w:r>
          <w:r w:rsidR="00BD69D8">
            <w:rPr>
              <w:rFonts w:cs="AdvPS405B7"/>
              <w:sz w:val="22"/>
              <w:szCs w:val="22"/>
            </w:rPr>
            <w:fldChar w:fldCharType="end"/>
          </w:r>
        </w:sdtContent>
      </w:sdt>
      <w:r w:rsidR="00FA123A">
        <w:rPr>
          <w:rFonts w:cs="AdvPS405B7"/>
          <w:sz w:val="22"/>
          <w:szCs w:val="22"/>
        </w:rPr>
        <w:t xml:space="preserve">. Focusing on core competencies, thereby outsourcing </w:t>
      </w:r>
      <w:r w:rsidR="003E69FA">
        <w:rPr>
          <w:rFonts w:cs="AdvPS405B7"/>
          <w:sz w:val="22"/>
          <w:szCs w:val="22"/>
        </w:rPr>
        <w:t>logistics</w:t>
      </w:r>
      <w:r w:rsidR="00D1563A">
        <w:rPr>
          <w:rFonts w:cs="AdvPS405B7"/>
          <w:sz w:val="22"/>
          <w:szCs w:val="22"/>
        </w:rPr>
        <w:t xml:space="preserve"> can be classified as a strategically motivated</w:t>
      </w:r>
      <w:sdt>
        <w:sdtPr>
          <w:rPr>
            <w:rFonts w:cs="AdvPS405B7"/>
            <w:sz w:val="22"/>
            <w:szCs w:val="22"/>
          </w:rPr>
          <w:id w:val="6260843"/>
          <w:citation/>
        </w:sdtPr>
        <w:sdtContent>
          <w:r w:rsidR="00BD69D8">
            <w:rPr>
              <w:rFonts w:cs="AdvPS405B7"/>
              <w:sz w:val="22"/>
              <w:szCs w:val="22"/>
            </w:rPr>
            <w:fldChar w:fldCharType="begin"/>
          </w:r>
          <w:r w:rsidR="003C661B">
            <w:rPr>
              <w:rFonts w:cs="AdvPS405B7"/>
              <w:sz w:val="22"/>
              <w:szCs w:val="22"/>
            </w:rPr>
            <w:instrText xml:space="preserve"> CITATION van96 \l 1033 </w:instrText>
          </w:r>
          <w:r w:rsidR="00BD69D8">
            <w:rPr>
              <w:rFonts w:cs="AdvPS405B7"/>
              <w:sz w:val="22"/>
              <w:szCs w:val="22"/>
            </w:rPr>
            <w:fldChar w:fldCharType="separate"/>
          </w:r>
          <w:r w:rsidR="00F26771">
            <w:rPr>
              <w:rFonts w:cs="AdvPS405B7"/>
              <w:noProof/>
              <w:sz w:val="22"/>
              <w:szCs w:val="22"/>
            </w:rPr>
            <w:t xml:space="preserve"> </w:t>
          </w:r>
          <w:r w:rsidR="00F26771" w:rsidRPr="00F26771">
            <w:rPr>
              <w:rFonts w:cs="AdvPS405B7"/>
              <w:noProof/>
              <w:sz w:val="22"/>
              <w:szCs w:val="22"/>
            </w:rPr>
            <w:t>(van Damme &amp; van Amstel, 1996)</w:t>
          </w:r>
          <w:r w:rsidR="00BD69D8">
            <w:rPr>
              <w:rFonts w:cs="AdvPS405B7"/>
              <w:sz w:val="22"/>
              <w:szCs w:val="22"/>
            </w:rPr>
            <w:fldChar w:fldCharType="end"/>
          </w:r>
        </w:sdtContent>
      </w:sdt>
      <w:r w:rsidR="00D1563A">
        <w:rPr>
          <w:rFonts w:cs="AdvPS405B7"/>
          <w:sz w:val="22"/>
          <w:szCs w:val="22"/>
        </w:rPr>
        <w:t xml:space="preserve">. </w:t>
      </w:r>
      <w:r w:rsidR="00FA123A">
        <w:rPr>
          <w:rFonts w:cs="AdvPS405B7"/>
          <w:sz w:val="22"/>
          <w:szCs w:val="22"/>
        </w:rPr>
        <w:t xml:space="preserve"> </w:t>
      </w:r>
      <w:r w:rsidR="00D1563A">
        <w:rPr>
          <w:rFonts w:cs="AdvPS405B7"/>
          <w:sz w:val="22"/>
          <w:szCs w:val="22"/>
        </w:rPr>
        <w:t>TPL providers can also improve customer satisfaction and give access to international distribution networks</w:t>
      </w:r>
      <w:r w:rsidR="00D47E37">
        <w:rPr>
          <w:rFonts w:cs="AdvPS405B7"/>
          <w:sz w:val="22"/>
          <w:szCs w:val="22"/>
        </w:rPr>
        <w:t>. Users of TPL providers enlarge their flexibility by having more flexibility in responding to demand volatility</w:t>
      </w:r>
      <w:r w:rsidR="00D1563A">
        <w:rPr>
          <w:rFonts w:cs="AdvPS405B7"/>
          <w:sz w:val="22"/>
          <w:szCs w:val="22"/>
        </w:rPr>
        <w:t xml:space="preserve"> </w:t>
      </w:r>
      <w:sdt>
        <w:sdtPr>
          <w:rPr>
            <w:rFonts w:cs="AdvPS405B7"/>
            <w:sz w:val="22"/>
            <w:szCs w:val="22"/>
          </w:rPr>
          <w:id w:val="6260474"/>
          <w:citation/>
        </w:sdtPr>
        <w:sdtContent>
          <w:r w:rsidR="00BD69D8">
            <w:rPr>
              <w:rFonts w:cs="AdvPS405B7"/>
              <w:sz w:val="22"/>
              <w:szCs w:val="22"/>
            </w:rPr>
            <w:fldChar w:fldCharType="begin"/>
          </w:r>
          <w:r w:rsidR="00D1563A">
            <w:rPr>
              <w:rFonts w:cs="AdvPS405B7"/>
              <w:sz w:val="22"/>
              <w:szCs w:val="22"/>
            </w:rPr>
            <w:instrText xml:space="preserve"> CITATION Bas01 \l 1033 </w:instrText>
          </w:r>
          <w:r w:rsidR="00BD69D8">
            <w:rPr>
              <w:rFonts w:cs="AdvPS405B7"/>
              <w:sz w:val="22"/>
              <w:szCs w:val="22"/>
            </w:rPr>
            <w:fldChar w:fldCharType="separate"/>
          </w:r>
          <w:r w:rsidR="00F26771" w:rsidRPr="00F26771">
            <w:rPr>
              <w:rFonts w:cs="AdvPS405B7"/>
              <w:noProof/>
              <w:sz w:val="22"/>
              <w:szCs w:val="22"/>
            </w:rPr>
            <w:t>(Bask, 2001)</w:t>
          </w:r>
          <w:r w:rsidR="00BD69D8">
            <w:rPr>
              <w:rFonts w:cs="AdvPS405B7"/>
              <w:sz w:val="22"/>
              <w:szCs w:val="22"/>
            </w:rPr>
            <w:fldChar w:fldCharType="end"/>
          </w:r>
        </w:sdtContent>
      </w:sdt>
      <w:r w:rsidR="00D1563A">
        <w:rPr>
          <w:rFonts w:cs="AdvPS405B7"/>
          <w:sz w:val="22"/>
          <w:szCs w:val="22"/>
        </w:rPr>
        <w:t>. Strategic risks are losing control over the logistics function and loss of in-house capability and customer contact</w:t>
      </w:r>
      <w:r w:rsidR="00346FD9">
        <w:rPr>
          <w:rFonts w:cs="AdvPS405B7"/>
          <w:noProof/>
          <w:sz w:val="22"/>
          <w:szCs w:val="22"/>
        </w:rPr>
        <w:t xml:space="preserve"> </w:t>
      </w:r>
      <w:r w:rsidR="00346FD9" w:rsidRPr="00346FD9">
        <w:rPr>
          <w:rFonts w:cs="AdvPS405B7"/>
          <w:noProof/>
          <w:sz w:val="22"/>
          <w:szCs w:val="22"/>
        </w:rPr>
        <w:t>(Ellram &amp; Cooper, 1990</w:t>
      </w:r>
      <w:r w:rsidR="000D3088">
        <w:rPr>
          <w:rFonts w:cs="AdvPS405B7"/>
          <w:noProof/>
          <w:sz w:val="22"/>
          <w:szCs w:val="22"/>
        </w:rPr>
        <w:t>; van Damme &amp; van Amstel, 1996</w:t>
      </w:r>
      <w:r w:rsidR="00346FD9" w:rsidRPr="00346FD9">
        <w:rPr>
          <w:rFonts w:cs="AdvPS405B7"/>
          <w:noProof/>
          <w:sz w:val="22"/>
          <w:szCs w:val="22"/>
        </w:rPr>
        <w:t>)</w:t>
      </w:r>
      <w:r w:rsidR="00D47E37">
        <w:rPr>
          <w:rFonts w:cs="AdvPS405B7"/>
          <w:sz w:val="22"/>
          <w:szCs w:val="22"/>
        </w:rPr>
        <w:t xml:space="preserve">. </w:t>
      </w:r>
      <w:r w:rsidR="003E69FA">
        <w:rPr>
          <w:rFonts w:cs="AdvPS405B7"/>
          <w:sz w:val="22"/>
          <w:szCs w:val="22"/>
        </w:rPr>
        <w:t>Financial benefits of outsourcing include</w:t>
      </w:r>
      <w:r w:rsidR="00D47E37">
        <w:rPr>
          <w:rFonts w:cs="AdvPS405B7"/>
          <w:sz w:val="22"/>
          <w:szCs w:val="22"/>
        </w:rPr>
        <w:t xml:space="preserve"> reductions in asset investment, labour and equipment maintenance costs </w:t>
      </w:r>
      <w:r w:rsidR="00346FD9" w:rsidRPr="00346FD9">
        <w:rPr>
          <w:rFonts w:cs="AdvPS405B7"/>
          <w:noProof/>
          <w:sz w:val="22"/>
          <w:szCs w:val="22"/>
        </w:rPr>
        <w:t>(Bardy &amp; Tracy, 1991</w:t>
      </w:r>
      <w:r w:rsidR="003C661B">
        <w:rPr>
          <w:rFonts w:cs="AdvPS405B7"/>
          <w:noProof/>
          <w:sz w:val="22"/>
          <w:szCs w:val="22"/>
        </w:rPr>
        <w:t>; van Damme &amp; van Amstel, 1996</w:t>
      </w:r>
      <w:r w:rsidR="00346FD9" w:rsidRPr="00346FD9">
        <w:rPr>
          <w:rFonts w:cs="AdvPS405B7"/>
          <w:noProof/>
          <w:sz w:val="22"/>
          <w:szCs w:val="22"/>
        </w:rPr>
        <w:t>)</w:t>
      </w:r>
      <w:r w:rsidR="00450E7A">
        <w:rPr>
          <w:rFonts w:cs="AdvPS405B7"/>
          <w:sz w:val="22"/>
          <w:szCs w:val="22"/>
        </w:rPr>
        <w:t>.</w:t>
      </w:r>
      <w:r w:rsidR="00EF698A" w:rsidRPr="00EF698A">
        <w:rPr>
          <w:rFonts w:eastAsia="Times New Roman" w:cs="Times New Roman"/>
          <w:sz w:val="22"/>
          <w:szCs w:val="22"/>
          <w:lang w:eastAsia="nl-NL" w:bidi="ar-SA"/>
        </w:rPr>
        <w:t xml:space="preserve"> </w:t>
      </w:r>
      <w:r w:rsidR="00EF698A">
        <w:rPr>
          <w:rFonts w:eastAsia="Times New Roman" w:cs="Times New Roman"/>
          <w:sz w:val="22"/>
          <w:szCs w:val="22"/>
          <w:lang w:eastAsia="nl-NL" w:bidi="ar-SA"/>
        </w:rPr>
        <w:t>Another reason for outsourcing logistics is to benchmark in-house costs and efficiency of logistics</w:t>
      </w:r>
      <w:r w:rsidR="00346FD9">
        <w:rPr>
          <w:rFonts w:eastAsia="Times New Roman" w:cs="Times New Roman"/>
          <w:noProof/>
          <w:sz w:val="22"/>
          <w:szCs w:val="22"/>
          <w:lang w:eastAsia="nl-NL" w:bidi="ar-SA"/>
        </w:rPr>
        <w:t xml:space="preserve"> </w:t>
      </w:r>
      <w:r w:rsidR="00346FD9" w:rsidRPr="00346FD9">
        <w:rPr>
          <w:rFonts w:eastAsia="Times New Roman" w:cs="Times New Roman"/>
          <w:noProof/>
          <w:sz w:val="22"/>
          <w:szCs w:val="22"/>
          <w:lang w:eastAsia="nl-NL" w:bidi="ar-SA"/>
        </w:rPr>
        <w:t>(</w:t>
      </w:r>
      <w:r w:rsidR="003C661B">
        <w:rPr>
          <w:rFonts w:eastAsia="Times New Roman" w:cs="Times New Roman"/>
          <w:noProof/>
          <w:sz w:val="22"/>
          <w:szCs w:val="22"/>
          <w:lang w:eastAsia="nl-NL" w:bidi="ar-SA"/>
        </w:rPr>
        <w:t xml:space="preserve">van Damme &amp; van Amstel, 1996; </w:t>
      </w:r>
      <w:r w:rsidR="00346FD9" w:rsidRPr="00346FD9">
        <w:rPr>
          <w:rFonts w:eastAsia="Times New Roman" w:cs="Times New Roman"/>
          <w:noProof/>
          <w:sz w:val="22"/>
          <w:szCs w:val="22"/>
          <w:lang w:eastAsia="nl-NL" w:bidi="ar-SA"/>
        </w:rPr>
        <w:t>van Laarhoven, Berglund, &amp; Peters, 2000)</w:t>
      </w:r>
      <w:r w:rsidR="00EF698A">
        <w:rPr>
          <w:rFonts w:eastAsia="Times New Roman" w:cs="Times New Roman"/>
          <w:sz w:val="22"/>
          <w:szCs w:val="22"/>
          <w:lang w:eastAsia="nl-NL" w:bidi="ar-SA"/>
        </w:rPr>
        <w:t>.</w:t>
      </w:r>
      <w:r w:rsidR="00450E7A">
        <w:rPr>
          <w:rFonts w:cs="AdvPS405B7"/>
          <w:sz w:val="22"/>
          <w:szCs w:val="22"/>
        </w:rPr>
        <w:t xml:space="preserve"> As mentioned before, </w:t>
      </w:r>
      <w:r w:rsidR="00450E7A">
        <w:rPr>
          <w:rFonts w:eastAsia="Times New Roman" w:cs="Times New Roman"/>
          <w:sz w:val="22"/>
          <w:szCs w:val="22"/>
          <w:lang w:eastAsia="nl-NL" w:bidi="ar-SA"/>
        </w:rPr>
        <w:t>TPL providers can make better utilization of their transportation equipment by employing their assets for multiple clients, thereby lowering the costs involved</w:t>
      </w:r>
      <w:sdt>
        <w:sdtPr>
          <w:rPr>
            <w:rFonts w:eastAsia="Times New Roman" w:cs="Times New Roman"/>
            <w:sz w:val="22"/>
            <w:szCs w:val="22"/>
            <w:lang w:eastAsia="nl-NL" w:bidi="ar-SA"/>
          </w:rPr>
          <w:id w:val="6260538"/>
          <w:citation/>
        </w:sdtPr>
        <w:sdtContent>
          <w:r w:rsidR="00BD69D8">
            <w:rPr>
              <w:rFonts w:eastAsia="Times New Roman" w:cs="Times New Roman"/>
              <w:sz w:val="22"/>
              <w:szCs w:val="22"/>
              <w:lang w:eastAsia="nl-NL" w:bidi="ar-SA"/>
            </w:rPr>
            <w:fldChar w:fldCharType="begin"/>
          </w:r>
          <w:r w:rsidR="00450E7A">
            <w:rPr>
              <w:rFonts w:eastAsia="Times New Roman" w:cs="Times New Roman"/>
              <w:sz w:val="22"/>
              <w:szCs w:val="22"/>
              <w:lang w:eastAsia="nl-NL" w:bidi="ar-SA"/>
            </w:rPr>
            <w:instrText xml:space="preserve"> CITATION Rod09 \l 1033 </w:instrText>
          </w:r>
          <w:r w:rsidR="00BD69D8">
            <w:rPr>
              <w:rFonts w:eastAsia="Times New Roman" w:cs="Times New Roman"/>
              <w:sz w:val="22"/>
              <w:szCs w:val="22"/>
              <w:lang w:eastAsia="nl-NL" w:bidi="ar-SA"/>
            </w:rPr>
            <w:fldChar w:fldCharType="separate"/>
          </w:r>
          <w:r w:rsidR="00F26771">
            <w:rPr>
              <w:rFonts w:eastAsia="Times New Roman" w:cs="Times New Roman"/>
              <w:noProof/>
              <w:sz w:val="22"/>
              <w:szCs w:val="22"/>
              <w:lang w:eastAsia="nl-NL" w:bidi="ar-SA"/>
            </w:rPr>
            <w:t xml:space="preserve"> </w:t>
          </w:r>
          <w:r w:rsidR="00F26771" w:rsidRPr="00F26771">
            <w:rPr>
              <w:rFonts w:eastAsia="Times New Roman" w:cs="Times New Roman"/>
              <w:noProof/>
              <w:sz w:val="22"/>
              <w:szCs w:val="22"/>
              <w:lang w:eastAsia="nl-NL" w:bidi="ar-SA"/>
            </w:rPr>
            <w:t>(Rodrique, Comtois, &amp; Slack, 2009)</w:t>
          </w:r>
          <w:r w:rsidR="00BD69D8">
            <w:rPr>
              <w:rFonts w:eastAsia="Times New Roman" w:cs="Times New Roman"/>
              <w:sz w:val="22"/>
              <w:szCs w:val="22"/>
              <w:lang w:eastAsia="nl-NL" w:bidi="ar-SA"/>
            </w:rPr>
            <w:fldChar w:fldCharType="end"/>
          </w:r>
        </w:sdtContent>
      </w:sdt>
      <w:r w:rsidR="00450E7A">
        <w:rPr>
          <w:rFonts w:eastAsia="Times New Roman" w:cs="Times New Roman"/>
          <w:sz w:val="22"/>
          <w:szCs w:val="22"/>
          <w:lang w:eastAsia="nl-NL" w:bidi="ar-SA"/>
        </w:rPr>
        <w:t xml:space="preserve">. But these cost reductions could off course be offset by the provider’s margin </w:t>
      </w:r>
      <w:sdt>
        <w:sdtPr>
          <w:rPr>
            <w:rFonts w:eastAsia="Times New Roman" w:cs="Times New Roman"/>
            <w:sz w:val="22"/>
            <w:szCs w:val="22"/>
            <w:lang w:eastAsia="nl-NL" w:bidi="ar-SA"/>
          </w:rPr>
          <w:id w:val="6260539"/>
          <w:citation/>
        </w:sdtPr>
        <w:sdtContent>
          <w:r w:rsidR="00BD69D8">
            <w:rPr>
              <w:rFonts w:eastAsia="Times New Roman" w:cs="Times New Roman"/>
              <w:sz w:val="22"/>
              <w:szCs w:val="22"/>
              <w:lang w:eastAsia="nl-NL" w:bidi="ar-SA"/>
            </w:rPr>
            <w:fldChar w:fldCharType="begin"/>
          </w:r>
          <w:r w:rsidR="00450E7A">
            <w:rPr>
              <w:rFonts w:eastAsia="Times New Roman" w:cs="Times New Roman"/>
              <w:sz w:val="22"/>
              <w:szCs w:val="22"/>
              <w:lang w:eastAsia="nl-NL" w:bidi="ar-SA"/>
            </w:rPr>
            <w:instrText xml:space="preserve"> CITATION Wil04 \l 1033 </w:instrText>
          </w:r>
          <w:r w:rsidR="00BD69D8">
            <w:rPr>
              <w:rFonts w:eastAsia="Times New Roman" w:cs="Times New Roman"/>
              <w:sz w:val="22"/>
              <w:szCs w:val="22"/>
              <w:lang w:eastAsia="nl-NL" w:bidi="ar-SA"/>
            </w:rPr>
            <w:fldChar w:fldCharType="separate"/>
          </w:r>
          <w:r w:rsidR="00F26771" w:rsidRPr="00F26771">
            <w:rPr>
              <w:rFonts w:eastAsia="Times New Roman" w:cs="Times New Roman"/>
              <w:noProof/>
              <w:sz w:val="22"/>
              <w:szCs w:val="22"/>
              <w:lang w:eastAsia="nl-NL" w:bidi="ar-SA"/>
            </w:rPr>
            <w:t>(Wilding &amp; Juriado, 2004)</w:t>
          </w:r>
          <w:r w:rsidR="00BD69D8">
            <w:rPr>
              <w:rFonts w:eastAsia="Times New Roman" w:cs="Times New Roman"/>
              <w:sz w:val="22"/>
              <w:szCs w:val="22"/>
              <w:lang w:eastAsia="nl-NL" w:bidi="ar-SA"/>
            </w:rPr>
            <w:fldChar w:fldCharType="end"/>
          </w:r>
        </w:sdtContent>
      </w:sdt>
      <w:r w:rsidR="007C09B4">
        <w:rPr>
          <w:rFonts w:eastAsia="Times New Roman" w:cs="Times New Roman"/>
          <w:sz w:val="22"/>
          <w:szCs w:val="22"/>
          <w:lang w:eastAsia="nl-NL" w:bidi="ar-SA"/>
        </w:rPr>
        <w:t>.</w:t>
      </w:r>
      <w:r w:rsidR="00EF698A">
        <w:rPr>
          <w:rFonts w:eastAsia="Times New Roman" w:cs="Times New Roman"/>
          <w:sz w:val="22"/>
          <w:szCs w:val="22"/>
          <w:lang w:eastAsia="nl-NL" w:bidi="ar-SA"/>
        </w:rPr>
        <w:t xml:space="preserve"> </w:t>
      </w:r>
      <w:r w:rsidR="00142D6B">
        <w:rPr>
          <w:rFonts w:eastAsia="Times New Roman" w:cs="Times New Roman"/>
          <w:sz w:val="22"/>
          <w:szCs w:val="22"/>
          <w:lang w:eastAsia="nl-NL" w:bidi="ar-SA"/>
        </w:rPr>
        <w:t xml:space="preserve">Research conducted by </w:t>
      </w:r>
      <w:r w:rsidR="00142D6B" w:rsidRPr="007E1733">
        <w:rPr>
          <w:rFonts w:cs="AdvPS405B6"/>
          <w:noProof/>
          <w:sz w:val="22"/>
          <w:szCs w:val="22"/>
          <w:lang w:bidi="ar-SA"/>
        </w:rPr>
        <w:t>So</w:t>
      </w:r>
      <w:r w:rsidR="00142D6B">
        <w:rPr>
          <w:rFonts w:cs="AdvPS405B6"/>
          <w:noProof/>
          <w:sz w:val="22"/>
          <w:szCs w:val="22"/>
          <w:lang w:bidi="ar-SA"/>
        </w:rPr>
        <w:t>lakivi, Toyli, Engblom, &amp; Ojala (</w:t>
      </w:r>
      <w:r w:rsidR="00142D6B" w:rsidRPr="007E1733">
        <w:rPr>
          <w:rFonts w:cs="AdvPS405B6"/>
          <w:noProof/>
          <w:sz w:val="22"/>
          <w:szCs w:val="22"/>
          <w:lang w:bidi="ar-SA"/>
        </w:rPr>
        <w:t>2011)</w:t>
      </w:r>
      <w:r w:rsidR="00142D6B">
        <w:rPr>
          <w:rFonts w:cs="AdvPS405B6"/>
          <w:noProof/>
          <w:sz w:val="22"/>
          <w:szCs w:val="22"/>
          <w:lang w:bidi="ar-SA"/>
        </w:rPr>
        <w:t xml:space="preserve"> under 223 Finnish companies showed that</w:t>
      </w:r>
      <w:r w:rsidR="003C661B">
        <w:rPr>
          <w:rFonts w:cs="AdvPS405B6"/>
          <w:noProof/>
          <w:sz w:val="22"/>
          <w:szCs w:val="22"/>
          <w:lang w:bidi="ar-SA"/>
        </w:rPr>
        <w:t xml:space="preserve"> </w:t>
      </w:r>
      <w:r w:rsidR="00142D6B">
        <w:rPr>
          <w:rFonts w:cs="AdvPS405B6"/>
          <w:noProof/>
          <w:sz w:val="22"/>
          <w:szCs w:val="22"/>
          <w:lang w:bidi="ar-SA"/>
        </w:rPr>
        <w:t>there seemed to be no direct significant relationship between logistics costs</w:t>
      </w:r>
      <w:r w:rsidR="00C27208">
        <w:rPr>
          <w:rFonts w:cs="AdvPS405B6"/>
          <w:noProof/>
          <w:sz w:val="22"/>
          <w:szCs w:val="22"/>
          <w:lang w:bidi="ar-SA"/>
        </w:rPr>
        <w:t xml:space="preserve"> and logistics outsopurcing. In other words, these emperical results didn’t show lower logistics costs due to outsourcing.</w:t>
      </w:r>
      <w:r w:rsidR="00142D6B">
        <w:rPr>
          <w:rFonts w:cs="AdvPS405B6"/>
          <w:noProof/>
          <w:sz w:val="22"/>
          <w:szCs w:val="22"/>
          <w:lang w:bidi="ar-SA"/>
        </w:rPr>
        <w:t xml:space="preserve"> </w:t>
      </w:r>
      <w:r w:rsidR="00F04D40">
        <w:rPr>
          <w:rFonts w:eastAsia="Times New Roman" w:cs="Times New Roman"/>
          <w:sz w:val="22"/>
          <w:szCs w:val="22"/>
          <w:lang w:eastAsia="nl-NL" w:bidi="ar-SA"/>
        </w:rPr>
        <w:t xml:space="preserve">Operational benefits </w:t>
      </w:r>
      <w:r w:rsidR="00C27208">
        <w:rPr>
          <w:rFonts w:eastAsia="Times New Roman" w:cs="Times New Roman"/>
          <w:sz w:val="22"/>
          <w:szCs w:val="22"/>
          <w:lang w:eastAsia="nl-NL" w:bidi="ar-SA"/>
        </w:rPr>
        <w:t xml:space="preserve">involved with </w:t>
      </w:r>
      <w:r w:rsidR="00F04D40">
        <w:rPr>
          <w:rFonts w:eastAsia="Times New Roman" w:cs="Times New Roman"/>
          <w:sz w:val="22"/>
          <w:szCs w:val="22"/>
          <w:lang w:eastAsia="nl-NL" w:bidi="ar-SA"/>
        </w:rPr>
        <w:t>outsourcing are, for example, improvement</w:t>
      </w:r>
      <w:r w:rsidR="00C27208">
        <w:rPr>
          <w:rFonts w:eastAsia="Times New Roman" w:cs="Times New Roman"/>
          <w:sz w:val="22"/>
          <w:szCs w:val="22"/>
          <w:lang w:eastAsia="nl-NL" w:bidi="ar-SA"/>
        </w:rPr>
        <w:t>s</w:t>
      </w:r>
      <w:r w:rsidR="00F04D40">
        <w:rPr>
          <w:rFonts w:eastAsia="Times New Roman" w:cs="Times New Roman"/>
          <w:sz w:val="22"/>
          <w:szCs w:val="22"/>
          <w:lang w:eastAsia="nl-NL" w:bidi="ar-SA"/>
        </w:rPr>
        <w:t xml:space="preserve"> </w:t>
      </w:r>
      <w:r w:rsidR="00F04D40">
        <w:rPr>
          <w:rFonts w:eastAsia="Times New Roman" w:cs="Times New Roman"/>
          <w:sz w:val="22"/>
          <w:szCs w:val="22"/>
          <w:lang w:eastAsia="nl-NL" w:bidi="ar-SA"/>
        </w:rPr>
        <w:lastRenderedPageBreak/>
        <w:t>in customer service, lower inventory levels, lower order cycle- and lead times</w:t>
      </w:r>
      <w:sdt>
        <w:sdtPr>
          <w:rPr>
            <w:rFonts w:eastAsia="Times New Roman" w:cs="Times New Roman"/>
            <w:sz w:val="22"/>
            <w:szCs w:val="22"/>
            <w:lang w:eastAsia="nl-NL" w:bidi="ar-SA"/>
          </w:rPr>
          <w:id w:val="6260541"/>
          <w:citation/>
        </w:sdtPr>
        <w:sdtContent>
          <w:r w:rsidR="00BD69D8">
            <w:rPr>
              <w:rFonts w:eastAsia="Times New Roman" w:cs="Times New Roman"/>
              <w:sz w:val="22"/>
              <w:szCs w:val="22"/>
              <w:lang w:eastAsia="nl-NL" w:bidi="ar-SA"/>
            </w:rPr>
            <w:fldChar w:fldCharType="begin"/>
          </w:r>
          <w:r w:rsidR="007C0CDE">
            <w:rPr>
              <w:rFonts w:eastAsia="Times New Roman" w:cs="Times New Roman"/>
              <w:sz w:val="22"/>
              <w:szCs w:val="22"/>
              <w:lang w:eastAsia="nl-NL" w:bidi="ar-SA"/>
            </w:rPr>
            <w:instrText xml:space="preserve"> CITATION Bha00 \l 1033 </w:instrText>
          </w:r>
          <w:r w:rsidR="00BD69D8">
            <w:rPr>
              <w:rFonts w:eastAsia="Times New Roman" w:cs="Times New Roman"/>
              <w:sz w:val="22"/>
              <w:szCs w:val="22"/>
              <w:lang w:eastAsia="nl-NL" w:bidi="ar-SA"/>
            </w:rPr>
            <w:fldChar w:fldCharType="separate"/>
          </w:r>
          <w:r w:rsidR="00F26771">
            <w:rPr>
              <w:rFonts w:eastAsia="Times New Roman" w:cs="Times New Roman"/>
              <w:noProof/>
              <w:sz w:val="22"/>
              <w:szCs w:val="22"/>
              <w:lang w:eastAsia="nl-NL" w:bidi="ar-SA"/>
            </w:rPr>
            <w:t xml:space="preserve"> </w:t>
          </w:r>
          <w:r w:rsidR="00F26771" w:rsidRPr="00F26771">
            <w:rPr>
              <w:rFonts w:eastAsia="Times New Roman" w:cs="Times New Roman"/>
              <w:noProof/>
              <w:sz w:val="22"/>
              <w:szCs w:val="22"/>
              <w:lang w:eastAsia="nl-NL" w:bidi="ar-SA"/>
            </w:rPr>
            <w:t>(Bhatnager &amp; Viswanathan, 2000)</w:t>
          </w:r>
          <w:r w:rsidR="00BD69D8">
            <w:rPr>
              <w:rFonts w:eastAsia="Times New Roman" w:cs="Times New Roman"/>
              <w:sz w:val="22"/>
              <w:szCs w:val="22"/>
              <w:lang w:eastAsia="nl-NL" w:bidi="ar-SA"/>
            </w:rPr>
            <w:fldChar w:fldCharType="end"/>
          </w:r>
        </w:sdtContent>
      </w:sdt>
      <w:r w:rsidR="007C0CDE">
        <w:rPr>
          <w:rFonts w:eastAsia="Times New Roman" w:cs="Times New Roman"/>
          <w:sz w:val="22"/>
          <w:szCs w:val="22"/>
          <w:lang w:eastAsia="nl-NL" w:bidi="ar-SA"/>
        </w:rPr>
        <w:t>. Off course, service performance can also be negatively influenced by outsourcing logistics to a particular company, but in general this is not the case since this would mean the sector would lose its (strategic) importance for its customers.</w:t>
      </w:r>
      <w:r w:rsidR="000D3088">
        <w:rPr>
          <w:rFonts w:eastAsia="Times New Roman" w:cs="Times New Roman"/>
          <w:sz w:val="22"/>
          <w:szCs w:val="22"/>
          <w:lang w:eastAsia="nl-NL" w:bidi="ar-SA"/>
        </w:rPr>
        <w:t xml:space="preserve"> Van Damme &amp; van Amstel (1996) state that there is a risk of losing expertise and innovation capabilities associated with outsourcing.</w:t>
      </w:r>
      <w:r w:rsidR="009B08AD">
        <w:rPr>
          <w:rFonts w:cs="AdvPS405B7"/>
          <w:sz w:val="22"/>
          <w:szCs w:val="22"/>
        </w:rPr>
        <w:t xml:space="preserve"> </w:t>
      </w:r>
      <w:r w:rsidR="0005578D">
        <w:rPr>
          <w:rFonts w:cs="AdvPS405B6"/>
          <w:sz w:val="22"/>
          <w:szCs w:val="22"/>
          <w:lang w:bidi="ar-SA"/>
        </w:rPr>
        <w:t>Having said this</w:t>
      </w:r>
      <w:r w:rsidR="007E1733">
        <w:rPr>
          <w:rFonts w:cs="AdvPS405B6"/>
          <w:sz w:val="22"/>
          <w:szCs w:val="22"/>
          <w:lang w:bidi="ar-SA"/>
        </w:rPr>
        <w:t xml:space="preserve"> all</w:t>
      </w:r>
      <w:r w:rsidR="003E69FA">
        <w:rPr>
          <w:rFonts w:cs="AdvPS405B6"/>
          <w:sz w:val="22"/>
          <w:szCs w:val="22"/>
          <w:lang w:bidi="ar-SA"/>
        </w:rPr>
        <w:t>, Solakivi</w:t>
      </w:r>
      <w:r w:rsidR="009B08AD">
        <w:rPr>
          <w:rFonts w:cs="AdvPS405B6"/>
          <w:noProof/>
          <w:sz w:val="22"/>
          <w:szCs w:val="22"/>
          <w:lang w:bidi="ar-SA"/>
        </w:rPr>
        <w:t>, Toyli, Engblom, &amp; Ojala (</w:t>
      </w:r>
      <w:r w:rsidR="007E1733" w:rsidRPr="007E1733">
        <w:rPr>
          <w:rFonts w:cs="AdvPS405B6"/>
          <w:noProof/>
          <w:sz w:val="22"/>
          <w:szCs w:val="22"/>
          <w:lang w:bidi="ar-SA"/>
        </w:rPr>
        <w:t>2011)</w:t>
      </w:r>
      <w:r w:rsidR="009B08AD">
        <w:rPr>
          <w:rFonts w:cs="AdvPS405B6"/>
          <w:noProof/>
          <w:sz w:val="22"/>
          <w:szCs w:val="22"/>
          <w:lang w:bidi="ar-SA"/>
        </w:rPr>
        <w:t xml:space="preserve"> conducted research under 223 firms operating in Finland. An observation they </w:t>
      </w:r>
      <w:r w:rsidR="009B08AD" w:rsidRPr="009B08AD">
        <w:rPr>
          <w:rFonts w:cs="AdvPS405B6"/>
          <w:noProof/>
          <w:sz w:val="22"/>
          <w:szCs w:val="22"/>
          <w:lang w:bidi="ar-SA"/>
        </w:rPr>
        <w:t>made</w:t>
      </w:r>
      <w:r w:rsidR="009B08AD" w:rsidRPr="009B08AD">
        <w:rPr>
          <w:rFonts w:cs="Helvetica"/>
          <w:sz w:val="22"/>
          <w:szCs w:val="22"/>
          <w:lang w:bidi="ar-SA"/>
        </w:rPr>
        <w:t xml:space="preserve"> was that there seemed to </w:t>
      </w:r>
      <w:r w:rsidR="009B08AD">
        <w:rPr>
          <w:rFonts w:cs="Helvetica"/>
          <w:sz w:val="22"/>
          <w:szCs w:val="22"/>
          <w:lang w:bidi="ar-SA"/>
        </w:rPr>
        <w:t>be no gain</w:t>
      </w:r>
      <w:r w:rsidR="009B08AD" w:rsidRPr="009B08AD">
        <w:rPr>
          <w:rFonts w:cs="Helvetica"/>
          <w:sz w:val="22"/>
          <w:szCs w:val="22"/>
          <w:lang w:bidi="ar-SA"/>
        </w:rPr>
        <w:t xml:space="preserve"> in logistics performance due to outsourcing. </w:t>
      </w:r>
      <w:r w:rsidR="009B08AD">
        <w:rPr>
          <w:rFonts w:cs="Helvetica"/>
          <w:sz w:val="22"/>
          <w:szCs w:val="22"/>
          <w:lang w:bidi="ar-SA"/>
        </w:rPr>
        <w:t>L</w:t>
      </w:r>
      <w:r w:rsidR="009B08AD" w:rsidRPr="009B08AD">
        <w:rPr>
          <w:rFonts w:cs="Helvetica"/>
          <w:sz w:val="22"/>
          <w:szCs w:val="22"/>
          <w:lang w:bidi="ar-SA"/>
        </w:rPr>
        <w:t>ogistics was</w:t>
      </w:r>
      <w:r w:rsidR="009B08AD">
        <w:rPr>
          <w:rFonts w:cs="Helvetica"/>
          <w:sz w:val="22"/>
          <w:szCs w:val="22"/>
          <w:lang w:bidi="ar-SA"/>
        </w:rPr>
        <w:t xml:space="preserve"> </w:t>
      </w:r>
      <w:r w:rsidR="009B08AD" w:rsidRPr="009B08AD">
        <w:rPr>
          <w:rFonts w:cs="Helvetica"/>
          <w:sz w:val="22"/>
          <w:szCs w:val="22"/>
          <w:lang w:bidi="ar-SA"/>
        </w:rPr>
        <w:t>being handled equally ef</w:t>
      </w:r>
      <w:r w:rsidR="009B08AD">
        <w:rPr>
          <w:rFonts w:cs="Helvetica"/>
          <w:sz w:val="22"/>
          <w:szCs w:val="22"/>
          <w:lang w:bidi="ar-SA"/>
        </w:rPr>
        <w:t xml:space="preserve">ficient: </w:t>
      </w:r>
      <w:r w:rsidR="009B08AD" w:rsidRPr="009B08AD">
        <w:rPr>
          <w:rFonts w:cs="Helvetica"/>
          <w:sz w:val="22"/>
          <w:szCs w:val="22"/>
          <w:lang w:bidi="ar-SA"/>
        </w:rPr>
        <w:t>it</w:t>
      </w:r>
      <w:r w:rsidR="009B08AD">
        <w:rPr>
          <w:rFonts w:cs="Helvetica"/>
          <w:sz w:val="22"/>
          <w:szCs w:val="22"/>
          <w:lang w:bidi="ar-SA"/>
        </w:rPr>
        <w:t xml:space="preserve"> didn’t seem to matter whether </w:t>
      </w:r>
      <w:r w:rsidR="003E69FA">
        <w:rPr>
          <w:rFonts w:cs="Helvetica"/>
          <w:sz w:val="22"/>
          <w:szCs w:val="22"/>
          <w:lang w:bidi="ar-SA"/>
        </w:rPr>
        <w:t xml:space="preserve">logistics </w:t>
      </w:r>
      <w:r w:rsidR="003E69FA" w:rsidRPr="009B08AD">
        <w:rPr>
          <w:rFonts w:cs="Helvetica"/>
          <w:sz w:val="22"/>
          <w:szCs w:val="22"/>
          <w:lang w:bidi="ar-SA"/>
        </w:rPr>
        <w:t>remained</w:t>
      </w:r>
      <w:r w:rsidR="009B08AD" w:rsidRPr="009B08AD">
        <w:rPr>
          <w:rFonts w:cs="Helvetica"/>
          <w:sz w:val="22"/>
          <w:szCs w:val="22"/>
          <w:lang w:bidi="ar-SA"/>
        </w:rPr>
        <w:t xml:space="preserve"> in-house or </w:t>
      </w:r>
      <w:r w:rsidR="009B08AD">
        <w:rPr>
          <w:rFonts w:cs="Helvetica"/>
          <w:sz w:val="22"/>
          <w:szCs w:val="22"/>
          <w:lang w:bidi="ar-SA"/>
        </w:rPr>
        <w:t xml:space="preserve">had </w:t>
      </w:r>
      <w:r w:rsidR="009B08AD" w:rsidRPr="009B08AD">
        <w:rPr>
          <w:rFonts w:cs="Helvetica"/>
          <w:sz w:val="22"/>
          <w:szCs w:val="22"/>
          <w:lang w:bidi="ar-SA"/>
        </w:rPr>
        <w:t>been outsourced.</w:t>
      </w:r>
      <w:r w:rsidR="00F82F81">
        <w:rPr>
          <w:rFonts w:cs="Helvetica"/>
          <w:sz w:val="22"/>
          <w:szCs w:val="22"/>
          <w:lang w:bidi="ar-SA"/>
        </w:rPr>
        <w:t xml:space="preserve">  Ra</w:t>
      </w:r>
      <w:r w:rsidR="001B6F32">
        <w:rPr>
          <w:rFonts w:cs="Helvetica"/>
          <w:sz w:val="22"/>
          <w:szCs w:val="22"/>
          <w:lang w:bidi="ar-SA"/>
        </w:rPr>
        <w:t xml:space="preserve">hman (2011) recently carried out a study in Australia in which he examined motivating factors for outsourcing logistics. </w:t>
      </w:r>
      <w:r w:rsidR="005900B0">
        <w:rPr>
          <w:rFonts w:cs="Helvetica"/>
          <w:sz w:val="22"/>
          <w:szCs w:val="22"/>
          <w:lang w:bidi="ar-SA"/>
        </w:rPr>
        <w:t xml:space="preserve">Respondents were asked to rank the top three factors that had motivated them to outsource to TPL providers. </w:t>
      </w:r>
      <w:r w:rsidR="001B6F32">
        <w:rPr>
          <w:rFonts w:cs="Helvetica"/>
          <w:sz w:val="22"/>
          <w:szCs w:val="22"/>
          <w:lang w:bidi="ar-SA"/>
        </w:rPr>
        <w:t>His t</w:t>
      </w:r>
      <w:r w:rsidR="009B64D0">
        <w:rPr>
          <w:rFonts w:cs="Helvetica"/>
          <w:sz w:val="22"/>
          <w:szCs w:val="22"/>
          <w:lang w:bidi="ar-SA"/>
        </w:rPr>
        <w:t>op five can be seen in table 7.</w:t>
      </w:r>
      <w:r w:rsidR="001B6F32">
        <w:rPr>
          <w:rFonts w:cs="Helvetica"/>
          <w:sz w:val="22"/>
          <w:szCs w:val="22"/>
          <w:lang w:bidi="ar-SA"/>
        </w:rPr>
        <w:t xml:space="preserve"> </w:t>
      </w:r>
      <w:r w:rsidR="00534DE4" w:rsidRPr="00986506">
        <w:rPr>
          <w:rFonts w:cs="Times-Roman"/>
          <w:sz w:val="22"/>
          <w:szCs w:val="22"/>
          <w:lang w:bidi="ar-SA"/>
        </w:rPr>
        <w:t>Similar results have</w:t>
      </w:r>
      <w:r w:rsidR="00534DE4">
        <w:rPr>
          <w:rFonts w:cs="Times-Roman"/>
          <w:sz w:val="22"/>
          <w:szCs w:val="22"/>
          <w:lang w:bidi="ar-SA"/>
        </w:rPr>
        <w:t xml:space="preserve"> </w:t>
      </w:r>
      <w:r w:rsidR="00534DE4" w:rsidRPr="00986506">
        <w:rPr>
          <w:rFonts w:cs="Times-Roman"/>
          <w:sz w:val="22"/>
          <w:szCs w:val="22"/>
          <w:lang w:bidi="ar-SA"/>
        </w:rPr>
        <w:t>been reported by many previous studies (Larson and Gammelgaard,</w:t>
      </w:r>
      <w:r w:rsidR="00534DE4">
        <w:rPr>
          <w:rFonts w:cs="Times-Roman"/>
          <w:sz w:val="22"/>
          <w:szCs w:val="22"/>
          <w:lang w:bidi="ar-SA"/>
        </w:rPr>
        <w:t xml:space="preserve"> </w:t>
      </w:r>
      <w:r w:rsidR="004C50AD">
        <w:rPr>
          <w:rFonts w:cs="Times-Roman"/>
          <w:sz w:val="22"/>
          <w:szCs w:val="22"/>
          <w:lang w:bidi="ar-SA"/>
        </w:rPr>
        <w:t xml:space="preserve">2001; </w:t>
      </w:r>
      <w:r w:rsidR="004F0EC6" w:rsidRPr="00986506">
        <w:rPr>
          <w:rFonts w:cs="Times-Roman"/>
          <w:sz w:val="22"/>
          <w:szCs w:val="22"/>
          <w:lang w:bidi="ar-SA"/>
        </w:rPr>
        <w:t>Lieb and Randall, 1996;</w:t>
      </w:r>
      <w:r w:rsidR="004F0EC6" w:rsidRPr="004F0EC6">
        <w:rPr>
          <w:rFonts w:cs="Times-Roman"/>
          <w:sz w:val="22"/>
          <w:szCs w:val="22"/>
          <w:lang w:bidi="ar-SA"/>
        </w:rPr>
        <w:t xml:space="preserve"> </w:t>
      </w:r>
      <w:r w:rsidR="004F0EC6" w:rsidRPr="00986506">
        <w:rPr>
          <w:rFonts w:cs="Times-Roman"/>
          <w:sz w:val="22"/>
          <w:szCs w:val="22"/>
          <w:lang w:bidi="ar-SA"/>
        </w:rPr>
        <w:t>Sahay and</w:t>
      </w:r>
      <w:r w:rsidR="004F0EC6">
        <w:rPr>
          <w:rFonts w:cs="Times-Roman"/>
          <w:sz w:val="22"/>
          <w:szCs w:val="22"/>
          <w:lang w:bidi="ar-SA"/>
        </w:rPr>
        <w:t xml:space="preserve"> Mohan, 2006</w:t>
      </w:r>
      <w:r w:rsidR="00B90A58">
        <w:rPr>
          <w:rFonts w:cs="Times-Roman"/>
          <w:sz w:val="22"/>
          <w:szCs w:val="22"/>
          <w:lang w:bidi="ar-SA"/>
        </w:rPr>
        <w:t>; van Laarhoven et al., 2000</w:t>
      </w:r>
      <w:r w:rsidR="00534DE4" w:rsidRPr="00986506">
        <w:rPr>
          <w:rFonts w:cs="Times-Roman"/>
          <w:sz w:val="22"/>
          <w:szCs w:val="22"/>
          <w:lang w:bidi="ar-SA"/>
        </w:rPr>
        <w:t xml:space="preserve">). </w:t>
      </w:r>
    </w:p>
    <w:tbl>
      <w:tblPr>
        <w:tblStyle w:val="Gemiddeldraster3-accent1"/>
        <w:tblW w:w="5188" w:type="dxa"/>
        <w:tblLook w:val="04A0"/>
      </w:tblPr>
      <w:tblGrid>
        <w:gridCol w:w="811"/>
        <w:gridCol w:w="3515"/>
        <w:gridCol w:w="862"/>
      </w:tblGrid>
      <w:tr w:rsidR="009B64D0" w:rsidTr="00484236">
        <w:trPr>
          <w:cnfStyle w:val="100000000000"/>
          <w:trHeight w:val="474"/>
        </w:trPr>
        <w:tc>
          <w:tcPr>
            <w:cnfStyle w:val="001000000000"/>
            <w:tcW w:w="0" w:type="auto"/>
          </w:tcPr>
          <w:p w:rsidR="009B64D0" w:rsidRDefault="00484236" w:rsidP="00E736DC">
            <w:pPr>
              <w:autoSpaceDE w:val="0"/>
              <w:autoSpaceDN w:val="0"/>
              <w:adjustRightInd w:val="0"/>
              <w:spacing w:line="360" w:lineRule="auto"/>
              <w:jc w:val="center"/>
              <w:rPr>
                <w:rFonts w:cs="Times-Roman"/>
                <w:sz w:val="22"/>
                <w:szCs w:val="22"/>
                <w:lang w:bidi="ar-SA"/>
              </w:rPr>
            </w:pPr>
            <w:r>
              <w:rPr>
                <w:rFonts w:cs="Times-Roman"/>
                <w:sz w:val="22"/>
                <w:szCs w:val="22"/>
                <w:lang w:bidi="ar-SA"/>
              </w:rPr>
              <w:t>Table 7</w:t>
            </w:r>
          </w:p>
        </w:tc>
        <w:tc>
          <w:tcPr>
            <w:tcW w:w="0" w:type="auto"/>
          </w:tcPr>
          <w:p w:rsidR="009B64D0" w:rsidRDefault="009B64D0" w:rsidP="00E736DC">
            <w:pPr>
              <w:autoSpaceDE w:val="0"/>
              <w:autoSpaceDN w:val="0"/>
              <w:adjustRightInd w:val="0"/>
              <w:spacing w:line="360" w:lineRule="auto"/>
              <w:cnfStyle w:val="100000000000"/>
              <w:rPr>
                <w:rFonts w:cs="Times-Roman"/>
                <w:sz w:val="22"/>
                <w:szCs w:val="22"/>
                <w:lang w:bidi="ar-SA"/>
              </w:rPr>
            </w:pPr>
            <w:r>
              <w:rPr>
                <w:rFonts w:cs="Times-Roman"/>
                <w:sz w:val="22"/>
                <w:szCs w:val="22"/>
                <w:lang w:bidi="ar-SA"/>
              </w:rPr>
              <w:t>Motivations for outsourcing</w:t>
            </w:r>
            <w:r w:rsidR="00484236">
              <w:rPr>
                <w:rFonts w:cs="Times-Roman"/>
                <w:sz w:val="22"/>
                <w:szCs w:val="22"/>
                <w:lang w:bidi="ar-SA"/>
              </w:rPr>
              <w:t xml:space="preserve"> (source: Rahman, 2011)</w:t>
            </w:r>
          </w:p>
        </w:tc>
        <w:tc>
          <w:tcPr>
            <w:tcW w:w="0" w:type="auto"/>
          </w:tcPr>
          <w:p w:rsidR="009B64D0" w:rsidRDefault="00E736DC" w:rsidP="00E736DC">
            <w:pPr>
              <w:autoSpaceDE w:val="0"/>
              <w:autoSpaceDN w:val="0"/>
              <w:adjustRightInd w:val="0"/>
              <w:spacing w:line="360" w:lineRule="auto"/>
              <w:jc w:val="center"/>
              <w:cnfStyle w:val="100000000000"/>
              <w:rPr>
                <w:rFonts w:cs="Times-Roman"/>
                <w:sz w:val="22"/>
                <w:szCs w:val="22"/>
                <w:lang w:bidi="ar-SA"/>
              </w:rPr>
            </w:pPr>
            <w:r>
              <w:rPr>
                <w:rFonts w:cs="Times-Roman"/>
                <w:sz w:val="22"/>
                <w:szCs w:val="22"/>
                <w:lang w:bidi="ar-SA"/>
              </w:rPr>
              <w:t>Votes %</w:t>
            </w:r>
          </w:p>
        </w:tc>
      </w:tr>
      <w:tr w:rsidR="009B64D0" w:rsidTr="00484236">
        <w:trPr>
          <w:cnfStyle w:val="000000100000"/>
          <w:trHeight w:val="493"/>
        </w:trPr>
        <w:tc>
          <w:tcPr>
            <w:cnfStyle w:val="001000000000"/>
            <w:tcW w:w="0" w:type="auto"/>
          </w:tcPr>
          <w:p w:rsidR="009B64D0" w:rsidRDefault="009B64D0" w:rsidP="00E736DC">
            <w:pPr>
              <w:autoSpaceDE w:val="0"/>
              <w:autoSpaceDN w:val="0"/>
              <w:adjustRightInd w:val="0"/>
              <w:spacing w:line="360" w:lineRule="auto"/>
              <w:jc w:val="center"/>
              <w:rPr>
                <w:rFonts w:cs="Times-Roman"/>
                <w:sz w:val="22"/>
                <w:szCs w:val="22"/>
                <w:lang w:bidi="ar-SA"/>
              </w:rPr>
            </w:pPr>
            <w:r>
              <w:rPr>
                <w:rFonts w:cs="Times-Roman"/>
                <w:sz w:val="22"/>
                <w:szCs w:val="22"/>
                <w:lang w:bidi="ar-SA"/>
              </w:rPr>
              <w:t>1</w:t>
            </w:r>
          </w:p>
        </w:tc>
        <w:tc>
          <w:tcPr>
            <w:tcW w:w="0" w:type="auto"/>
          </w:tcPr>
          <w:p w:rsidR="009B64D0" w:rsidRDefault="009B64D0" w:rsidP="00E736DC">
            <w:pPr>
              <w:autoSpaceDE w:val="0"/>
              <w:autoSpaceDN w:val="0"/>
              <w:adjustRightInd w:val="0"/>
              <w:spacing w:line="360" w:lineRule="auto"/>
              <w:cnfStyle w:val="000000100000"/>
              <w:rPr>
                <w:rFonts w:cs="Times-Roman"/>
                <w:sz w:val="22"/>
                <w:szCs w:val="22"/>
                <w:lang w:bidi="ar-SA"/>
              </w:rPr>
            </w:pPr>
            <w:r>
              <w:rPr>
                <w:rFonts w:cs="Times-Roman"/>
                <w:sz w:val="22"/>
                <w:szCs w:val="22"/>
                <w:lang w:bidi="ar-SA"/>
              </w:rPr>
              <w:t>Logistics cost reductions</w:t>
            </w:r>
          </w:p>
        </w:tc>
        <w:tc>
          <w:tcPr>
            <w:tcW w:w="0" w:type="auto"/>
          </w:tcPr>
          <w:p w:rsidR="009B64D0" w:rsidRDefault="00E736DC" w:rsidP="00E736DC">
            <w:pPr>
              <w:autoSpaceDE w:val="0"/>
              <w:autoSpaceDN w:val="0"/>
              <w:adjustRightInd w:val="0"/>
              <w:spacing w:line="360" w:lineRule="auto"/>
              <w:jc w:val="center"/>
              <w:cnfStyle w:val="000000100000"/>
              <w:rPr>
                <w:rFonts w:cs="Times-Roman"/>
                <w:sz w:val="22"/>
                <w:szCs w:val="22"/>
                <w:lang w:bidi="ar-SA"/>
              </w:rPr>
            </w:pPr>
            <w:r>
              <w:rPr>
                <w:rFonts w:cs="Times-Roman"/>
                <w:sz w:val="22"/>
                <w:szCs w:val="22"/>
                <w:lang w:bidi="ar-SA"/>
              </w:rPr>
              <w:t>78</w:t>
            </w:r>
          </w:p>
        </w:tc>
      </w:tr>
      <w:tr w:rsidR="009B64D0" w:rsidTr="00484236">
        <w:trPr>
          <w:trHeight w:val="493"/>
        </w:trPr>
        <w:tc>
          <w:tcPr>
            <w:cnfStyle w:val="001000000000"/>
            <w:tcW w:w="0" w:type="auto"/>
          </w:tcPr>
          <w:p w:rsidR="009B64D0" w:rsidRDefault="009B64D0" w:rsidP="00E736DC">
            <w:pPr>
              <w:autoSpaceDE w:val="0"/>
              <w:autoSpaceDN w:val="0"/>
              <w:adjustRightInd w:val="0"/>
              <w:spacing w:line="360" w:lineRule="auto"/>
              <w:jc w:val="center"/>
              <w:rPr>
                <w:rFonts w:cs="Times-Roman"/>
                <w:sz w:val="22"/>
                <w:szCs w:val="22"/>
                <w:lang w:bidi="ar-SA"/>
              </w:rPr>
            </w:pPr>
            <w:r>
              <w:rPr>
                <w:rFonts w:cs="Times-Roman"/>
                <w:sz w:val="22"/>
                <w:szCs w:val="22"/>
                <w:lang w:bidi="ar-SA"/>
              </w:rPr>
              <w:t>2</w:t>
            </w:r>
          </w:p>
        </w:tc>
        <w:tc>
          <w:tcPr>
            <w:tcW w:w="0" w:type="auto"/>
          </w:tcPr>
          <w:p w:rsidR="009B64D0" w:rsidRDefault="009B64D0" w:rsidP="00E736DC">
            <w:pPr>
              <w:autoSpaceDE w:val="0"/>
              <w:autoSpaceDN w:val="0"/>
              <w:adjustRightInd w:val="0"/>
              <w:spacing w:line="360" w:lineRule="auto"/>
              <w:cnfStyle w:val="000000000000"/>
              <w:rPr>
                <w:rFonts w:cs="Times-Roman"/>
                <w:sz w:val="22"/>
                <w:szCs w:val="22"/>
                <w:lang w:bidi="ar-SA"/>
              </w:rPr>
            </w:pPr>
            <w:r>
              <w:rPr>
                <w:rFonts w:cs="Times-Roman"/>
                <w:sz w:val="22"/>
                <w:szCs w:val="22"/>
                <w:lang w:bidi="ar-SA"/>
              </w:rPr>
              <w:t>Reduce capital investments</w:t>
            </w:r>
          </w:p>
        </w:tc>
        <w:tc>
          <w:tcPr>
            <w:tcW w:w="0" w:type="auto"/>
          </w:tcPr>
          <w:p w:rsidR="009B64D0" w:rsidRDefault="00E736DC" w:rsidP="00E736DC">
            <w:pPr>
              <w:autoSpaceDE w:val="0"/>
              <w:autoSpaceDN w:val="0"/>
              <w:adjustRightInd w:val="0"/>
              <w:spacing w:line="360" w:lineRule="auto"/>
              <w:jc w:val="center"/>
              <w:cnfStyle w:val="000000000000"/>
              <w:rPr>
                <w:rFonts w:cs="Times-Roman"/>
                <w:sz w:val="22"/>
                <w:szCs w:val="22"/>
                <w:lang w:bidi="ar-SA"/>
              </w:rPr>
            </w:pPr>
            <w:r>
              <w:rPr>
                <w:rFonts w:cs="Times-Roman"/>
                <w:sz w:val="22"/>
                <w:szCs w:val="22"/>
                <w:lang w:bidi="ar-SA"/>
              </w:rPr>
              <w:t>70</w:t>
            </w:r>
          </w:p>
        </w:tc>
      </w:tr>
      <w:tr w:rsidR="009B64D0" w:rsidTr="00484236">
        <w:trPr>
          <w:cnfStyle w:val="000000100000"/>
          <w:trHeight w:val="493"/>
        </w:trPr>
        <w:tc>
          <w:tcPr>
            <w:cnfStyle w:val="001000000000"/>
            <w:tcW w:w="0" w:type="auto"/>
          </w:tcPr>
          <w:p w:rsidR="009B64D0" w:rsidRDefault="009B64D0" w:rsidP="00E736DC">
            <w:pPr>
              <w:autoSpaceDE w:val="0"/>
              <w:autoSpaceDN w:val="0"/>
              <w:adjustRightInd w:val="0"/>
              <w:spacing w:line="360" w:lineRule="auto"/>
              <w:jc w:val="center"/>
              <w:rPr>
                <w:rFonts w:cs="Times-Roman"/>
                <w:sz w:val="22"/>
                <w:szCs w:val="22"/>
                <w:lang w:bidi="ar-SA"/>
              </w:rPr>
            </w:pPr>
            <w:r>
              <w:rPr>
                <w:rFonts w:cs="Times-Roman"/>
                <w:sz w:val="22"/>
                <w:szCs w:val="22"/>
                <w:lang w:bidi="ar-SA"/>
              </w:rPr>
              <w:t>3</w:t>
            </w:r>
          </w:p>
        </w:tc>
        <w:tc>
          <w:tcPr>
            <w:tcW w:w="0" w:type="auto"/>
          </w:tcPr>
          <w:p w:rsidR="009B64D0" w:rsidRDefault="009B64D0" w:rsidP="00E736DC">
            <w:pPr>
              <w:autoSpaceDE w:val="0"/>
              <w:autoSpaceDN w:val="0"/>
              <w:adjustRightInd w:val="0"/>
              <w:spacing w:line="360" w:lineRule="auto"/>
              <w:cnfStyle w:val="000000100000"/>
              <w:rPr>
                <w:rFonts w:cs="Times-Roman"/>
                <w:sz w:val="22"/>
                <w:szCs w:val="22"/>
                <w:lang w:bidi="ar-SA"/>
              </w:rPr>
            </w:pPr>
            <w:r>
              <w:rPr>
                <w:rFonts w:cs="Times-Roman"/>
                <w:sz w:val="22"/>
                <w:szCs w:val="22"/>
                <w:lang w:bidi="ar-SA"/>
              </w:rPr>
              <w:t>Enhance flexibility</w:t>
            </w:r>
          </w:p>
        </w:tc>
        <w:tc>
          <w:tcPr>
            <w:tcW w:w="0" w:type="auto"/>
          </w:tcPr>
          <w:p w:rsidR="009B64D0" w:rsidRDefault="00E736DC" w:rsidP="00E736DC">
            <w:pPr>
              <w:autoSpaceDE w:val="0"/>
              <w:autoSpaceDN w:val="0"/>
              <w:adjustRightInd w:val="0"/>
              <w:spacing w:line="360" w:lineRule="auto"/>
              <w:jc w:val="center"/>
              <w:cnfStyle w:val="000000100000"/>
              <w:rPr>
                <w:rFonts w:cs="Times-Roman"/>
                <w:sz w:val="22"/>
                <w:szCs w:val="22"/>
                <w:lang w:bidi="ar-SA"/>
              </w:rPr>
            </w:pPr>
            <w:r>
              <w:rPr>
                <w:rFonts w:cs="Times-Roman"/>
                <w:sz w:val="22"/>
                <w:szCs w:val="22"/>
                <w:lang w:bidi="ar-SA"/>
              </w:rPr>
              <w:t>60</w:t>
            </w:r>
          </w:p>
        </w:tc>
      </w:tr>
      <w:tr w:rsidR="009B64D0" w:rsidTr="00484236">
        <w:trPr>
          <w:trHeight w:val="493"/>
        </w:trPr>
        <w:tc>
          <w:tcPr>
            <w:cnfStyle w:val="001000000000"/>
            <w:tcW w:w="0" w:type="auto"/>
          </w:tcPr>
          <w:p w:rsidR="009B64D0" w:rsidRDefault="009B64D0" w:rsidP="00E736DC">
            <w:pPr>
              <w:autoSpaceDE w:val="0"/>
              <w:autoSpaceDN w:val="0"/>
              <w:adjustRightInd w:val="0"/>
              <w:spacing w:line="360" w:lineRule="auto"/>
              <w:jc w:val="center"/>
              <w:rPr>
                <w:rFonts w:cs="Times-Roman"/>
                <w:sz w:val="22"/>
                <w:szCs w:val="22"/>
                <w:lang w:bidi="ar-SA"/>
              </w:rPr>
            </w:pPr>
            <w:r>
              <w:rPr>
                <w:rFonts w:cs="Times-Roman"/>
                <w:sz w:val="22"/>
                <w:szCs w:val="22"/>
                <w:lang w:bidi="ar-SA"/>
              </w:rPr>
              <w:t>4</w:t>
            </w:r>
          </w:p>
        </w:tc>
        <w:tc>
          <w:tcPr>
            <w:tcW w:w="0" w:type="auto"/>
          </w:tcPr>
          <w:p w:rsidR="009B64D0" w:rsidRDefault="009B64D0" w:rsidP="00E736DC">
            <w:pPr>
              <w:autoSpaceDE w:val="0"/>
              <w:autoSpaceDN w:val="0"/>
              <w:adjustRightInd w:val="0"/>
              <w:spacing w:line="360" w:lineRule="auto"/>
              <w:cnfStyle w:val="000000000000"/>
              <w:rPr>
                <w:rFonts w:cs="Times-Roman"/>
                <w:sz w:val="22"/>
                <w:szCs w:val="22"/>
                <w:lang w:bidi="ar-SA"/>
              </w:rPr>
            </w:pPr>
            <w:r>
              <w:rPr>
                <w:rFonts w:cs="Times-Roman"/>
                <w:sz w:val="22"/>
                <w:szCs w:val="22"/>
                <w:lang w:bidi="ar-SA"/>
              </w:rPr>
              <w:t>Access to new markets</w:t>
            </w:r>
          </w:p>
        </w:tc>
        <w:tc>
          <w:tcPr>
            <w:tcW w:w="0" w:type="auto"/>
          </w:tcPr>
          <w:p w:rsidR="009B64D0" w:rsidRDefault="00E736DC" w:rsidP="00E736DC">
            <w:pPr>
              <w:autoSpaceDE w:val="0"/>
              <w:autoSpaceDN w:val="0"/>
              <w:adjustRightInd w:val="0"/>
              <w:spacing w:line="360" w:lineRule="auto"/>
              <w:jc w:val="center"/>
              <w:cnfStyle w:val="000000000000"/>
              <w:rPr>
                <w:rFonts w:cs="Times-Roman"/>
                <w:sz w:val="22"/>
                <w:szCs w:val="22"/>
                <w:lang w:bidi="ar-SA"/>
              </w:rPr>
            </w:pPr>
            <w:r>
              <w:rPr>
                <w:rFonts w:cs="Times-Roman"/>
                <w:sz w:val="22"/>
                <w:szCs w:val="22"/>
                <w:lang w:bidi="ar-SA"/>
              </w:rPr>
              <w:t>48</w:t>
            </w:r>
          </w:p>
        </w:tc>
      </w:tr>
      <w:tr w:rsidR="009B64D0" w:rsidTr="00484236">
        <w:trPr>
          <w:cnfStyle w:val="000000100000"/>
          <w:trHeight w:val="493"/>
        </w:trPr>
        <w:tc>
          <w:tcPr>
            <w:cnfStyle w:val="001000000000"/>
            <w:tcW w:w="0" w:type="auto"/>
          </w:tcPr>
          <w:p w:rsidR="009B64D0" w:rsidRDefault="009B64D0" w:rsidP="00E736DC">
            <w:pPr>
              <w:autoSpaceDE w:val="0"/>
              <w:autoSpaceDN w:val="0"/>
              <w:adjustRightInd w:val="0"/>
              <w:spacing w:line="360" w:lineRule="auto"/>
              <w:jc w:val="center"/>
              <w:rPr>
                <w:rFonts w:cs="Times-Roman"/>
                <w:sz w:val="22"/>
                <w:szCs w:val="22"/>
                <w:lang w:bidi="ar-SA"/>
              </w:rPr>
            </w:pPr>
            <w:r>
              <w:rPr>
                <w:rFonts w:cs="Times-Roman"/>
                <w:sz w:val="22"/>
                <w:szCs w:val="22"/>
                <w:lang w:bidi="ar-SA"/>
              </w:rPr>
              <w:t>5</w:t>
            </w:r>
          </w:p>
        </w:tc>
        <w:tc>
          <w:tcPr>
            <w:tcW w:w="0" w:type="auto"/>
          </w:tcPr>
          <w:p w:rsidR="009B64D0" w:rsidRDefault="009B64D0" w:rsidP="00E736DC">
            <w:pPr>
              <w:autoSpaceDE w:val="0"/>
              <w:autoSpaceDN w:val="0"/>
              <w:adjustRightInd w:val="0"/>
              <w:spacing w:line="360" w:lineRule="auto"/>
              <w:cnfStyle w:val="000000100000"/>
              <w:rPr>
                <w:rFonts w:cs="Times-Roman"/>
                <w:sz w:val="22"/>
                <w:szCs w:val="22"/>
                <w:lang w:bidi="ar-SA"/>
              </w:rPr>
            </w:pPr>
            <w:r>
              <w:rPr>
                <w:rFonts w:cs="Times-Roman"/>
                <w:sz w:val="22"/>
                <w:szCs w:val="22"/>
                <w:lang w:bidi="ar-SA"/>
              </w:rPr>
              <w:t>Concentrate on core competencies</w:t>
            </w:r>
          </w:p>
        </w:tc>
        <w:tc>
          <w:tcPr>
            <w:tcW w:w="0" w:type="auto"/>
          </w:tcPr>
          <w:p w:rsidR="009B64D0" w:rsidRDefault="00E736DC" w:rsidP="00E736DC">
            <w:pPr>
              <w:autoSpaceDE w:val="0"/>
              <w:autoSpaceDN w:val="0"/>
              <w:adjustRightInd w:val="0"/>
              <w:spacing w:line="360" w:lineRule="auto"/>
              <w:jc w:val="center"/>
              <w:cnfStyle w:val="000000100000"/>
              <w:rPr>
                <w:rFonts w:cs="Times-Roman"/>
                <w:sz w:val="22"/>
                <w:szCs w:val="22"/>
                <w:lang w:bidi="ar-SA"/>
              </w:rPr>
            </w:pPr>
            <w:r>
              <w:rPr>
                <w:rFonts w:cs="Times-Roman"/>
                <w:sz w:val="22"/>
                <w:szCs w:val="22"/>
                <w:lang w:bidi="ar-SA"/>
              </w:rPr>
              <w:t>46</w:t>
            </w:r>
          </w:p>
        </w:tc>
      </w:tr>
    </w:tbl>
    <w:p w:rsidR="000D67AE" w:rsidRDefault="0097033B" w:rsidP="00480DDC">
      <w:pPr>
        <w:autoSpaceDE w:val="0"/>
        <w:autoSpaceDN w:val="0"/>
        <w:adjustRightInd w:val="0"/>
        <w:spacing w:after="0" w:line="360" w:lineRule="auto"/>
        <w:jc w:val="both"/>
        <w:rPr>
          <w:rFonts w:cs="Helvetica"/>
          <w:sz w:val="22"/>
          <w:szCs w:val="22"/>
          <w:lang w:bidi="ar-SA"/>
        </w:rPr>
      </w:pPr>
      <w:r>
        <w:rPr>
          <w:rFonts w:cs="Times-Roman"/>
          <w:sz w:val="22"/>
          <w:szCs w:val="22"/>
          <w:lang w:bidi="ar-SA"/>
        </w:rPr>
        <w:t xml:space="preserve">The future prospects for outsourcing logistics </w:t>
      </w:r>
      <w:r w:rsidR="00AD004E">
        <w:rPr>
          <w:rFonts w:cs="Times-Roman"/>
          <w:sz w:val="22"/>
          <w:szCs w:val="22"/>
          <w:lang w:bidi="ar-SA"/>
        </w:rPr>
        <w:t xml:space="preserve">seem good. </w:t>
      </w:r>
      <w:r w:rsidR="00F36C19">
        <w:rPr>
          <w:rFonts w:cs="Times-Roman"/>
          <w:sz w:val="22"/>
          <w:szCs w:val="22"/>
          <w:lang w:bidi="ar-SA"/>
        </w:rPr>
        <w:t>In general, the trend is to outsource logistics ever more</w:t>
      </w:r>
      <w:r w:rsidR="00F36C19">
        <w:rPr>
          <w:rFonts w:cs="Times-Roman"/>
          <w:noProof/>
          <w:sz w:val="22"/>
          <w:szCs w:val="22"/>
          <w:lang w:bidi="ar-SA"/>
        </w:rPr>
        <w:t xml:space="preserve"> </w:t>
      </w:r>
      <w:r w:rsidR="00F36C19" w:rsidRPr="00F36C19">
        <w:rPr>
          <w:rFonts w:cs="Times-Roman"/>
          <w:noProof/>
          <w:sz w:val="22"/>
          <w:szCs w:val="22"/>
          <w:lang w:bidi="ar-SA"/>
        </w:rPr>
        <w:t>(</w:t>
      </w:r>
      <w:r w:rsidR="00F36C19">
        <w:rPr>
          <w:rFonts w:cs="Times-Roman"/>
          <w:noProof/>
          <w:sz w:val="22"/>
          <w:szCs w:val="22"/>
          <w:lang w:bidi="ar-SA"/>
        </w:rPr>
        <w:t xml:space="preserve">Frost &amp; Sullivan, 2005; </w:t>
      </w:r>
      <w:r w:rsidR="00F36C19" w:rsidRPr="00F36C19">
        <w:rPr>
          <w:rFonts w:cs="Times-Roman"/>
          <w:noProof/>
          <w:sz w:val="22"/>
          <w:szCs w:val="22"/>
          <w:lang w:bidi="ar-SA"/>
        </w:rPr>
        <w:t>Hsiao, Kemp, van der Vorst, &amp; Omta, 2011)</w:t>
      </w:r>
      <w:r w:rsidR="00F36C19">
        <w:rPr>
          <w:rFonts w:cs="Times-Roman"/>
          <w:sz w:val="22"/>
          <w:szCs w:val="22"/>
          <w:lang w:bidi="ar-SA"/>
        </w:rPr>
        <w:t>. With logistics service providers improving their productivity and efficiency through technological improvements, TPL providers can develop superior information management systems thereby optimizing solutions for their clients</w:t>
      </w:r>
      <w:sdt>
        <w:sdtPr>
          <w:rPr>
            <w:rFonts w:cs="Times-Roman"/>
            <w:sz w:val="22"/>
            <w:szCs w:val="22"/>
            <w:lang w:bidi="ar-SA"/>
          </w:rPr>
          <w:id w:val="4385300"/>
          <w:citation/>
        </w:sdtPr>
        <w:sdtContent>
          <w:r w:rsidR="00BD69D8">
            <w:rPr>
              <w:rFonts w:cs="Times-Roman"/>
              <w:sz w:val="22"/>
              <w:szCs w:val="22"/>
              <w:lang w:bidi="ar-SA"/>
            </w:rPr>
            <w:fldChar w:fldCharType="begin"/>
          </w:r>
          <w:r w:rsidR="00F36C19">
            <w:rPr>
              <w:rFonts w:cs="Times-Roman"/>
              <w:sz w:val="22"/>
              <w:szCs w:val="22"/>
              <w:lang w:bidi="ar-SA"/>
            </w:rPr>
            <w:instrText xml:space="preserve"> CITATION Fro05 \l 1033 </w:instrText>
          </w:r>
          <w:r w:rsidR="00BD69D8">
            <w:rPr>
              <w:rFonts w:cs="Times-Roman"/>
              <w:sz w:val="22"/>
              <w:szCs w:val="22"/>
              <w:lang w:bidi="ar-SA"/>
            </w:rPr>
            <w:fldChar w:fldCharType="separate"/>
          </w:r>
          <w:r w:rsidR="00F26771">
            <w:rPr>
              <w:rFonts w:cs="Times-Roman"/>
              <w:noProof/>
              <w:sz w:val="22"/>
              <w:szCs w:val="22"/>
              <w:lang w:bidi="ar-SA"/>
            </w:rPr>
            <w:t xml:space="preserve"> </w:t>
          </w:r>
          <w:r w:rsidR="00F26771" w:rsidRPr="00F26771">
            <w:rPr>
              <w:rFonts w:cs="Times-Roman"/>
              <w:noProof/>
              <w:sz w:val="22"/>
              <w:szCs w:val="22"/>
              <w:lang w:bidi="ar-SA"/>
            </w:rPr>
            <w:t>(Frost &amp; Sullivan, 2005)</w:t>
          </w:r>
          <w:r w:rsidR="00BD69D8">
            <w:rPr>
              <w:rFonts w:cs="Times-Roman"/>
              <w:sz w:val="22"/>
              <w:szCs w:val="22"/>
              <w:lang w:bidi="ar-SA"/>
            </w:rPr>
            <w:fldChar w:fldCharType="end"/>
          </w:r>
        </w:sdtContent>
      </w:sdt>
      <w:r w:rsidR="00F36C19">
        <w:rPr>
          <w:rFonts w:cs="Times-Roman"/>
          <w:sz w:val="22"/>
          <w:szCs w:val="22"/>
          <w:lang w:bidi="ar-SA"/>
        </w:rPr>
        <w:t xml:space="preserve">.  Although the global economic crisis in 2008-2010 slowed down the pace, as companies had to deal with more urgent issues than the outsourcing </w:t>
      </w:r>
      <w:r w:rsidR="0026509D">
        <w:rPr>
          <w:rFonts w:cs="Times-Roman"/>
          <w:sz w:val="22"/>
          <w:szCs w:val="22"/>
          <w:lang w:bidi="ar-SA"/>
        </w:rPr>
        <w:t>decision, an improving economic future may revive these plans quickly</w:t>
      </w:r>
      <w:sdt>
        <w:sdtPr>
          <w:rPr>
            <w:rFonts w:cs="Times-Roman"/>
            <w:sz w:val="22"/>
            <w:szCs w:val="22"/>
            <w:lang w:bidi="ar-SA"/>
          </w:rPr>
          <w:id w:val="5885053"/>
          <w:citation/>
        </w:sdtPr>
        <w:sdtContent>
          <w:r w:rsidR="00BD69D8">
            <w:rPr>
              <w:rFonts w:cs="Times-Roman"/>
              <w:sz w:val="22"/>
              <w:szCs w:val="22"/>
              <w:lang w:bidi="ar-SA"/>
            </w:rPr>
            <w:fldChar w:fldCharType="begin"/>
          </w:r>
          <w:r w:rsidR="00FE6D38">
            <w:rPr>
              <w:rFonts w:cs="Times-Roman"/>
              <w:sz w:val="22"/>
              <w:szCs w:val="22"/>
              <w:lang w:bidi="ar-SA"/>
            </w:rPr>
            <w:instrText xml:space="preserve"> CITATION Lie10 \t  \l 1033  </w:instrText>
          </w:r>
          <w:r w:rsidR="00BD69D8">
            <w:rPr>
              <w:rFonts w:cs="Times-Roman"/>
              <w:sz w:val="22"/>
              <w:szCs w:val="22"/>
              <w:lang w:bidi="ar-SA"/>
            </w:rPr>
            <w:fldChar w:fldCharType="separate"/>
          </w:r>
          <w:r w:rsidR="00F26771">
            <w:rPr>
              <w:rFonts w:cs="Times-Roman"/>
              <w:noProof/>
              <w:sz w:val="22"/>
              <w:szCs w:val="22"/>
              <w:lang w:bidi="ar-SA"/>
            </w:rPr>
            <w:t xml:space="preserve"> </w:t>
          </w:r>
          <w:r w:rsidR="00F26771" w:rsidRPr="00F26771">
            <w:rPr>
              <w:rFonts w:cs="Times-Roman"/>
              <w:noProof/>
              <w:sz w:val="22"/>
              <w:szCs w:val="22"/>
              <w:lang w:bidi="ar-SA"/>
            </w:rPr>
            <w:t>(Lieb &amp; Lieb, 2010)</w:t>
          </w:r>
          <w:r w:rsidR="00BD69D8">
            <w:rPr>
              <w:rFonts w:cs="Times-Roman"/>
              <w:sz w:val="22"/>
              <w:szCs w:val="22"/>
              <w:lang w:bidi="ar-SA"/>
            </w:rPr>
            <w:fldChar w:fldCharType="end"/>
          </w:r>
        </w:sdtContent>
      </w:sdt>
      <w:r w:rsidR="0026509D">
        <w:rPr>
          <w:rFonts w:cs="Times-Roman"/>
          <w:sz w:val="22"/>
          <w:szCs w:val="22"/>
          <w:lang w:bidi="ar-SA"/>
        </w:rPr>
        <w:t>. Since the economic downturn made it clear to focus on reducing costs and enhance services, companies will see outsourcing as means to achieve these goals</w:t>
      </w:r>
      <w:r w:rsidR="00622BDE">
        <w:rPr>
          <w:rFonts w:cs="Helvetica"/>
          <w:sz w:val="22"/>
          <w:szCs w:val="22"/>
          <w:lang w:bidi="ar-SA"/>
        </w:rPr>
        <w:t>.</w:t>
      </w:r>
    </w:p>
    <w:p w:rsidR="00484236" w:rsidRPr="000D67AE" w:rsidRDefault="00484236" w:rsidP="00480DDC">
      <w:pPr>
        <w:autoSpaceDE w:val="0"/>
        <w:autoSpaceDN w:val="0"/>
        <w:adjustRightInd w:val="0"/>
        <w:spacing w:after="0" w:line="360" w:lineRule="auto"/>
        <w:jc w:val="both"/>
        <w:rPr>
          <w:rFonts w:cs="Helvetica"/>
          <w:sz w:val="22"/>
          <w:szCs w:val="22"/>
          <w:lang w:bidi="ar-SA"/>
        </w:rPr>
      </w:pPr>
    </w:p>
    <w:p w:rsidR="00652232" w:rsidRPr="004A1087" w:rsidRDefault="00480DDC" w:rsidP="00CA0E4B">
      <w:pPr>
        <w:pStyle w:val="Kop2"/>
        <w:numPr>
          <w:ilvl w:val="1"/>
          <w:numId w:val="13"/>
        </w:numPr>
        <w:spacing w:after="240"/>
        <w:rPr>
          <w:rFonts w:asciiTheme="majorHAnsi" w:hAnsiTheme="majorHAnsi"/>
          <w:lang w:bidi="ar-SA"/>
        </w:rPr>
      </w:pPr>
      <w:bookmarkStart w:id="12" w:name="_Toc300411986"/>
      <w:r>
        <w:rPr>
          <w:rFonts w:asciiTheme="majorHAnsi" w:hAnsiTheme="majorHAnsi"/>
          <w:lang w:bidi="ar-SA"/>
        </w:rPr>
        <w:lastRenderedPageBreak/>
        <w:t>TP</w:t>
      </w:r>
      <w:r w:rsidR="008A20CE" w:rsidRPr="004A1087">
        <w:rPr>
          <w:rFonts w:asciiTheme="majorHAnsi" w:hAnsiTheme="majorHAnsi"/>
          <w:lang w:bidi="ar-SA"/>
        </w:rPr>
        <w:t>L buyer-supplier</w:t>
      </w:r>
      <w:r w:rsidR="00652232" w:rsidRPr="004A1087">
        <w:rPr>
          <w:rFonts w:asciiTheme="majorHAnsi" w:hAnsiTheme="majorHAnsi"/>
          <w:lang w:bidi="ar-SA"/>
        </w:rPr>
        <w:t xml:space="preserve"> relationships</w:t>
      </w:r>
      <w:bookmarkEnd w:id="12"/>
    </w:p>
    <w:p w:rsidR="00EA4EC8" w:rsidRDefault="006E17FC" w:rsidP="00AC2F44">
      <w:pPr>
        <w:spacing w:line="360" w:lineRule="auto"/>
        <w:jc w:val="both"/>
        <w:rPr>
          <w:sz w:val="22"/>
          <w:szCs w:val="22"/>
          <w:lang w:bidi="ar-SA"/>
        </w:rPr>
      </w:pPr>
      <w:r>
        <w:rPr>
          <w:sz w:val="22"/>
          <w:szCs w:val="22"/>
          <w:lang w:bidi="ar-SA"/>
        </w:rPr>
        <w:t xml:space="preserve">How can the inter-organizational relationship between buyers and suppliers of TPL services be explained?  As mentioned before, the most </w:t>
      </w:r>
      <w:r w:rsidR="003E69FA">
        <w:rPr>
          <w:sz w:val="22"/>
          <w:szCs w:val="22"/>
          <w:lang w:bidi="ar-SA"/>
        </w:rPr>
        <w:t>known theories</w:t>
      </w:r>
      <w:r>
        <w:rPr>
          <w:sz w:val="22"/>
          <w:szCs w:val="22"/>
          <w:lang w:bidi="ar-SA"/>
        </w:rPr>
        <w:t xml:space="preserve"> </w:t>
      </w:r>
      <w:r w:rsidR="00496FB0">
        <w:rPr>
          <w:sz w:val="22"/>
          <w:szCs w:val="22"/>
          <w:lang w:bidi="ar-SA"/>
        </w:rPr>
        <w:t xml:space="preserve">explaining the outsourcing </w:t>
      </w:r>
      <w:r w:rsidR="001D607A">
        <w:rPr>
          <w:sz w:val="22"/>
          <w:szCs w:val="22"/>
          <w:lang w:bidi="ar-SA"/>
        </w:rPr>
        <w:t>decision</w:t>
      </w:r>
      <w:r w:rsidR="00496FB0">
        <w:rPr>
          <w:sz w:val="22"/>
          <w:szCs w:val="22"/>
          <w:lang w:bidi="ar-SA"/>
        </w:rPr>
        <w:t xml:space="preserve"> are </w:t>
      </w:r>
      <w:r>
        <w:rPr>
          <w:sz w:val="22"/>
          <w:szCs w:val="22"/>
          <w:lang w:bidi="ar-SA"/>
        </w:rPr>
        <w:t>transaction cost economics</w:t>
      </w:r>
      <w:r w:rsidR="0074458F">
        <w:rPr>
          <w:sz w:val="22"/>
          <w:szCs w:val="22"/>
          <w:lang w:bidi="ar-SA"/>
        </w:rPr>
        <w:t xml:space="preserve"> (hereinafter TCE)</w:t>
      </w:r>
      <w:r w:rsidR="00496FB0">
        <w:rPr>
          <w:sz w:val="22"/>
          <w:szCs w:val="22"/>
          <w:lang w:bidi="ar-SA"/>
        </w:rPr>
        <w:t xml:space="preserve"> and the resource-based view</w:t>
      </w:r>
      <w:r>
        <w:rPr>
          <w:sz w:val="22"/>
          <w:szCs w:val="22"/>
          <w:lang w:bidi="ar-SA"/>
        </w:rPr>
        <w:t xml:space="preserve">. </w:t>
      </w:r>
      <w:r w:rsidR="00AC2F44">
        <w:rPr>
          <w:sz w:val="22"/>
          <w:szCs w:val="22"/>
          <w:lang w:bidi="ar-SA"/>
        </w:rPr>
        <w:t>The existence of TPL can be explained by TCE, combined with the resource-based perspective focusing on the ‘core competence’ logic</w:t>
      </w:r>
      <w:r w:rsidR="006A3AF8">
        <w:rPr>
          <w:sz w:val="22"/>
          <w:szCs w:val="22"/>
          <w:lang w:bidi="ar-SA"/>
        </w:rPr>
        <w:t xml:space="preserve"> of outsourcing</w:t>
      </w:r>
      <w:r w:rsidR="00AC2F44">
        <w:rPr>
          <w:sz w:val="22"/>
          <w:szCs w:val="22"/>
          <w:lang w:bidi="ar-SA"/>
        </w:rPr>
        <w:t xml:space="preserve"> </w:t>
      </w:r>
      <w:sdt>
        <w:sdtPr>
          <w:rPr>
            <w:sz w:val="22"/>
            <w:szCs w:val="22"/>
            <w:lang w:bidi="ar-SA"/>
          </w:rPr>
          <w:id w:val="6528628"/>
          <w:citation/>
        </w:sdtPr>
        <w:sdtContent>
          <w:r w:rsidR="00BD69D8">
            <w:rPr>
              <w:sz w:val="22"/>
              <w:szCs w:val="22"/>
              <w:lang w:bidi="ar-SA"/>
            </w:rPr>
            <w:fldChar w:fldCharType="begin"/>
          </w:r>
          <w:r w:rsidR="00AC2F44">
            <w:rPr>
              <w:sz w:val="22"/>
              <w:szCs w:val="22"/>
              <w:lang w:bidi="ar-SA"/>
            </w:rPr>
            <w:instrText xml:space="preserve"> CITATION Hal03 \t  \l 1033  </w:instrText>
          </w:r>
          <w:r w:rsidR="00BD69D8">
            <w:rPr>
              <w:sz w:val="22"/>
              <w:szCs w:val="22"/>
              <w:lang w:bidi="ar-SA"/>
            </w:rPr>
            <w:fldChar w:fldCharType="separate"/>
          </w:r>
          <w:r w:rsidR="00F26771" w:rsidRPr="00F26771">
            <w:rPr>
              <w:noProof/>
              <w:sz w:val="22"/>
              <w:szCs w:val="22"/>
              <w:lang w:bidi="ar-SA"/>
            </w:rPr>
            <w:t>(Halldorsson, Herbert, &amp; Skott-Larsen, 2003)</w:t>
          </w:r>
          <w:r w:rsidR="00BD69D8">
            <w:rPr>
              <w:sz w:val="22"/>
              <w:szCs w:val="22"/>
              <w:lang w:bidi="ar-SA"/>
            </w:rPr>
            <w:fldChar w:fldCharType="end"/>
          </w:r>
        </w:sdtContent>
      </w:sdt>
      <w:r w:rsidR="00AC2F44">
        <w:rPr>
          <w:sz w:val="22"/>
          <w:szCs w:val="22"/>
          <w:lang w:bidi="ar-SA"/>
        </w:rPr>
        <w:t xml:space="preserve">. </w:t>
      </w:r>
      <w:r>
        <w:rPr>
          <w:sz w:val="22"/>
          <w:szCs w:val="22"/>
          <w:lang w:bidi="ar-SA"/>
        </w:rPr>
        <w:t xml:space="preserve">But these theories can be </w:t>
      </w:r>
      <w:r w:rsidR="0074458F">
        <w:rPr>
          <w:sz w:val="22"/>
          <w:szCs w:val="22"/>
          <w:lang w:bidi="ar-SA"/>
        </w:rPr>
        <w:t>supplemented</w:t>
      </w:r>
      <w:r w:rsidR="00941219">
        <w:rPr>
          <w:sz w:val="22"/>
          <w:szCs w:val="22"/>
          <w:lang w:bidi="ar-SA"/>
        </w:rPr>
        <w:t xml:space="preserve"> by the emerge of the evolving relationship governance</w:t>
      </w:r>
      <w:r w:rsidR="00D82F96">
        <w:rPr>
          <w:sz w:val="22"/>
          <w:szCs w:val="22"/>
          <w:lang w:bidi="ar-SA"/>
        </w:rPr>
        <w:t xml:space="preserve"> and/or the network perspective</w:t>
      </w:r>
      <w:r w:rsidR="00D82F96">
        <w:rPr>
          <w:noProof/>
          <w:sz w:val="22"/>
          <w:szCs w:val="22"/>
          <w:lang w:bidi="ar-SA"/>
        </w:rPr>
        <w:t xml:space="preserve"> (</w:t>
      </w:r>
      <w:r w:rsidR="009E7FC1" w:rsidRPr="009E7FC1">
        <w:rPr>
          <w:noProof/>
          <w:sz w:val="22"/>
          <w:szCs w:val="22"/>
          <w:lang w:bidi="ar-SA"/>
        </w:rPr>
        <w:t>Halldorsson &amp; Skjott-Larsen, 2006</w:t>
      </w:r>
      <w:r w:rsidR="00D82F96">
        <w:rPr>
          <w:noProof/>
          <w:sz w:val="22"/>
          <w:szCs w:val="22"/>
          <w:lang w:bidi="ar-SA"/>
        </w:rPr>
        <w:t>;</w:t>
      </w:r>
      <w:r w:rsidR="00D82F96" w:rsidRPr="00D82F96">
        <w:rPr>
          <w:noProof/>
          <w:sz w:val="22"/>
          <w:szCs w:val="22"/>
          <w:lang w:bidi="ar-SA"/>
        </w:rPr>
        <w:t xml:space="preserve"> </w:t>
      </w:r>
      <w:r w:rsidR="00D82F96">
        <w:rPr>
          <w:noProof/>
          <w:sz w:val="22"/>
          <w:szCs w:val="22"/>
          <w:lang w:bidi="ar-SA"/>
        </w:rPr>
        <w:t xml:space="preserve">Skjott-Larsen, 2000 </w:t>
      </w:r>
      <w:r w:rsidR="009E7FC1" w:rsidRPr="009E7FC1">
        <w:rPr>
          <w:noProof/>
          <w:sz w:val="22"/>
          <w:szCs w:val="22"/>
          <w:lang w:bidi="ar-SA"/>
        </w:rPr>
        <w:t>)</w:t>
      </w:r>
      <w:r w:rsidR="0074458F">
        <w:rPr>
          <w:sz w:val="22"/>
          <w:szCs w:val="22"/>
          <w:lang w:bidi="ar-SA"/>
        </w:rPr>
        <w:t xml:space="preserve">. </w:t>
      </w:r>
      <w:r w:rsidR="00496FB0">
        <w:rPr>
          <w:sz w:val="22"/>
          <w:szCs w:val="22"/>
          <w:lang w:bidi="ar-SA"/>
        </w:rPr>
        <w:t>The network perspective and the agency theory</w:t>
      </w:r>
      <w:r w:rsidR="001D607A">
        <w:rPr>
          <w:sz w:val="22"/>
          <w:szCs w:val="22"/>
          <w:lang w:bidi="ar-SA"/>
        </w:rPr>
        <w:t xml:space="preserve"> can be used, not </w:t>
      </w:r>
      <w:r w:rsidR="009A6ABF">
        <w:rPr>
          <w:sz w:val="22"/>
          <w:szCs w:val="22"/>
          <w:lang w:bidi="ar-SA"/>
        </w:rPr>
        <w:t>(</w:t>
      </w:r>
      <w:r w:rsidR="001D607A">
        <w:rPr>
          <w:sz w:val="22"/>
          <w:szCs w:val="22"/>
          <w:lang w:bidi="ar-SA"/>
        </w:rPr>
        <w:t>only</w:t>
      </w:r>
      <w:r w:rsidR="009A6ABF">
        <w:rPr>
          <w:sz w:val="22"/>
          <w:szCs w:val="22"/>
          <w:lang w:bidi="ar-SA"/>
        </w:rPr>
        <w:t>)</w:t>
      </w:r>
      <w:r w:rsidR="001D607A">
        <w:rPr>
          <w:sz w:val="22"/>
          <w:szCs w:val="22"/>
          <w:lang w:bidi="ar-SA"/>
        </w:rPr>
        <w:t xml:space="preserve"> for explaining the outsourcing decision, but also </w:t>
      </w:r>
      <w:r w:rsidR="003E69FA">
        <w:rPr>
          <w:sz w:val="22"/>
          <w:szCs w:val="22"/>
          <w:lang w:bidi="ar-SA"/>
        </w:rPr>
        <w:t>for describing</w:t>
      </w:r>
      <w:r w:rsidR="009A6ABF">
        <w:rPr>
          <w:sz w:val="22"/>
          <w:szCs w:val="22"/>
          <w:lang w:bidi="ar-SA"/>
        </w:rPr>
        <w:t xml:space="preserve"> TPL buyer-supplier relationships and characteristics. </w:t>
      </w:r>
    </w:p>
    <w:p w:rsidR="008A20CE" w:rsidRPr="004A1087" w:rsidRDefault="008A20CE" w:rsidP="008A20CE">
      <w:pPr>
        <w:pStyle w:val="Kop3"/>
        <w:numPr>
          <w:ilvl w:val="2"/>
          <w:numId w:val="13"/>
        </w:numPr>
        <w:rPr>
          <w:rFonts w:asciiTheme="majorHAnsi" w:hAnsiTheme="majorHAnsi"/>
          <w:lang w:bidi="ar-SA"/>
        </w:rPr>
      </w:pPr>
      <w:bookmarkStart w:id="13" w:name="_Toc300411987"/>
      <w:r w:rsidRPr="004A1087">
        <w:rPr>
          <w:rFonts w:asciiTheme="majorHAnsi" w:hAnsiTheme="majorHAnsi"/>
          <w:lang w:bidi="ar-SA"/>
        </w:rPr>
        <w:t>Applying the agency theory on TPL relationships</w:t>
      </w:r>
      <w:bookmarkEnd w:id="13"/>
    </w:p>
    <w:p w:rsidR="0074458F" w:rsidRDefault="005743F7" w:rsidP="00C8159E">
      <w:pPr>
        <w:spacing w:line="360" w:lineRule="auto"/>
        <w:jc w:val="both"/>
        <w:rPr>
          <w:sz w:val="22"/>
          <w:szCs w:val="22"/>
          <w:lang w:bidi="ar-SA"/>
        </w:rPr>
      </w:pPr>
      <w:r>
        <w:rPr>
          <w:sz w:val="22"/>
          <w:szCs w:val="22"/>
          <w:lang w:bidi="ar-SA"/>
        </w:rPr>
        <w:t>The agency theory isn’t discussed in previous sections</w:t>
      </w:r>
      <w:r w:rsidR="00AC2F44">
        <w:rPr>
          <w:sz w:val="22"/>
          <w:szCs w:val="22"/>
          <w:lang w:bidi="ar-SA"/>
        </w:rPr>
        <w:t xml:space="preserve"> yet. The agency theory focuses on contracts and incentives as a mean to reduce goal divergence among different parties. The principal (the buyer of TPL services) and the agent (the provider of TPL services) have conflicting goals because of asymmetric information and their different attitudes towards risk. The agency theory has been applied in </w:t>
      </w:r>
      <w:r w:rsidR="00074974">
        <w:rPr>
          <w:sz w:val="22"/>
          <w:szCs w:val="22"/>
          <w:lang w:bidi="ar-SA"/>
        </w:rPr>
        <w:t xml:space="preserve">logistics </w:t>
      </w:r>
      <w:r w:rsidR="003E69FA">
        <w:rPr>
          <w:sz w:val="22"/>
          <w:szCs w:val="22"/>
          <w:lang w:bidi="ar-SA"/>
        </w:rPr>
        <w:t>and in</w:t>
      </w:r>
      <w:r w:rsidR="00074974">
        <w:rPr>
          <w:sz w:val="22"/>
          <w:szCs w:val="22"/>
          <w:lang w:bidi="ar-SA"/>
        </w:rPr>
        <w:t xml:space="preserve"> particular in the buyer-supplier relationship</w:t>
      </w:r>
      <w:sdt>
        <w:sdtPr>
          <w:rPr>
            <w:sz w:val="22"/>
            <w:szCs w:val="22"/>
            <w:lang w:bidi="ar-SA"/>
          </w:rPr>
          <w:id w:val="6528633"/>
          <w:citation/>
        </w:sdtPr>
        <w:sdtContent>
          <w:r w:rsidR="00BD69D8">
            <w:rPr>
              <w:sz w:val="22"/>
              <w:szCs w:val="22"/>
              <w:lang w:bidi="ar-SA"/>
            </w:rPr>
            <w:fldChar w:fldCharType="begin"/>
          </w:r>
          <w:r w:rsidR="00074974">
            <w:rPr>
              <w:sz w:val="22"/>
              <w:szCs w:val="22"/>
              <w:lang w:bidi="ar-SA"/>
            </w:rPr>
            <w:instrText xml:space="preserve"> CITATION Sto97 \l 1033 </w:instrText>
          </w:r>
          <w:r w:rsidR="00BD69D8">
            <w:rPr>
              <w:sz w:val="22"/>
              <w:szCs w:val="22"/>
              <w:lang w:bidi="ar-SA"/>
            </w:rPr>
            <w:fldChar w:fldCharType="separate"/>
          </w:r>
          <w:r w:rsidR="00F26771">
            <w:rPr>
              <w:noProof/>
              <w:sz w:val="22"/>
              <w:szCs w:val="22"/>
              <w:lang w:bidi="ar-SA"/>
            </w:rPr>
            <w:t xml:space="preserve"> </w:t>
          </w:r>
          <w:r w:rsidR="00F26771" w:rsidRPr="00F26771">
            <w:rPr>
              <w:noProof/>
              <w:sz w:val="22"/>
              <w:szCs w:val="22"/>
              <w:lang w:bidi="ar-SA"/>
            </w:rPr>
            <w:t>(Stock, 1997)</w:t>
          </w:r>
          <w:r w:rsidR="00BD69D8">
            <w:rPr>
              <w:sz w:val="22"/>
              <w:szCs w:val="22"/>
              <w:lang w:bidi="ar-SA"/>
            </w:rPr>
            <w:fldChar w:fldCharType="end"/>
          </w:r>
        </w:sdtContent>
      </w:sdt>
      <w:r w:rsidR="00074974">
        <w:rPr>
          <w:sz w:val="22"/>
          <w:szCs w:val="22"/>
          <w:lang w:bidi="ar-SA"/>
        </w:rPr>
        <w:t xml:space="preserve">. </w:t>
      </w:r>
      <w:r w:rsidR="001046EF">
        <w:rPr>
          <w:sz w:val="22"/>
          <w:szCs w:val="22"/>
          <w:lang w:bidi="ar-SA"/>
        </w:rPr>
        <w:t>For the principal</w:t>
      </w:r>
      <w:r w:rsidR="00074974">
        <w:rPr>
          <w:sz w:val="22"/>
          <w:szCs w:val="22"/>
          <w:lang w:bidi="ar-SA"/>
        </w:rPr>
        <w:t xml:space="preserve"> </w:t>
      </w:r>
      <w:r w:rsidR="001046EF">
        <w:rPr>
          <w:sz w:val="22"/>
          <w:szCs w:val="22"/>
          <w:lang w:bidi="ar-SA"/>
        </w:rPr>
        <w:t>t</w:t>
      </w:r>
      <w:r w:rsidR="00074974">
        <w:rPr>
          <w:sz w:val="22"/>
          <w:szCs w:val="22"/>
          <w:lang w:bidi="ar-SA"/>
        </w:rPr>
        <w:t>here are numerous risks related to a TPL relationship, such as the loss of control over logistics activities, the inability in assessing the cost performance of the TPL provider</w:t>
      </w:r>
      <w:r w:rsidR="001046EF">
        <w:rPr>
          <w:sz w:val="22"/>
          <w:szCs w:val="22"/>
          <w:lang w:bidi="ar-SA"/>
        </w:rPr>
        <w:t xml:space="preserve"> and the uncertainty about the </w:t>
      </w:r>
      <w:r w:rsidR="00074974">
        <w:rPr>
          <w:sz w:val="22"/>
          <w:szCs w:val="22"/>
          <w:lang w:bidi="ar-SA"/>
        </w:rPr>
        <w:t>continuity of services</w:t>
      </w:r>
      <w:r w:rsidR="001046EF">
        <w:rPr>
          <w:sz w:val="22"/>
          <w:szCs w:val="22"/>
          <w:lang w:bidi="ar-SA"/>
        </w:rPr>
        <w:t>.</w:t>
      </w:r>
      <w:r w:rsidR="00074974">
        <w:rPr>
          <w:sz w:val="22"/>
          <w:szCs w:val="22"/>
          <w:lang w:bidi="ar-SA"/>
        </w:rPr>
        <w:t xml:space="preserve"> </w:t>
      </w:r>
      <w:r w:rsidR="007F0D8E">
        <w:rPr>
          <w:sz w:val="22"/>
          <w:szCs w:val="22"/>
          <w:lang w:bidi="ar-SA"/>
        </w:rPr>
        <w:t xml:space="preserve"> From the agents’ perspective there are risks involved with making specific investments necessary for the principals operations which can’t be transferred to other clients of the agent</w:t>
      </w:r>
      <w:sdt>
        <w:sdtPr>
          <w:rPr>
            <w:sz w:val="22"/>
            <w:szCs w:val="22"/>
            <w:lang w:bidi="ar-SA"/>
          </w:rPr>
          <w:id w:val="6528634"/>
          <w:citation/>
        </w:sdtPr>
        <w:sdtContent>
          <w:r w:rsidR="00BD69D8">
            <w:rPr>
              <w:sz w:val="22"/>
              <w:szCs w:val="22"/>
              <w:lang w:bidi="ar-SA"/>
            </w:rPr>
            <w:fldChar w:fldCharType="begin"/>
          </w:r>
          <w:r w:rsidR="007F0D8E">
            <w:rPr>
              <w:sz w:val="22"/>
              <w:szCs w:val="22"/>
              <w:lang w:bidi="ar-SA"/>
            </w:rPr>
            <w:instrText xml:space="preserve"> CITATION LaL89 \l 1033 </w:instrText>
          </w:r>
          <w:r w:rsidR="00BD69D8">
            <w:rPr>
              <w:sz w:val="22"/>
              <w:szCs w:val="22"/>
              <w:lang w:bidi="ar-SA"/>
            </w:rPr>
            <w:fldChar w:fldCharType="separate"/>
          </w:r>
          <w:r w:rsidR="00F26771">
            <w:rPr>
              <w:noProof/>
              <w:sz w:val="22"/>
              <w:szCs w:val="22"/>
              <w:lang w:bidi="ar-SA"/>
            </w:rPr>
            <w:t xml:space="preserve"> </w:t>
          </w:r>
          <w:r w:rsidR="00F26771" w:rsidRPr="00F26771">
            <w:rPr>
              <w:noProof/>
              <w:sz w:val="22"/>
              <w:szCs w:val="22"/>
              <w:lang w:bidi="ar-SA"/>
            </w:rPr>
            <w:t>(LaLonde &amp; Cooper, 1989)</w:t>
          </w:r>
          <w:r w:rsidR="00BD69D8">
            <w:rPr>
              <w:sz w:val="22"/>
              <w:szCs w:val="22"/>
              <w:lang w:bidi="ar-SA"/>
            </w:rPr>
            <w:fldChar w:fldCharType="end"/>
          </w:r>
        </w:sdtContent>
      </w:sdt>
      <w:r w:rsidR="007F0D8E">
        <w:rPr>
          <w:sz w:val="22"/>
          <w:szCs w:val="22"/>
          <w:lang w:bidi="ar-SA"/>
        </w:rPr>
        <w:t>.</w:t>
      </w:r>
      <w:r w:rsidR="008A20CE">
        <w:rPr>
          <w:sz w:val="22"/>
          <w:szCs w:val="22"/>
          <w:lang w:bidi="ar-SA"/>
        </w:rPr>
        <w:t xml:space="preserve"> There are four aspects of the agency </w:t>
      </w:r>
      <w:r w:rsidR="003E69FA">
        <w:rPr>
          <w:sz w:val="22"/>
          <w:szCs w:val="22"/>
          <w:lang w:bidi="ar-SA"/>
        </w:rPr>
        <w:t>problem that</w:t>
      </w:r>
      <w:r w:rsidR="008A20CE">
        <w:rPr>
          <w:sz w:val="22"/>
          <w:szCs w:val="22"/>
          <w:lang w:bidi="ar-SA"/>
        </w:rPr>
        <w:t xml:space="preserve"> are identified within the TPL buyer-supplier relationship</w:t>
      </w:r>
      <w:sdt>
        <w:sdtPr>
          <w:rPr>
            <w:sz w:val="22"/>
            <w:szCs w:val="22"/>
            <w:lang w:bidi="ar-SA"/>
          </w:rPr>
          <w:id w:val="6528639"/>
          <w:citation/>
        </w:sdtPr>
        <w:sdtContent>
          <w:r w:rsidR="00BD69D8">
            <w:rPr>
              <w:sz w:val="22"/>
              <w:szCs w:val="22"/>
              <w:lang w:bidi="ar-SA"/>
            </w:rPr>
            <w:fldChar w:fldCharType="begin"/>
          </w:r>
          <w:r w:rsidR="008A20CE">
            <w:rPr>
              <w:sz w:val="22"/>
              <w:szCs w:val="22"/>
              <w:lang w:bidi="ar-SA"/>
            </w:rPr>
            <w:instrText xml:space="preserve"> CITATION Log00 \l 1033 </w:instrText>
          </w:r>
          <w:r w:rsidR="00BD69D8">
            <w:rPr>
              <w:sz w:val="22"/>
              <w:szCs w:val="22"/>
              <w:lang w:bidi="ar-SA"/>
            </w:rPr>
            <w:fldChar w:fldCharType="separate"/>
          </w:r>
          <w:r w:rsidR="00F26771">
            <w:rPr>
              <w:noProof/>
              <w:sz w:val="22"/>
              <w:szCs w:val="22"/>
              <w:lang w:bidi="ar-SA"/>
            </w:rPr>
            <w:t xml:space="preserve"> </w:t>
          </w:r>
          <w:r w:rsidR="00F26771" w:rsidRPr="00F26771">
            <w:rPr>
              <w:noProof/>
              <w:sz w:val="22"/>
              <w:szCs w:val="22"/>
              <w:lang w:bidi="ar-SA"/>
            </w:rPr>
            <w:t>(Logan, 2000)</w:t>
          </w:r>
          <w:r w:rsidR="00BD69D8">
            <w:rPr>
              <w:sz w:val="22"/>
              <w:szCs w:val="22"/>
              <w:lang w:bidi="ar-SA"/>
            </w:rPr>
            <w:fldChar w:fldCharType="end"/>
          </w:r>
        </w:sdtContent>
      </w:sdt>
      <w:r w:rsidR="008A20CE">
        <w:rPr>
          <w:sz w:val="22"/>
          <w:szCs w:val="22"/>
          <w:lang w:bidi="ar-SA"/>
        </w:rPr>
        <w:t>. Outsourcers fear that they won’t get the same high level of service that their in-house operators provide. Second</w:t>
      </w:r>
      <w:r w:rsidR="003E69FA">
        <w:rPr>
          <w:sz w:val="22"/>
          <w:szCs w:val="22"/>
          <w:lang w:bidi="ar-SA"/>
        </w:rPr>
        <w:t>, the</w:t>
      </w:r>
      <w:r w:rsidR="008A20CE">
        <w:rPr>
          <w:sz w:val="22"/>
          <w:szCs w:val="22"/>
          <w:lang w:bidi="ar-SA"/>
        </w:rPr>
        <w:t xml:space="preserve"> principal might fear that </w:t>
      </w:r>
      <w:r w:rsidR="002F5FE9">
        <w:rPr>
          <w:sz w:val="22"/>
          <w:szCs w:val="22"/>
          <w:lang w:bidi="ar-SA"/>
        </w:rPr>
        <w:t>t</w:t>
      </w:r>
      <w:r w:rsidR="008A20CE">
        <w:rPr>
          <w:sz w:val="22"/>
          <w:szCs w:val="22"/>
          <w:lang w:bidi="ar-SA"/>
        </w:rPr>
        <w:t>he agent will try to protect its margins.</w:t>
      </w:r>
      <w:r w:rsidR="002F5FE9">
        <w:rPr>
          <w:sz w:val="22"/>
          <w:szCs w:val="22"/>
          <w:lang w:bidi="ar-SA"/>
        </w:rPr>
        <w:t xml:space="preserve"> Third, there is an obstacle in establishing the </w:t>
      </w:r>
      <w:r w:rsidR="003E69FA">
        <w:rPr>
          <w:sz w:val="22"/>
          <w:szCs w:val="22"/>
          <w:lang w:bidi="ar-SA"/>
        </w:rPr>
        <w:t>relationship since</w:t>
      </w:r>
      <w:r w:rsidR="002F5FE9">
        <w:rPr>
          <w:sz w:val="22"/>
          <w:szCs w:val="22"/>
          <w:lang w:bidi="ar-SA"/>
        </w:rPr>
        <w:t xml:space="preserve"> besides the principle</w:t>
      </w:r>
      <w:r w:rsidR="003E69FA">
        <w:rPr>
          <w:sz w:val="22"/>
          <w:szCs w:val="22"/>
          <w:lang w:bidi="ar-SA"/>
        </w:rPr>
        <w:t>, the</w:t>
      </w:r>
      <w:r w:rsidR="002F5FE9">
        <w:rPr>
          <w:sz w:val="22"/>
          <w:szCs w:val="22"/>
          <w:lang w:bidi="ar-SA"/>
        </w:rPr>
        <w:t xml:space="preserve"> agent also has the possibility to select </w:t>
      </w:r>
      <w:r w:rsidR="003E69FA">
        <w:rPr>
          <w:sz w:val="22"/>
          <w:szCs w:val="22"/>
          <w:lang w:bidi="ar-SA"/>
        </w:rPr>
        <w:t>its</w:t>
      </w:r>
      <w:r w:rsidR="002F5FE9">
        <w:rPr>
          <w:sz w:val="22"/>
          <w:szCs w:val="22"/>
          <w:lang w:bidi="ar-SA"/>
        </w:rPr>
        <w:t xml:space="preserve"> partner in forming customer relationships. Fourth, if both the agent and principle wish to be guided by TCE and the resource-based </w:t>
      </w:r>
      <w:r w:rsidR="003E69FA">
        <w:rPr>
          <w:sz w:val="22"/>
          <w:szCs w:val="22"/>
          <w:lang w:bidi="ar-SA"/>
        </w:rPr>
        <w:t>view this</w:t>
      </w:r>
      <w:r w:rsidR="002F5FE9">
        <w:rPr>
          <w:sz w:val="22"/>
          <w:szCs w:val="22"/>
          <w:lang w:bidi="ar-SA"/>
        </w:rPr>
        <w:t xml:space="preserve"> will</w:t>
      </w:r>
      <w:r w:rsidR="002A4680">
        <w:rPr>
          <w:sz w:val="22"/>
          <w:szCs w:val="22"/>
          <w:lang w:bidi="ar-SA"/>
        </w:rPr>
        <w:t xml:space="preserve"> lead to suboptimal relationships causing problems. But these problems can be solved by </w:t>
      </w:r>
      <w:r w:rsidR="002752F8">
        <w:rPr>
          <w:sz w:val="22"/>
          <w:szCs w:val="22"/>
          <w:lang w:bidi="ar-SA"/>
        </w:rPr>
        <w:t>‘diagnosing‘the</w:t>
      </w:r>
      <w:r w:rsidR="002A4680">
        <w:rPr>
          <w:sz w:val="22"/>
          <w:szCs w:val="22"/>
          <w:lang w:bidi="ar-SA"/>
        </w:rPr>
        <w:t xml:space="preserve"> relationship (know of each other why you want this relationship</w:t>
      </w:r>
      <w:r w:rsidR="003E69FA">
        <w:rPr>
          <w:sz w:val="22"/>
          <w:szCs w:val="22"/>
          <w:lang w:bidi="ar-SA"/>
        </w:rPr>
        <w:t>) and</w:t>
      </w:r>
      <w:r w:rsidR="002A4680">
        <w:rPr>
          <w:sz w:val="22"/>
          <w:szCs w:val="22"/>
          <w:lang w:bidi="ar-SA"/>
        </w:rPr>
        <w:t xml:space="preserve"> by designing contracts promoting an environment of trust.  These contracts should aim to overcome problems relate</w:t>
      </w:r>
      <w:r w:rsidR="00B01CDF">
        <w:rPr>
          <w:sz w:val="22"/>
          <w:szCs w:val="22"/>
          <w:lang w:bidi="ar-SA"/>
        </w:rPr>
        <w:t>d</w:t>
      </w:r>
      <w:r w:rsidR="002A4680">
        <w:rPr>
          <w:sz w:val="22"/>
          <w:szCs w:val="22"/>
          <w:lang w:bidi="ar-SA"/>
        </w:rPr>
        <w:t xml:space="preserve"> to the loss of control, goal conflicts</w:t>
      </w:r>
      <w:r w:rsidR="00B01CDF">
        <w:rPr>
          <w:sz w:val="22"/>
          <w:szCs w:val="22"/>
          <w:lang w:bidi="ar-SA"/>
        </w:rPr>
        <w:t xml:space="preserve">, the continuity issue and specific investments since these problems all limit the scope </w:t>
      </w:r>
      <w:r w:rsidR="003E69FA">
        <w:rPr>
          <w:sz w:val="22"/>
          <w:szCs w:val="22"/>
          <w:lang w:bidi="ar-SA"/>
        </w:rPr>
        <w:t>of TPL</w:t>
      </w:r>
      <w:r w:rsidR="00B01CDF">
        <w:rPr>
          <w:sz w:val="22"/>
          <w:szCs w:val="22"/>
          <w:lang w:bidi="ar-SA"/>
        </w:rPr>
        <w:t xml:space="preserve"> principal-agent relationships</w:t>
      </w:r>
      <w:sdt>
        <w:sdtPr>
          <w:rPr>
            <w:sz w:val="22"/>
            <w:szCs w:val="22"/>
            <w:lang w:bidi="ar-SA"/>
          </w:rPr>
          <w:id w:val="6528640"/>
          <w:citation/>
        </w:sdtPr>
        <w:sdtContent>
          <w:r w:rsidR="00BD69D8">
            <w:rPr>
              <w:sz w:val="22"/>
              <w:szCs w:val="22"/>
              <w:lang w:bidi="ar-SA"/>
            </w:rPr>
            <w:fldChar w:fldCharType="begin"/>
          </w:r>
          <w:r w:rsidR="00B01CDF">
            <w:rPr>
              <w:sz w:val="22"/>
              <w:szCs w:val="22"/>
              <w:lang w:bidi="ar-SA"/>
            </w:rPr>
            <w:instrText xml:space="preserve"> CITATION Log00 \l 1033 </w:instrText>
          </w:r>
          <w:r w:rsidR="00BD69D8">
            <w:rPr>
              <w:sz w:val="22"/>
              <w:szCs w:val="22"/>
              <w:lang w:bidi="ar-SA"/>
            </w:rPr>
            <w:fldChar w:fldCharType="separate"/>
          </w:r>
          <w:r w:rsidR="00F26771">
            <w:rPr>
              <w:noProof/>
              <w:sz w:val="22"/>
              <w:szCs w:val="22"/>
              <w:lang w:bidi="ar-SA"/>
            </w:rPr>
            <w:t xml:space="preserve"> </w:t>
          </w:r>
          <w:r w:rsidR="00F26771" w:rsidRPr="00F26771">
            <w:rPr>
              <w:noProof/>
              <w:sz w:val="22"/>
              <w:szCs w:val="22"/>
              <w:lang w:bidi="ar-SA"/>
            </w:rPr>
            <w:t>(Logan, 2000)</w:t>
          </w:r>
          <w:r w:rsidR="00BD69D8">
            <w:rPr>
              <w:sz w:val="22"/>
              <w:szCs w:val="22"/>
              <w:lang w:bidi="ar-SA"/>
            </w:rPr>
            <w:fldChar w:fldCharType="end"/>
          </w:r>
        </w:sdtContent>
      </w:sdt>
      <w:r w:rsidR="00B01CDF">
        <w:rPr>
          <w:sz w:val="22"/>
          <w:szCs w:val="22"/>
          <w:lang w:bidi="ar-SA"/>
        </w:rPr>
        <w:t xml:space="preserve">. </w:t>
      </w:r>
      <w:r w:rsidR="00683DDE">
        <w:rPr>
          <w:sz w:val="22"/>
          <w:szCs w:val="22"/>
          <w:lang w:bidi="ar-SA"/>
        </w:rPr>
        <w:t xml:space="preserve">The paper of Halldorsson </w:t>
      </w:r>
      <w:r w:rsidR="002C6934">
        <w:rPr>
          <w:sz w:val="22"/>
          <w:szCs w:val="22"/>
          <w:lang w:bidi="ar-SA"/>
        </w:rPr>
        <w:t>&amp; Skjott-Larsen (2006) is a case study of a new established TPL relationship.</w:t>
      </w:r>
      <w:r w:rsidR="006A3AF8">
        <w:rPr>
          <w:sz w:val="22"/>
          <w:szCs w:val="22"/>
          <w:lang w:bidi="ar-SA"/>
        </w:rPr>
        <w:t xml:space="preserve"> In studying</w:t>
      </w:r>
      <w:r w:rsidR="00DC0222">
        <w:rPr>
          <w:sz w:val="22"/>
          <w:szCs w:val="22"/>
          <w:lang w:bidi="ar-SA"/>
        </w:rPr>
        <w:t xml:space="preserve"> this relationship, </w:t>
      </w:r>
      <w:r w:rsidR="003E69FA">
        <w:rPr>
          <w:sz w:val="22"/>
          <w:szCs w:val="22"/>
          <w:lang w:bidi="ar-SA"/>
        </w:rPr>
        <w:t>much agency theory</w:t>
      </w:r>
      <w:r w:rsidR="00DC0222">
        <w:rPr>
          <w:sz w:val="22"/>
          <w:szCs w:val="22"/>
          <w:lang w:bidi="ar-SA"/>
        </w:rPr>
        <w:t xml:space="preserve"> related problems, opportunities </w:t>
      </w:r>
      <w:r w:rsidR="00DC0222">
        <w:rPr>
          <w:sz w:val="22"/>
          <w:szCs w:val="22"/>
          <w:lang w:bidi="ar-SA"/>
        </w:rPr>
        <w:lastRenderedPageBreak/>
        <w:t>and other related</w:t>
      </w:r>
      <w:r w:rsidR="009C58CA">
        <w:rPr>
          <w:sz w:val="22"/>
          <w:szCs w:val="22"/>
          <w:lang w:bidi="ar-SA"/>
        </w:rPr>
        <w:t xml:space="preserve"> issues became visible.</w:t>
      </w:r>
      <w:r w:rsidR="002C6934">
        <w:rPr>
          <w:sz w:val="22"/>
          <w:szCs w:val="22"/>
          <w:lang w:bidi="ar-SA"/>
        </w:rPr>
        <w:t xml:space="preserve"> </w:t>
      </w:r>
      <w:r w:rsidR="006A3AF8">
        <w:rPr>
          <w:sz w:val="22"/>
          <w:szCs w:val="22"/>
          <w:lang w:bidi="ar-SA"/>
        </w:rPr>
        <w:t xml:space="preserve">The letter of intent, which was replaced by a contract later on, served as a safeguard for the agents specific investments made. </w:t>
      </w:r>
      <w:r w:rsidR="002C6934">
        <w:rPr>
          <w:sz w:val="22"/>
          <w:szCs w:val="22"/>
          <w:lang w:bidi="ar-SA"/>
        </w:rPr>
        <w:t xml:space="preserve">The agent was trying to enter an important business segment while the principal searched for cost reductions and a more efficient supply chain. </w:t>
      </w:r>
      <w:r w:rsidR="00DC0222">
        <w:rPr>
          <w:sz w:val="22"/>
          <w:szCs w:val="22"/>
          <w:lang w:bidi="ar-SA"/>
        </w:rPr>
        <w:t xml:space="preserve">As a result of the fact that logistics services were outsourced, the principal gained a </w:t>
      </w:r>
      <w:r w:rsidR="003E69FA">
        <w:rPr>
          <w:sz w:val="22"/>
          <w:szCs w:val="22"/>
          <w:lang w:bidi="ar-SA"/>
        </w:rPr>
        <w:t>better insight</w:t>
      </w:r>
      <w:r w:rsidR="00DC0222">
        <w:rPr>
          <w:sz w:val="22"/>
          <w:szCs w:val="22"/>
          <w:lang w:bidi="ar-SA"/>
        </w:rPr>
        <w:t xml:space="preserve"> in the costs of logistics thereby better able to compare the costs with </w:t>
      </w:r>
      <w:r w:rsidR="006A3AF8">
        <w:rPr>
          <w:sz w:val="22"/>
          <w:szCs w:val="22"/>
          <w:lang w:bidi="ar-SA"/>
        </w:rPr>
        <w:t xml:space="preserve">other TPL providers.  </w:t>
      </w:r>
      <w:r w:rsidR="003E69FA">
        <w:rPr>
          <w:sz w:val="22"/>
          <w:szCs w:val="22"/>
          <w:lang w:bidi="ar-SA"/>
        </w:rPr>
        <w:t xml:space="preserve">This particular relationship decided not to operate an open-book contract, the principal tried to control the providers' service charges and this search of both players for optimizing their own operations led to a sub-optimal relationship that was aborted after the contractual period. </w:t>
      </w:r>
      <w:r w:rsidR="0001031A">
        <w:rPr>
          <w:sz w:val="22"/>
          <w:szCs w:val="22"/>
          <w:lang w:bidi="ar-SA"/>
        </w:rPr>
        <w:t xml:space="preserve">This example, based on agency theory related difficulties, makes clear how difficult it is to establish </w:t>
      </w:r>
      <w:r w:rsidR="003E69FA">
        <w:rPr>
          <w:sz w:val="22"/>
          <w:szCs w:val="22"/>
          <w:lang w:bidi="ar-SA"/>
        </w:rPr>
        <w:t>a</w:t>
      </w:r>
      <w:r w:rsidR="0001031A">
        <w:rPr>
          <w:sz w:val="22"/>
          <w:szCs w:val="22"/>
          <w:lang w:bidi="ar-SA"/>
        </w:rPr>
        <w:t xml:space="preserve"> relationship base</w:t>
      </w:r>
      <w:r w:rsidR="00683EAE">
        <w:rPr>
          <w:sz w:val="22"/>
          <w:szCs w:val="22"/>
          <w:lang w:bidi="ar-SA"/>
        </w:rPr>
        <w:t xml:space="preserve">d on mutual trust thereby creating </w:t>
      </w:r>
      <w:r w:rsidR="0001031A">
        <w:rPr>
          <w:sz w:val="22"/>
          <w:szCs w:val="22"/>
          <w:lang w:bidi="ar-SA"/>
        </w:rPr>
        <w:t xml:space="preserve">a win-win relationship for both parties. </w:t>
      </w:r>
    </w:p>
    <w:p w:rsidR="00D82F96" w:rsidRPr="004A1087" w:rsidRDefault="006E6B86" w:rsidP="00941219">
      <w:pPr>
        <w:pStyle w:val="Kop3"/>
        <w:numPr>
          <w:ilvl w:val="2"/>
          <w:numId w:val="13"/>
        </w:numPr>
        <w:rPr>
          <w:rFonts w:asciiTheme="majorHAnsi" w:hAnsiTheme="majorHAnsi"/>
          <w:lang w:bidi="ar-SA"/>
        </w:rPr>
      </w:pPr>
      <w:bookmarkStart w:id="14" w:name="_Toc300411988"/>
      <w:r w:rsidRPr="004A1087">
        <w:rPr>
          <w:rFonts w:asciiTheme="majorHAnsi" w:hAnsiTheme="majorHAnsi"/>
          <w:lang w:bidi="ar-SA"/>
        </w:rPr>
        <w:t>Applying t</w:t>
      </w:r>
      <w:r w:rsidR="00941219" w:rsidRPr="004A1087">
        <w:rPr>
          <w:rFonts w:asciiTheme="majorHAnsi" w:hAnsiTheme="majorHAnsi"/>
          <w:lang w:bidi="ar-SA"/>
        </w:rPr>
        <w:t>he network perspective</w:t>
      </w:r>
      <w:r w:rsidRPr="004A1087">
        <w:rPr>
          <w:rFonts w:asciiTheme="majorHAnsi" w:hAnsiTheme="majorHAnsi"/>
          <w:lang w:bidi="ar-SA"/>
        </w:rPr>
        <w:t xml:space="preserve"> on TPL relationships</w:t>
      </w:r>
      <w:bookmarkEnd w:id="14"/>
    </w:p>
    <w:p w:rsidR="00E1631D" w:rsidRPr="00037CFD" w:rsidRDefault="00E1631D" w:rsidP="001435B1">
      <w:pPr>
        <w:spacing w:after="0" w:line="360" w:lineRule="auto"/>
        <w:jc w:val="both"/>
        <w:rPr>
          <w:noProof/>
          <w:sz w:val="22"/>
          <w:szCs w:val="22"/>
          <w:lang w:bidi="ar-SA"/>
        </w:rPr>
      </w:pPr>
      <w:r>
        <w:rPr>
          <w:sz w:val="22"/>
          <w:szCs w:val="22"/>
          <w:lang w:bidi="ar-SA"/>
        </w:rPr>
        <w:t xml:space="preserve">As the agency theory shows how difficult it is to establish </w:t>
      </w:r>
      <w:r w:rsidR="003E69FA">
        <w:rPr>
          <w:sz w:val="22"/>
          <w:szCs w:val="22"/>
          <w:lang w:bidi="ar-SA"/>
        </w:rPr>
        <w:t>a</w:t>
      </w:r>
      <w:r>
        <w:rPr>
          <w:sz w:val="22"/>
          <w:szCs w:val="22"/>
          <w:lang w:bidi="ar-SA"/>
        </w:rPr>
        <w:t xml:space="preserve"> win-win relationship in the TPL industry, the network perspective emphasizes</w:t>
      </w:r>
      <w:r w:rsidR="00B53F89">
        <w:rPr>
          <w:sz w:val="22"/>
          <w:szCs w:val="22"/>
          <w:lang w:bidi="ar-SA"/>
        </w:rPr>
        <w:t xml:space="preserve"> and explains how successful and long-term TPL relationships can be developed and evolve.</w:t>
      </w:r>
      <w:r>
        <w:rPr>
          <w:sz w:val="22"/>
          <w:szCs w:val="22"/>
          <w:lang w:bidi="ar-SA"/>
        </w:rPr>
        <w:t xml:space="preserve"> </w:t>
      </w:r>
      <w:r w:rsidR="00941219">
        <w:rPr>
          <w:sz w:val="22"/>
          <w:szCs w:val="22"/>
          <w:lang w:bidi="ar-SA"/>
        </w:rPr>
        <w:t xml:space="preserve">The assumption underlying the network perspective is that individual firms are dependent on resources controlled by other firms. Access to these resources can be achieved by interacting with other firms: </w:t>
      </w:r>
      <w:r w:rsidR="00496FB0">
        <w:rPr>
          <w:sz w:val="22"/>
          <w:szCs w:val="22"/>
          <w:lang w:bidi="ar-SA"/>
        </w:rPr>
        <w:t>this is how and why networks develop over time. Firms invest in relationships, thereby developing knowledge of their partners over time</w:t>
      </w:r>
      <w:sdt>
        <w:sdtPr>
          <w:rPr>
            <w:sz w:val="22"/>
            <w:szCs w:val="22"/>
            <w:lang w:bidi="ar-SA"/>
          </w:rPr>
          <w:id w:val="6528646"/>
          <w:citation/>
        </w:sdtPr>
        <w:sdtContent>
          <w:r w:rsidR="00BD69D8">
            <w:rPr>
              <w:sz w:val="22"/>
              <w:szCs w:val="22"/>
              <w:lang w:bidi="ar-SA"/>
            </w:rPr>
            <w:fldChar w:fldCharType="begin"/>
          </w:r>
          <w:r w:rsidR="00496FB0">
            <w:rPr>
              <w:sz w:val="22"/>
              <w:szCs w:val="22"/>
              <w:lang w:bidi="ar-SA"/>
            </w:rPr>
            <w:instrText xml:space="preserve"> CITATION Skj00 \l 1033 </w:instrText>
          </w:r>
          <w:r w:rsidR="00BD69D8">
            <w:rPr>
              <w:sz w:val="22"/>
              <w:szCs w:val="22"/>
              <w:lang w:bidi="ar-SA"/>
            </w:rPr>
            <w:fldChar w:fldCharType="separate"/>
          </w:r>
          <w:r w:rsidR="00F26771">
            <w:rPr>
              <w:noProof/>
              <w:sz w:val="22"/>
              <w:szCs w:val="22"/>
              <w:lang w:bidi="ar-SA"/>
            </w:rPr>
            <w:t xml:space="preserve"> </w:t>
          </w:r>
          <w:r w:rsidR="00F26771" w:rsidRPr="00F26771">
            <w:rPr>
              <w:noProof/>
              <w:sz w:val="22"/>
              <w:szCs w:val="22"/>
              <w:lang w:bidi="ar-SA"/>
            </w:rPr>
            <w:t>(Skjott-Larsen, Third party logistics - from an interorganisational point of view, 2000)</w:t>
          </w:r>
          <w:r w:rsidR="00BD69D8">
            <w:rPr>
              <w:sz w:val="22"/>
              <w:szCs w:val="22"/>
              <w:lang w:bidi="ar-SA"/>
            </w:rPr>
            <w:fldChar w:fldCharType="end"/>
          </w:r>
        </w:sdtContent>
      </w:sdt>
      <w:r w:rsidR="00496FB0">
        <w:rPr>
          <w:sz w:val="22"/>
          <w:szCs w:val="22"/>
          <w:lang w:bidi="ar-SA"/>
        </w:rPr>
        <w:t>.</w:t>
      </w:r>
      <w:r w:rsidR="009A7864">
        <w:rPr>
          <w:sz w:val="22"/>
          <w:szCs w:val="22"/>
          <w:lang w:bidi="ar-SA"/>
        </w:rPr>
        <w:t xml:space="preserve"> It’s the tendency</w:t>
      </w:r>
      <w:r w:rsidR="006E6B86">
        <w:rPr>
          <w:sz w:val="22"/>
          <w:szCs w:val="22"/>
          <w:lang w:bidi="ar-SA"/>
        </w:rPr>
        <w:t xml:space="preserve"> of networks that these relations become stronger over time.  According to</w:t>
      </w:r>
      <w:r w:rsidR="006E6B86">
        <w:rPr>
          <w:noProof/>
          <w:sz w:val="22"/>
          <w:szCs w:val="22"/>
          <w:lang w:bidi="ar-SA"/>
        </w:rPr>
        <w:t xml:space="preserve"> Johansson &amp; Mattsson</w:t>
      </w:r>
      <w:r w:rsidR="006E6B86" w:rsidRPr="006E6B86">
        <w:rPr>
          <w:noProof/>
          <w:sz w:val="22"/>
          <w:szCs w:val="22"/>
          <w:lang w:bidi="ar-SA"/>
        </w:rPr>
        <w:t xml:space="preserve"> </w:t>
      </w:r>
      <w:r w:rsidR="006E6B86">
        <w:rPr>
          <w:noProof/>
          <w:sz w:val="22"/>
          <w:szCs w:val="22"/>
          <w:lang w:bidi="ar-SA"/>
        </w:rPr>
        <w:t>(</w:t>
      </w:r>
      <w:r w:rsidR="006E6B86" w:rsidRPr="006E6B86">
        <w:rPr>
          <w:noProof/>
          <w:sz w:val="22"/>
          <w:szCs w:val="22"/>
          <w:lang w:bidi="ar-SA"/>
        </w:rPr>
        <w:t>1986)</w:t>
      </w:r>
      <w:r w:rsidR="006E6B86">
        <w:rPr>
          <w:noProof/>
          <w:sz w:val="22"/>
          <w:szCs w:val="22"/>
          <w:lang w:bidi="ar-SA"/>
        </w:rPr>
        <w:t xml:space="preserve"> the relationships between firms in a network develop through exchange processes and adaption processes.</w:t>
      </w:r>
      <w:r w:rsidR="00B30F8E">
        <w:rPr>
          <w:noProof/>
          <w:sz w:val="22"/>
          <w:szCs w:val="22"/>
          <w:lang w:bidi="ar-SA"/>
        </w:rPr>
        <w:t xml:space="preserve"> Exchange processes include the </w:t>
      </w:r>
      <w:r w:rsidR="00873F23">
        <w:rPr>
          <w:noProof/>
          <w:sz w:val="22"/>
          <w:szCs w:val="22"/>
          <w:lang w:bidi="ar-SA"/>
        </w:rPr>
        <w:t xml:space="preserve">exchange of information, goods, services and a </w:t>
      </w:r>
      <w:r w:rsidR="00B53F89">
        <w:rPr>
          <w:noProof/>
          <w:sz w:val="22"/>
          <w:szCs w:val="22"/>
          <w:lang w:bidi="ar-SA"/>
        </w:rPr>
        <w:t>wide range of social processes/</w:t>
      </w:r>
      <w:r w:rsidR="00873F23">
        <w:rPr>
          <w:noProof/>
          <w:sz w:val="22"/>
          <w:szCs w:val="22"/>
          <w:lang w:bidi="ar-SA"/>
        </w:rPr>
        <w:t>interpersonal communication. Through this exchange process the parties develop mutual trust. Adaption processes include modifications of processes, systems and products to achieve a more efficient allocation of resources in the network. This ad</w:t>
      </w:r>
      <w:r w:rsidR="00634BFA">
        <w:rPr>
          <w:noProof/>
          <w:sz w:val="22"/>
          <w:szCs w:val="22"/>
          <w:lang w:bidi="ar-SA"/>
        </w:rPr>
        <w:t>a</w:t>
      </w:r>
      <w:r w:rsidR="00873F23">
        <w:rPr>
          <w:noProof/>
          <w:sz w:val="22"/>
          <w:szCs w:val="22"/>
          <w:lang w:bidi="ar-SA"/>
        </w:rPr>
        <w:t xml:space="preserve">pation process is important because it strenghtens the bonds between the parties by specifing the relationship, thereby giving </w:t>
      </w:r>
      <w:r w:rsidR="00397308">
        <w:rPr>
          <w:noProof/>
          <w:sz w:val="22"/>
          <w:szCs w:val="22"/>
          <w:lang w:bidi="ar-SA"/>
        </w:rPr>
        <w:t>their relationship a long-term character. A network is a dynamic entity, changing over time by efforts to creater a better competitive postion</w:t>
      </w:r>
      <w:sdt>
        <w:sdtPr>
          <w:rPr>
            <w:noProof/>
            <w:sz w:val="22"/>
            <w:szCs w:val="22"/>
            <w:lang w:bidi="ar-SA"/>
          </w:rPr>
          <w:id w:val="6528648"/>
          <w:citation/>
        </w:sdtPr>
        <w:sdtContent>
          <w:r w:rsidR="00BD69D8">
            <w:rPr>
              <w:noProof/>
              <w:sz w:val="22"/>
              <w:szCs w:val="22"/>
              <w:lang w:bidi="ar-SA"/>
            </w:rPr>
            <w:fldChar w:fldCharType="begin"/>
          </w:r>
          <w:r w:rsidR="00634BFA">
            <w:rPr>
              <w:noProof/>
              <w:sz w:val="22"/>
              <w:szCs w:val="22"/>
              <w:lang w:bidi="ar-SA"/>
            </w:rPr>
            <w:instrText xml:space="preserve"> CITATION Skj00 \t  \l 1033  </w:instrText>
          </w:r>
          <w:r w:rsidR="00BD69D8">
            <w:rPr>
              <w:noProof/>
              <w:sz w:val="22"/>
              <w:szCs w:val="22"/>
              <w:lang w:bidi="ar-SA"/>
            </w:rPr>
            <w:fldChar w:fldCharType="separate"/>
          </w:r>
          <w:r w:rsidR="00F26771">
            <w:rPr>
              <w:noProof/>
              <w:sz w:val="22"/>
              <w:szCs w:val="22"/>
              <w:lang w:bidi="ar-SA"/>
            </w:rPr>
            <w:t xml:space="preserve"> </w:t>
          </w:r>
          <w:r w:rsidR="00F26771" w:rsidRPr="00F26771">
            <w:rPr>
              <w:noProof/>
              <w:sz w:val="22"/>
              <w:szCs w:val="22"/>
              <w:lang w:bidi="ar-SA"/>
            </w:rPr>
            <w:t>(Skjott-Larsen, 2000)</w:t>
          </w:r>
          <w:r w:rsidR="00BD69D8">
            <w:rPr>
              <w:noProof/>
              <w:sz w:val="22"/>
              <w:szCs w:val="22"/>
              <w:lang w:bidi="ar-SA"/>
            </w:rPr>
            <w:fldChar w:fldCharType="end"/>
          </w:r>
        </w:sdtContent>
      </w:sdt>
      <w:r w:rsidR="00397308">
        <w:rPr>
          <w:noProof/>
          <w:sz w:val="22"/>
          <w:szCs w:val="22"/>
          <w:lang w:bidi="ar-SA"/>
        </w:rPr>
        <w:t>. A network never just exist between a TPL provider and a TPL buyer: their partner also has other partners it works with.  European TPL firms often act as a mediator between their client and various haulage and warehousing companies</w:t>
      </w:r>
      <w:r>
        <w:rPr>
          <w:noProof/>
          <w:sz w:val="22"/>
          <w:szCs w:val="22"/>
          <w:lang w:bidi="ar-SA"/>
        </w:rPr>
        <w:t>, which implement the fysical part of transport and warehousing.</w:t>
      </w:r>
      <w:r w:rsidR="00616F0D">
        <w:rPr>
          <w:noProof/>
          <w:sz w:val="22"/>
          <w:szCs w:val="22"/>
          <w:lang w:bidi="ar-SA"/>
        </w:rPr>
        <w:t xml:space="preserve"> </w:t>
      </w:r>
      <w:r w:rsidR="00B53F89">
        <w:rPr>
          <w:noProof/>
          <w:sz w:val="22"/>
          <w:szCs w:val="22"/>
          <w:lang w:bidi="ar-SA"/>
        </w:rPr>
        <w:t>The network theory states that the firms relationships with other companies are its most valuable asset. The invisible assets, such as tacit knowledge, are hard to copy and thus are of strategic importance</w:t>
      </w:r>
      <w:sdt>
        <w:sdtPr>
          <w:rPr>
            <w:noProof/>
            <w:sz w:val="22"/>
            <w:szCs w:val="22"/>
            <w:lang w:bidi="ar-SA"/>
          </w:rPr>
          <w:id w:val="6528649"/>
          <w:citation/>
        </w:sdtPr>
        <w:sdtContent>
          <w:r w:rsidR="00BD69D8">
            <w:rPr>
              <w:noProof/>
              <w:sz w:val="22"/>
              <w:szCs w:val="22"/>
              <w:lang w:bidi="ar-SA"/>
            </w:rPr>
            <w:fldChar w:fldCharType="begin"/>
          </w:r>
          <w:r w:rsidR="00372932">
            <w:rPr>
              <w:noProof/>
              <w:sz w:val="22"/>
              <w:szCs w:val="22"/>
              <w:lang w:bidi="ar-SA"/>
            </w:rPr>
            <w:instrText xml:space="preserve"> CITATION Nel82 \l 1033 </w:instrText>
          </w:r>
          <w:r w:rsidR="00BD69D8">
            <w:rPr>
              <w:noProof/>
              <w:sz w:val="22"/>
              <w:szCs w:val="22"/>
              <w:lang w:bidi="ar-SA"/>
            </w:rPr>
            <w:fldChar w:fldCharType="separate"/>
          </w:r>
          <w:r w:rsidR="00F26771">
            <w:rPr>
              <w:noProof/>
              <w:sz w:val="22"/>
              <w:szCs w:val="22"/>
              <w:lang w:bidi="ar-SA"/>
            </w:rPr>
            <w:t xml:space="preserve"> </w:t>
          </w:r>
          <w:r w:rsidR="00F26771" w:rsidRPr="00F26771">
            <w:rPr>
              <w:noProof/>
              <w:sz w:val="22"/>
              <w:szCs w:val="22"/>
              <w:lang w:bidi="ar-SA"/>
            </w:rPr>
            <w:t>(Nelson &amp; Winter, 1982)</w:t>
          </w:r>
          <w:r w:rsidR="00BD69D8">
            <w:rPr>
              <w:noProof/>
              <w:sz w:val="22"/>
              <w:szCs w:val="22"/>
              <w:lang w:bidi="ar-SA"/>
            </w:rPr>
            <w:fldChar w:fldCharType="end"/>
          </w:r>
        </w:sdtContent>
      </w:sdt>
      <w:r w:rsidR="00372932">
        <w:rPr>
          <w:noProof/>
          <w:sz w:val="22"/>
          <w:szCs w:val="22"/>
          <w:lang w:bidi="ar-SA"/>
        </w:rPr>
        <w:t xml:space="preserve">. If the network stops existing, these invisible assets also dissapear </w:t>
      </w:r>
      <w:sdt>
        <w:sdtPr>
          <w:rPr>
            <w:noProof/>
            <w:sz w:val="22"/>
            <w:szCs w:val="22"/>
            <w:lang w:bidi="ar-SA"/>
          </w:rPr>
          <w:id w:val="6529014"/>
          <w:citation/>
        </w:sdtPr>
        <w:sdtContent>
          <w:r w:rsidR="00BD69D8">
            <w:rPr>
              <w:noProof/>
              <w:sz w:val="22"/>
              <w:szCs w:val="22"/>
              <w:lang w:bidi="ar-SA"/>
            </w:rPr>
            <w:fldChar w:fldCharType="begin"/>
          </w:r>
          <w:r w:rsidR="00616F0D">
            <w:rPr>
              <w:noProof/>
              <w:sz w:val="22"/>
              <w:szCs w:val="22"/>
              <w:lang w:bidi="ar-SA"/>
            </w:rPr>
            <w:instrText xml:space="preserve"> CITATION Skj00 \l 1033 </w:instrText>
          </w:r>
          <w:r w:rsidR="00BD69D8">
            <w:rPr>
              <w:noProof/>
              <w:sz w:val="22"/>
              <w:szCs w:val="22"/>
              <w:lang w:bidi="ar-SA"/>
            </w:rPr>
            <w:fldChar w:fldCharType="separate"/>
          </w:r>
          <w:r w:rsidR="00F26771" w:rsidRPr="00F26771">
            <w:rPr>
              <w:noProof/>
              <w:sz w:val="22"/>
              <w:szCs w:val="22"/>
              <w:lang w:bidi="ar-SA"/>
            </w:rPr>
            <w:t>(Skjott-</w:t>
          </w:r>
          <w:r w:rsidR="00F26771" w:rsidRPr="00F26771">
            <w:rPr>
              <w:noProof/>
              <w:sz w:val="22"/>
              <w:szCs w:val="22"/>
              <w:lang w:bidi="ar-SA"/>
            </w:rPr>
            <w:lastRenderedPageBreak/>
            <w:t>Larsen, Third party logistics - from an interorganisational point of view, 2000)</w:t>
          </w:r>
          <w:r w:rsidR="00BD69D8">
            <w:rPr>
              <w:noProof/>
              <w:sz w:val="22"/>
              <w:szCs w:val="22"/>
              <w:lang w:bidi="ar-SA"/>
            </w:rPr>
            <w:fldChar w:fldCharType="end"/>
          </w:r>
        </w:sdtContent>
      </w:sdt>
      <w:r w:rsidR="00616F0D">
        <w:rPr>
          <w:noProof/>
          <w:sz w:val="22"/>
          <w:szCs w:val="22"/>
          <w:lang w:bidi="ar-SA"/>
        </w:rPr>
        <w:t xml:space="preserve"> </w:t>
      </w:r>
      <w:r w:rsidR="00372932">
        <w:rPr>
          <w:noProof/>
          <w:sz w:val="22"/>
          <w:szCs w:val="22"/>
          <w:lang w:bidi="ar-SA"/>
        </w:rPr>
        <w:t xml:space="preserve">and this is why network relations </w:t>
      </w:r>
      <w:r w:rsidR="00616F0D">
        <w:rPr>
          <w:noProof/>
          <w:sz w:val="22"/>
          <w:szCs w:val="22"/>
          <w:lang w:bidi="ar-SA"/>
        </w:rPr>
        <w:t xml:space="preserve">can </w:t>
      </w:r>
      <w:r w:rsidR="00372932">
        <w:rPr>
          <w:noProof/>
          <w:sz w:val="22"/>
          <w:szCs w:val="22"/>
          <w:lang w:bidi="ar-SA"/>
        </w:rPr>
        <w:t>remain stable over time.</w:t>
      </w:r>
    </w:p>
    <w:p w:rsidR="00C8159E" w:rsidRPr="004A1087" w:rsidRDefault="00DD2818" w:rsidP="00DD2818">
      <w:pPr>
        <w:pStyle w:val="Kop3"/>
        <w:numPr>
          <w:ilvl w:val="2"/>
          <w:numId w:val="13"/>
        </w:numPr>
        <w:rPr>
          <w:rFonts w:asciiTheme="majorHAnsi" w:hAnsiTheme="majorHAnsi"/>
          <w:lang w:bidi="ar-SA"/>
        </w:rPr>
      </w:pPr>
      <w:bookmarkStart w:id="15" w:name="_Toc300411989"/>
      <w:r w:rsidRPr="004A1087">
        <w:rPr>
          <w:rFonts w:asciiTheme="majorHAnsi" w:hAnsiTheme="majorHAnsi"/>
          <w:lang w:bidi="ar-SA"/>
        </w:rPr>
        <w:t>Current status of TPL relationships</w:t>
      </w:r>
      <w:bookmarkEnd w:id="15"/>
    </w:p>
    <w:p w:rsidR="006A62E1" w:rsidRDefault="006B524F" w:rsidP="00852D58">
      <w:pPr>
        <w:autoSpaceDE w:val="0"/>
        <w:autoSpaceDN w:val="0"/>
        <w:adjustRightInd w:val="0"/>
        <w:spacing w:line="360" w:lineRule="auto"/>
        <w:jc w:val="both"/>
        <w:rPr>
          <w:rFonts w:cs="Wingdings"/>
          <w:sz w:val="22"/>
          <w:szCs w:val="22"/>
          <w:lang w:bidi="ar-SA"/>
        </w:rPr>
      </w:pPr>
      <w:r w:rsidRPr="006B524F">
        <w:rPr>
          <w:rFonts w:cs="AdvP405B6"/>
          <w:sz w:val="22"/>
          <w:szCs w:val="22"/>
          <w:lang w:val="nl-NL" w:bidi="ar-SA"/>
        </w:rPr>
        <w:t xml:space="preserve">In </w:t>
      </w:r>
      <w:r w:rsidR="00FD63B8">
        <w:rPr>
          <w:rFonts w:cs="AdvP405B6"/>
          <w:sz w:val="22"/>
          <w:szCs w:val="22"/>
          <w:lang w:val="nl-NL" w:bidi="ar-SA"/>
        </w:rPr>
        <w:t xml:space="preserve">the </w:t>
      </w:r>
      <w:r w:rsidR="002752F8">
        <w:rPr>
          <w:rFonts w:cs="AdvP405B6"/>
          <w:sz w:val="22"/>
          <w:szCs w:val="22"/>
          <w:lang w:val="nl-NL" w:bidi="ar-SA"/>
        </w:rPr>
        <w:t>year</w:t>
      </w:r>
      <w:r w:rsidR="00FD63B8">
        <w:rPr>
          <w:rFonts w:cs="AdvP405B6"/>
          <w:sz w:val="22"/>
          <w:szCs w:val="22"/>
          <w:lang w:val="nl-NL" w:bidi="ar-SA"/>
        </w:rPr>
        <w:t xml:space="preserve"> </w:t>
      </w:r>
      <w:r w:rsidRPr="006B524F">
        <w:rPr>
          <w:rFonts w:cs="AdvP405B6"/>
          <w:sz w:val="22"/>
          <w:szCs w:val="22"/>
          <w:lang w:val="nl-NL" w:bidi="ar-SA"/>
        </w:rPr>
        <w:t xml:space="preserve">2000, </w:t>
      </w:r>
      <w:r w:rsidRPr="006B524F">
        <w:rPr>
          <w:rFonts w:cs="AdvP405B6"/>
          <w:noProof/>
          <w:sz w:val="22"/>
          <w:szCs w:val="22"/>
          <w:lang w:val="nl-NL" w:bidi="ar-SA"/>
        </w:rPr>
        <w:t xml:space="preserve">van Laarhoven et al. </w:t>
      </w:r>
      <w:r w:rsidRPr="006B524F">
        <w:rPr>
          <w:rFonts w:cs="AdvP405B6"/>
          <w:noProof/>
          <w:sz w:val="22"/>
          <w:szCs w:val="22"/>
          <w:lang w:bidi="ar-SA"/>
        </w:rPr>
        <w:t>(</w:t>
      </w:r>
      <w:r>
        <w:rPr>
          <w:rFonts w:cs="AdvP405B6"/>
          <w:noProof/>
          <w:sz w:val="22"/>
          <w:szCs w:val="22"/>
          <w:lang w:bidi="ar-SA"/>
        </w:rPr>
        <w:t>200</w:t>
      </w:r>
      <w:r w:rsidR="00FD63B8">
        <w:rPr>
          <w:rFonts w:cs="AdvP405B6"/>
          <w:noProof/>
          <w:sz w:val="22"/>
          <w:szCs w:val="22"/>
          <w:lang w:bidi="ar-SA"/>
        </w:rPr>
        <w:t>0</w:t>
      </w:r>
      <w:r>
        <w:rPr>
          <w:rFonts w:cs="AdvP405B6"/>
          <w:noProof/>
          <w:sz w:val="22"/>
          <w:szCs w:val="22"/>
          <w:lang w:bidi="ar-SA"/>
        </w:rPr>
        <w:t xml:space="preserve">) stated </w:t>
      </w:r>
      <w:r>
        <w:rPr>
          <w:rFonts w:cs="AdvP405B6"/>
          <w:i/>
          <w:sz w:val="22"/>
          <w:szCs w:val="22"/>
          <w:lang w:bidi="ar-SA"/>
        </w:rPr>
        <w:t>‘’l</w:t>
      </w:r>
      <w:r w:rsidRPr="006B524F">
        <w:rPr>
          <w:rFonts w:cs="AdvP405B6"/>
          <w:i/>
          <w:sz w:val="22"/>
          <w:szCs w:val="22"/>
          <w:lang w:bidi="ar-SA"/>
        </w:rPr>
        <w:t>ogistics still does not seem to be on the agenda of top management</w:t>
      </w:r>
      <w:r>
        <w:rPr>
          <w:rFonts w:cs="AdvP405B6"/>
          <w:i/>
          <w:sz w:val="22"/>
          <w:szCs w:val="22"/>
          <w:lang w:bidi="ar-SA"/>
        </w:rPr>
        <w:t xml:space="preserve">’’ </w:t>
      </w:r>
      <w:r>
        <w:rPr>
          <w:rFonts w:cs="AdvP405B6"/>
          <w:sz w:val="22"/>
          <w:szCs w:val="22"/>
          <w:lang w:bidi="ar-SA"/>
        </w:rPr>
        <w:t>(p. 7)</w:t>
      </w:r>
      <w:r w:rsidRPr="006B524F">
        <w:rPr>
          <w:rFonts w:ascii="AdvP405B6" w:hAnsi="AdvP405B6" w:cs="AdvP405B6"/>
          <w:sz w:val="22"/>
          <w:szCs w:val="22"/>
          <w:lang w:bidi="ar-SA"/>
        </w:rPr>
        <w:t>.</w:t>
      </w:r>
      <w:r>
        <w:rPr>
          <w:rFonts w:ascii="AdvP405B6" w:hAnsi="AdvP405B6" w:cs="AdvP405B6"/>
          <w:sz w:val="22"/>
          <w:szCs w:val="22"/>
          <w:lang w:bidi="ar-SA"/>
        </w:rPr>
        <w:t xml:space="preserve"> </w:t>
      </w:r>
      <w:r w:rsidR="000C3126" w:rsidRPr="00BF0E4F">
        <w:rPr>
          <w:rFonts w:cs="AdvP405B6"/>
          <w:sz w:val="22"/>
          <w:szCs w:val="22"/>
          <w:lang w:bidi="ar-SA"/>
        </w:rPr>
        <w:t>As previously stated, logistics activities are often subject to</w:t>
      </w:r>
      <w:r w:rsidR="00BF0E4F" w:rsidRPr="00BF0E4F">
        <w:rPr>
          <w:rFonts w:cs="AdvP405B6"/>
          <w:sz w:val="22"/>
          <w:szCs w:val="22"/>
          <w:lang w:bidi="ar-SA"/>
        </w:rPr>
        <w:t xml:space="preserve"> </w:t>
      </w:r>
      <w:r w:rsidR="00BF0E4F">
        <w:rPr>
          <w:rFonts w:cs="AdvP405B6"/>
          <w:sz w:val="22"/>
          <w:szCs w:val="22"/>
          <w:lang w:bidi="ar-SA"/>
        </w:rPr>
        <w:t>‘</w:t>
      </w:r>
      <w:r w:rsidR="00BF0E4F" w:rsidRPr="00BF0E4F">
        <w:rPr>
          <w:rFonts w:cs="AdvP405B6"/>
          <w:sz w:val="22"/>
          <w:szCs w:val="22"/>
          <w:lang w:bidi="ar-SA"/>
        </w:rPr>
        <w:t>outsourc</w:t>
      </w:r>
      <w:r w:rsidR="00BF0E4F">
        <w:rPr>
          <w:rFonts w:cs="AdvP405B6"/>
          <w:sz w:val="22"/>
          <w:szCs w:val="22"/>
          <w:lang w:bidi="ar-SA"/>
        </w:rPr>
        <w:t>e</w:t>
      </w:r>
      <w:r w:rsidR="00BF0E4F" w:rsidRPr="00BF0E4F">
        <w:rPr>
          <w:rFonts w:cs="AdvP405B6"/>
          <w:sz w:val="22"/>
          <w:szCs w:val="22"/>
          <w:lang w:bidi="ar-SA"/>
        </w:rPr>
        <w:t xml:space="preserve"> or in-house</w:t>
      </w:r>
      <w:r w:rsidR="00BF0E4F">
        <w:rPr>
          <w:rFonts w:cs="AdvP405B6"/>
          <w:sz w:val="22"/>
          <w:szCs w:val="22"/>
          <w:lang w:bidi="ar-SA"/>
        </w:rPr>
        <w:t>’</w:t>
      </w:r>
      <w:r w:rsidR="000C3126" w:rsidRPr="00BF0E4F">
        <w:rPr>
          <w:rFonts w:cs="AdvP405B6"/>
          <w:sz w:val="22"/>
          <w:szCs w:val="22"/>
          <w:lang w:bidi="ar-SA"/>
        </w:rPr>
        <w:t xml:space="preserve"> decisions.</w:t>
      </w:r>
      <w:r w:rsidR="00B90A58">
        <w:rPr>
          <w:rFonts w:cs="AdvP405B6"/>
          <w:sz w:val="22"/>
          <w:szCs w:val="22"/>
          <w:lang w:bidi="ar-SA"/>
        </w:rPr>
        <w:t xml:space="preserve"> In 2000, the most important reason for outsourcing logistics was cost reduction, </w:t>
      </w:r>
      <w:r w:rsidR="00FD63B8">
        <w:rPr>
          <w:rFonts w:cs="AdvP405B6"/>
          <w:sz w:val="22"/>
          <w:szCs w:val="22"/>
          <w:lang w:bidi="ar-SA"/>
        </w:rPr>
        <w:t xml:space="preserve">at a distance </w:t>
      </w:r>
      <w:r w:rsidR="00B90A58">
        <w:rPr>
          <w:rFonts w:cs="AdvP405B6"/>
          <w:sz w:val="22"/>
          <w:szCs w:val="22"/>
          <w:lang w:bidi="ar-SA"/>
        </w:rPr>
        <w:t>followed by service improvement</w:t>
      </w:r>
      <w:r w:rsidR="00FD63B8">
        <w:rPr>
          <w:rFonts w:cs="AdvP405B6"/>
          <w:sz w:val="22"/>
          <w:szCs w:val="22"/>
          <w:lang w:bidi="ar-SA"/>
        </w:rPr>
        <w:t xml:space="preserve"> (van Laarhoven et al., 2000).</w:t>
      </w:r>
      <w:r w:rsidR="000C3126" w:rsidRPr="00BF0E4F">
        <w:rPr>
          <w:rFonts w:cs="AdvP405B6"/>
          <w:sz w:val="22"/>
          <w:szCs w:val="22"/>
          <w:lang w:bidi="ar-SA"/>
        </w:rPr>
        <w:t xml:space="preserve"> </w:t>
      </w:r>
      <w:r w:rsidR="003E69FA" w:rsidRPr="00BF0E4F">
        <w:rPr>
          <w:rFonts w:cs="AdvP405B6"/>
          <w:sz w:val="22"/>
          <w:szCs w:val="22"/>
          <w:lang w:bidi="ar-SA"/>
        </w:rPr>
        <w:t>But t</w:t>
      </w:r>
      <w:r w:rsidR="003E69FA">
        <w:rPr>
          <w:rFonts w:cs="AdvP405B6"/>
          <w:sz w:val="22"/>
          <w:szCs w:val="22"/>
          <w:lang w:bidi="ar-SA"/>
        </w:rPr>
        <w:t xml:space="preserve">his situation is maybe changing; </w:t>
      </w:r>
      <w:r w:rsidR="003E69FA" w:rsidRPr="00BF0E4F">
        <w:rPr>
          <w:rFonts w:cs="AdvP405B6"/>
          <w:sz w:val="22"/>
          <w:szCs w:val="22"/>
          <w:lang w:bidi="ar-SA"/>
        </w:rPr>
        <w:t xml:space="preserve">logistics is </w:t>
      </w:r>
      <w:r w:rsidR="003E69FA">
        <w:rPr>
          <w:rFonts w:cs="AdvP405B6"/>
          <w:sz w:val="22"/>
          <w:szCs w:val="22"/>
          <w:lang w:bidi="ar-SA"/>
        </w:rPr>
        <w:t>increasingly seen</w:t>
      </w:r>
      <w:r w:rsidR="003E69FA" w:rsidRPr="00BF0E4F">
        <w:rPr>
          <w:rFonts w:cs="AdvP405B6"/>
          <w:sz w:val="22"/>
          <w:szCs w:val="22"/>
          <w:lang w:bidi="ar-SA"/>
        </w:rPr>
        <w:t xml:space="preserve"> as a factor influencing a firm’s competitive position. </w:t>
      </w:r>
      <w:r w:rsidR="000C3126" w:rsidRPr="00BF0E4F">
        <w:rPr>
          <w:rFonts w:cs="AdvP405B6"/>
          <w:sz w:val="22"/>
          <w:szCs w:val="22"/>
          <w:lang w:bidi="ar-SA"/>
        </w:rPr>
        <w:t>The focus is shifting from simple make-or-buy decisions</w:t>
      </w:r>
      <w:r w:rsidR="00BF0E4F" w:rsidRPr="00BF0E4F">
        <w:rPr>
          <w:rFonts w:cs="AdvP405B6"/>
          <w:sz w:val="22"/>
          <w:szCs w:val="22"/>
          <w:lang w:bidi="ar-SA"/>
        </w:rPr>
        <w:t>, motivated by the opportunity for cost reduction,</w:t>
      </w:r>
      <w:r w:rsidR="000C3126" w:rsidRPr="00BF0E4F">
        <w:rPr>
          <w:rFonts w:cs="AdvP405B6"/>
          <w:sz w:val="22"/>
          <w:szCs w:val="22"/>
          <w:lang w:bidi="ar-SA"/>
        </w:rPr>
        <w:t xml:space="preserve"> to more strategic considerations</w:t>
      </w:r>
      <w:r w:rsidR="00BF0E4F" w:rsidRPr="00BF0E4F">
        <w:rPr>
          <w:rFonts w:cs="AdvP405B6"/>
          <w:sz w:val="22"/>
          <w:szCs w:val="22"/>
          <w:lang w:bidi="ar-SA"/>
        </w:rPr>
        <w:t xml:space="preserve"> such as service improvements and efficient transactions</w:t>
      </w:r>
      <w:sdt>
        <w:sdtPr>
          <w:rPr>
            <w:rFonts w:cs="AdvP405B6"/>
            <w:sz w:val="22"/>
            <w:szCs w:val="22"/>
            <w:lang w:bidi="ar-SA"/>
          </w:rPr>
          <w:id w:val="33574629"/>
          <w:citation/>
        </w:sdtPr>
        <w:sdtContent>
          <w:r w:rsidR="00BD69D8">
            <w:rPr>
              <w:rFonts w:cs="AdvP405B6"/>
              <w:sz w:val="22"/>
              <w:szCs w:val="22"/>
              <w:lang w:bidi="ar-SA"/>
            </w:rPr>
            <w:fldChar w:fldCharType="begin"/>
          </w:r>
          <w:r w:rsidR="00634BFA">
            <w:rPr>
              <w:rFonts w:cs="AdvP405B6"/>
              <w:sz w:val="22"/>
              <w:szCs w:val="22"/>
              <w:lang w:bidi="ar-SA"/>
            </w:rPr>
            <w:instrText xml:space="preserve"> CITATION Skj00 \t  \l 1033  </w:instrText>
          </w:r>
          <w:r w:rsidR="00BD69D8">
            <w:rPr>
              <w:rFonts w:cs="AdvP405B6"/>
              <w:sz w:val="22"/>
              <w:szCs w:val="22"/>
              <w:lang w:bidi="ar-SA"/>
            </w:rPr>
            <w:fldChar w:fldCharType="separate"/>
          </w:r>
          <w:r w:rsidR="00F26771">
            <w:rPr>
              <w:rFonts w:cs="AdvP405B6"/>
              <w:noProof/>
              <w:sz w:val="22"/>
              <w:szCs w:val="22"/>
              <w:lang w:bidi="ar-SA"/>
            </w:rPr>
            <w:t xml:space="preserve"> </w:t>
          </w:r>
          <w:r w:rsidR="00F26771" w:rsidRPr="00F26771">
            <w:rPr>
              <w:rFonts w:cs="AdvP405B6"/>
              <w:noProof/>
              <w:sz w:val="22"/>
              <w:szCs w:val="22"/>
              <w:lang w:bidi="ar-SA"/>
            </w:rPr>
            <w:t>(Skjott-Larsen, 2000)</w:t>
          </w:r>
          <w:r w:rsidR="00BD69D8">
            <w:rPr>
              <w:rFonts w:cs="AdvP405B6"/>
              <w:sz w:val="22"/>
              <w:szCs w:val="22"/>
              <w:lang w:bidi="ar-SA"/>
            </w:rPr>
            <w:fldChar w:fldCharType="end"/>
          </w:r>
        </w:sdtContent>
      </w:sdt>
      <w:r w:rsidR="00BF0E4F">
        <w:rPr>
          <w:rFonts w:cs="AdvP405B6"/>
          <w:sz w:val="22"/>
          <w:szCs w:val="22"/>
          <w:lang w:bidi="ar-SA"/>
        </w:rPr>
        <w:t xml:space="preserve">.  </w:t>
      </w:r>
      <w:r w:rsidR="00BF0E4F" w:rsidRPr="00BF0E4F">
        <w:rPr>
          <w:rFonts w:cs="AdvP405B6"/>
          <w:sz w:val="22"/>
          <w:szCs w:val="22"/>
          <w:lang w:bidi="ar-SA"/>
        </w:rPr>
        <w:t>A</w:t>
      </w:r>
      <w:r w:rsidR="00BF0E4F">
        <w:rPr>
          <w:rFonts w:cs="AdvP405B6"/>
          <w:sz w:val="22"/>
          <w:szCs w:val="22"/>
          <w:lang w:bidi="ar-SA"/>
        </w:rPr>
        <w:t>ccording to Skjott-Larsen (2000) t</w:t>
      </w:r>
      <w:r w:rsidR="000C3126" w:rsidRPr="00BF0E4F">
        <w:rPr>
          <w:rFonts w:cs="AdvP405B6"/>
          <w:sz w:val="22"/>
          <w:szCs w:val="22"/>
          <w:lang w:bidi="ar-SA"/>
        </w:rPr>
        <w:t xml:space="preserve">he development </w:t>
      </w:r>
      <w:r w:rsidR="00BF0E4F" w:rsidRPr="00BF0E4F">
        <w:rPr>
          <w:rFonts w:cs="AdvP405B6"/>
          <w:sz w:val="22"/>
          <w:szCs w:val="22"/>
          <w:lang w:bidi="ar-SA"/>
        </w:rPr>
        <w:t>of third party logistics must be seen in this light.</w:t>
      </w:r>
      <w:r w:rsidR="00AF0097">
        <w:rPr>
          <w:rFonts w:cs="AdvP405B6"/>
          <w:sz w:val="22"/>
          <w:szCs w:val="22"/>
          <w:lang w:bidi="ar-SA"/>
        </w:rPr>
        <w:t xml:space="preserve"> </w:t>
      </w:r>
      <w:r w:rsidR="006A62E1">
        <w:rPr>
          <w:rFonts w:cs="AdvP405B6"/>
          <w:noProof/>
          <w:sz w:val="22"/>
          <w:szCs w:val="22"/>
          <w:lang w:bidi="ar-SA"/>
        </w:rPr>
        <w:t>Langley and Capgemini (2010) found out that 65% of the shippers surveyed were increasing their use of TPL services.</w:t>
      </w:r>
      <w:r w:rsidR="006A62E1">
        <w:rPr>
          <w:rFonts w:cs="AdvP405B6"/>
          <w:sz w:val="22"/>
          <w:szCs w:val="22"/>
          <w:lang w:bidi="ar-SA"/>
        </w:rPr>
        <w:t xml:space="preserve"> </w:t>
      </w:r>
      <w:r w:rsidR="00986506">
        <w:rPr>
          <w:rFonts w:cs="AdvP405B6"/>
          <w:sz w:val="22"/>
          <w:szCs w:val="22"/>
          <w:lang w:bidi="ar-SA"/>
        </w:rPr>
        <w:t xml:space="preserve">According to </w:t>
      </w:r>
      <w:r w:rsidR="00986506">
        <w:rPr>
          <w:rFonts w:cs="AdvP405B6"/>
          <w:noProof/>
          <w:sz w:val="22"/>
          <w:szCs w:val="22"/>
          <w:lang w:bidi="ar-SA"/>
        </w:rPr>
        <w:t>Rahman (</w:t>
      </w:r>
      <w:r w:rsidR="00986506" w:rsidRPr="00986506">
        <w:rPr>
          <w:rFonts w:cs="AdvP405B6"/>
          <w:noProof/>
          <w:sz w:val="22"/>
          <w:szCs w:val="22"/>
          <w:lang w:bidi="ar-SA"/>
        </w:rPr>
        <w:t>2011)</w:t>
      </w:r>
      <w:r w:rsidR="00986506">
        <w:rPr>
          <w:rFonts w:cs="AdvP405B6"/>
          <w:noProof/>
          <w:sz w:val="22"/>
          <w:szCs w:val="22"/>
          <w:lang w:bidi="ar-SA"/>
        </w:rPr>
        <w:t>, more Australian firms are</w:t>
      </w:r>
      <w:r>
        <w:rPr>
          <w:rFonts w:cs="AdvP405B6"/>
          <w:noProof/>
          <w:sz w:val="22"/>
          <w:szCs w:val="22"/>
          <w:lang w:bidi="ar-SA"/>
        </w:rPr>
        <w:t xml:space="preserve"> starting to use TPL services.</w:t>
      </w:r>
      <w:r w:rsidR="006A62E1">
        <w:rPr>
          <w:rFonts w:cs="AdvP405B6"/>
          <w:noProof/>
          <w:sz w:val="22"/>
          <w:szCs w:val="22"/>
          <w:lang w:bidi="ar-SA"/>
        </w:rPr>
        <w:t xml:space="preserve"> </w:t>
      </w:r>
      <w:r w:rsidR="00986506">
        <w:rPr>
          <w:rFonts w:cs="AdvP405B6"/>
          <w:noProof/>
          <w:sz w:val="22"/>
          <w:szCs w:val="22"/>
          <w:lang w:bidi="ar-SA"/>
        </w:rPr>
        <w:t>Besides that, the scope and depth of the relationships are increasing</w:t>
      </w:r>
      <w:r w:rsidR="00C2114F">
        <w:rPr>
          <w:rFonts w:cs="AdvP405B6"/>
          <w:noProof/>
          <w:sz w:val="22"/>
          <w:szCs w:val="22"/>
          <w:lang w:bidi="ar-SA"/>
        </w:rPr>
        <w:t>.</w:t>
      </w:r>
      <w:r w:rsidR="006A62E1">
        <w:rPr>
          <w:rFonts w:cs="AdvP405B6"/>
          <w:noProof/>
          <w:sz w:val="22"/>
          <w:szCs w:val="22"/>
          <w:lang w:bidi="ar-SA"/>
        </w:rPr>
        <w:t xml:space="preserve"> Rahman (2011) states that</w:t>
      </w:r>
      <w:r w:rsidR="00C2114F">
        <w:rPr>
          <w:rFonts w:cs="AdvP405B6"/>
          <w:noProof/>
          <w:sz w:val="22"/>
          <w:szCs w:val="22"/>
          <w:lang w:bidi="ar-SA"/>
        </w:rPr>
        <w:t xml:space="preserve"> </w:t>
      </w:r>
      <w:r w:rsidR="006A62E1">
        <w:rPr>
          <w:rFonts w:cs="AdvP405B6"/>
          <w:noProof/>
          <w:sz w:val="22"/>
          <w:szCs w:val="22"/>
          <w:lang w:bidi="ar-SA"/>
        </w:rPr>
        <w:t>t</w:t>
      </w:r>
      <w:r w:rsidR="00C2114F">
        <w:rPr>
          <w:rFonts w:cs="AdvP405B6"/>
          <w:noProof/>
          <w:sz w:val="22"/>
          <w:szCs w:val="22"/>
          <w:lang w:bidi="ar-SA"/>
        </w:rPr>
        <w:t>he</w:t>
      </w:r>
      <w:r w:rsidR="00986506">
        <w:rPr>
          <w:rFonts w:cs="AdvP405B6"/>
          <w:noProof/>
          <w:sz w:val="22"/>
          <w:szCs w:val="22"/>
          <w:lang w:bidi="ar-SA"/>
        </w:rPr>
        <w:t xml:space="preserve"> ‘’</w:t>
      </w:r>
      <w:r w:rsidR="00986506">
        <w:rPr>
          <w:rFonts w:cs="Times-Italic"/>
          <w:i/>
          <w:iCs/>
          <w:sz w:val="22"/>
          <w:szCs w:val="22"/>
          <w:lang w:bidi="ar-SA"/>
        </w:rPr>
        <w:t>d</w:t>
      </w:r>
      <w:r w:rsidR="00986506" w:rsidRPr="00986506">
        <w:rPr>
          <w:rFonts w:cs="Times-Italic"/>
          <w:i/>
          <w:iCs/>
          <w:sz w:val="22"/>
          <w:szCs w:val="22"/>
          <w:lang w:bidi="ar-SA"/>
        </w:rPr>
        <w:t>ecisions to use outsourced logistics functions are becoming the realm of the</w:t>
      </w:r>
      <w:r w:rsidR="00986506">
        <w:rPr>
          <w:rFonts w:cs="AdvP405B6"/>
          <w:sz w:val="22"/>
          <w:szCs w:val="22"/>
          <w:lang w:bidi="ar-SA"/>
        </w:rPr>
        <w:t xml:space="preserve"> </w:t>
      </w:r>
      <w:r w:rsidR="00986506" w:rsidRPr="00986506">
        <w:rPr>
          <w:rFonts w:cs="Times-Italic"/>
          <w:i/>
          <w:iCs/>
          <w:sz w:val="22"/>
          <w:szCs w:val="22"/>
          <w:lang w:bidi="ar-SA"/>
        </w:rPr>
        <w:t>corporate decision making, rather than the divisional or local l</w:t>
      </w:r>
      <w:r w:rsidR="00986506">
        <w:rPr>
          <w:rFonts w:cs="Times-Italic"/>
          <w:i/>
          <w:iCs/>
          <w:sz w:val="22"/>
          <w:szCs w:val="22"/>
          <w:lang w:bidi="ar-SA"/>
        </w:rPr>
        <w:t>evel</w:t>
      </w:r>
      <w:r w:rsidR="00D50142">
        <w:rPr>
          <w:rFonts w:cs="Times-Italic"/>
          <w:i/>
          <w:iCs/>
          <w:sz w:val="22"/>
          <w:szCs w:val="22"/>
          <w:lang w:bidi="ar-SA"/>
        </w:rPr>
        <w:t>.</w:t>
      </w:r>
      <w:r w:rsidR="00986506">
        <w:rPr>
          <w:rFonts w:cs="Times-Italic"/>
          <w:i/>
          <w:iCs/>
          <w:sz w:val="22"/>
          <w:szCs w:val="22"/>
          <w:lang w:bidi="ar-SA"/>
        </w:rPr>
        <w:t>’’</w:t>
      </w:r>
      <w:r w:rsidR="006A62E1">
        <w:rPr>
          <w:rFonts w:cs="Times-Italic"/>
          <w:i/>
          <w:iCs/>
          <w:sz w:val="22"/>
          <w:szCs w:val="22"/>
          <w:lang w:bidi="ar-SA"/>
        </w:rPr>
        <w:t xml:space="preserve"> </w:t>
      </w:r>
      <w:r w:rsidR="006A62E1">
        <w:rPr>
          <w:rFonts w:cs="Times-Italic"/>
          <w:iCs/>
          <w:sz w:val="22"/>
          <w:szCs w:val="22"/>
          <w:lang w:bidi="ar-SA"/>
        </w:rPr>
        <w:t>(</w:t>
      </w:r>
      <w:r w:rsidR="00C2114F">
        <w:rPr>
          <w:rFonts w:cs="Times-Italic"/>
          <w:iCs/>
          <w:sz w:val="22"/>
          <w:szCs w:val="22"/>
          <w:lang w:bidi="ar-SA"/>
        </w:rPr>
        <w:t xml:space="preserve">p. </w:t>
      </w:r>
      <w:r w:rsidR="00986506" w:rsidRPr="00986506">
        <w:rPr>
          <w:rFonts w:cs="Times-Italic"/>
          <w:iCs/>
          <w:sz w:val="22"/>
          <w:szCs w:val="22"/>
          <w:lang w:bidi="ar-SA"/>
        </w:rPr>
        <w:t>18)</w:t>
      </w:r>
      <w:r w:rsidR="00D50142">
        <w:rPr>
          <w:rFonts w:cs="Times-Italic"/>
          <w:iCs/>
          <w:sz w:val="22"/>
          <w:szCs w:val="22"/>
          <w:lang w:bidi="ar-SA"/>
        </w:rPr>
        <w:t>.</w:t>
      </w:r>
      <w:r>
        <w:rPr>
          <w:rFonts w:cs="Times-Italic"/>
          <w:iCs/>
          <w:sz w:val="22"/>
          <w:szCs w:val="22"/>
          <w:lang w:bidi="ar-SA"/>
        </w:rPr>
        <w:t xml:space="preserve"> </w:t>
      </w:r>
      <w:r w:rsidR="006A62E1">
        <w:rPr>
          <w:rFonts w:cs="Times-Italic"/>
          <w:iCs/>
          <w:sz w:val="22"/>
          <w:szCs w:val="22"/>
          <w:lang w:bidi="ar-SA"/>
        </w:rPr>
        <w:t xml:space="preserve"> </w:t>
      </w:r>
      <w:r>
        <w:rPr>
          <w:rFonts w:cs="Times-Italic"/>
          <w:iCs/>
          <w:sz w:val="22"/>
          <w:szCs w:val="22"/>
          <w:lang w:bidi="ar-SA"/>
        </w:rPr>
        <w:t xml:space="preserve">As evidence for the increasing scope of TPL relationships, van Laarhoven et al. (2000) found </w:t>
      </w:r>
      <w:r w:rsidRPr="006B524F">
        <w:rPr>
          <w:rFonts w:cs="AdvP405B6"/>
          <w:sz w:val="22"/>
          <w:szCs w:val="22"/>
          <w:lang w:bidi="ar-SA"/>
        </w:rPr>
        <w:t>that the number of activities included in a partnership gradually increases as the partnership progresses over time.</w:t>
      </w:r>
      <w:r w:rsidR="008C6F3C">
        <w:rPr>
          <w:rFonts w:cs="AdvP405B6"/>
          <w:sz w:val="22"/>
          <w:szCs w:val="22"/>
          <w:lang w:bidi="ar-SA"/>
        </w:rPr>
        <w:t xml:space="preserve">  </w:t>
      </w:r>
      <w:r w:rsidR="008C6F3C" w:rsidRPr="008C6F3C">
        <w:rPr>
          <w:rFonts w:eastAsia="Times New Roman" w:cs="Arial"/>
          <w:color w:val="000000"/>
          <w:sz w:val="22"/>
          <w:szCs w:val="22"/>
          <w:lang w:eastAsia="nl-NL" w:bidi="ar-SA"/>
        </w:rPr>
        <w:t>That there is no agreement on this point is clarified by</w:t>
      </w:r>
      <w:r w:rsidR="008C6F3C">
        <w:rPr>
          <w:rFonts w:eastAsia="Times New Roman" w:cs="Arial"/>
          <w:color w:val="000000"/>
          <w:sz w:val="22"/>
          <w:szCs w:val="22"/>
          <w:lang w:eastAsia="nl-NL" w:bidi="ar-SA"/>
        </w:rPr>
        <w:t xml:space="preserve"> the 2010 15</w:t>
      </w:r>
      <w:r w:rsidR="008C6F3C" w:rsidRPr="008C6F3C">
        <w:rPr>
          <w:rFonts w:eastAsia="Times New Roman" w:cs="Arial"/>
          <w:color w:val="000000"/>
          <w:sz w:val="22"/>
          <w:szCs w:val="22"/>
          <w:vertAlign w:val="superscript"/>
          <w:lang w:eastAsia="nl-NL" w:bidi="ar-SA"/>
        </w:rPr>
        <w:t>th</w:t>
      </w:r>
      <w:r w:rsidR="008C6F3C">
        <w:rPr>
          <w:rFonts w:eastAsia="Times New Roman" w:cs="Arial"/>
          <w:color w:val="000000"/>
          <w:sz w:val="22"/>
          <w:szCs w:val="22"/>
          <w:lang w:eastAsia="nl-NL" w:bidi="ar-SA"/>
        </w:rPr>
        <w:t xml:space="preserve"> annual third-party logistics study by Langley &amp; Capgemini (2010). According to this study </w:t>
      </w:r>
      <w:r w:rsidR="008C6F3C">
        <w:rPr>
          <w:rFonts w:cs="NewBaskervilleStd-Roman"/>
          <w:i/>
          <w:sz w:val="22"/>
          <w:szCs w:val="22"/>
          <w:lang w:bidi="ar-SA"/>
        </w:rPr>
        <w:t>‘’s</w:t>
      </w:r>
      <w:r w:rsidR="008C6F3C" w:rsidRPr="008C6F3C">
        <w:rPr>
          <w:rFonts w:cs="NewBaskervilleStd-Roman"/>
          <w:i/>
          <w:sz w:val="22"/>
          <w:szCs w:val="22"/>
          <w:lang w:bidi="ar-SA"/>
        </w:rPr>
        <w:t>hippers continue their tendency to outsource transactional, operational, and repetitive activities and less so those that are strategic, customer-facing, and IT-</w:t>
      </w:r>
      <w:r w:rsidR="002752F8" w:rsidRPr="008C6F3C">
        <w:rPr>
          <w:rFonts w:cs="NewBaskervilleStd-Roman"/>
          <w:i/>
          <w:sz w:val="22"/>
          <w:szCs w:val="22"/>
          <w:lang w:bidi="ar-SA"/>
        </w:rPr>
        <w:t>intensive</w:t>
      </w:r>
      <w:r w:rsidR="002752F8">
        <w:rPr>
          <w:rFonts w:cs="NewBaskervilleStd-Roman"/>
          <w:i/>
          <w:sz w:val="22"/>
          <w:szCs w:val="22"/>
          <w:lang w:bidi="ar-SA"/>
        </w:rPr>
        <w:t>’’</w:t>
      </w:r>
      <w:r w:rsidR="002752F8">
        <w:rPr>
          <w:rFonts w:cs="NewBaskervilleStd-Roman"/>
          <w:sz w:val="22"/>
          <w:szCs w:val="22"/>
          <w:lang w:bidi="ar-SA"/>
        </w:rPr>
        <w:t xml:space="preserve"> (</w:t>
      </w:r>
      <w:r w:rsidR="008C6F3C">
        <w:rPr>
          <w:rFonts w:cs="NewBaskervilleStd-Roman"/>
          <w:sz w:val="22"/>
          <w:szCs w:val="22"/>
          <w:lang w:bidi="ar-SA"/>
        </w:rPr>
        <w:t>p 4)</w:t>
      </w:r>
      <w:r w:rsidR="008C6F3C" w:rsidRPr="008C6F3C">
        <w:rPr>
          <w:rFonts w:cs="NewBaskervilleStd-Roman"/>
          <w:i/>
          <w:sz w:val="22"/>
          <w:szCs w:val="22"/>
          <w:lang w:bidi="ar-SA"/>
        </w:rPr>
        <w:t>.</w:t>
      </w:r>
      <w:r w:rsidR="008C6F3C">
        <w:rPr>
          <w:rFonts w:cs="NewBaskervilleStd-Roman"/>
          <w:i/>
          <w:sz w:val="22"/>
          <w:szCs w:val="22"/>
          <w:lang w:bidi="ar-SA"/>
        </w:rPr>
        <w:t xml:space="preserve"> </w:t>
      </w:r>
      <w:r w:rsidR="006A62E1">
        <w:rPr>
          <w:rFonts w:cs="Wingdings"/>
          <w:sz w:val="22"/>
          <w:szCs w:val="22"/>
          <w:lang w:bidi="ar-SA"/>
        </w:rPr>
        <w:t xml:space="preserve"> </w:t>
      </w:r>
    </w:p>
    <w:p w:rsidR="00695C7A" w:rsidRDefault="00077042" w:rsidP="00A90ED6">
      <w:pPr>
        <w:autoSpaceDE w:val="0"/>
        <w:autoSpaceDN w:val="0"/>
        <w:adjustRightInd w:val="0"/>
        <w:spacing w:before="0" w:line="360" w:lineRule="auto"/>
        <w:jc w:val="both"/>
        <w:rPr>
          <w:rFonts w:cs="Times New Roman"/>
          <w:sz w:val="22"/>
          <w:szCs w:val="22"/>
        </w:rPr>
      </w:pPr>
      <w:r>
        <w:rPr>
          <w:rFonts w:cs="Wingdings"/>
          <w:sz w:val="22"/>
          <w:szCs w:val="22"/>
          <w:lang w:bidi="ar-SA"/>
        </w:rPr>
        <w:t>In 1998, the most common contracts in Europe were three years in length and included specific review periods which could extend the contract period</w:t>
      </w:r>
      <w:sdt>
        <w:sdtPr>
          <w:rPr>
            <w:rFonts w:cs="Wingdings"/>
            <w:sz w:val="22"/>
            <w:szCs w:val="22"/>
            <w:lang w:bidi="ar-SA"/>
          </w:rPr>
          <w:id w:val="11576994"/>
          <w:citation/>
        </w:sdtPr>
        <w:sdtContent>
          <w:r w:rsidR="00BD69D8">
            <w:rPr>
              <w:rFonts w:cs="Wingdings"/>
              <w:sz w:val="22"/>
              <w:szCs w:val="22"/>
              <w:lang w:bidi="ar-SA"/>
            </w:rPr>
            <w:fldChar w:fldCharType="begin"/>
          </w:r>
          <w:r>
            <w:rPr>
              <w:rFonts w:cs="Wingdings"/>
              <w:sz w:val="22"/>
              <w:szCs w:val="22"/>
              <w:lang w:bidi="ar-SA"/>
            </w:rPr>
            <w:instrText xml:space="preserve"> CITATION Pet98 \l 1033 </w:instrText>
          </w:r>
          <w:r w:rsidR="00BD69D8">
            <w:rPr>
              <w:rFonts w:cs="Wingdings"/>
              <w:sz w:val="22"/>
              <w:szCs w:val="22"/>
              <w:lang w:bidi="ar-SA"/>
            </w:rPr>
            <w:fldChar w:fldCharType="separate"/>
          </w:r>
          <w:r w:rsidR="00F26771">
            <w:rPr>
              <w:rFonts w:cs="Wingdings"/>
              <w:noProof/>
              <w:sz w:val="22"/>
              <w:szCs w:val="22"/>
              <w:lang w:bidi="ar-SA"/>
            </w:rPr>
            <w:t xml:space="preserve"> </w:t>
          </w:r>
          <w:r w:rsidR="00F26771" w:rsidRPr="00F26771">
            <w:rPr>
              <w:rFonts w:cs="Wingdings"/>
              <w:noProof/>
              <w:sz w:val="22"/>
              <w:szCs w:val="22"/>
              <w:lang w:bidi="ar-SA"/>
            </w:rPr>
            <w:t>(Peters, Cooper, Lieb, &amp; Randall, 1998)</w:t>
          </w:r>
          <w:r w:rsidR="00BD69D8">
            <w:rPr>
              <w:rFonts w:cs="Wingdings"/>
              <w:sz w:val="22"/>
              <w:szCs w:val="22"/>
              <w:lang w:bidi="ar-SA"/>
            </w:rPr>
            <w:fldChar w:fldCharType="end"/>
          </w:r>
        </w:sdtContent>
      </w:sdt>
      <w:r>
        <w:rPr>
          <w:rFonts w:cs="Wingdings"/>
          <w:sz w:val="22"/>
          <w:szCs w:val="22"/>
          <w:lang w:bidi="ar-SA"/>
        </w:rPr>
        <w:t xml:space="preserve">. </w:t>
      </w:r>
      <w:r w:rsidR="00A74459">
        <w:rPr>
          <w:rFonts w:cs="Wingdings"/>
          <w:sz w:val="22"/>
          <w:szCs w:val="22"/>
          <w:lang w:bidi="ar-SA"/>
        </w:rPr>
        <w:t>Fifteen out of sixteen companies reported one-third of their contracts including performance based elements</w:t>
      </w:r>
      <w:sdt>
        <w:sdtPr>
          <w:rPr>
            <w:rFonts w:cs="Wingdings"/>
            <w:sz w:val="22"/>
            <w:szCs w:val="22"/>
            <w:lang w:bidi="ar-SA"/>
          </w:rPr>
          <w:id w:val="11580915"/>
          <w:citation/>
        </w:sdtPr>
        <w:sdtContent>
          <w:r w:rsidR="00BD69D8">
            <w:rPr>
              <w:rFonts w:cs="Wingdings"/>
              <w:sz w:val="22"/>
              <w:szCs w:val="22"/>
              <w:lang w:bidi="ar-SA"/>
            </w:rPr>
            <w:fldChar w:fldCharType="begin"/>
          </w:r>
          <w:r w:rsidR="00A74459">
            <w:rPr>
              <w:rFonts w:cs="Wingdings"/>
              <w:sz w:val="22"/>
              <w:szCs w:val="22"/>
              <w:lang w:bidi="ar-SA"/>
            </w:rPr>
            <w:instrText xml:space="preserve"> CITATION Lie10 \t  \l 1033  </w:instrText>
          </w:r>
          <w:r w:rsidR="00BD69D8">
            <w:rPr>
              <w:rFonts w:cs="Wingdings"/>
              <w:sz w:val="22"/>
              <w:szCs w:val="22"/>
              <w:lang w:bidi="ar-SA"/>
            </w:rPr>
            <w:fldChar w:fldCharType="separate"/>
          </w:r>
          <w:r w:rsidR="00F26771">
            <w:rPr>
              <w:rFonts w:cs="Wingdings"/>
              <w:noProof/>
              <w:sz w:val="22"/>
              <w:szCs w:val="22"/>
              <w:lang w:bidi="ar-SA"/>
            </w:rPr>
            <w:t xml:space="preserve"> </w:t>
          </w:r>
          <w:r w:rsidR="00F26771" w:rsidRPr="00F26771">
            <w:rPr>
              <w:rFonts w:cs="Wingdings"/>
              <w:noProof/>
              <w:sz w:val="22"/>
              <w:szCs w:val="22"/>
              <w:lang w:bidi="ar-SA"/>
            </w:rPr>
            <w:t>(Lieb &amp; Lieb, 2010)</w:t>
          </w:r>
          <w:r w:rsidR="00BD69D8">
            <w:rPr>
              <w:rFonts w:cs="Wingdings"/>
              <w:sz w:val="22"/>
              <w:szCs w:val="22"/>
              <w:lang w:bidi="ar-SA"/>
            </w:rPr>
            <w:fldChar w:fldCharType="end"/>
          </w:r>
        </w:sdtContent>
      </w:sdt>
      <w:r w:rsidR="00A74459">
        <w:rPr>
          <w:rFonts w:cs="Wingdings"/>
          <w:sz w:val="22"/>
          <w:szCs w:val="22"/>
          <w:lang w:bidi="ar-SA"/>
        </w:rPr>
        <w:t xml:space="preserve">. </w:t>
      </w:r>
      <w:r w:rsidR="00D50142">
        <w:rPr>
          <w:rFonts w:cs="Wingdings"/>
          <w:sz w:val="22"/>
          <w:szCs w:val="22"/>
          <w:lang w:bidi="ar-SA"/>
        </w:rPr>
        <w:t xml:space="preserve">Rahman (2011) reports an increasing trend towards using shorter contract, which is </w:t>
      </w:r>
      <w:r w:rsidR="004D568D">
        <w:rPr>
          <w:rFonts w:cs="Wingdings"/>
          <w:sz w:val="22"/>
          <w:szCs w:val="22"/>
          <w:lang w:bidi="ar-SA"/>
        </w:rPr>
        <w:t xml:space="preserve">supported by  surveys in </w:t>
      </w:r>
      <w:r w:rsidR="00AF0097">
        <w:rPr>
          <w:rFonts w:cs="Wingdings"/>
          <w:sz w:val="22"/>
          <w:szCs w:val="22"/>
          <w:lang w:bidi="ar-SA"/>
        </w:rPr>
        <w:t>Australia</w:t>
      </w:r>
      <w:sdt>
        <w:sdtPr>
          <w:rPr>
            <w:rFonts w:cs="Wingdings"/>
            <w:sz w:val="22"/>
            <w:szCs w:val="22"/>
            <w:lang w:bidi="ar-SA"/>
          </w:rPr>
          <w:id w:val="11576991"/>
          <w:citation/>
        </w:sdtPr>
        <w:sdtContent>
          <w:r w:rsidR="00BD69D8">
            <w:rPr>
              <w:rFonts w:cs="Wingdings"/>
              <w:sz w:val="22"/>
              <w:szCs w:val="22"/>
              <w:lang w:bidi="ar-SA"/>
            </w:rPr>
            <w:fldChar w:fldCharType="begin"/>
          </w:r>
          <w:r w:rsidR="00AF0097">
            <w:rPr>
              <w:rFonts w:cs="Wingdings"/>
              <w:sz w:val="22"/>
              <w:szCs w:val="22"/>
              <w:lang w:bidi="ar-SA"/>
            </w:rPr>
            <w:instrText xml:space="preserve"> CITATION Soh02 \l 1033 </w:instrText>
          </w:r>
          <w:r w:rsidR="00BD69D8">
            <w:rPr>
              <w:rFonts w:cs="Wingdings"/>
              <w:sz w:val="22"/>
              <w:szCs w:val="22"/>
              <w:lang w:bidi="ar-SA"/>
            </w:rPr>
            <w:fldChar w:fldCharType="separate"/>
          </w:r>
          <w:r w:rsidR="00F26771">
            <w:rPr>
              <w:rFonts w:cs="Wingdings"/>
              <w:noProof/>
              <w:sz w:val="22"/>
              <w:szCs w:val="22"/>
              <w:lang w:bidi="ar-SA"/>
            </w:rPr>
            <w:t xml:space="preserve"> </w:t>
          </w:r>
          <w:r w:rsidR="00F26771" w:rsidRPr="00F26771">
            <w:rPr>
              <w:rFonts w:cs="Wingdings"/>
              <w:noProof/>
              <w:sz w:val="22"/>
              <w:szCs w:val="22"/>
              <w:lang w:bidi="ar-SA"/>
            </w:rPr>
            <w:t>(Sohal, Millen, &amp; Moss, 2002)</w:t>
          </w:r>
          <w:r w:rsidR="00BD69D8">
            <w:rPr>
              <w:rFonts w:cs="Wingdings"/>
              <w:sz w:val="22"/>
              <w:szCs w:val="22"/>
              <w:lang w:bidi="ar-SA"/>
            </w:rPr>
            <w:fldChar w:fldCharType="end"/>
          </w:r>
        </w:sdtContent>
      </w:sdt>
      <w:r w:rsidR="00AF0097">
        <w:rPr>
          <w:rFonts w:cs="Wingdings"/>
          <w:sz w:val="22"/>
          <w:szCs w:val="22"/>
          <w:lang w:bidi="ar-SA"/>
        </w:rPr>
        <w:t xml:space="preserve"> and the US, </w:t>
      </w:r>
      <w:r w:rsidR="004D568D">
        <w:rPr>
          <w:rFonts w:cs="Wingdings"/>
          <w:sz w:val="22"/>
          <w:szCs w:val="22"/>
          <w:lang w:bidi="ar-SA"/>
        </w:rPr>
        <w:t xml:space="preserve">which link this phenomena to the economic volatility of global markets </w:t>
      </w:r>
      <w:sdt>
        <w:sdtPr>
          <w:rPr>
            <w:rFonts w:cs="Wingdings"/>
            <w:sz w:val="22"/>
            <w:szCs w:val="22"/>
            <w:lang w:bidi="ar-SA"/>
          </w:rPr>
          <w:id w:val="11576990"/>
          <w:citation/>
        </w:sdtPr>
        <w:sdtContent>
          <w:r w:rsidR="00BD69D8">
            <w:rPr>
              <w:rFonts w:cs="Wingdings"/>
              <w:sz w:val="22"/>
              <w:szCs w:val="22"/>
              <w:lang w:bidi="ar-SA"/>
            </w:rPr>
            <w:fldChar w:fldCharType="begin"/>
          </w:r>
          <w:r w:rsidR="004D568D">
            <w:rPr>
              <w:rFonts w:cs="Wingdings"/>
              <w:sz w:val="22"/>
              <w:szCs w:val="22"/>
              <w:lang w:bidi="ar-SA"/>
            </w:rPr>
            <w:instrText xml:space="preserve"> CITATION Lan09 \l 1033  </w:instrText>
          </w:r>
          <w:r w:rsidR="00BD69D8">
            <w:rPr>
              <w:rFonts w:cs="Wingdings"/>
              <w:sz w:val="22"/>
              <w:szCs w:val="22"/>
              <w:lang w:bidi="ar-SA"/>
            </w:rPr>
            <w:fldChar w:fldCharType="separate"/>
          </w:r>
          <w:r w:rsidR="00F26771" w:rsidRPr="00F26771">
            <w:rPr>
              <w:rFonts w:cs="Wingdings"/>
              <w:noProof/>
              <w:sz w:val="22"/>
              <w:szCs w:val="22"/>
              <w:lang w:bidi="ar-SA"/>
            </w:rPr>
            <w:t>(Langley &amp; Capgemini, 2009)</w:t>
          </w:r>
          <w:r w:rsidR="00BD69D8">
            <w:rPr>
              <w:rFonts w:cs="Wingdings"/>
              <w:sz w:val="22"/>
              <w:szCs w:val="22"/>
              <w:lang w:bidi="ar-SA"/>
            </w:rPr>
            <w:fldChar w:fldCharType="end"/>
          </w:r>
        </w:sdtContent>
      </w:sdt>
      <w:r w:rsidR="00AF0097">
        <w:rPr>
          <w:rFonts w:cs="Wingdings"/>
          <w:sz w:val="22"/>
          <w:szCs w:val="22"/>
          <w:lang w:bidi="ar-SA"/>
        </w:rPr>
        <w:t>.</w:t>
      </w:r>
      <w:r w:rsidR="006B524F">
        <w:rPr>
          <w:rFonts w:cs="Wingdings"/>
          <w:sz w:val="22"/>
          <w:szCs w:val="22"/>
          <w:lang w:bidi="ar-SA"/>
        </w:rPr>
        <w:t xml:space="preserve"> </w:t>
      </w:r>
      <w:r w:rsidR="00AF0097">
        <w:rPr>
          <w:rFonts w:cs="Wingdings"/>
          <w:sz w:val="22"/>
          <w:szCs w:val="22"/>
          <w:lang w:bidi="ar-SA"/>
        </w:rPr>
        <w:t xml:space="preserve">About 75% of the surveyed companies </w:t>
      </w:r>
      <w:r w:rsidR="003E69FA">
        <w:rPr>
          <w:rFonts w:cs="Wingdings"/>
          <w:sz w:val="22"/>
          <w:szCs w:val="22"/>
          <w:lang w:bidi="ar-SA"/>
        </w:rPr>
        <w:t>use</w:t>
      </w:r>
      <w:r w:rsidR="00AF0097">
        <w:rPr>
          <w:rFonts w:cs="Wingdings"/>
          <w:sz w:val="22"/>
          <w:szCs w:val="22"/>
          <w:lang w:bidi="ar-SA"/>
        </w:rPr>
        <w:t xml:space="preserve"> more than one TPL provider. Explanations for this fact might be that buyers like the possibility </w:t>
      </w:r>
      <w:r w:rsidR="003F4CA1">
        <w:rPr>
          <w:rFonts w:cs="Wingdings"/>
          <w:sz w:val="22"/>
          <w:szCs w:val="22"/>
          <w:lang w:bidi="ar-SA"/>
        </w:rPr>
        <w:t xml:space="preserve">of </w:t>
      </w:r>
      <w:r w:rsidR="00AF0097">
        <w:rPr>
          <w:rFonts w:cs="Wingdings"/>
          <w:sz w:val="22"/>
          <w:szCs w:val="22"/>
          <w:lang w:bidi="ar-SA"/>
        </w:rPr>
        <w:t>a safety net or</w:t>
      </w:r>
      <w:r w:rsidR="00307535">
        <w:rPr>
          <w:rFonts w:cs="Wingdings"/>
          <w:sz w:val="22"/>
          <w:szCs w:val="22"/>
          <w:lang w:bidi="ar-SA"/>
        </w:rPr>
        <w:t xml:space="preserve"> the possibility</w:t>
      </w:r>
      <w:r w:rsidR="00AF0097">
        <w:rPr>
          <w:rFonts w:cs="Wingdings"/>
          <w:sz w:val="22"/>
          <w:szCs w:val="22"/>
          <w:lang w:bidi="ar-SA"/>
        </w:rPr>
        <w:t xml:space="preserve"> that most TPL providers used only provide some specialized services</w:t>
      </w:r>
      <w:r w:rsidR="00CB4C0A">
        <w:rPr>
          <w:rFonts w:cs="Wingdings"/>
          <w:sz w:val="22"/>
          <w:szCs w:val="22"/>
          <w:lang w:bidi="ar-SA"/>
        </w:rPr>
        <w:t xml:space="preserve"> like </w:t>
      </w:r>
      <w:r w:rsidR="00AF0097">
        <w:rPr>
          <w:rFonts w:cs="Wingdings"/>
          <w:sz w:val="22"/>
          <w:szCs w:val="22"/>
          <w:lang w:bidi="ar-SA"/>
        </w:rPr>
        <w:t>warehousing,</w:t>
      </w:r>
      <w:r w:rsidR="00CB4C0A">
        <w:rPr>
          <w:rFonts w:cs="Wingdings"/>
          <w:sz w:val="22"/>
          <w:szCs w:val="22"/>
          <w:lang w:bidi="ar-SA"/>
        </w:rPr>
        <w:t xml:space="preserve"> or </w:t>
      </w:r>
      <w:r w:rsidR="00AF0097">
        <w:rPr>
          <w:rFonts w:cs="Wingdings"/>
          <w:sz w:val="22"/>
          <w:szCs w:val="22"/>
          <w:lang w:bidi="ar-SA"/>
        </w:rPr>
        <w:t>value added logistics etc.</w:t>
      </w:r>
      <w:r w:rsidR="00307535">
        <w:rPr>
          <w:rFonts w:cs="Wingdings"/>
          <w:sz w:val="22"/>
          <w:szCs w:val="22"/>
          <w:lang w:bidi="ar-SA"/>
        </w:rPr>
        <w:t xml:space="preserve"> instead of the whole range of TPL services</w:t>
      </w:r>
      <w:sdt>
        <w:sdtPr>
          <w:rPr>
            <w:rFonts w:cs="Wingdings"/>
            <w:sz w:val="22"/>
            <w:szCs w:val="22"/>
            <w:lang w:bidi="ar-SA"/>
          </w:rPr>
          <w:id w:val="11576992"/>
          <w:citation/>
        </w:sdtPr>
        <w:sdtContent>
          <w:r w:rsidR="00BD69D8">
            <w:rPr>
              <w:rFonts w:cs="Wingdings"/>
              <w:sz w:val="22"/>
              <w:szCs w:val="22"/>
              <w:lang w:bidi="ar-SA"/>
            </w:rPr>
            <w:fldChar w:fldCharType="begin"/>
          </w:r>
          <w:r w:rsidR="00CB4C0A">
            <w:rPr>
              <w:rFonts w:cs="Wingdings"/>
              <w:sz w:val="22"/>
              <w:szCs w:val="22"/>
              <w:lang w:bidi="ar-SA"/>
            </w:rPr>
            <w:instrText xml:space="preserve"> CITATION Rah11 \l 1033 </w:instrText>
          </w:r>
          <w:r w:rsidR="00BD69D8">
            <w:rPr>
              <w:rFonts w:cs="Wingdings"/>
              <w:sz w:val="22"/>
              <w:szCs w:val="22"/>
              <w:lang w:bidi="ar-SA"/>
            </w:rPr>
            <w:fldChar w:fldCharType="separate"/>
          </w:r>
          <w:r w:rsidR="00F26771">
            <w:rPr>
              <w:rFonts w:cs="Wingdings"/>
              <w:noProof/>
              <w:sz w:val="22"/>
              <w:szCs w:val="22"/>
              <w:lang w:bidi="ar-SA"/>
            </w:rPr>
            <w:t xml:space="preserve"> </w:t>
          </w:r>
          <w:r w:rsidR="00F26771" w:rsidRPr="00F26771">
            <w:rPr>
              <w:rFonts w:cs="Wingdings"/>
              <w:noProof/>
              <w:sz w:val="22"/>
              <w:szCs w:val="22"/>
              <w:lang w:bidi="ar-SA"/>
            </w:rPr>
            <w:t>(Rahman, 2011)</w:t>
          </w:r>
          <w:r w:rsidR="00BD69D8">
            <w:rPr>
              <w:rFonts w:cs="Wingdings"/>
              <w:sz w:val="22"/>
              <w:szCs w:val="22"/>
              <w:lang w:bidi="ar-SA"/>
            </w:rPr>
            <w:fldChar w:fldCharType="end"/>
          </w:r>
        </w:sdtContent>
      </w:sdt>
      <w:r w:rsidR="00CB4C0A">
        <w:rPr>
          <w:rFonts w:cs="Wingdings"/>
          <w:sz w:val="22"/>
          <w:szCs w:val="22"/>
          <w:lang w:bidi="ar-SA"/>
        </w:rPr>
        <w:t>.</w:t>
      </w:r>
      <w:r w:rsidR="00E00276">
        <w:rPr>
          <w:rFonts w:cs="Wingdings"/>
          <w:sz w:val="22"/>
          <w:szCs w:val="22"/>
          <w:lang w:bidi="ar-SA"/>
        </w:rPr>
        <w:t xml:space="preserve"> According to Bowersox et al. (1989), entering closer and more efficient relationships has led to the reduction of the number of TPL providers used by shippers. </w:t>
      </w:r>
      <w:r w:rsidR="00C2114F">
        <w:rPr>
          <w:rFonts w:cs="Wingdings"/>
          <w:sz w:val="22"/>
          <w:szCs w:val="22"/>
          <w:lang w:bidi="ar-SA"/>
        </w:rPr>
        <w:t xml:space="preserve"> 46% </w:t>
      </w:r>
      <w:r w:rsidR="00C2114F">
        <w:rPr>
          <w:rFonts w:cs="Wingdings"/>
          <w:sz w:val="22"/>
          <w:szCs w:val="22"/>
          <w:lang w:bidi="ar-SA"/>
        </w:rPr>
        <w:lastRenderedPageBreak/>
        <w:t xml:space="preserve">of all shippers surveyed in 2010 </w:t>
      </w:r>
      <w:r w:rsidR="000A1922">
        <w:rPr>
          <w:rFonts w:cs="Wingdings"/>
          <w:sz w:val="22"/>
          <w:szCs w:val="22"/>
          <w:lang w:bidi="ar-SA"/>
        </w:rPr>
        <w:t>were</w:t>
      </w:r>
      <w:r w:rsidR="00C2114F">
        <w:rPr>
          <w:rFonts w:cs="Wingdings"/>
          <w:sz w:val="22"/>
          <w:szCs w:val="22"/>
          <w:lang w:bidi="ar-SA"/>
        </w:rPr>
        <w:t xml:space="preserve"> consolidating or reducing the number of TPL providers they use</w:t>
      </w:r>
      <w:sdt>
        <w:sdtPr>
          <w:rPr>
            <w:rFonts w:cs="Wingdings"/>
            <w:sz w:val="22"/>
            <w:szCs w:val="22"/>
            <w:lang w:bidi="ar-SA"/>
          </w:rPr>
          <w:id w:val="11577004"/>
          <w:citation/>
        </w:sdtPr>
        <w:sdtContent>
          <w:r w:rsidR="00BD69D8">
            <w:rPr>
              <w:rFonts w:cs="Wingdings"/>
              <w:sz w:val="22"/>
              <w:szCs w:val="22"/>
              <w:lang w:bidi="ar-SA"/>
            </w:rPr>
            <w:fldChar w:fldCharType="begin"/>
          </w:r>
          <w:r w:rsidR="00C2114F">
            <w:rPr>
              <w:rFonts w:cs="Wingdings"/>
              <w:sz w:val="22"/>
              <w:szCs w:val="22"/>
              <w:lang w:bidi="ar-SA"/>
            </w:rPr>
            <w:instrText xml:space="preserve"> CITATION Lan10 \l 1033 </w:instrText>
          </w:r>
          <w:r w:rsidR="00BD69D8">
            <w:rPr>
              <w:rFonts w:cs="Wingdings"/>
              <w:sz w:val="22"/>
              <w:szCs w:val="22"/>
              <w:lang w:bidi="ar-SA"/>
            </w:rPr>
            <w:fldChar w:fldCharType="separate"/>
          </w:r>
          <w:r w:rsidR="00F26771">
            <w:rPr>
              <w:rFonts w:cs="Wingdings"/>
              <w:noProof/>
              <w:sz w:val="22"/>
              <w:szCs w:val="22"/>
              <w:lang w:bidi="ar-SA"/>
            </w:rPr>
            <w:t xml:space="preserve"> </w:t>
          </w:r>
          <w:r w:rsidR="00F26771" w:rsidRPr="00F26771">
            <w:rPr>
              <w:rFonts w:cs="Wingdings"/>
              <w:noProof/>
              <w:sz w:val="22"/>
              <w:szCs w:val="22"/>
              <w:lang w:bidi="ar-SA"/>
            </w:rPr>
            <w:t>(Langley &amp; Capgemini, 2010)</w:t>
          </w:r>
          <w:r w:rsidR="00BD69D8">
            <w:rPr>
              <w:rFonts w:cs="Wingdings"/>
              <w:sz w:val="22"/>
              <w:szCs w:val="22"/>
              <w:lang w:bidi="ar-SA"/>
            </w:rPr>
            <w:fldChar w:fldCharType="end"/>
          </w:r>
        </w:sdtContent>
      </w:sdt>
      <w:r w:rsidR="00C2114F">
        <w:rPr>
          <w:rFonts w:cs="Wingdings"/>
          <w:sz w:val="22"/>
          <w:szCs w:val="22"/>
          <w:lang w:bidi="ar-SA"/>
        </w:rPr>
        <w:t>.</w:t>
      </w:r>
      <w:r w:rsidR="00307535">
        <w:rPr>
          <w:rFonts w:cs="Wingdings"/>
          <w:sz w:val="22"/>
          <w:szCs w:val="22"/>
          <w:lang w:bidi="ar-SA"/>
        </w:rPr>
        <w:t xml:space="preserve"> According to Peters et al. (1998) </w:t>
      </w:r>
      <w:r w:rsidR="00307535">
        <w:rPr>
          <w:rFonts w:cs="Times New Roman"/>
          <w:sz w:val="22"/>
          <w:szCs w:val="22"/>
          <w:lang w:bidi="ar-SA"/>
        </w:rPr>
        <w:t>t</w:t>
      </w:r>
      <w:r w:rsidRPr="00307535">
        <w:rPr>
          <w:rFonts w:cs="Times New Roman"/>
          <w:sz w:val="22"/>
          <w:szCs w:val="22"/>
          <w:lang w:bidi="ar-SA"/>
        </w:rPr>
        <w:t xml:space="preserve">he client base of European TPL </w:t>
      </w:r>
      <w:r w:rsidR="00307535">
        <w:rPr>
          <w:rFonts w:cs="Times New Roman"/>
          <w:sz w:val="22"/>
          <w:szCs w:val="22"/>
          <w:lang w:bidi="ar-SA"/>
        </w:rPr>
        <w:t>providers is quite varied, both in firm size and revenue related.</w:t>
      </w:r>
      <w:r w:rsidR="00261451">
        <w:rPr>
          <w:rFonts w:cs="Times New Roman"/>
          <w:sz w:val="22"/>
          <w:szCs w:val="22"/>
          <w:lang w:bidi="ar-SA"/>
        </w:rPr>
        <w:t xml:space="preserve"> </w:t>
      </w:r>
      <w:r w:rsidR="00852D58">
        <w:rPr>
          <w:rFonts w:cs="Times New Roman"/>
          <w:sz w:val="22"/>
          <w:szCs w:val="22"/>
          <w:lang w:bidi="ar-SA"/>
        </w:rPr>
        <w:t xml:space="preserve"> </w:t>
      </w:r>
      <w:r w:rsidR="00261451" w:rsidRPr="00261451">
        <w:rPr>
          <w:rFonts w:cs="Times New Roman"/>
          <w:sz w:val="22"/>
          <w:szCs w:val="22"/>
        </w:rPr>
        <w:t xml:space="preserve">The client base </w:t>
      </w:r>
      <w:r w:rsidR="00852D58">
        <w:rPr>
          <w:rFonts w:cs="Times New Roman"/>
          <w:sz w:val="22"/>
          <w:szCs w:val="22"/>
        </w:rPr>
        <w:t>was mostly</w:t>
      </w:r>
      <w:r w:rsidR="00261451" w:rsidRPr="00261451">
        <w:rPr>
          <w:rFonts w:cs="Times New Roman"/>
          <w:sz w:val="22"/>
          <w:szCs w:val="22"/>
        </w:rPr>
        <w:t xml:space="preserve"> biased towards either smaller or larger clients.</w:t>
      </w:r>
    </w:p>
    <w:p w:rsidR="002F15A7" w:rsidRDefault="00695C7A" w:rsidP="00695C7A">
      <w:pPr>
        <w:autoSpaceDE w:val="0"/>
        <w:autoSpaceDN w:val="0"/>
        <w:adjustRightInd w:val="0"/>
        <w:spacing w:before="0" w:after="0" w:line="360" w:lineRule="auto"/>
        <w:jc w:val="both"/>
        <w:rPr>
          <w:rFonts w:eastAsia="Times New Roman" w:cs="Arial"/>
          <w:color w:val="000000"/>
          <w:sz w:val="22"/>
          <w:szCs w:val="22"/>
          <w:lang w:eastAsia="nl-NL" w:bidi="ar-SA"/>
        </w:rPr>
      </w:pPr>
      <w:r>
        <w:rPr>
          <w:rFonts w:cs="Times New Roman"/>
          <w:sz w:val="22"/>
          <w:szCs w:val="22"/>
        </w:rPr>
        <w:t xml:space="preserve">Are TPL providers becoming increasingly more customer selective? If they do so, their most important reason for doing so would be the search for higher margins. </w:t>
      </w:r>
      <w:r w:rsidRPr="00570CAC">
        <w:rPr>
          <w:rFonts w:cs="AdvPS405B6"/>
          <w:sz w:val="22"/>
          <w:szCs w:val="22"/>
          <w:lang w:bidi="ar-SA"/>
        </w:rPr>
        <w:t>The economic slowdown and lower profitability made a number of large TPL providers to focus on</w:t>
      </w:r>
      <w:r>
        <w:rPr>
          <w:rFonts w:cs="AdvPS405B6"/>
          <w:sz w:val="22"/>
          <w:szCs w:val="22"/>
          <w:lang w:bidi="ar-SA"/>
        </w:rPr>
        <w:t xml:space="preserve"> </w:t>
      </w:r>
      <w:r w:rsidRPr="00570CAC">
        <w:rPr>
          <w:rFonts w:cs="AdvPS405B6"/>
          <w:sz w:val="22"/>
          <w:szCs w:val="22"/>
          <w:lang w:bidi="ar-SA"/>
        </w:rPr>
        <w:t xml:space="preserve">the quality of existing accounts. This raises questions about the characteristics of high-quality customers. By far the most frequently cited attribute was willingness to establish a collaborative working relationship with the provider. Keywords mentioned in relationship with this characteristic were partnership, fair and equitable, win-win, long-term, and willingness to allow you to make a reasonable return. The next most important attribute </w:t>
      </w:r>
      <w:r w:rsidR="000A1922" w:rsidRPr="00570CAC">
        <w:rPr>
          <w:rFonts w:cs="AdvPS405B6"/>
          <w:sz w:val="22"/>
          <w:szCs w:val="22"/>
          <w:lang w:bidi="ar-SA"/>
        </w:rPr>
        <w:t>was having</w:t>
      </w:r>
      <w:r w:rsidRPr="00570CAC">
        <w:rPr>
          <w:rFonts w:cs="AdvPS405B6"/>
          <w:sz w:val="22"/>
          <w:szCs w:val="22"/>
          <w:lang w:bidi="ar-SA"/>
        </w:rPr>
        <w:t xml:space="preserve"> global logistics requirements. </w:t>
      </w:r>
      <w:r>
        <w:rPr>
          <w:rFonts w:cs="AdvPS405B6"/>
          <w:sz w:val="22"/>
          <w:szCs w:val="22"/>
          <w:lang w:bidi="ar-SA"/>
        </w:rPr>
        <w:t>O</w:t>
      </w:r>
      <w:r w:rsidRPr="00570CAC">
        <w:rPr>
          <w:rFonts w:cs="AdvPS405B6"/>
          <w:sz w:val="22"/>
          <w:szCs w:val="22"/>
          <w:lang w:bidi="ar-SA"/>
        </w:rPr>
        <w:t>ther characteristics mentioned were financial strength, significant growth prospects, and a good fit with the provider’s industry focus.</w:t>
      </w:r>
      <w:sdt>
        <w:sdtPr>
          <w:rPr>
            <w:rFonts w:cs="AdvPS405B6"/>
            <w:sz w:val="22"/>
            <w:szCs w:val="22"/>
            <w:lang w:bidi="ar-SA"/>
          </w:rPr>
          <w:id w:val="11064191"/>
          <w:citation/>
        </w:sdtPr>
        <w:sdtContent>
          <w:r w:rsidR="00BD69D8">
            <w:rPr>
              <w:rFonts w:cs="AdvPS405B6"/>
              <w:sz w:val="22"/>
              <w:szCs w:val="22"/>
              <w:lang w:bidi="ar-SA"/>
            </w:rPr>
            <w:fldChar w:fldCharType="begin"/>
          </w:r>
          <w:r>
            <w:rPr>
              <w:rFonts w:cs="AdvPS405B6"/>
              <w:sz w:val="22"/>
              <w:szCs w:val="22"/>
              <w:lang w:bidi="ar-SA"/>
            </w:rPr>
            <w:instrText xml:space="preserve"> CITATION Placeholder1 \t  \l 1033  </w:instrText>
          </w:r>
          <w:r w:rsidR="00BD69D8">
            <w:rPr>
              <w:rFonts w:cs="AdvPS405B6"/>
              <w:sz w:val="22"/>
              <w:szCs w:val="22"/>
              <w:lang w:bidi="ar-SA"/>
            </w:rPr>
            <w:fldChar w:fldCharType="separate"/>
          </w:r>
          <w:r w:rsidR="00F26771">
            <w:rPr>
              <w:rFonts w:cs="AdvPS405B6"/>
              <w:noProof/>
              <w:sz w:val="22"/>
              <w:szCs w:val="22"/>
              <w:lang w:bidi="ar-SA"/>
            </w:rPr>
            <w:t xml:space="preserve"> </w:t>
          </w:r>
          <w:r w:rsidR="00F26771" w:rsidRPr="00F26771">
            <w:rPr>
              <w:rFonts w:cs="AdvPS405B6"/>
              <w:noProof/>
              <w:sz w:val="22"/>
              <w:szCs w:val="22"/>
              <w:lang w:bidi="ar-SA"/>
            </w:rPr>
            <w:t>(Lieb R. C., 2005)</w:t>
          </w:r>
          <w:r w:rsidR="00BD69D8">
            <w:rPr>
              <w:rFonts w:cs="AdvPS405B6"/>
              <w:sz w:val="22"/>
              <w:szCs w:val="22"/>
              <w:lang w:bidi="ar-SA"/>
            </w:rPr>
            <w:fldChar w:fldCharType="end"/>
          </w:r>
        </w:sdtContent>
      </w:sdt>
      <w:r w:rsidRPr="00570CAC">
        <w:rPr>
          <w:rFonts w:cs="AdvPS405B6"/>
          <w:sz w:val="22"/>
          <w:szCs w:val="22"/>
          <w:lang w:bidi="ar-SA"/>
        </w:rPr>
        <w:t xml:space="preserve"> </w:t>
      </w:r>
      <w:r>
        <w:rPr>
          <w:rFonts w:cs="AdvPS405B6"/>
          <w:sz w:val="22"/>
          <w:szCs w:val="22"/>
          <w:lang w:bidi="ar-SA"/>
        </w:rPr>
        <w:t xml:space="preserve"> </w:t>
      </w:r>
      <w:r>
        <w:rPr>
          <w:rFonts w:cs="Times New Roman"/>
          <w:iCs/>
          <w:sz w:val="22"/>
          <w:szCs w:val="22"/>
          <w:lang w:bidi="ar-SA"/>
        </w:rPr>
        <w:t xml:space="preserve">According to Peters et al. (1998), </w:t>
      </w:r>
      <w:r w:rsidRPr="00A90ED6">
        <w:rPr>
          <w:rFonts w:cs="Times New Roman"/>
          <w:iCs/>
          <w:sz w:val="22"/>
          <w:szCs w:val="22"/>
          <w:lang w:bidi="ar-SA"/>
        </w:rPr>
        <w:t xml:space="preserve">reference from existing customers </w:t>
      </w:r>
      <w:r w:rsidRPr="00A90ED6">
        <w:rPr>
          <w:rFonts w:cs="Times New Roman"/>
          <w:sz w:val="22"/>
          <w:szCs w:val="22"/>
          <w:lang w:bidi="ar-SA"/>
        </w:rPr>
        <w:t>is the most important method of finding new clients.</w:t>
      </w:r>
      <w:r>
        <w:rPr>
          <w:rFonts w:cs="Times New Roman"/>
          <w:sz w:val="22"/>
          <w:szCs w:val="22"/>
          <w:lang w:bidi="ar-SA"/>
        </w:rPr>
        <w:t xml:space="preserve"> </w:t>
      </w:r>
      <w:r>
        <w:rPr>
          <w:rFonts w:cs="Times New Roman"/>
          <w:sz w:val="22"/>
          <w:szCs w:val="22"/>
        </w:rPr>
        <w:t xml:space="preserve">About 80% of TPL providers </w:t>
      </w:r>
      <w:r w:rsidR="000A1922">
        <w:rPr>
          <w:rFonts w:cs="Times New Roman"/>
          <w:sz w:val="22"/>
          <w:szCs w:val="22"/>
        </w:rPr>
        <w:t>use</w:t>
      </w:r>
      <w:r>
        <w:rPr>
          <w:rFonts w:cs="Times New Roman"/>
          <w:sz w:val="22"/>
          <w:szCs w:val="22"/>
        </w:rPr>
        <w:t xml:space="preserve"> existing customers to get in contact with their customers’ supply chain partners. This is successfully done since </w:t>
      </w:r>
      <w:r w:rsidRPr="00A74459">
        <w:rPr>
          <w:rFonts w:cs="AvenirLTStd-Light"/>
          <w:sz w:val="22"/>
          <w:szCs w:val="22"/>
          <w:lang w:bidi="ar-SA"/>
        </w:rPr>
        <w:t>this g</w:t>
      </w:r>
      <w:r>
        <w:rPr>
          <w:rFonts w:cs="AvenirLTStd-Light"/>
          <w:sz w:val="22"/>
          <w:szCs w:val="22"/>
          <w:lang w:bidi="ar-SA"/>
        </w:rPr>
        <w:t>enerates in excess of 37%</w:t>
      </w:r>
      <w:r w:rsidRPr="00A74459">
        <w:rPr>
          <w:rFonts w:cs="AvenirLTStd-Light"/>
          <w:sz w:val="22"/>
          <w:szCs w:val="22"/>
          <w:lang w:bidi="ar-SA"/>
        </w:rPr>
        <w:t xml:space="preserve"> of their logistics revenues</w:t>
      </w:r>
      <w:sdt>
        <w:sdtPr>
          <w:rPr>
            <w:rFonts w:cs="AvenirLTStd-Light"/>
            <w:sz w:val="22"/>
            <w:szCs w:val="22"/>
            <w:lang w:bidi="ar-SA"/>
          </w:rPr>
          <w:id w:val="11580922"/>
          <w:citation/>
        </w:sdtPr>
        <w:sdtContent>
          <w:r w:rsidR="00BD69D8">
            <w:rPr>
              <w:rFonts w:cs="AvenirLTStd-Light"/>
              <w:sz w:val="22"/>
              <w:szCs w:val="22"/>
              <w:lang w:bidi="ar-SA"/>
            </w:rPr>
            <w:fldChar w:fldCharType="begin"/>
          </w:r>
          <w:r>
            <w:rPr>
              <w:rFonts w:cs="AvenirLTStd-Light"/>
              <w:sz w:val="22"/>
              <w:szCs w:val="22"/>
              <w:lang w:bidi="ar-SA"/>
            </w:rPr>
            <w:instrText xml:space="preserve"> CITATION Lie10 \t  \l 1033  </w:instrText>
          </w:r>
          <w:r w:rsidR="00BD69D8">
            <w:rPr>
              <w:rFonts w:cs="AvenirLTStd-Light"/>
              <w:sz w:val="22"/>
              <w:szCs w:val="22"/>
              <w:lang w:bidi="ar-SA"/>
            </w:rPr>
            <w:fldChar w:fldCharType="separate"/>
          </w:r>
          <w:r w:rsidR="00F26771">
            <w:rPr>
              <w:rFonts w:cs="AvenirLTStd-Light"/>
              <w:noProof/>
              <w:sz w:val="22"/>
              <w:szCs w:val="22"/>
              <w:lang w:bidi="ar-SA"/>
            </w:rPr>
            <w:t xml:space="preserve"> </w:t>
          </w:r>
          <w:r w:rsidR="00F26771" w:rsidRPr="00F26771">
            <w:rPr>
              <w:rFonts w:cs="AvenirLTStd-Light"/>
              <w:noProof/>
              <w:sz w:val="22"/>
              <w:szCs w:val="22"/>
              <w:lang w:bidi="ar-SA"/>
            </w:rPr>
            <w:t>(Lieb &amp; Lieb, 2010)</w:t>
          </w:r>
          <w:r w:rsidR="00BD69D8">
            <w:rPr>
              <w:rFonts w:cs="AvenirLTStd-Light"/>
              <w:sz w:val="22"/>
              <w:szCs w:val="22"/>
              <w:lang w:bidi="ar-SA"/>
            </w:rPr>
            <w:fldChar w:fldCharType="end"/>
          </w:r>
        </w:sdtContent>
      </w:sdt>
      <w:r>
        <w:rPr>
          <w:rFonts w:cs="AvenirLTStd-Light"/>
          <w:sz w:val="22"/>
          <w:szCs w:val="22"/>
          <w:lang w:bidi="ar-SA"/>
        </w:rPr>
        <w:t xml:space="preserve">. </w:t>
      </w:r>
      <w:r w:rsidR="00A74459">
        <w:rPr>
          <w:rFonts w:cs="Times New Roman"/>
          <w:sz w:val="22"/>
          <w:szCs w:val="22"/>
        </w:rPr>
        <w:t xml:space="preserve"> </w:t>
      </w:r>
      <w:r w:rsidR="002F15A7">
        <w:rPr>
          <w:rFonts w:eastAsia="Times New Roman" w:cs="Arial"/>
          <w:color w:val="000000"/>
          <w:sz w:val="22"/>
          <w:szCs w:val="22"/>
          <w:lang w:eastAsia="nl-NL" w:bidi="ar-SA"/>
        </w:rPr>
        <w:t>According to this</w:t>
      </w:r>
      <w:r>
        <w:rPr>
          <w:rFonts w:eastAsia="Times New Roman" w:cs="Arial"/>
          <w:color w:val="000000"/>
          <w:sz w:val="22"/>
          <w:szCs w:val="22"/>
          <w:lang w:eastAsia="nl-NL" w:bidi="ar-SA"/>
        </w:rPr>
        <w:t xml:space="preserve"> subchapter on TPL buyer-supplier </w:t>
      </w:r>
      <w:r w:rsidR="000A1922">
        <w:rPr>
          <w:rFonts w:eastAsia="Times New Roman" w:cs="Arial"/>
          <w:color w:val="000000"/>
          <w:sz w:val="22"/>
          <w:szCs w:val="22"/>
          <w:lang w:eastAsia="nl-NL" w:bidi="ar-SA"/>
        </w:rPr>
        <w:t>relationships,</w:t>
      </w:r>
      <w:r w:rsidR="002F15A7">
        <w:rPr>
          <w:rFonts w:eastAsia="Times New Roman" w:cs="Arial"/>
          <w:color w:val="000000"/>
          <w:sz w:val="22"/>
          <w:szCs w:val="22"/>
          <w:lang w:eastAsia="nl-NL" w:bidi="ar-SA"/>
        </w:rPr>
        <w:t xml:space="preserve"> the following </w:t>
      </w:r>
      <w:r w:rsidR="002F15A7" w:rsidRPr="002F15A7">
        <w:rPr>
          <w:rFonts w:eastAsia="Times New Roman" w:cs="Arial"/>
          <w:color w:val="000000"/>
          <w:sz w:val="22"/>
          <w:szCs w:val="22"/>
          <w:lang w:eastAsia="nl-NL" w:bidi="ar-SA"/>
        </w:rPr>
        <w:t>sub-question</w:t>
      </w:r>
      <w:r w:rsidR="006861B7">
        <w:rPr>
          <w:rFonts w:eastAsia="Times New Roman" w:cs="Arial"/>
          <w:color w:val="000000"/>
          <w:sz w:val="22"/>
          <w:szCs w:val="22"/>
          <w:lang w:eastAsia="nl-NL" w:bidi="ar-SA"/>
        </w:rPr>
        <w:t xml:space="preserve"> is</w:t>
      </w:r>
      <w:r w:rsidR="002F15A7" w:rsidRPr="002F15A7">
        <w:rPr>
          <w:rFonts w:eastAsia="Times New Roman" w:cs="Arial"/>
          <w:color w:val="000000"/>
          <w:sz w:val="22"/>
          <w:szCs w:val="22"/>
          <w:lang w:eastAsia="nl-NL" w:bidi="ar-SA"/>
        </w:rPr>
        <w:t xml:space="preserve"> formulated</w:t>
      </w:r>
      <w:r w:rsidR="00687171">
        <w:rPr>
          <w:rFonts w:eastAsia="Times New Roman" w:cs="Arial"/>
          <w:color w:val="000000"/>
          <w:sz w:val="22"/>
          <w:szCs w:val="22"/>
          <w:lang w:eastAsia="nl-NL" w:bidi="ar-SA"/>
        </w:rPr>
        <w:t>:</w:t>
      </w:r>
    </w:p>
    <w:p w:rsidR="00695C7A" w:rsidRPr="00695C7A" w:rsidRDefault="00695C7A" w:rsidP="00695C7A">
      <w:pPr>
        <w:autoSpaceDE w:val="0"/>
        <w:autoSpaceDN w:val="0"/>
        <w:adjustRightInd w:val="0"/>
        <w:spacing w:before="0" w:after="0" w:line="360" w:lineRule="auto"/>
        <w:jc w:val="both"/>
        <w:rPr>
          <w:rFonts w:cs="AvenirLTStd-Light"/>
          <w:sz w:val="22"/>
          <w:szCs w:val="22"/>
          <w:lang w:bidi="ar-SA"/>
        </w:rPr>
      </w:pPr>
    </w:p>
    <w:tbl>
      <w:tblPr>
        <w:tblStyle w:val="Lichtearcering-accent6"/>
        <w:tblW w:w="0" w:type="auto"/>
        <w:tblLook w:val="04A0"/>
      </w:tblPr>
      <w:tblGrid>
        <w:gridCol w:w="9212"/>
      </w:tblGrid>
      <w:tr w:rsidR="00687171" w:rsidTr="00480DDC">
        <w:trPr>
          <w:cnfStyle w:val="100000000000"/>
        </w:trPr>
        <w:tc>
          <w:tcPr>
            <w:cnfStyle w:val="001000000000"/>
            <w:tcW w:w="9212" w:type="dxa"/>
            <w:vAlign w:val="center"/>
          </w:tcPr>
          <w:p w:rsidR="00687171" w:rsidRPr="00480DDC" w:rsidRDefault="000A1922" w:rsidP="00480DDC">
            <w:pPr>
              <w:autoSpaceDE w:val="0"/>
              <w:autoSpaceDN w:val="0"/>
              <w:adjustRightInd w:val="0"/>
              <w:spacing w:line="360" w:lineRule="auto"/>
              <w:jc w:val="center"/>
              <w:rPr>
                <w:rFonts w:asciiTheme="majorHAnsi" w:hAnsiTheme="majorHAnsi" w:cs="Times New Roman"/>
                <w:i/>
                <w:sz w:val="22"/>
                <w:szCs w:val="22"/>
              </w:rPr>
            </w:pPr>
            <w:r w:rsidRPr="00480DDC">
              <w:rPr>
                <w:rFonts w:asciiTheme="majorHAnsi" w:hAnsiTheme="majorHAnsi" w:cs="Times New Roman"/>
                <w:i/>
                <w:sz w:val="22"/>
                <w:szCs w:val="22"/>
              </w:rPr>
              <w:t>“How</w:t>
            </w:r>
            <w:r w:rsidR="00687171" w:rsidRPr="00480DDC">
              <w:rPr>
                <w:rFonts w:asciiTheme="majorHAnsi" w:hAnsiTheme="majorHAnsi" w:cs="Times New Roman"/>
                <w:i/>
                <w:sz w:val="22"/>
                <w:szCs w:val="22"/>
              </w:rPr>
              <w:t xml:space="preserve"> can TPL relationships be characterized?”</w:t>
            </w:r>
          </w:p>
        </w:tc>
      </w:tr>
    </w:tbl>
    <w:p w:rsidR="008045D3" w:rsidRDefault="008045D3" w:rsidP="00CA0E4B">
      <w:pPr>
        <w:rPr>
          <w:rFonts w:cs="Times New Roman"/>
          <w:sz w:val="22"/>
          <w:szCs w:val="22"/>
        </w:rPr>
      </w:pPr>
    </w:p>
    <w:p w:rsidR="008045D3" w:rsidRPr="004A1087" w:rsidRDefault="008E06AD" w:rsidP="005C74C7">
      <w:pPr>
        <w:pStyle w:val="Kop2"/>
        <w:numPr>
          <w:ilvl w:val="1"/>
          <w:numId w:val="13"/>
        </w:numPr>
        <w:rPr>
          <w:rFonts w:asciiTheme="majorHAnsi" w:hAnsiTheme="majorHAnsi"/>
        </w:rPr>
      </w:pPr>
      <w:bookmarkStart w:id="16" w:name="_Toc300411990"/>
      <w:r w:rsidRPr="004A1087">
        <w:rPr>
          <w:rFonts w:asciiTheme="majorHAnsi" w:hAnsiTheme="majorHAnsi"/>
        </w:rPr>
        <w:t>The g</w:t>
      </w:r>
      <w:r w:rsidR="000D67AE" w:rsidRPr="004A1087">
        <w:rPr>
          <w:rFonts w:asciiTheme="majorHAnsi" w:hAnsiTheme="majorHAnsi"/>
        </w:rPr>
        <w:t>eograp</w:t>
      </w:r>
      <w:r w:rsidRPr="004A1087">
        <w:rPr>
          <w:rFonts w:asciiTheme="majorHAnsi" w:hAnsiTheme="majorHAnsi"/>
        </w:rPr>
        <w:t>h</w:t>
      </w:r>
      <w:r w:rsidR="000D67AE" w:rsidRPr="004A1087">
        <w:rPr>
          <w:rFonts w:asciiTheme="majorHAnsi" w:hAnsiTheme="majorHAnsi"/>
        </w:rPr>
        <w:t>ic</w:t>
      </w:r>
      <w:r w:rsidR="005C74C7" w:rsidRPr="004A1087">
        <w:rPr>
          <w:rFonts w:asciiTheme="majorHAnsi" w:hAnsiTheme="majorHAnsi"/>
        </w:rPr>
        <w:t xml:space="preserve"> </w:t>
      </w:r>
      <w:r w:rsidR="00EA4EC8" w:rsidRPr="004A1087">
        <w:rPr>
          <w:rFonts w:asciiTheme="majorHAnsi" w:hAnsiTheme="majorHAnsi"/>
        </w:rPr>
        <w:t>service area</w:t>
      </w:r>
      <w:r w:rsidR="005C74C7" w:rsidRPr="004A1087">
        <w:rPr>
          <w:rFonts w:asciiTheme="majorHAnsi" w:hAnsiTheme="majorHAnsi"/>
        </w:rPr>
        <w:t xml:space="preserve"> of TPL providers</w:t>
      </w:r>
      <w:bookmarkEnd w:id="16"/>
    </w:p>
    <w:p w:rsidR="00DD3116" w:rsidRDefault="00DD3116" w:rsidP="00DD3116">
      <w:pPr>
        <w:pStyle w:val="Lijstalinea"/>
        <w:autoSpaceDE w:val="0"/>
        <w:autoSpaceDN w:val="0"/>
        <w:adjustRightInd w:val="0"/>
        <w:spacing w:before="0" w:after="0" w:line="240" w:lineRule="auto"/>
        <w:ind w:left="360"/>
        <w:rPr>
          <w:rFonts w:ascii="Times New Roman" w:hAnsi="Times New Roman" w:cs="Times New Roman"/>
          <w:sz w:val="22"/>
          <w:szCs w:val="22"/>
          <w:lang w:bidi="ar-SA"/>
        </w:rPr>
      </w:pPr>
    </w:p>
    <w:p w:rsidR="005C74C7" w:rsidRDefault="00E240AD" w:rsidP="005C74C7">
      <w:pPr>
        <w:pStyle w:val="Pa2"/>
        <w:spacing w:after="240" w:line="360" w:lineRule="auto"/>
        <w:jc w:val="both"/>
        <w:rPr>
          <w:rFonts w:asciiTheme="minorHAnsi" w:hAnsiTheme="minorHAnsi" w:cs="Avenir LT Std 35 Light"/>
          <w:color w:val="000000"/>
          <w:sz w:val="22"/>
          <w:szCs w:val="22"/>
          <w:lang w:val="en-US"/>
        </w:rPr>
      </w:pPr>
      <w:r w:rsidRPr="00B31B34">
        <w:rPr>
          <w:rFonts w:asciiTheme="minorHAnsi" w:hAnsiTheme="minorHAnsi" w:cs="Times New Roman"/>
          <w:sz w:val="22"/>
          <w:szCs w:val="22"/>
          <w:lang w:val="en-US"/>
        </w:rPr>
        <w:t xml:space="preserve">How important is </w:t>
      </w:r>
      <w:r w:rsidR="005A7B02" w:rsidRPr="00B31B34">
        <w:rPr>
          <w:rFonts w:asciiTheme="minorHAnsi" w:hAnsiTheme="minorHAnsi" w:cs="Times New Roman"/>
          <w:sz w:val="22"/>
          <w:szCs w:val="22"/>
          <w:lang w:val="en-US"/>
        </w:rPr>
        <w:t>geography and the location of the country of origin for TPL providers market</w:t>
      </w:r>
      <w:r w:rsidR="005C74C7">
        <w:rPr>
          <w:rFonts w:asciiTheme="minorHAnsi" w:hAnsiTheme="minorHAnsi" w:cs="Times New Roman"/>
          <w:sz w:val="22"/>
          <w:szCs w:val="22"/>
          <w:lang w:val="en-US"/>
        </w:rPr>
        <w:t>s</w:t>
      </w:r>
      <w:r w:rsidR="005A7B02" w:rsidRPr="00B31B34">
        <w:rPr>
          <w:rFonts w:asciiTheme="minorHAnsi" w:hAnsiTheme="minorHAnsi" w:cs="Times New Roman"/>
          <w:sz w:val="22"/>
          <w:szCs w:val="22"/>
          <w:lang w:val="en-US"/>
        </w:rPr>
        <w:t>, focus and growth potential?</w:t>
      </w:r>
      <w:r w:rsidR="00B31B34" w:rsidRPr="00B31B34">
        <w:rPr>
          <w:rFonts w:asciiTheme="minorHAnsi" w:hAnsiTheme="minorHAnsi" w:cs="Avenir LT Std 35 Light"/>
          <w:color w:val="000000"/>
          <w:sz w:val="22"/>
          <w:szCs w:val="22"/>
          <w:lang w:val="en-US"/>
        </w:rPr>
        <w:t xml:space="preserve"> </w:t>
      </w:r>
      <w:r w:rsidR="00B31B34" w:rsidRPr="00B31B34">
        <w:rPr>
          <w:rFonts w:asciiTheme="minorHAnsi" w:hAnsiTheme="minorHAnsi" w:cs="Times New Roman"/>
          <w:sz w:val="22"/>
          <w:szCs w:val="22"/>
          <w:lang w:val="en-US"/>
        </w:rPr>
        <w:t>A few years ago companies massively off shored some of their (manufacturing) activities to lower wage countries.</w:t>
      </w:r>
      <w:r w:rsidR="00B31B34" w:rsidRPr="00A11F9F">
        <w:rPr>
          <w:rFonts w:asciiTheme="minorHAnsi" w:hAnsiTheme="minorHAnsi" w:cs="Avenir LT Std 35 Light"/>
          <w:color w:val="000000"/>
          <w:sz w:val="22"/>
          <w:szCs w:val="22"/>
          <w:lang w:val="en-US"/>
        </w:rPr>
        <w:t xml:space="preserve"> But in response to risi</w:t>
      </w:r>
      <w:r w:rsidR="00EA4EC8">
        <w:rPr>
          <w:rFonts w:asciiTheme="minorHAnsi" w:hAnsiTheme="minorHAnsi" w:cs="Avenir LT Std 35 Light"/>
          <w:color w:val="000000"/>
          <w:sz w:val="22"/>
          <w:szCs w:val="22"/>
          <w:lang w:val="en-US"/>
        </w:rPr>
        <w:t xml:space="preserve">ng labor and material costs in </w:t>
      </w:r>
      <w:r w:rsidR="00B31B34" w:rsidRPr="00A11F9F">
        <w:rPr>
          <w:rFonts w:asciiTheme="minorHAnsi" w:hAnsiTheme="minorHAnsi" w:cs="Avenir LT Std 35 Light"/>
          <w:color w:val="000000"/>
          <w:sz w:val="22"/>
          <w:szCs w:val="22"/>
          <w:lang w:val="en-US"/>
        </w:rPr>
        <w:t>these countries and the volatility of oil prices (influencing transportation costs) some manufacturing activities of American companies are being brought back to either North or Central America</w:t>
      </w:r>
      <w:sdt>
        <w:sdtPr>
          <w:rPr>
            <w:rFonts w:asciiTheme="minorHAnsi" w:hAnsiTheme="minorHAnsi" w:cs="Avenir LT Std 35 Light"/>
            <w:color w:val="000000"/>
            <w:sz w:val="22"/>
            <w:szCs w:val="22"/>
            <w:lang w:val="en-US"/>
          </w:rPr>
          <w:id w:val="11064216"/>
          <w:citation/>
        </w:sdtPr>
        <w:sdtContent>
          <w:r w:rsidR="00BD69D8" w:rsidRPr="00A11F9F">
            <w:rPr>
              <w:rFonts w:asciiTheme="minorHAnsi" w:hAnsiTheme="minorHAnsi" w:cs="Avenir LT Std 35 Light"/>
              <w:color w:val="000000"/>
              <w:sz w:val="22"/>
              <w:szCs w:val="22"/>
              <w:lang w:val="en-US"/>
            </w:rPr>
            <w:fldChar w:fldCharType="begin"/>
          </w:r>
          <w:r w:rsidR="00B31B34" w:rsidRPr="00A11F9F">
            <w:rPr>
              <w:rFonts w:asciiTheme="minorHAnsi" w:hAnsiTheme="minorHAnsi" w:cs="Avenir LT Std 35 Light"/>
              <w:color w:val="000000"/>
              <w:sz w:val="22"/>
              <w:szCs w:val="22"/>
              <w:lang w:val="en-US"/>
            </w:rPr>
            <w:instrText xml:space="preserve"> CITATION Lie09 \t  \l 1033  </w:instrText>
          </w:r>
          <w:r w:rsidR="00BD69D8" w:rsidRPr="00A11F9F">
            <w:rPr>
              <w:rFonts w:asciiTheme="minorHAnsi" w:hAnsiTheme="minorHAnsi" w:cs="Avenir LT Std 35 Light"/>
              <w:color w:val="000000"/>
              <w:sz w:val="22"/>
              <w:szCs w:val="22"/>
              <w:lang w:val="en-US"/>
            </w:rPr>
            <w:fldChar w:fldCharType="separate"/>
          </w:r>
          <w:r w:rsidR="00F26771">
            <w:rPr>
              <w:rFonts w:asciiTheme="minorHAnsi" w:hAnsiTheme="minorHAnsi" w:cs="Avenir LT Std 35 Light"/>
              <w:noProof/>
              <w:color w:val="000000"/>
              <w:sz w:val="22"/>
              <w:szCs w:val="22"/>
              <w:lang w:val="en-US"/>
            </w:rPr>
            <w:t xml:space="preserve"> </w:t>
          </w:r>
          <w:r w:rsidR="00F26771" w:rsidRPr="00F26771">
            <w:rPr>
              <w:rFonts w:asciiTheme="minorHAnsi" w:hAnsiTheme="minorHAnsi" w:cs="Avenir LT Std 35 Light"/>
              <w:noProof/>
              <w:color w:val="000000"/>
              <w:sz w:val="22"/>
              <w:szCs w:val="22"/>
              <w:lang w:val="en-US"/>
            </w:rPr>
            <w:t>(Lieb &amp; Lieb, 2009)</w:t>
          </w:r>
          <w:r w:rsidR="00BD69D8" w:rsidRPr="00A11F9F">
            <w:rPr>
              <w:rFonts w:asciiTheme="minorHAnsi" w:hAnsiTheme="minorHAnsi" w:cs="Avenir LT Std 35 Light"/>
              <w:color w:val="000000"/>
              <w:sz w:val="22"/>
              <w:szCs w:val="22"/>
              <w:lang w:val="en-US"/>
            </w:rPr>
            <w:fldChar w:fldCharType="end"/>
          </w:r>
        </w:sdtContent>
      </w:sdt>
      <w:r w:rsidR="00B31B34">
        <w:rPr>
          <w:rFonts w:asciiTheme="minorHAnsi" w:hAnsiTheme="minorHAnsi" w:cs="Avenir LT Std 35 Light"/>
          <w:color w:val="000000"/>
          <w:sz w:val="22"/>
          <w:szCs w:val="22"/>
          <w:lang w:val="en-US"/>
        </w:rPr>
        <w:t>.</w:t>
      </w:r>
      <w:r w:rsidR="005C74C7" w:rsidRPr="005C74C7">
        <w:rPr>
          <w:rFonts w:asciiTheme="minorHAnsi" w:hAnsiTheme="minorHAnsi" w:cs="Avenir LT Std 35 Light"/>
          <w:color w:val="000000"/>
          <w:sz w:val="22"/>
          <w:szCs w:val="22"/>
          <w:lang w:val="en-US"/>
        </w:rPr>
        <w:t xml:space="preserve"> </w:t>
      </w:r>
      <w:r w:rsidR="005C74C7" w:rsidRPr="00A11F9F">
        <w:rPr>
          <w:rFonts w:asciiTheme="minorHAnsi" w:hAnsiTheme="minorHAnsi" w:cs="Avenir LT Std 35 Light"/>
          <w:color w:val="000000"/>
          <w:sz w:val="22"/>
          <w:szCs w:val="22"/>
          <w:lang w:val="en-US"/>
        </w:rPr>
        <w:t xml:space="preserve">This </w:t>
      </w:r>
      <w:r w:rsidR="000A1922" w:rsidRPr="00A11F9F">
        <w:rPr>
          <w:rFonts w:asciiTheme="minorHAnsi" w:hAnsiTheme="minorHAnsi" w:cs="Avenir LT Std 35 Light"/>
          <w:color w:val="000000"/>
          <w:sz w:val="22"/>
          <w:szCs w:val="22"/>
          <w:lang w:val="en-US"/>
        </w:rPr>
        <w:t>phenomenon</w:t>
      </w:r>
      <w:r w:rsidR="005C74C7" w:rsidRPr="00A11F9F">
        <w:rPr>
          <w:rFonts w:asciiTheme="minorHAnsi" w:hAnsiTheme="minorHAnsi" w:cs="Avenir LT Std 35 Light"/>
          <w:color w:val="000000"/>
          <w:sz w:val="22"/>
          <w:szCs w:val="22"/>
          <w:lang w:val="en-US"/>
        </w:rPr>
        <w:t xml:space="preserve"> is called near shoring</w:t>
      </w:r>
      <w:r w:rsidR="005C74C7">
        <w:rPr>
          <w:rFonts w:asciiTheme="minorHAnsi" w:hAnsiTheme="minorHAnsi" w:cs="Avenir LT Std 35 Light"/>
          <w:color w:val="000000"/>
          <w:sz w:val="22"/>
          <w:szCs w:val="22"/>
          <w:lang w:val="en-US"/>
        </w:rPr>
        <w:t xml:space="preserve"> and 88% of the providers CEOs surveyed in 2010 witnessed this development: </w:t>
      </w:r>
      <w:r w:rsidR="000A1922">
        <w:rPr>
          <w:rFonts w:asciiTheme="minorHAnsi" w:hAnsiTheme="minorHAnsi" w:cs="Avenir LT Std 35 Light"/>
          <w:color w:val="000000"/>
          <w:sz w:val="22"/>
          <w:szCs w:val="22"/>
          <w:lang w:val="en-US"/>
        </w:rPr>
        <w:t>an average of 13% of their major clients was</w:t>
      </w:r>
      <w:r w:rsidR="005C74C7">
        <w:rPr>
          <w:rFonts w:asciiTheme="minorHAnsi" w:hAnsiTheme="minorHAnsi" w:cs="Avenir LT Std 35 Light"/>
          <w:color w:val="000000"/>
          <w:sz w:val="22"/>
          <w:szCs w:val="22"/>
          <w:lang w:val="en-US"/>
        </w:rPr>
        <w:t xml:space="preserve"> participating in this movement</w:t>
      </w:r>
      <w:sdt>
        <w:sdtPr>
          <w:rPr>
            <w:rFonts w:asciiTheme="minorHAnsi" w:hAnsiTheme="minorHAnsi" w:cs="Avenir LT Std 35 Light"/>
            <w:color w:val="000000"/>
            <w:sz w:val="22"/>
            <w:szCs w:val="22"/>
            <w:lang w:val="en-US"/>
          </w:rPr>
          <w:id w:val="11064219"/>
          <w:citation/>
        </w:sdtPr>
        <w:sdtContent>
          <w:r w:rsidR="00BD69D8">
            <w:rPr>
              <w:rFonts w:asciiTheme="minorHAnsi" w:hAnsiTheme="minorHAnsi" w:cs="Avenir LT Std 35 Light"/>
              <w:color w:val="000000"/>
              <w:sz w:val="22"/>
              <w:szCs w:val="22"/>
              <w:lang w:val="en-US"/>
            </w:rPr>
            <w:fldChar w:fldCharType="begin"/>
          </w:r>
          <w:r w:rsidR="005C74C7">
            <w:rPr>
              <w:rFonts w:asciiTheme="minorHAnsi" w:hAnsiTheme="minorHAnsi" w:cs="Avenir LT Std 35 Light"/>
              <w:color w:val="000000"/>
              <w:sz w:val="22"/>
              <w:szCs w:val="22"/>
              <w:lang w:val="en-US"/>
            </w:rPr>
            <w:instrText xml:space="preserve"> CITATION Lie10 \t  \l 1033  </w:instrText>
          </w:r>
          <w:r w:rsidR="00BD69D8">
            <w:rPr>
              <w:rFonts w:asciiTheme="minorHAnsi" w:hAnsiTheme="minorHAnsi" w:cs="Avenir LT Std 35 Light"/>
              <w:color w:val="000000"/>
              <w:sz w:val="22"/>
              <w:szCs w:val="22"/>
              <w:lang w:val="en-US"/>
            </w:rPr>
            <w:fldChar w:fldCharType="separate"/>
          </w:r>
          <w:r w:rsidR="00F26771">
            <w:rPr>
              <w:rFonts w:asciiTheme="minorHAnsi" w:hAnsiTheme="minorHAnsi" w:cs="Avenir LT Std 35 Light"/>
              <w:noProof/>
              <w:color w:val="000000"/>
              <w:sz w:val="22"/>
              <w:szCs w:val="22"/>
              <w:lang w:val="en-US"/>
            </w:rPr>
            <w:t xml:space="preserve"> </w:t>
          </w:r>
          <w:r w:rsidR="00F26771" w:rsidRPr="00F26771">
            <w:rPr>
              <w:rFonts w:asciiTheme="minorHAnsi" w:hAnsiTheme="minorHAnsi" w:cs="Avenir LT Std 35 Light"/>
              <w:noProof/>
              <w:color w:val="000000"/>
              <w:sz w:val="22"/>
              <w:szCs w:val="22"/>
              <w:lang w:val="en-US"/>
            </w:rPr>
            <w:t>(Lieb &amp; Lieb, 2010)</w:t>
          </w:r>
          <w:r w:rsidR="00BD69D8">
            <w:rPr>
              <w:rFonts w:asciiTheme="minorHAnsi" w:hAnsiTheme="minorHAnsi" w:cs="Avenir LT Std 35 Light"/>
              <w:color w:val="000000"/>
              <w:sz w:val="22"/>
              <w:szCs w:val="22"/>
              <w:lang w:val="en-US"/>
            </w:rPr>
            <w:fldChar w:fldCharType="end"/>
          </w:r>
        </w:sdtContent>
      </w:sdt>
      <w:r w:rsidR="005C74C7">
        <w:rPr>
          <w:rFonts w:asciiTheme="minorHAnsi" w:hAnsiTheme="minorHAnsi" w:cs="Avenir LT Std 35 Light"/>
          <w:color w:val="000000"/>
          <w:sz w:val="22"/>
          <w:szCs w:val="22"/>
          <w:lang w:val="en-US"/>
        </w:rPr>
        <w:t>. Another possible explanation for the rise of near shoring, besides cost related arguments</w:t>
      </w:r>
      <w:r w:rsidR="000A1922">
        <w:rPr>
          <w:rFonts w:asciiTheme="minorHAnsi" w:hAnsiTheme="minorHAnsi" w:cs="Avenir LT Std 35 Light"/>
          <w:color w:val="000000"/>
          <w:sz w:val="22"/>
          <w:szCs w:val="22"/>
          <w:lang w:val="en-US"/>
        </w:rPr>
        <w:t>, could</w:t>
      </w:r>
      <w:r w:rsidR="005C74C7">
        <w:rPr>
          <w:rFonts w:asciiTheme="minorHAnsi" w:hAnsiTheme="minorHAnsi" w:cs="Avenir LT Std 35 Light"/>
          <w:color w:val="000000"/>
          <w:sz w:val="22"/>
          <w:szCs w:val="22"/>
          <w:lang w:val="en-US"/>
        </w:rPr>
        <w:t xml:space="preserve"> be that customer fulfillment is increasingly seen as more important over low-cost sourcing</w:t>
      </w:r>
      <w:sdt>
        <w:sdtPr>
          <w:rPr>
            <w:rFonts w:asciiTheme="minorHAnsi" w:hAnsiTheme="minorHAnsi" w:cs="Avenir LT Std 35 Light"/>
            <w:color w:val="000000"/>
            <w:sz w:val="22"/>
            <w:szCs w:val="22"/>
            <w:lang w:val="en-US"/>
          </w:rPr>
          <w:id w:val="11064220"/>
          <w:citation/>
        </w:sdtPr>
        <w:sdtContent>
          <w:r w:rsidR="00BD69D8">
            <w:rPr>
              <w:rFonts w:asciiTheme="minorHAnsi" w:hAnsiTheme="minorHAnsi" w:cs="Avenir LT Std 35 Light"/>
              <w:color w:val="000000"/>
              <w:sz w:val="22"/>
              <w:szCs w:val="22"/>
              <w:lang w:val="en-US"/>
            </w:rPr>
            <w:fldChar w:fldCharType="begin"/>
          </w:r>
          <w:r w:rsidR="005C74C7">
            <w:rPr>
              <w:rFonts w:asciiTheme="minorHAnsi" w:hAnsiTheme="minorHAnsi" w:cs="Avenir LT Std 35 Light"/>
              <w:color w:val="000000"/>
              <w:sz w:val="22"/>
              <w:szCs w:val="22"/>
              <w:lang w:val="en-US"/>
            </w:rPr>
            <w:instrText xml:space="preserve"> CITATION Bur10 \l 1033 </w:instrText>
          </w:r>
          <w:r w:rsidR="00BD69D8">
            <w:rPr>
              <w:rFonts w:asciiTheme="minorHAnsi" w:hAnsiTheme="minorHAnsi" w:cs="Avenir LT Std 35 Light"/>
              <w:color w:val="000000"/>
              <w:sz w:val="22"/>
              <w:szCs w:val="22"/>
              <w:lang w:val="en-US"/>
            </w:rPr>
            <w:fldChar w:fldCharType="separate"/>
          </w:r>
          <w:r w:rsidR="00F26771">
            <w:rPr>
              <w:rFonts w:asciiTheme="minorHAnsi" w:hAnsiTheme="minorHAnsi" w:cs="Avenir LT Std 35 Light"/>
              <w:noProof/>
              <w:color w:val="000000"/>
              <w:sz w:val="22"/>
              <w:szCs w:val="22"/>
              <w:lang w:val="en-US"/>
            </w:rPr>
            <w:t xml:space="preserve"> </w:t>
          </w:r>
          <w:r w:rsidR="00F26771" w:rsidRPr="00F26771">
            <w:rPr>
              <w:rFonts w:asciiTheme="minorHAnsi" w:hAnsiTheme="minorHAnsi" w:cs="Avenir LT Std 35 Light"/>
              <w:noProof/>
              <w:color w:val="000000"/>
              <w:sz w:val="22"/>
              <w:szCs w:val="22"/>
              <w:lang w:val="en-US"/>
            </w:rPr>
            <w:t>(Burnson, 2010)</w:t>
          </w:r>
          <w:r w:rsidR="00BD69D8">
            <w:rPr>
              <w:rFonts w:asciiTheme="minorHAnsi" w:hAnsiTheme="minorHAnsi" w:cs="Avenir LT Std 35 Light"/>
              <w:color w:val="000000"/>
              <w:sz w:val="22"/>
              <w:szCs w:val="22"/>
              <w:lang w:val="en-US"/>
            </w:rPr>
            <w:fldChar w:fldCharType="end"/>
          </w:r>
        </w:sdtContent>
      </w:sdt>
      <w:r w:rsidR="005C74C7">
        <w:rPr>
          <w:rFonts w:asciiTheme="minorHAnsi" w:hAnsiTheme="minorHAnsi" w:cs="Avenir LT Std 35 Light"/>
          <w:color w:val="000000"/>
          <w:sz w:val="22"/>
          <w:szCs w:val="22"/>
          <w:lang w:val="en-US"/>
        </w:rPr>
        <w:t xml:space="preserve">. </w:t>
      </w:r>
      <w:r w:rsidR="00B31B34">
        <w:rPr>
          <w:rFonts w:asciiTheme="minorHAnsi" w:hAnsiTheme="minorHAnsi" w:cs="Avenir LT Std 35 Light"/>
          <w:color w:val="000000"/>
          <w:sz w:val="22"/>
          <w:szCs w:val="22"/>
          <w:lang w:val="en-US"/>
        </w:rPr>
        <w:t xml:space="preserve">This development could have several implications for TPL </w:t>
      </w:r>
      <w:r w:rsidR="000A1922">
        <w:rPr>
          <w:rFonts w:asciiTheme="minorHAnsi" w:hAnsiTheme="minorHAnsi" w:cs="Avenir LT Std 35 Light"/>
          <w:color w:val="000000"/>
          <w:sz w:val="22"/>
          <w:szCs w:val="22"/>
          <w:lang w:val="en-US"/>
        </w:rPr>
        <w:t>providers’</w:t>
      </w:r>
      <w:r w:rsidR="00B31B34">
        <w:rPr>
          <w:rFonts w:asciiTheme="minorHAnsi" w:hAnsiTheme="minorHAnsi" w:cs="Avenir LT Std 35 Light"/>
          <w:color w:val="000000"/>
          <w:sz w:val="22"/>
          <w:szCs w:val="22"/>
          <w:lang w:val="en-US"/>
        </w:rPr>
        <w:t xml:space="preserve"> </w:t>
      </w:r>
      <w:r w:rsidR="00EA4EC8">
        <w:rPr>
          <w:rFonts w:asciiTheme="minorHAnsi" w:hAnsiTheme="minorHAnsi" w:cs="Avenir LT Std 35 Light"/>
          <w:color w:val="000000"/>
          <w:sz w:val="22"/>
          <w:szCs w:val="22"/>
          <w:lang w:val="en-US"/>
        </w:rPr>
        <w:t xml:space="preserve">business development </w:t>
      </w:r>
      <w:r w:rsidR="00B31B34">
        <w:rPr>
          <w:rFonts w:asciiTheme="minorHAnsi" w:hAnsiTheme="minorHAnsi" w:cs="Avenir LT Std 35 Light"/>
          <w:color w:val="000000"/>
          <w:sz w:val="22"/>
          <w:szCs w:val="22"/>
          <w:lang w:val="en-US"/>
        </w:rPr>
        <w:t xml:space="preserve">and the academic discussion on global logistics. </w:t>
      </w:r>
    </w:p>
    <w:p w:rsidR="00D34854" w:rsidRPr="0063114A" w:rsidRDefault="005A7B02" w:rsidP="00B31B34">
      <w:pPr>
        <w:pStyle w:val="Pa2"/>
        <w:spacing w:line="360" w:lineRule="auto"/>
        <w:jc w:val="both"/>
        <w:rPr>
          <w:rFonts w:asciiTheme="minorHAnsi" w:hAnsiTheme="minorHAnsi" w:cs="Times New Roman"/>
          <w:sz w:val="22"/>
          <w:szCs w:val="22"/>
          <w:lang w:val="en-US"/>
        </w:rPr>
      </w:pPr>
      <w:r w:rsidRPr="00B31B34">
        <w:rPr>
          <w:rFonts w:asciiTheme="minorHAnsi" w:hAnsiTheme="minorHAnsi" w:cs="Times New Roman"/>
          <w:sz w:val="22"/>
          <w:szCs w:val="22"/>
          <w:lang w:val="en-US"/>
        </w:rPr>
        <w:lastRenderedPageBreak/>
        <w:t xml:space="preserve">According to </w:t>
      </w:r>
      <w:r w:rsidR="000A1922" w:rsidRPr="00B31B34">
        <w:rPr>
          <w:rFonts w:asciiTheme="minorHAnsi" w:hAnsiTheme="minorHAnsi" w:cs="Times New Roman"/>
          <w:sz w:val="22"/>
          <w:szCs w:val="22"/>
          <w:lang w:val="en-US"/>
        </w:rPr>
        <w:t>some,</w:t>
      </w:r>
      <w:r w:rsidRPr="00B31B34">
        <w:rPr>
          <w:rFonts w:asciiTheme="minorHAnsi" w:hAnsiTheme="minorHAnsi" w:cs="Times New Roman"/>
          <w:sz w:val="22"/>
          <w:szCs w:val="22"/>
          <w:lang w:val="en-US"/>
        </w:rPr>
        <w:t xml:space="preserve"> the base of globally operating third parties is now rapidly growing</w:t>
      </w:r>
      <w:sdt>
        <w:sdtPr>
          <w:rPr>
            <w:rFonts w:asciiTheme="minorHAnsi" w:hAnsiTheme="minorHAnsi" w:cs="Times New Roman"/>
            <w:sz w:val="22"/>
            <w:szCs w:val="22"/>
          </w:rPr>
          <w:id w:val="11064211"/>
          <w:citation/>
        </w:sdtPr>
        <w:sdtContent>
          <w:r w:rsidR="00BD69D8" w:rsidRPr="00B31B34">
            <w:rPr>
              <w:rFonts w:asciiTheme="minorHAnsi" w:hAnsiTheme="minorHAnsi" w:cs="Times New Roman"/>
              <w:sz w:val="22"/>
              <w:szCs w:val="22"/>
            </w:rPr>
            <w:fldChar w:fldCharType="begin"/>
          </w:r>
          <w:r w:rsidRPr="00B31B34">
            <w:rPr>
              <w:rFonts w:asciiTheme="minorHAnsi" w:hAnsiTheme="minorHAnsi" w:cs="Times New Roman"/>
              <w:sz w:val="22"/>
              <w:szCs w:val="22"/>
              <w:lang w:val="en-US"/>
            </w:rPr>
            <w:instrText xml:space="preserve"> CITATION Boy99 \l 1033 </w:instrText>
          </w:r>
          <w:r w:rsidR="00BD69D8" w:rsidRPr="00B31B34">
            <w:rPr>
              <w:rFonts w:asciiTheme="minorHAnsi" w:hAnsiTheme="minorHAnsi" w:cs="Times New Roman"/>
              <w:sz w:val="22"/>
              <w:szCs w:val="22"/>
            </w:rPr>
            <w:fldChar w:fldCharType="separate"/>
          </w:r>
          <w:r w:rsidR="00F26771">
            <w:rPr>
              <w:rFonts w:asciiTheme="minorHAnsi" w:hAnsiTheme="minorHAnsi" w:cs="Times New Roman"/>
              <w:noProof/>
              <w:sz w:val="22"/>
              <w:szCs w:val="22"/>
              <w:lang w:val="en-US"/>
            </w:rPr>
            <w:t xml:space="preserve"> </w:t>
          </w:r>
          <w:r w:rsidR="00F26771" w:rsidRPr="00F26771">
            <w:rPr>
              <w:rFonts w:asciiTheme="minorHAnsi" w:hAnsiTheme="minorHAnsi" w:cs="Times New Roman"/>
              <w:noProof/>
              <w:sz w:val="22"/>
              <w:szCs w:val="22"/>
              <w:lang w:val="en-US"/>
            </w:rPr>
            <w:t>(Boyson, Corsi, Dresner, &amp; Harrington, 1999)</w:t>
          </w:r>
          <w:r w:rsidR="00BD69D8" w:rsidRPr="00B31B34">
            <w:rPr>
              <w:rFonts w:asciiTheme="minorHAnsi" w:hAnsiTheme="minorHAnsi" w:cs="Times New Roman"/>
              <w:sz w:val="22"/>
              <w:szCs w:val="22"/>
            </w:rPr>
            <w:fldChar w:fldCharType="end"/>
          </w:r>
        </w:sdtContent>
      </w:sdt>
      <w:r w:rsidR="00B31B34">
        <w:rPr>
          <w:rFonts w:asciiTheme="minorHAnsi" w:hAnsiTheme="minorHAnsi" w:cs="Times New Roman"/>
          <w:sz w:val="22"/>
          <w:szCs w:val="22"/>
          <w:lang w:val="en-US"/>
        </w:rPr>
        <w:t>.</w:t>
      </w:r>
      <w:r w:rsidR="005D0771">
        <w:rPr>
          <w:rFonts w:asciiTheme="minorHAnsi" w:hAnsiTheme="minorHAnsi" w:cs="Times New Roman"/>
          <w:sz w:val="22"/>
          <w:szCs w:val="22"/>
          <w:lang w:val="en-US"/>
        </w:rPr>
        <w:t xml:space="preserve"> In 2008, the CEO’s responding once again selected further expansion of international services as the most significant opportunity for TPL providers in North America</w:t>
      </w:r>
      <w:r w:rsidR="00B31B34">
        <w:rPr>
          <w:rFonts w:asciiTheme="minorHAnsi" w:hAnsiTheme="minorHAnsi" w:cs="Times New Roman"/>
          <w:sz w:val="22"/>
          <w:szCs w:val="22"/>
          <w:lang w:val="en-US"/>
        </w:rPr>
        <w:t xml:space="preserve"> </w:t>
      </w:r>
      <w:sdt>
        <w:sdtPr>
          <w:rPr>
            <w:rFonts w:asciiTheme="minorHAnsi" w:hAnsiTheme="minorHAnsi" w:cs="Times New Roman"/>
            <w:sz w:val="22"/>
            <w:szCs w:val="22"/>
            <w:lang w:val="en-US"/>
          </w:rPr>
          <w:id w:val="5885054"/>
          <w:citation/>
        </w:sdtPr>
        <w:sdtContent>
          <w:r w:rsidR="00BD69D8">
            <w:rPr>
              <w:rFonts w:asciiTheme="minorHAnsi" w:hAnsiTheme="minorHAnsi" w:cs="Times New Roman"/>
              <w:sz w:val="22"/>
              <w:szCs w:val="22"/>
              <w:lang w:val="en-US"/>
            </w:rPr>
            <w:fldChar w:fldCharType="begin"/>
          </w:r>
          <w:r w:rsidR="005D0771">
            <w:rPr>
              <w:rFonts w:asciiTheme="minorHAnsi" w:hAnsiTheme="minorHAnsi" w:cs="Times New Roman"/>
              <w:sz w:val="22"/>
              <w:szCs w:val="22"/>
              <w:lang w:val="en-US"/>
            </w:rPr>
            <w:instrText xml:space="preserve"> CITATION Lie08 \t  \l 1033  </w:instrText>
          </w:r>
          <w:r w:rsidR="00BD69D8">
            <w:rPr>
              <w:rFonts w:asciiTheme="minorHAnsi" w:hAnsiTheme="minorHAnsi" w:cs="Times New Roman"/>
              <w:sz w:val="22"/>
              <w:szCs w:val="22"/>
              <w:lang w:val="en-US"/>
            </w:rPr>
            <w:fldChar w:fldCharType="separate"/>
          </w:r>
          <w:r w:rsidR="00F26771" w:rsidRPr="00F26771">
            <w:rPr>
              <w:rFonts w:asciiTheme="minorHAnsi" w:hAnsiTheme="minorHAnsi" w:cs="Times New Roman"/>
              <w:noProof/>
              <w:sz w:val="22"/>
              <w:szCs w:val="22"/>
              <w:lang w:val="en-US"/>
            </w:rPr>
            <w:t>(Lieb &amp; Lieb, 2008)</w:t>
          </w:r>
          <w:r w:rsidR="00BD69D8">
            <w:rPr>
              <w:rFonts w:asciiTheme="minorHAnsi" w:hAnsiTheme="minorHAnsi" w:cs="Times New Roman"/>
              <w:sz w:val="22"/>
              <w:szCs w:val="22"/>
              <w:lang w:val="en-US"/>
            </w:rPr>
            <w:fldChar w:fldCharType="end"/>
          </w:r>
        </w:sdtContent>
      </w:sdt>
      <w:r w:rsidR="005D0771">
        <w:rPr>
          <w:rFonts w:asciiTheme="minorHAnsi" w:hAnsiTheme="minorHAnsi" w:cs="Times New Roman"/>
          <w:sz w:val="22"/>
          <w:szCs w:val="22"/>
          <w:lang w:val="en-US"/>
        </w:rPr>
        <w:t xml:space="preserve">. Surprisingly, in 2009 and 2010 this expansion of international services wasn’t </w:t>
      </w:r>
      <w:r w:rsidR="0063114A">
        <w:rPr>
          <w:rFonts w:asciiTheme="minorHAnsi" w:hAnsiTheme="minorHAnsi" w:cs="Times New Roman"/>
          <w:sz w:val="22"/>
          <w:szCs w:val="22"/>
          <w:lang w:val="en-US"/>
        </w:rPr>
        <w:t xml:space="preserve">among his top 5 of mentioned opportunities for the TPL industry. </w:t>
      </w:r>
      <w:r w:rsidRPr="001918CA">
        <w:rPr>
          <w:rFonts w:asciiTheme="minorHAnsi" w:hAnsiTheme="minorHAnsi" w:cs="Times New Roman"/>
          <w:sz w:val="22"/>
          <w:szCs w:val="22"/>
          <w:lang w:val="en-US"/>
        </w:rPr>
        <w:t xml:space="preserve">Peters et al. (1998) found empirical data on the development of European </w:t>
      </w:r>
      <w:r w:rsidR="000A1922" w:rsidRPr="001918CA">
        <w:rPr>
          <w:rFonts w:asciiTheme="minorHAnsi" w:hAnsiTheme="minorHAnsi" w:cs="Times New Roman"/>
          <w:sz w:val="22"/>
          <w:szCs w:val="22"/>
          <w:lang w:val="en-US"/>
        </w:rPr>
        <w:t>operations by</w:t>
      </w:r>
      <w:r w:rsidRPr="001918CA">
        <w:rPr>
          <w:rFonts w:asciiTheme="minorHAnsi" w:hAnsiTheme="minorHAnsi" w:cs="Times New Roman"/>
          <w:sz w:val="22"/>
          <w:szCs w:val="22"/>
          <w:lang w:val="en-US"/>
        </w:rPr>
        <w:t xml:space="preserve"> American TPL providers clarifying that there are just a few of those companies present in Europe.  A survey conducted under 137 TPL providers in The Netherlands and Belgium revealed that about 80% of turnover is realized within Northwestern-Europe and thus in de direct proximity of the respondents </w:t>
      </w:r>
      <w:sdt>
        <w:sdtPr>
          <w:rPr>
            <w:rFonts w:asciiTheme="minorHAnsi" w:hAnsiTheme="minorHAnsi" w:cs="Times New Roman"/>
            <w:sz w:val="22"/>
            <w:szCs w:val="22"/>
          </w:rPr>
          <w:id w:val="11064212"/>
          <w:citation/>
        </w:sdtPr>
        <w:sdtContent>
          <w:r w:rsidR="00BD69D8" w:rsidRPr="00B31B34">
            <w:rPr>
              <w:rFonts w:asciiTheme="minorHAnsi" w:hAnsiTheme="minorHAnsi" w:cs="Times New Roman"/>
              <w:sz w:val="22"/>
              <w:szCs w:val="22"/>
            </w:rPr>
            <w:fldChar w:fldCharType="begin"/>
          </w:r>
          <w:r w:rsidRPr="001918CA">
            <w:rPr>
              <w:rFonts w:asciiTheme="minorHAnsi" w:hAnsiTheme="minorHAnsi" w:cs="Times New Roman"/>
              <w:sz w:val="22"/>
              <w:szCs w:val="22"/>
              <w:lang w:val="en-US"/>
            </w:rPr>
            <w:instrText xml:space="preserve"> CITATION van02 \t  \l 1033  </w:instrText>
          </w:r>
          <w:r w:rsidR="00BD69D8" w:rsidRPr="00B31B34">
            <w:rPr>
              <w:rFonts w:asciiTheme="minorHAnsi" w:hAnsiTheme="minorHAnsi" w:cs="Times New Roman"/>
              <w:sz w:val="22"/>
              <w:szCs w:val="22"/>
            </w:rPr>
            <w:fldChar w:fldCharType="separate"/>
          </w:r>
          <w:r w:rsidR="00F26771" w:rsidRPr="00F26771">
            <w:rPr>
              <w:rFonts w:asciiTheme="minorHAnsi" w:hAnsiTheme="minorHAnsi" w:cs="Times New Roman"/>
              <w:noProof/>
              <w:sz w:val="22"/>
              <w:szCs w:val="22"/>
              <w:lang w:val="en-US"/>
            </w:rPr>
            <w:t>(van Hoek R. I., 2000)</w:t>
          </w:r>
          <w:r w:rsidR="00BD69D8" w:rsidRPr="00B31B34">
            <w:rPr>
              <w:rFonts w:asciiTheme="minorHAnsi" w:hAnsiTheme="minorHAnsi" w:cs="Times New Roman"/>
              <w:sz w:val="22"/>
              <w:szCs w:val="22"/>
            </w:rPr>
            <w:fldChar w:fldCharType="end"/>
          </w:r>
        </w:sdtContent>
      </w:sdt>
      <w:r w:rsidRPr="001918CA">
        <w:rPr>
          <w:rFonts w:asciiTheme="minorHAnsi" w:hAnsiTheme="minorHAnsi" w:cs="Times New Roman"/>
          <w:sz w:val="22"/>
          <w:szCs w:val="22"/>
          <w:lang w:val="en-US"/>
        </w:rPr>
        <w:t>.</w:t>
      </w:r>
      <w:r w:rsidR="006A18ED" w:rsidRPr="001918CA">
        <w:rPr>
          <w:rFonts w:asciiTheme="minorHAnsi" w:hAnsiTheme="minorHAnsi" w:cs="Times New Roman"/>
          <w:sz w:val="22"/>
          <w:szCs w:val="22"/>
          <w:lang w:val="en-US"/>
        </w:rPr>
        <w:t xml:space="preserve"> This seems to indicate that</w:t>
      </w:r>
      <w:r w:rsidR="00D34854" w:rsidRPr="001918CA">
        <w:rPr>
          <w:rFonts w:asciiTheme="minorHAnsi" w:hAnsiTheme="minorHAnsi" w:cs="Times New Roman"/>
          <w:sz w:val="22"/>
          <w:szCs w:val="22"/>
          <w:lang w:val="en-US"/>
        </w:rPr>
        <w:t xml:space="preserve"> TPL providers don’t have an actual global focus. Given the nature of the service provided and the fact that buyers of TPL services want access to new markets through TPL </w:t>
      </w:r>
      <w:r w:rsidR="000A1922" w:rsidRPr="001918CA">
        <w:rPr>
          <w:rFonts w:asciiTheme="minorHAnsi" w:hAnsiTheme="minorHAnsi" w:cs="Times New Roman"/>
          <w:sz w:val="22"/>
          <w:szCs w:val="22"/>
          <w:lang w:val="en-US"/>
        </w:rPr>
        <w:t>providers’</w:t>
      </w:r>
      <w:r w:rsidR="00D34854" w:rsidRPr="001918CA">
        <w:rPr>
          <w:rFonts w:asciiTheme="minorHAnsi" w:hAnsiTheme="minorHAnsi" w:cs="Times New Roman"/>
          <w:sz w:val="22"/>
          <w:szCs w:val="22"/>
          <w:lang w:val="en-US"/>
        </w:rPr>
        <w:t xml:space="preserve"> network, TPL firms would expected to internationalize through their customers. Peters et al</w:t>
      </w:r>
      <w:r w:rsidR="000A1922" w:rsidRPr="001918CA">
        <w:rPr>
          <w:rFonts w:asciiTheme="minorHAnsi" w:hAnsiTheme="minorHAnsi" w:cs="Times New Roman"/>
          <w:sz w:val="22"/>
          <w:szCs w:val="22"/>
          <w:lang w:val="en-US"/>
        </w:rPr>
        <w:t>. (</w:t>
      </w:r>
      <w:r w:rsidR="00D34854" w:rsidRPr="001918CA">
        <w:rPr>
          <w:rFonts w:asciiTheme="minorHAnsi" w:hAnsiTheme="minorHAnsi" w:cs="Times New Roman"/>
          <w:sz w:val="22"/>
          <w:szCs w:val="22"/>
          <w:lang w:val="en-US"/>
        </w:rPr>
        <w:t>1998) argues that:</w:t>
      </w:r>
    </w:p>
    <w:p w:rsidR="00D34854" w:rsidRPr="00D34854" w:rsidRDefault="00D34854" w:rsidP="00D34854">
      <w:pPr>
        <w:autoSpaceDE w:val="0"/>
        <w:autoSpaceDN w:val="0"/>
        <w:adjustRightInd w:val="0"/>
        <w:spacing w:before="0" w:after="0" w:line="360" w:lineRule="auto"/>
        <w:ind w:left="708"/>
        <w:jc w:val="both"/>
        <w:rPr>
          <w:rFonts w:cs="Times New Roman"/>
          <w:i/>
          <w:sz w:val="22"/>
          <w:szCs w:val="22"/>
          <w:lang w:bidi="ar-SA"/>
        </w:rPr>
      </w:pPr>
      <w:r w:rsidRPr="00D34854">
        <w:rPr>
          <w:rFonts w:cs="Times New Roman"/>
          <w:i/>
          <w:sz w:val="22"/>
          <w:szCs w:val="22"/>
          <w:lang w:bidi="ar-SA"/>
        </w:rPr>
        <w:t>the global expansion of the European TPL industry is not surprising. Providers in this industry are often urged by their larger customers to expand into foreign markets to support the customers' international sourcing and distribution activities. The reward for doing so is generally contracts in those countries; the penalty for not expanding into those countries is often the loss of the domestic account. (p. 5)</w:t>
      </w:r>
    </w:p>
    <w:p w:rsidR="003C6872" w:rsidRDefault="00D34854" w:rsidP="00C5182B">
      <w:pPr>
        <w:autoSpaceDE w:val="0"/>
        <w:autoSpaceDN w:val="0"/>
        <w:adjustRightInd w:val="0"/>
        <w:spacing w:before="0" w:line="360" w:lineRule="auto"/>
        <w:jc w:val="both"/>
        <w:rPr>
          <w:rFonts w:cs="Times New Roman"/>
          <w:sz w:val="22"/>
          <w:szCs w:val="22"/>
          <w:lang w:bidi="ar-SA"/>
        </w:rPr>
      </w:pPr>
      <w:r w:rsidRPr="00D34854">
        <w:rPr>
          <w:rFonts w:cs="Times New Roman"/>
          <w:sz w:val="22"/>
          <w:szCs w:val="22"/>
          <w:lang w:bidi="ar-SA"/>
        </w:rPr>
        <w:t>In this way</w:t>
      </w:r>
      <w:r>
        <w:rPr>
          <w:rFonts w:cs="Times New Roman"/>
          <w:sz w:val="22"/>
          <w:szCs w:val="22"/>
          <w:lang w:bidi="ar-SA"/>
        </w:rPr>
        <w:t xml:space="preserve"> both parties involved </w:t>
      </w:r>
      <w:r w:rsidR="0078369B">
        <w:rPr>
          <w:rFonts w:cs="Times New Roman"/>
          <w:sz w:val="22"/>
          <w:szCs w:val="22"/>
          <w:lang w:bidi="ar-SA"/>
        </w:rPr>
        <w:t>could</w:t>
      </w:r>
      <w:r>
        <w:rPr>
          <w:rFonts w:cs="Times New Roman"/>
          <w:sz w:val="22"/>
          <w:szCs w:val="22"/>
          <w:lang w:bidi="ar-SA"/>
        </w:rPr>
        <w:t xml:space="preserve"> contribut</w:t>
      </w:r>
      <w:r w:rsidR="0078369B">
        <w:rPr>
          <w:rFonts w:cs="Times New Roman"/>
          <w:sz w:val="22"/>
          <w:szCs w:val="22"/>
          <w:lang w:bidi="ar-SA"/>
        </w:rPr>
        <w:t>e</w:t>
      </w:r>
      <w:r>
        <w:rPr>
          <w:rFonts w:cs="Times New Roman"/>
          <w:sz w:val="22"/>
          <w:szCs w:val="22"/>
          <w:lang w:bidi="ar-SA"/>
        </w:rPr>
        <w:t xml:space="preserve"> to each</w:t>
      </w:r>
      <w:r w:rsidR="0078369B">
        <w:rPr>
          <w:rFonts w:cs="Times New Roman"/>
          <w:sz w:val="22"/>
          <w:szCs w:val="22"/>
          <w:lang w:bidi="ar-SA"/>
        </w:rPr>
        <w:t xml:space="preserve"> others’ international development. But in practice, this isn’t happening. Most studies conducted show that firms use different providers in different regions since no firm can really operate and cover the whole world with high quality</w:t>
      </w:r>
      <w:r w:rsidR="00A13C32">
        <w:rPr>
          <w:rFonts w:cs="Times New Roman"/>
          <w:sz w:val="22"/>
          <w:szCs w:val="22"/>
          <w:lang w:bidi="ar-SA"/>
        </w:rPr>
        <w:t xml:space="preserve">. </w:t>
      </w:r>
      <w:r w:rsidR="00EA4EC8">
        <w:rPr>
          <w:rFonts w:cs="Times New Roman"/>
          <w:sz w:val="22"/>
          <w:szCs w:val="22"/>
          <w:lang w:bidi="ar-SA"/>
        </w:rPr>
        <w:t>T</w:t>
      </w:r>
      <w:r w:rsidR="00A13C32">
        <w:rPr>
          <w:rFonts w:cs="Times New Roman"/>
          <w:sz w:val="22"/>
          <w:szCs w:val="22"/>
          <w:lang w:bidi="ar-SA"/>
        </w:rPr>
        <w:t>he extent in which TPL providers can use their international partners for providing worldwide services also influences the degree of internationalization TPL providers</w:t>
      </w:r>
      <w:sdt>
        <w:sdtPr>
          <w:rPr>
            <w:rFonts w:cs="Times New Roman"/>
            <w:sz w:val="22"/>
            <w:szCs w:val="22"/>
            <w:lang w:bidi="ar-SA"/>
          </w:rPr>
          <w:id w:val="11064215"/>
          <w:citation/>
        </w:sdtPr>
        <w:sdtContent>
          <w:r w:rsidR="00BD69D8">
            <w:rPr>
              <w:rFonts w:cs="Times New Roman"/>
              <w:sz w:val="22"/>
              <w:szCs w:val="22"/>
              <w:lang w:bidi="ar-SA"/>
            </w:rPr>
            <w:fldChar w:fldCharType="begin"/>
          </w:r>
          <w:r w:rsidR="00A13C32">
            <w:rPr>
              <w:rFonts w:cs="Times New Roman"/>
              <w:sz w:val="22"/>
              <w:szCs w:val="22"/>
              <w:lang w:bidi="ar-SA"/>
            </w:rPr>
            <w:instrText xml:space="preserve"> CITATION Her03 \l 1033 </w:instrText>
          </w:r>
          <w:r w:rsidR="00BD69D8">
            <w:rPr>
              <w:rFonts w:cs="Times New Roman"/>
              <w:sz w:val="22"/>
              <w:szCs w:val="22"/>
              <w:lang w:bidi="ar-SA"/>
            </w:rPr>
            <w:fldChar w:fldCharType="separate"/>
          </w:r>
          <w:r w:rsidR="00F26771">
            <w:rPr>
              <w:rFonts w:cs="Times New Roman"/>
              <w:noProof/>
              <w:sz w:val="22"/>
              <w:szCs w:val="22"/>
              <w:lang w:bidi="ar-SA"/>
            </w:rPr>
            <w:t xml:space="preserve"> </w:t>
          </w:r>
          <w:r w:rsidR="00F26771" w:rsidRPr="00F26771">
            <w:rPr>
              <w:rFonts w:cs="Times New Roman"/>
              <w:noProof/>
              <w:sz w:val="22"/>
              <w:szCs w:val="22"/>
              <w:lang w:bidi="ar-SA"/>
            </w:rPr>
            <w:t>(Hertz &amp; Alfredsson, 2003)</w:t>
          </w:r>
          <w:r w:rsidR="00BD69D8">
            <w:rPr>
              <w:rFonts w:cs="Times New Roman"/>
              <w:sz w:val="22"/>
              <w:szCs w:val="22"/>
              <w:lang w:bidi="ar-SA"/>
            </w:rPr>
            <w:fldChar w:fldCharType="end"/>
          </w:r>
        </w:sdtContent>
      </w:sdt>
      <w:r w:rsidR="00A13C32">
        <w:rPr>
          <w:rFonts w:cs="Times New Roman"/>
          <w:sz w:val="22"/>
          <w:szCs w:val="22"/>
          <w:lang w:bidi="ar-SA"/>
        </w:rPr>
        <w:t>. Summarizing, geographical limitations</w:t>
      </w:r>
      <w:r w:rsidR="00EA4EC8">
        <w:rPr>
          <w:rFonts w:cs="Times New Roman"/>
          <w:sz w:val="22"/>
          <w:szCs w:val="22"/>
          <w:lang w:bidi="ar-SA"/>
        </w:rPr>
        <w:t xml:space="preserve"> still seem to play</w:t>
      </w:r>
      <w:r w:rsidR="00A13C32">
        <w:rPr>
          <w:rFonts w:cs="Times New Roman"/>
          <w:sz w:val="22"/>
          <w:szCs w:val="22"/>
          <w:lang w:bidi="ar-SA"/>
        </w:rPr>
        <w:t xml:space="preserve"> </w:t>
      </w:r>
      <w:r w:rsidR="000A1922">
        <w:rPr>
          <w:rFonts w:cs="Times New Roman"/>
          <w:sz w:val="22"/>
          <w:szCs w:val="22"/>
          <w:lang w:bidi="ar-SA"/>
        </w:rPr>
        <w:t>a</w:t>
      </w:r>
      <w:r w:rsidR="00A13C32">
        <w:rPr>
          <w:rFonts w:cs="Times New Roman"/>
          <w:sz w:val="22"/>
          <w:szCs w:val="22"/>
          <w:lang w:bidi="ar-SA"/>
        </w:rPr>
        <w:t xml:space="preserve"> vital role in developing business. </w:t>
      </w:r>
      <w:r w:rsidR="008C6BDD">
        <w:rPr>
          <w:rFonts w:cs="Times New Roman"/>
          <w:sz w:val="22"/>
          <w:szCs w:val="22"/>
          <w:lang w:bidi="ar-SA"/>
        </w:rPr>
        <w:t xml:space="preserve"> Maybe regional awareness is </w:t>
      </w:r>
      <w:r w:rsidR="000A1922">
        <w:rPr>
          <w:rFonts w:cs="Times New Roman"/>
          <w:sz w:val="22"/>
          <w:szCs w:val="22"/>
          <w:lang w:bidi="ar-SA"/>
        </w:rPr>
        <w:t>just an</w:t>
      </w:r>
      <w:r w:rsidR="008C6BDD">
        <w:rPr>
          <w:rFonts w:cs="Times New Roman"/>
          <w:sz w:val="22"/>
          <w:szCs w:val="22"/>
          <w:lang w:bidi="ar-SA"/>
        </w:rPr>
        <w:t xml:space="preserve"> important asset as knowledge/experience of </w:t>
      </w:r>
      <w:r w:rsidR="000A1922">
        <w:rPr>
          <w:rFonts w:cs="Times New Roman"/>
          <w:sz w:val="22"/>
          <w:szCs w:val="22"/>
          <w:lang w:bidi="ar-SA"/>
        </w:rPr>
        <w:t>a</w:t>
      </w:r>
      <w:r w:rsidR="008C6BDD">
        <w:rPr>
          <w:rFonts w:cs="Times New Roman"/>
          <w:sz w:val="22"/>
          <w:szCs w:val="22"/>
          <w:lang w:bidi="ar-SA"/>
        </w:rPr>
        <w:t xml:space="preserve"> TPL provider servicin</w:t>
      </w:r>
      <w:r w:rsidR="00EA4EC8">
        <w:rPr>
          <w:rFonts w:cs="Times New Roman"/>
          <w:sz w:val="22"/>
          <w:szCs w:val="22"/>
          <w:lang w:bidi="ar-SA"/>
        </w:rPr>
        <w:t xml:space="preserve">g a certain industry. </w:t>
      </w:r>
      <w:r w:rsidR="008C6BDD">
        <w:rPr>
          <w:rFonts w:cs="Times New Roman"/>
          <w:sz w:val="22"/>
          <w:szCs w:val="22"/>
          <w:lang w:bidi="ar-SA"/>
        </w:rPr>
        <w:t xml:space="preserve">TPL providers </w:t>
      </w:r>
      <w:r w:rsidR="00EA4EC8">
        <w:rPr>
          <w:rFonts w:cs="Times New Roman"/>
          <w:sz w:val="22"/>
          <w:szCs w:val="22"/>
          <w:lang w:bidi="ar-SA"/>
        </w:rPr>
        <w:t xml:space="preserve">sometimes </w:t>
      </w:r>
      <w:r w:rsidR="008C6BDD">
        <w:rPr>
          <w:rFonts w:cs="Times New Roman"/>
          <w:sz w:val="22"/>
          <w:szCs w:val="22"/>
          <w:lang w:bidi="ar-SA"/>
        </w:rPr>
        <w:t xml:space="preserve">agree certain buyer-supplier relationships for other reasons than the highest margin. Providers </w:t>
      </w:r>
      <w:r w:rsidR="00EA4EC8">
        <w:rPr>
          <w:rFonts w:cs="Times New Roman"/>
          <w:sz w:val="22"/>
          <w:szCs w:val="22"/>
          <w:lang w:bidi="ar-SA"/>
        </w:rPr>
        <w:t>could</w:t>
      </w:r>
      <w:r w:rsidR="008C6BDD">
        <w:rPr>
          <w:rFonts w:cs="Times New Roman"/>
          <w:sz w:val="22"/>
          <w:szCs w:val="22"/>
          <w:lang w:bidi="ar-SA"/>
        </w:rPr>
        <w:t xml:space="preserve"> wish to acquire a position in a certain segment </w:t>
      </w:r>
      <w:r w:rsidR="00401A5A">
        <w:rPr>
          <w:rFonts w:cs="Times New Roman"/>
          <w:sz w:val="22"/>
          <w:szCs w:val="22"/>
          <w:lang w:bidi="ar-SA"/>
        </w:rPr>
        <w:t>or industries’ supply chain for obtaining specific knowledge and experience about that market, which can be marketed later on thereby developing their business</w:t>
      </w:r>
      <w:r w:rsidR="00C5182B">
        <w:rPr>
          <w:rFonts w:cs="Times New Roman"/>
          <w:sz w:val="22"/>
          <w:szCs w:val="22"/>
          <w:lang w:bidi="ar-SA"/>
        </w:rPr>
        <w:t>.</w:t>
      </w:r>
      <w:r w:rsidR="00EA4EC8">
        <w:rPr>
          <w:rFonts w:cs="Times New Roman"/>
          <w:sz w:val="22"/>
          <w:szCs w:val="22"/>
          <w:lang w:bidi="ar-SA"/>
        </w:rPr>
        <w:t xml:space="preserve"> The same could be true for entering certain regions. Following the literature related to the geographic service area of TPL providers</w:t>
      </w:r>
      <w:r w:rsidR="006861B7">
        <w:rPr>
          <w:rFonts w:cs="Times New Roman"/>
          <w:sz w:val="22"/>
          <w:szCs w:val="22"/>
          <w:lang w:bidi="ar-SA"/>
        </w:rPr>
        <w:t>, the sub-questing listed below is formulated:</w:t>
      </w:r>
    </w:p>
    <w:tbl>
      <w:tblPr>
        <w:tblStyle w:val="Lichtearcering-accent6"/>
        <w:tblW w:w="0" w:type="auto"/>
        <w:tblLook w:val="04A0"/>
      </w:tblPr>
      <w:tblGrid>
        <w:gridCol w:w="9212"/>
      </w:tblGrid>
      <w:tr w:rsidR="008E06AD" w:rsidTr="00FE4362">
        <w:trPr>
          <w:cnfStyle w:val="100000000000"/>
        </w:trPr>
        <w:tc>
          <w:tcPr>
            <w:cnfStyle w:val="001000000000"/>
            <w:tcW w:w="9212" w:type="dxa"/>
          </w:tcPr>
          <w:p w:rsidR="008E06AD" w:rsidRPr="0064502E" w:rsidRDefault="008E06AD" w:rsidP="00FE4362">
            <w:pPr>
              <w:autoSpaceDE w:val="0"/>
              <w:autoSpaceDN w:val="0"/>
              <w:adjustRightInd w:val="0"/>
              <w:spacing w:line="360" w:lineRule="auto"/>
              <w:jc w:val="center"/>
              <w:rPr>
                <w:rFonts w:asciiTheme="majorHAnsi" w:hAnsiTheme="majorHAnsi" w:cs="Times New Roman"/>
                <w:i/>
                <w:sz w:val="22"/>
                <w:szCs w:val="22"/>
                <w:lang w:bidi="ar-SA"/>
              </w:rPr>
            </w:pPr>
            <w:r w:rsidRPr="0064502E">
              <w:rPr>
                <w:rFonts w:asciiTheme="majorHAnsi" w:hAnsiTheme="majorHAnsi" w:cs="Times New Roman"/>
                <w:i/>
                <w:sz w:val="22"/>
                <w:szCs w:val="22"/>
                <w:lang w:bidi="ar-SA"/>
              </w:rPr>
              <w:t>‘’What is the geographic service area of TPL providers</w:t>
            </w:r>
            <w:r w:rsidR="00D748A1" w:rsidRPr="0064502E">
              <w:rPr>
                <w:rFonts w:asciiTheme="majorHAnsi" w:hAnsiTheme="majorHAnsi" w:cs="Times New Roman"/>
                <w:i/>
                <w:sz w:val="22"/>
                <w:szCs w:val="22"/>
                <w:lang w:bidi="ar-SA"/>
              </w:rPr>
              <w:t>?</w:t>
            </w:r>
            <w:r w:rsidRPr="0064502E">
              <w:rPr>
                <w:rFonts w:asciiTheme="majorHAnsi" w:hAnsiTheme="majorHAnsi" w:cs="Times New Roman"/>
                <w:i/>
                <w:sz w:val="22"/>
                <w:szCs w:val="22"/>
                <w:lang w:bidi="ar-SA"/>
              </w:rPr>
              <w:t>’’</w:t>
            </w:r>
          </w:p>
        </w:tc>
      </w:tr>
    </w:tbl>
    <w:p w:rsidR="00CA0E4B" w:rsidRDefault="00CA0E4B" w:rsidP="00E00276">
      <w:pPr>
        <w:rPr>
          <w:rFonts w:cs="Times New Roman"/>
          <w:sz w:val="22"/>
          <w:szCs w:val="22"/>
          <w:lang w:bidi="ar-SA"/>
        </w:rPr>
      </w:pPr>
    </w:p>
    <w:p w:rsidR="006E2D8A" w:rsidRPr="00CA0E4B" w:rsidRDefault="00A10C64" w:rsidP="00CA0E4B">
      <w:pPr>
        <w:pStyle w:val="Kop2"/>
        <w:numPr>
          <w:ilvl w:val="1"/>
          <w:numId w:val="13"/>
        </w:numPr>
        <w:spacing w:after="240"/>
        <w:rPr>
          <w:rFonts w:asciiTheme="majorHAnsi" w:hAnsiTheme="majorHAnsi"/>
          <w:lang w:bidi="ar-SA"/>
        </w:rPr>
      </w:pPr>
      <w:bookmarkStart w:id="17" w:name="_Toc300411991"/>
      <w:r w:rsidRPr="004A1087">
        <w:rPr>
          <w:rFonts w:asciiTheme="majorHAnsi" w:hAnsiTheme="majorHAnsi"/>
          <w:lang w:bidi="ar-SA"/>
        </w:rPr>
        <w:lastRenderedPageBreak/>
        <w:t>TPL providers’</w:t>
      </w:r>
      <w:r w:rsidR="00673AB5" w:rsidRPr="004A1087">
        <w:rPr>
          <w:rFonts w:asciiTheme="majorHAnsi" w:hAnsiTheme="majorHAnsi"/>
          <w:lang w:bidi="ar-SA"/>
        </w:rPr>
        <w:t xml:space="preserve"> capabilities and </w:t>
      </w:r>
      <w:r w:rsidRPr="004A1087">
        <w:rPr>
          <w:rFonts w:asciiTheme="majorHAnsi" w:hAnsiTheme="majorHAnsi"/>
          <w:lang w:bidi="ar-SA"/>
        </w:rPr>
        <w:t xml:space="preserve">the role of </w:t>
      </w:r>
      <w:r w:rsidR="00673AB5" w:rsidRPr="004A1087">
        <w:rPr>
          <w:rFonts w:asciiTheme="majorHAnsi" w:hAnsiTheme="majorHAnsi"/>
          <w:lang w:bidi="ar-SA"/>
        </w:rPr>
        <w:t>path dependency</w:t>
      </w:r>
      <w:bookmarkEnd w:id="17"/>
    </w:p>
    <w:p w:rsidR="001506D3" w:rsidRDefault="00A10C64" w:rsidP="00A84EBB">
      <w:pPr>
        <w:autoSpaceDE w:val="0"/>
        <w:autoSpaceDN w:val="0"/>
        <w:adjustRightInd w:val="0"/>
        <w:spacing w:before="0" w:line="360" w:lineRule="auto"/>
        <w:jc w:val="both"/>
        <w:rPr>
          <w:rFonts w:cs="Times New Roman"/>
          <w:sz w:val="22"/>
          <w:szCs w:val="22"/>
        </w:rPr>
      </w:pPr>
      <w:r>
        <w:rPr>
          <w:rFonts w:cs="GaramondPage0a"/>
          <w:sz w:val="22"/>
          <w:szCs w:val="22"/>
          <w:lang w:bidi="ar-SA"/>
        </w:rPr>
        <w:t xml:space="preserve">Capability </w:t>
      </w:r>
      <w:r w:rsidR="000A1922">
        <w:rPr>
          <w:rFonts w:cs="GaramondPage0a"/>
          <w:sz w:val="22"/>
          <w:szCs w:val="22"/>
          <w:lang w:bidi="ar-SA"/>
        </w:rPr>
        <w:t>is a</w:t>
      </w:r>
      <w:r w:rsidR="00A84EBB">
        <w:rPr>
          <w:rFonts w:cs="GaramondPage0a"/>
          <w:sz w:val="22"/>
          <w:szCs w:val="22"/>
          <w:lang w:bidi="ar-SA"/>
        </w:rPr>
        <w:t xml:space="preserve"> bit </w:t>
      </w:r>
      <w:r>
        <w:rPr>
          <w:rFonts w:cs="GaramondPage0a"/>
          <w:sz w:val="22"/>
          <w:szCs w:val="22"/>
          <w:lang w:bidi="ar-SA"/>
        </w:rPr>
        <w:t xml:space="preserve">of a </w:t>
      </w:r>
      <w:r w:rsidR="00A84EBB">
        <w:rPr>
          <w:rFonts w:cs="GaramondPage0a"/>
          <w:sz w:val="22"/>
          <w:szCs w:val="22"/>
          <w:lang w:bidi="ar-SA"/>
        </w:rPr>
        <w:t xml:space="preserve">vague term. </w:t>
      </w:r>
      <w:r w:rsidR="00A84EBB">
        <w:rPr>
          <w:rFonts w:cs="GaramondPage0a"/>
          <w:noProof/>
          <w:sz w:val="22"/>
          <w:szCs w:val="22"/>
          <w:lang w:bidi="ar-SA"/>
        </w:rPr>
        <w:t>According to Dosi, Nelson &amp; Winter (</w:t>
      </w:r>
      <w:r w:rsidR="00A84EBB" w:rsidRPr="00A84EBB">
        <w:rPr>
          <w:rFonts w:cs="GaramondPage0a"/>
          <w:noProof/>
          <w:sz w:val="22"/>
          <w:szCs w:val="22"/>
          <w:lang w:bidi="ar-SA"/>
        </w:rPr>
        <w:t>2000)</w:t>
      </w:r>
      <w:r w:rsidR="00A84EBB">
        <w:rPr>
          <w:rFonts w:cs="GaramondPage0a"/>
          <w:noProof/>
          <w:sz w:val="22"/>
          <w:szCs w:val="22"/>
          <w:lang w:bidi="ar-SA"/>
        </w:rPr>
        <w:t xml:space="preserve"> to be capable of some thing is to have “</w:t>
      </w:r>
      <w:r w:rsidR="00A84EBB" w:rsidRPr="00A84EBB">
        <w:rPr>
          <w:rFonts w:cs="GaramondPage0a"/>
          <w:i/>
          <w:sz w:val="22"/>
          <w:szCs w:val="22"/>
          <w:lang w:bidi="ar-SA"/>
        </w:rPr>
        <w:t xml:space="preserve">a generally reliable capacity to bring that thing about as a result of intended </w:t>
      </w:r>
      <w:r w:rsidR="00772FEE">
        <w:rPr>
          <w:rFonts w:cs="GaramondPage0a"/>
          <w:i/>
          <w:sz w:val="22"/>
          <w:szCs w:val="22"/>
          <w:lang w:bidi="ar-SA"/>
        </w:rPr>
        <w:t xml:space="preserve">action. </w:t>
      </w:r>
      <w:r w:rsidR="00A84EBB" w:rsidRPr="00A84EBB">
        <w:rPr>
          <w:rFonts w:cs="GaramondPage0a"/>
          <w:i/>
          <w:sz w:val="22"/>
          <w:szCs w:val="22"/>
          <w:lang w:bidi="ar-SA"/>
        </w:rPr>
        <w:t xml:space="preserve">Capabilities </w:t>
      </w:r>
      <w:r w:rsidR="00A84EBB" w:rsidRPr="00A84EBB">
        <w:rPr>
          <w:rFonts w:cs="GaramondPage0b"/>
          <w:i/>
          <w:sz w:val="22"/>
          <w:szCs w:val="22"/>
          <w:lang w:bidi="ar-SA"/>
        </w:rPr>
        <w:t>fi</w:t>
      </w:r>
      <w:r w:rsidR="00A84EBB" w:rsidRPr="00A84EBB">
        <w:rPr>
          <w:rFonts w:cs="GaramondPage0a"/>
          <w:i/>
          <w:sz w:val="22"/>
          <w:szCs w:val="22"/>
          <w:lang w:bidi="ar-SA"/>
        </w:rPr>
        <w:t>ll the gap between intention and outcome</w:t>
      </w:r>
      <w:r w:rsidR="00A84EBB">
        <w:rPr>
          <w:rFonts w:cs="GaramondPage0a"/>
          <w:i/>
          <w:sz w:val="22"/>
          <w:szCs w:val="22"/>
          <w:lang w:bidi="ar-SA"/>
        </w:rPr>
        <w:t>’’</w:t>
      </w:r>
      <w:r w:rsidR="00772FEE">
        <w:rPr>
          <w:rFonts w:cs="GaramondPage0a"/>
          <w:i/>
          <w:sz w:val="22"/>
          <w:szCs w:val="22"/>
          <w:lang w:bidi="ar-SA"/>
        </w:rPr>
        <w:t xml:space="preserve"> </w:t>
      </w:r>
      <w:r w:rsidR="00A84EBB">
        <w:rPr>
          <w:rFonts w:cs="GaramondPage0a"/>
          <w:sz w:val="22"/>
          <w:szCs w:val="22"/>
          <w:lang w:bidi="ar-SA"/>
        </w:rPr>
        <w:t>(p. 17)</w:t>
      </w:r>
      <w:r w:rsidR="00A84EBB" w:rsidRPr="00A84EBB">
        <w:rPr>
          <w:rFonts w:cs="GaramondPage0a"/>
          <w:i/>
          <w:sz w:val="22"/>
          <w:szCs w:val="22"/>
          <w:lang w:bidi="ar-SA"/>
        </w:rPr>
        <w:t>.</w:t>
      </w:r>
      <w:r w:rsidR="00A84EBB">
        <w:rPr>
          <w:rFonts w:cs="GaramondPage0a"/>
          <w:i/>
          <w:sz w:val="22"/>
          <w:szCs w:val="22"/>
          <w:lang w:bidi="ar-SA"/>
        </w:rPr>
        <w:t xml:space="preserve"> </w:t>
      </w:r>
      <w:r w:rsidR="00A84EBB">
        <w:rPr>
          <w:rFonts w:cs="GaramondPage0a"/>
          <w:sz w:val="22"/>
          <w:szCs w:val="22"/>
          <w:lang w:bidi="ar-SA"/>
        </w:rPr>
        <w:t>R</w:t>
      </w:r>
      <w:r w:rsidR="001506D3" w:rsidRPr="00A84EBB">
        <w:rPr>
          <w:rFonts w:cs="GaramondPage0a"/>
          <w:sz w:val="22"/>
          <w:szCs w:val="22"/>
          <w:lang w:bidi="ar-SA"/>
        </w:rPr>
        <w:t>esea</w:t>
      </w:r>
      <w:r w:rsidR="00A84EBB">
        <w:rPr>
          <w:rFonts w:cs="GaramondPage0a"/>
          <w:sz w:val="22"/>
          <w:szCs w:val="22"/>
          <w:lang w:bidi="ar-SA"/>
        </w:rPr>
        <w:t>rch on capabilities is an area mostly studied</w:t>
      </w:r>
      <w:r w:rsidR="001506D3" w:rsidRPr="00A84EBB">
        <w:rPr>
          <w:rFonts w:cs="GaramondPage0a"/>
          <w:sz w:val="22"/>
          <w:szCs w:val="22"/>
          <w:lang w:bidi="ar-SA"/>
        </w:rPr>
        <w:t xml:space="preserve"> from the </w:t>
      </w:r>
      <w:r w:rsidR="001506D3" w:rsidRPr="00A84EBB">
        <w:rPr>
          <w:rFonts w:cs="GaramondPage0b"/>
          <w:sz w:val="22"/>
          <w:szCs w:val="22"/>
          <w:lang w:bidi="ar-SA"/>
        </w:rPr>
        <w:t>‘</w:t>
      </w:r>
      <w:r w:rsidR="00A84EBB">
        <w:rPr>
          <w:rFonts w:cs="GaramondPage0a"/>
          <w:sz w:val="22"/>
          <w:szCs w:val="22"/>
          <w:lang w:bidi="ar-SA"/>
        </w:rPr>
        <w:t>buyer</w:t>
      </w:r>
      <w:r w:rsidR="001506D3" w:rsidRPr="00A84EBB">
        <w:rPr>
          <w:rFonts w:cs="GaramondPage0a"/>
          <w:sz w:val="22"/>
          <w:szCs w:val="22"/>
          <w:lang w:bidi="ar-SA"/>
        </w:rPr>
        <w:t xml:space="preserve"> </w:t>
      </w:r>
      <w:r w:rsidR="000A1922" w:rsidRPr="00A84EBB">
        <w:rPr>
          <w:rFonts w:cs="GaramondPage0a"/>
          <w:sz w:val="22"/>
          <w:szCs w:val="22"/>
          <w:lang w:bidi="ar-SA"/>
        </w:rPr>
        <w:t>side</w:t>
      </w:r>
      <w:r w:rsidR="000A1922" w:rsidRPr="00A84EBB">
        <w:rPr>
          <w:rFonts w:cs="GaramondPage0b"/>
          <w:sz w:val="22"/>
          <w:szCs w:val="22"/>
          <w:lang w:bidi="ar-SA"/>
        </w:rPr>
        <w:t xml:space="preserve">’ </w:t>
      </w:r>
      <w:r w:rsidR="000A1922">
        <w:rPr>
          <w:rFonts w:cs="GaramondPage0a"/>
          <w:sz w:val="22"/>
          <w:szCs w:val="22"/>
          <w:lang w:bidi="ar-SA"/>
        </w:rPr>
        <w:t>of</w:t>
      </w:r>
      <w:r w:rsidR="00A84EBB">
        <w:rPr>
          <w:rFonts w:cs="GaramondPage0a"/>
          <w:sz w:val="22"/>
          <w:szCs w:val="22"/>
          <w:lang w:bidi="ar-SA"/>
        </w:rPr>
        <w:t xml:space="preserve"> TPL services. </w:t>
      </w:r>
      <w:r w:rsidR="000A1922">
        <w:rPr>
          <w:rFonts w:cs="AvenirLTStd-Light"/>
          <w:sz w:val="22"/>
          <w:szCs w:val="22"/>
          <w:lang w:bidi="ar-SA"/>
        </w:rPr>
        <w:t>The network model states that through a firm’s persistent interaction with other actors, valuable new resources and skills for the firm can be developed</w:t>
      </w:r>
      <w:sdt>
        <w:sdtPr>
          <w:rPr>
            <w:rFonts w:cs="AvenirLTStd-Light"/>
            <w:sz w:val="22"/>
            <w:szCs w:val="22"/>
            <w:lang w:bidi="ar-SA"/>
          </w:rPr>
          <w:id w:val="11064185"/>
          <w:citation/>
        </w:sdtPr>
        <w:sdtContent>
          <w:r w:rsidR="00BD69D8">
            <w:rPr>
              <w:rFonts w:cs="AvenirLTStd-Light"/>
              <w:sz w:val="22"/>
              <w:szCs w:val="22"/>
              <w:lang w:bidi="ar-SA"/>
            </w:rPr>
            <w:fldChar w:fldCharType="begin"/>
          </w:r>
          <w:r w:rsidR="000A1922">
            <w:rPr>
              <w:rFonts w:cs="AvenirLTStd-Light"/>
              <w:sz w:val="22"/>
              <w:szCs w:val="22"/>
              <w:lang w:bidi="ar-SA"/>
            </w:rPr>
            <w:instrText xml:space="preserve"> CITATION Skj00 \l 1033 </w:instrText>
          </w:r>
          <w:r w:rsidR="00BD69D8">
            <w:rPr>
              <w:rFonts w:cs="AvenirLTStd-Light"/>
              <w:sz w:val="22"/>
              <w:szCs w:val="22"/>
              <w:lang w:bidi="ar-SA"/>
            </w:rPr>
            <w:fldChar w:fldCharType="separate"/>
          </w:r>
          <w:r w:rsidR="00F26771">
            <w:rPr>
              <w:rFonts w:cs="AvenirLTStd-Light"/>
              <w:noProof/>
              <w:sz w:val="22"/>
              <w:szCs w:val="22"/>
              <w:lang w:bidi="ar-SA"/>
            </w:rPr>
            <w:t xml:space="preserve"> </w:t>
          </w:r>
          <w:r w:rsidR="00F26771" w:rsidRPr="00F26771">
            <w:rPr>
              <w:rFonts w:cs="AvenirLTStd-Light"/>
              <w:noProof/>
              <w:sz w:val="22"/>
              <w:szCs w:val="22"/>
              <w:lang w:bidi="ar-SA"/>
            </w:rPr>
            <w:t>(Skjott-Larsen, Third party logistics - from an interorganisational point of view, 2000)</w:t>
          </w:r>
          <w:r w:rsidR="00BD69D8">
            <w:rPr>
              <w:rFonts w:cs="AvenirLTStd-Light"/>
              <w:sz w:val="22"/>
              <w:szCs w:val="22"/>
              <w:lang w:bidi="ar-SA"/>
            </w:rPr>
            <w:fldChar w:fldCharType="end"/>
          </w:r>
        </w:sdtContent>
      </w:sdt>
      <w:r w:rsidR="000A1922">
        <w:rPr>
          <w:rFonts w:cs="AvenirLTStd-Light"/>
          <w:sz w:val="22"/>
          <w:szCs w:val="22"/>
          <w:lang w:bidi="ar-SA"/>
        </w:rPr>
        <w:t xml:space="preserve">. </w:t>
      </w:r>
      <w:r w:rsidR="00772FEE">
        <w:rPr>
          <w:rFonts w:cs="Times New Roman"/>
          <w:sz w:val="22"/>
          <w:szCs w:val="22"/>
        </w:rPr>
        <w:t>There are three different ways of learning described for TPL providers. First, a company can learn through experimentation: learning by doing. A company can also use the knowledge and experience of the counterparty. Besides that, joint learning is a possibility: learning based on several players’ knowledge and experimentation</w:t>
      </w:r>
      <w:sdt>
        <w:sdtPr>
          <w:rPr>
            <w:rFonts w:cs="Times New Roman"/>
            <w:sz w:val="22"/>
            <w:szCs w:val="22"/>
          </w:rPr>
          <w:id w:val="11064189"/>
          <w:citation/>
        </w:sdtPr>
        <w:sdtContent>
          <w:r w:rsidR="00BD69D8">
            <w:rPr>
              <w:rFonts w:cs="Times New Roman"/>
              <w:sz w:val="22"/>
              <w:szCs w:val="22"/>
            </w:rPr>
            <w:fldChar w:fldCharType="begin"/>
          </w:r>
          <w:r w:rsidR="00772FEE">
            <w:rPr>
              <w:rFonts w:cs="Times New Roman"/>
              <w:sz w:val="22"/>
              <w:szCs w:val="22"/>
            </w:rPr>
            <w:instrText xml:space="preserve"> CITATION Haa93 \l 1033 </w:instrText>
          </w:r>
          <w:r w:rsidR="00BD69D8">
            <w:rPr>
              <w:rFonts w:cs="Times New Roman"/>
              <w:sz w:val="22"/>
              <w:szCs w:val="22"/>
            </w:rPr>
            <w:fldChar w:fldCharType="separate"/>
          </w:r>
          <w:r w:rsidR="00F26771">
            <w:rPr>
              <w:rFonts w:cs="Times New Roman"/>
              <w:noProof/>
              <w:sz w:val="22"/>
              <w:szCs w:val="22"/>
            </w:rPr>
            <w:t xml:space="preserve"> </w:t>
          </w:r>
          <w:r w:rsidR="00F26771" w:rsidRPr="00F26771">
            <w:rPr>
              <w:rFonts w:cs="Times New Roman"/>
              <w:noProof/>
              <w:sz w:val="22"/>
              <w:szCs w:val="22"/>
            </w:rPr>
            <w:t>(Haakansson, 1993)</w:t>
          </w:r>
          <w:r w:rsidR="00BD69D8">
            <w:rPr>
              <w:rFonts w:cs="Times New Roman"/>
              <w:sz w:val="22"/>
              <w:szCs w:val="22"/>
            </w:rPr>
            <w:fldChar w:fldCharType="end"/>
          </w:r>
        </w:sdtContent>
      </w:sdt>
      <w:r w:rsidR="00772FEE">
        <w:rPr>
          <w:rFonts w:cs="Times New Roman"/>
          <w:sz w:val="22"/>
          <w:szCs w:val="22"/>
        </w:rPr>
        <w:t xml:space="preserve">. As learning by doing is obvious and doesn’t need any further explanation, the other two ways of learning will be briefly illustrated. Using the knowledge and experience of the counterparty </w:t>
      </w:r>
      <w:r w:rsidR="000A1922">
        <w:rPr>
          <w:rFonts w:cs="Times New Roman"/>
          <w:sz w:val="22"/>
          <w:szCs w:val="22"/>
        </w:rPr>
        <w:t>(the</w:t>
      </w:r>
      <w:r w:rsidR="00772FEE">
        <w:rPr>
          <w:rFonts w:cs="Times New Roman"/>
          <w:sz w:val="22"/>
          <w:szCs w:val="22"/>
        </w:rPr>
        <w:t xml:space="preserve"> buyer of TPL services) can be very worthwhile. The sharing of knowledge between buyers and providers can result in ‘copying’ of the buyer’s competencies by the provider which can also be used for other clients of the TPL provider. Competence development through joint learning is somewhat different since neither party already possessed the experience and knowledge obtained by working together. After completing the learning process through working extensively together, since the knowledge and experience of both parties is needed to fulfill their common goal and develop capabilities</w:t>
      </w:r>
      <w:r w:rsidR="006542B1">
        <w:rPr>
          <w:rFonts w:cs="Times New Roman"/>
          <w:sz w:val="22"/>
          <w:szCs w:val="22"/>
        </w:rPr>
        <w:t>, the new obtained capabilities</w:t>
      </w:r>
      <w:r w:rsidR="00772FEE">
        <w:rPr>
          <w:rFonts w:cs="Times New Roman"/>
          <w:sz w:val="22"/>
          <w:szCs w:val="22"/>
        </w:rPr>
        <w:t xml:space="preserve"> can be used on other clients of the provider thereby enlarging their possible sales areas. </w:t>
      </w:r>
      <w:r w:rsidR="00FA5EC1">
        <w:rPr>
          <w:rFonts w:cs="Times New Roman"/>
          <w:sz w:val="22"/>
          <w:szCs w:val="22"/>
        </w:rPr>
        <w:t>So external alliances can be an addition to internal learning instead of solely being a mean to reduce transaction costs (Dosi et al., 2000).</w:t>
      </w:r>
    </w:p>
    <w:p w:rsidR="006E2D8A" w:rsidRDefault="001974E8" w:rsidP="001974E8">
      <w:pPr>
        <w:autoSpaceDE w:val="0"/>
        <w:autoSpaceDN w:val="0"/>
        <w:adjustRightInd w:val="0"/>
        <w:spacing w:before="0" w:line="360" w:lineRule="auto"/>
        <w:jc w:val="both"/>
        <w:rPr>
          <w:rFonts w:cs="GaramondPage0a"/>
          <w:sz w:val="22"/>
          <w:szCs w:val="22"/>
          <w:lang w:bidi="ar-SA"/>
        </w:rPr>
      </w:pPr>
      <w:r w:rsidRPr="001974E8">
        <w:rPr>
          <w:rFonts w:cs="GaramondPage0a"/>
          <w:sz w:val="22"/>
          <w:szCs w:val="22"/>
          <w:lang w:bidi="ar-SA"/>
        </w:rPr>
        <w:t>Competences can only generate rents if they are based on a collection of knowledge, experience</w:t>
      </w:r>
      <w:r w:rsidR="000A1922" w:rsidRPr="001974E8">
        <w:rPr>
          <w:rFonts w:cs="GaramondPage0a"/>
          <w:sz w:val="22"/>
          <w:szCs w:val="22"/>
          <w:lang w:bidi="ar-SA"/>
        </w:rPr>
        <w:t>, skills</w:t>
      </w:r>
      <w:r w:rsidRPr="001974E8">
        <w:rPr>
          <w:rFonts w:cs="GaramondPage0a"/>
          <w:sz w:val="22"/>
          <w:szCs w:val="22"/>
          <w:lang w:bidi="ar-SA"/>
        </w:rPr>
        <w:t xml:space="preserve"> </w:t>
      </w:r>
      <w:r w:rsidR="000A1922" w:rsidRPr="001974E8">
        <w:rPr>
          <w:rFonts w:cs="GaramondPage0a"/>
          <w:sz w:val="22"/>
          <w:szCs w:val="22"/>
          <w:lang w:bidi="ar-SA"/>
        </w:rPr>
        <w:t>and assets</w:t>
      </w:r>
      <w:r w:rsidRPr="001974E8">
        <w:rPr>
          <w:rFonts w:cs="GaramondPage0a"/>
          <w:sz w:val="22"/>
          <w:szCs w:val="22"/>
          <w:lang w:bidi="ar-SA"/>
        </w:rPr>
        <w:t xml:space="preserve"> that are dif</w:t>
      </w:r>
      <w:r w:rsidRPr="001974E8">
        <w:rPr>
          <w:rFonts w:cs="GaramondPage0b"/>
          <w:sz w:val="22"/>
          <w:szCs w:val="22"/>
          <w:lang w:bidi="ar-SA"/>
        </w:rPr>
        <w:t>fi</w:t>
      </w:r>
      <w:r w:rsidRPr="001974E8">
        <w:rPr>
          <w:rFonts w:cs="GaramondPage0a"/>
          <w:sz w:val="22"/>
          <w:szCs w:val="22"/>
          <w:lang w:bidi="ar-SA"/>
        </w:rPr>
        <w:t xml:space="preserve">cult to imitate. </w:t>
      </w:r>
      <w:r w:rsidR="009A2796" w:rsidRPr="001974E8">
        <w:rPr>
          <w:rFonts w:cs="GaramondPage0b"/>
          <w:sz w:val="22"/>
          <w:szCs w:val="22"/>
          <w:lang w:bidi="ar-SA"/>
        </w:rPr>
        <w:t>F</w:t>
      </w:r>
      <w:r w:rsidR="006542B1" w:rsidRPr="001974E8">
        <w:rPr>
          <w:rFonts w:cs="GaramondPage0b"/>
          <w:sz w:val="22"/>
          <w:szCs w:val="22"/>
          <w:lang w:bidi="ar-SA"/>
        </w:rPr>
        <w:t>i</w:t>
      </w:r>
      <w:r w:rsidR="006542B1" w:rsidRPr="001974E8">
        <w:rPr>
          <w:rFonts w:cs="GaramondPage0a"/>
          <w:sz w:val="22"/>
          <w:szCs w:val="22"/>
          <w:lang w:bidi="ar-SA"/>
        </w:rPr>
        <w:t xml:space="preserve">rms </w:t>
      </w:r>
      <w:r w:rsidR="009A2796" w:rsidRPr="001974E8">
        <w:rPr>
          <w:rFonts w:cs="GaramondPage0a"/>
          <w:sz w:val="22"/>
          <w:szCs w:val="22"/>
          <w:lang w:bidi="ar-SA"/>
        </w:rPr>
        <w:t xml:space="preserve">wanting to </w:t>
      </w:r>
      <w:r w:rsidR="006542B1" w:rsidRPr="001974E8">
        <w:rPr>
          <w:rFonts w:cs="GaramondPage0a"/>
          <w:sz w:val="22"/>
          <w:szCs w:val="22"/>
          <w:lang w:bidi="ar-SA"/>
        </w:rPr>
        <w:t>achieve and sustain competitive</w:t>
      </w:r>
      <w:r w:rsidR="009A2796" w:rsidRPr="001974E8">
        <w:rPr>
          <w:rFonts w:cs="GaramondPage0a"/>
          <w:sz w:val="22"/>
          <w:szCs w:val="22"/>
          <w:lang w:bidi="ar-SA"/>
        </w:rPr>
        <w:t xml:space="preserve"> </w:t>
      </w:r>
      <w:r w:rsidR="006542B1" w:rsidRPr="001974E8">
        <w:rPr>
          <w:rFonts w:cs="GaramondPage0a"/>
          <w:sz w:val="22"/>
          <w:szCs w:val="22"/>
          <w:lang w:bidi="ar-SA"/>
        </w:rPr>
        <w:t>advantage</w:t>
      </w:r>
      <w:r w:rsidR="009A2796" w:rsidRPr="001974E8">
        <w:rPr>
          <w:rFonts w:cs="GaramondPage0a"/>
          <w:sz w:val="22"/>
          <w:szCs w:val="22"/>
          <w:lang w:bidi="ar-SA"/>
        </w:rPr>
        <w:t xml:space="preserve"> can</w:t>
      </w:r>
      <w:r w:rsidR="006542B1" w:rsidRPr="001974E8">
        <w:rPr>
          <w:rFonts w:cs="GaramondPage0a"/>
          <w:sz w:val="22"/>
          <w:szCs w:val="22"/>
          <w:lang w:bidi="ar-SA"/>
        </w:rPr>
        <w:t xml:space="preserve"> do so by developing strong </w:t>
      </w:r>
      <w:r w:rsidR="009A2796" w:rsidRPr="001974E8">
        <w:rPr>
          <w:rFonts w:cs="GaramondPage0a"/>
          <w:sz w:val="22"/>
          <w:szCs w:val="22"/>
          <w:lang w:bidi="ar-SA"/>
        </w:rPr>
        <w:t>‘</w:t>
      </w:r>
      <w:r w:rsidR="006542B1" w:rsidRPr="001974E8">
        <w:rPr>
          <w:rFonts w:cs="GaramondPage0a"/>
          <w:sz w:val="22"/>
          <w:szCs w:val="22"/>
          <w:lang w:bidi="ar-SA"/>
        </w:rPr>
        <w:t>dynamic</w:t>
      </w:r>
      <w:r w:rsidR="009A2796" w:rsidRPr="001974E8">
        <w:rPr>
          <w:rFonts w:cs="GaramondPage0a"/>
          <w:sz w:val="22"/>
          <w:szCs w:val="22"/>
          <w:lang w:bidi="ar-SA"/>
        </w:rPr>
        <w:t>’ ca</w:t>
      </w:r>
      <w:r w:rsidR="006542B1" w:rsidRPr="001974E8">
        <w:rPr>
          <w:rFonts w:cs="GaramondPage0a"/>
          <w:sz w:val="22"/>
          <w:szCs w:val="22"/>
          <w:lang w:bidi="ar-SA"/>
        </w:rPr>
        <w:t>pabilities</w:t>
      </w:r>
      <w:r w:rsidR="009A2796" w:rsidRPr="001974E8">
        <w:rPr>
          <w:rFonts w:cs="GaramondPage0a"/>
          <w:sz w:val="22"/>
          <w:szCs w:val="22"/>
          <w:lang w:bidi="ar-SA"/>
        </w:rPr>
        <w:t xml:space="preserve">. The term dynamic refers to the ability to renew competences, thereby making </w:t>
      </w:r>
      <w:r w:rsidR="000A1922" w:rsidRPr="001974E8">
        <w:rPr>
          <w:rFonts w:cs="GaramondPage0a"/>
          <w:sz w:val="22"/>
          <w:szCs w:val="22"/>
          <w:lang w:bidi="ar-SA"/>
        </w:rPr>
        <w:t>this</w:t>
      </w:r>
      <w:r w:rsidR="009A2796" w:rsidRPr="001974E8">
        <w:rPr>
          <w:rFonts w:cs="GaramondPage0a"/>
          <w:sz w:val="22"/>
          <w:szCs w:val="22"/>
          <w:lang w:bidi="ar-SA"/>
        </w:rPr>
        <w:t xml:space="preserve"> congruence with a changing customer demand </w:t>
      </w:r>
      <w:sdt>
        <w:sdtPr>
          <w:rPr>
            <w:rFonts w:cs="GaramondPage0a"/>
            <w:sz w:val="22"/>
            <w:szCs w:val="22"/>
            <w:lang w:bidi="ar-SA"/>
          </w:rPr>
          <w:id w:val="14449111"/>
          <w:citation/>
        </w:sdtPr>
        <w:sdtContent>
          <w:r w:rsidR="00BD69D8" w:rsidRPr="001974E8">
            <w:rPr>
              <w:rFonts w:cs="GaramondPage0a"/>
              <w:sz w:val="22"/>
              <w:szCs w:val="22"/>
              <w:lang w:bidi="ar-SA"/>
            </w:rPr>
            <w:fldChar w:fldCharType="begin"/>
          </w:r>
          <w:r w:rsidR="009A2796" w:rsidRPr="001974E8">
            <w:rPr>
              <w:rFonts w:cs="GaramondPage0a"/>
              <w:sz w:val="22"/>
              <w:szCs w:val="22"/>
              <w:lang w:bidi="ar-SA"/>
            </w:rPr>
            <w:instrText xml:space="preserve"> CITATION Tee00 \l 1033 </w:instrText>
          </w:r>
          <w:r w:rsidR="00BD69D8" w:rsidRPr="001974E8">
            <w:rPr>
              <w:rFonts w:cs="GaramondPage0a"/>
              <w:sz w:val="22"/>
              <w:szCs w:val="22"/>
              <w:lang w:bidi="ar-SA"/>
            </w:rPr>
            <w:fldChar w:fldCharType="separate"/>
          </w:r>
          <w:r w:rsidR="00F26771" w:rsidRPr="00F26771">
            <w:rPr>
              <w:rFonts w:cs="GaramondPage0a"/>
              <w:noProof/>
              <w:sz w:val="22"/>
              <w:szCs w:val="22"/>
              <w:lang w:bidi="ar-SA"/>
            </w:rPr>
            <w:t>(Teece, Pisano, &amp; Shuen, 2000)</w:t>
          </w:r>
          <w:r w:rsidR="00BD69D8" w:rsidRPr="001974E8">
            <w:rPr>
              <w:rFonts w:cs="GaramondPage0a"/>
              <w:sz w:val="22"/>
              <w:szCs w:val="22"/>
              <w:lang w:bidi="ar-SA"/>
            </w:rPr>
            <w:fldChar w:fldCharType="end"/>
          </w:r>
        </w:sdtContent>
      </w:sdt>
      <w:r w:rsidR="009A2796" w:rsidRPr="001974E8">
        <w:rPr>
          <w:rFonts w:cs="GaramondPage0a"/>
          <w:sz w:val="22"/>
          <w:szCs w:val="22"/>
          <w:lang w:bidi="ar-SA"/>
        </w:rPr>
        <w:t xml:space="preserve">. According to Teece et al. (2000) the term ‘capabilities’  </w:t>
      </w:r>
      <w:r w:rsidR="009A2796" w:rsidRPr="001974E8">
        <w:rPr>
          <w:rFonts w:cs="GaramondPage0a"/>
          <w:i/>
          <w:sz w:val="22"/>
          <w:szCs w:val="22"/>
          <w:lang w:bidi="ar-SA"/>
        </w:rPr>
        <w:t>‘’</w:t>
      </w:r>
      <w:r w:rsidR="006542B1" w:rsidRPr="001974E8">
        <w:rPr>
          <w:rFonts w:cs="GaramondPage0a"/>
          <w:i/>
          <w:sz w:val="22"/>
          <w:szCs w:val="22"/>
          <w:lang w:bidi="ar-SA"/>
        </w:rPr>
        <w:t>emphasizes the key role of strategic</w:t>
      </w:r>
      <w:r w:rsidR="009A2796" w:rsidRPr="001974E8">
        <w:rPr>
          <w:rFonts w:cs="GaramondPage0a"/>
          <w:i/>
          <w:sz w:val="22"/>
          <w:szCs w:val="22"/>
          <w:lang w:bidi="ar-SA"/>
        </w:rPr>
        <w:t xml:space="preserve"> </w:t>
      </w:r>
      <w:r w:rsidR="006542B1" w:rsidRPr="001974E8">
        <w:rPr>
          <w:rFonts w:cs="GaramondPage0a"/>
          <w:i/>
          <w:sz w:val="22"/>
          <w:szCs w:val="22"/>
          <w:lang w:bidi="ar-SA"/>
        </w:rPr>
        <w:t>management in appropriately adapting, integrating, and recon</w:t>
      </w:r>
      <w:r w:rsidR="006542B1" w:rsidRPr="001974E8">
        <w:rPr>
          <w:rFonts w:cs="GaramondPage0b"/>
          <w:i/>
          <w:sz w:val="22"/>
          <w:szCs w:val="22"/>
          <w:lang w:bidi="ar-SA"/>
        </w:rPr>
        <w:t>fi</w:t>
      </w:r>
      <w:r w:rsidR="006542B1" w:rsidRPr="001974E8">
        <w:rPr>
          <w:rFonts w:cs="GaramondPage0a"/>
          <w:i/>
          <w:sz w:val="22"/>
          <w:szCs w:val="22"/>
          <w:lang w:bidi="ar-SA"/>
        </w:rPr>
        <w:t>guring internal and external organizational skills,</w:t>
      </w:r>
      <w:r w:rsidR="009A2796" w:rsidRPr="001974E8">
        <w:rPr>
          <w:rFonts w:cs="GaramondPage0a"/>
          <w:i/>
          <w:sz w:val="22"/>
          <w:szCs w:val="22"/>
          <w:lang w:bidi="ar-SA"/>
        </w:rPr>
        <w:t xml:space="preserve"> </w:t>
      </w:r>
      <w:r w:rsidR="006542B1" w:rsidRPr="001974E8">
        <w:rPr>
          <w:rFonts w:cs="GaramondPage0a"/>
          <w:i/>
          <w:sz w:val="22"/>
          <w:szCs w:val="22"/>
          <w:lang w:bidi="ar-SA"/>
        </w:rPr>
        <w:t>resources, and functional competences to match the requirements of a changing environment</w:t>
      </w:r>
      <w:r w:rsidR="009A2796" w:rsidRPr="001974E8">
        <w:rPr>
          <w:rFonts w:cs="GaramondPage0a"/>
          <w:i/>
          <w:sz w:val="22"/>
          <w:szCs w:val="22"/>
          <w:lang w:bidi="ar-SA"/>
        </w:rPr>
        <w:t xml:space="preserve">’’ </w:t>
      </w:r>
      <w:r w:rsidR="009A2796" w:rsidRPr="001974E8">
        <w:rPr>
          <w:rFonts w:cs="GaramondPage0a"/>
          <w:sz w:val="22"/>
          <w:szCs w:val="22"/>
          <w:lang w:bidi="ar-SA"/>
        </w:rPr>
        <w:t>(p. 337)</w:t>
      </w:r>
      <w:r w:rsidR="006542B1" w:rsidRPr="001974E8">
        <w:rPr>
          <w:rFonts w:cs="GaramondPage0a"/>
          <w:sz w:val="22"/>
          <w:szCs w:val="22"/>
          <w:lang w:bidi="ar-SA"/>
        </w:rPr>
        <w:t>.</w:t>
      </w:r>
      <w:r w:rsidR="000C21EE">
        <w:rPr>
          <w:rFonts w:cs="GaramondPage0a"/>
          <w:sz w:val="22"/>
          <w:szCs w:val="22"/>
          <w:lang w:bidi="ar-SA"/>
        </w:rPr>
        <w:t xml:space="preserve"> Competences and capabilities are common used interchangeably (also in this thesis) </w:t>
      </w:r>
      <w:r w:rsidR="00E0160B">
        <w:rPr>
          <w:rFonts w:cs="GaramondPage0a"/>
          <w:sz w:val="22"/>
          <w:szCs w:val="22"/>
          <w:lang w:bidi="ar-SA"/>
        </w:rPr>
        <w:t>because of</w:t>
      </w:r>
      <w:r w:rsidR="000C21EE">
        <w:rPr>
          <w:rFonts w:cs="GaramondPage0a"/>
          <w:sz w:val="22"/>
          <w:szCs w:val="22"/>
          <w:lang w:bidi="ar-SA"/>
        </w:rPr>
        <w:t xml:space="preserve"> the difficulties to distinguish these terms</w:t>
      </w:r>
      <w:r w:rsidR="00E0160B">
        <w:rPr>
          <w:rFonts w:cs="GaramondPage0a"/>
          <w:sz w:val="22"/>
          <w:szCs w:val="22"/>
          <w:lang w:bidi="ar-SA"/>
        </w:rPr>
        <w:t>, but given the above quote capabilities have a slightly larger coverage than competencies.</w:t>
      </w:r>
      <w:r w:rsidR="006E2D8A">
        <w:rPr>
          <w:rFonts w:cs="GaramondPage0a"/>
          <w:sz w:val="22"/>
          <w:szCs w:val="22"/>
          <w:lang w:bidi="ar-SA"/>
        </w:rPr>
        <w:t xml:space="preserve"> </w:t>
      </w:r>
      <w:r>
        <w:rPr>
          <w:rFonts w:cs="GaramondPage0a"/>
          <w:sz w:val="22"/>
          <w:szCs w:val="22"/>
          <w:lang w:bidi="ar-SA"/>
        </w:rPr>
        <w:t xml:space="preserve">However, fields of competence are influenced by choices made in the past. </w:t>
      </w:r>
      <w:r w:rsidR="000C21EE">
        <w:rPr>
          <w:rFonts w:cs="GaramondPage0a"/>
          <w:sz w:val="22"/>
          <w:szCs w:val="22"/>
          <w:lang w:bidi="ar-SA"/>
        </w:rPr>
        <w:t xml:space="preserve"> A firm’s history matters, since </w:t>
      </w:r>
      <w:r w:rsidR="000A1922">
        <w:rPr>
          <w:rFonts w:cs="GaramondPage0a"/>
          <w:sz w:val="22"/>
          <w:szCs w:val="22"/>
          <w:lang w:bidi="ar-SA"/>
        </w:rPr>
        <w:t>its</w:t>
      </w:r>
      <w:r w:rsidR="000C21EE">
        <w:rPr>
          <w:rFonts w:cs="GaramondPage0a"/>
          <w:sz w:val="22"/>
          <w:szCs w:val="22"/>
          <w:lang w:bidi="ar-SA"/>
        </w:rPr>
        <w:t xml:space="preserve"> previous </w:t>
      </w:r>
      <w:r w:rsidR="000C21EE">
        <w:rPr>
          <w:rFonts w:cs="GaramondPage0a"/>
          <w:sz w:val="22"/>
          <w:szCs w:val="22"/>
          <w:lang w:bidi="ar-SA"/>
        </w:rPr>
        <w:lastRenderedPageBreak/>
        <w:t>investments made in their capabilities ‘as a firm’ also constrains its future.</w:t>
      </w:r>
      <w:r w:rsidR="00E0160B">
        <w:rPr>
          <w:rFonts w:cs="GaramondPage0a"/>
          <w:sz w:val="22"/>
          <w:szCs w:val="22"/>
          <w:lang w:bidi="ar-SA"/>
        </w:rPr>
        <w:t xml:space="preserve"> Firms make long term and quasi-irreversible commitments </w:t>
      </w:r>
      <w:r w:rsidR="000A1922">
        <w:rPr>
          <w:rFonts w:cs="GaramondPage0a"/>
          <w:sz w:val="22"/>
          <w:szCs w:val="22"/>
          <w:lang w:bidi="ar-SA"/>
        </w:rPr>
        <w:t>to certain</w:t>
      </w:r>
      <w:r w:rsidR="00E0160B">
        <w:rPr>
          <w:rFonts w:cs="GaramondPage0a"/>
          <w:sz w:val="22"/>
          <w:szCs w:val="22"/>
          <w:lang w:bidi="ar-SA"/>
        </w:rPr>
        <w:t xml:space="preserve"> fields of competence. The path they followed in the past is also limiting future paths: this phenomena</w:t>
      </w:r>
      <w:r w:rsidR="00173642">
        <w:rPr>
          <w:rFonts w:cs="GaramondPage0a"/>
          <w:sz w:val="22"/>
          <w:szCs w:val="22"/>
          <w:lang w:bidi="ar-SA"/>
        </w:rPr>
        <w:t>/theory</w:t>
      </w:r>
      <w:r w:rsidR="00E0160B">
        <w:rPr>
          <w:rFonts w:cs="GaramondPage0a"/>
          <w:sz w:val="22"/>
          <w:szCs w:val="22"/>
          <w:lang w:bidi="ar-SA"/>
        </w:rPr>
        <w:t xml:space="preserve"> is called path dependency</w:t>
      </w:r>
      <w:r w:rsidR="004147DD">
        <w:rPr>
          <w:rFonts w:cs="GaramondPage0a"/>
          <w:sz w:val="22"/>
          <w:szCs w:val="22"/>
          <w:lang w:bidi="ar-SA"/>
        </w:rPr>
        <w:t xml:space="preserve"> (Teece et al., 2000).</w:t>
      </w:r>
      <w:r w:rsidR="006E2D8A">
        <w:rPr>
          <w:rFonts w:cs="GaramondPage0a"/>
          <w:sz w:val="22"/>
          <w:szCs w:val="22"/>
          <w:lang w:bidi="ar-SA"/>
        </w:rPr>
        <w:t xml:space="preserve"> </w:t>
      </w:r>
    </w:p>
    <w:p w:rsidR="006E2D8A" w:rsidRDefault="006E2D8A" w:rsidP="001974E8">
      <w:pPr>
        <w:autoSpaceDE w:val="0"/>
        <w:autoSpaceDN w:val="0"/>
        <w:adjustRightInd w:val="0"/>
        <w:spacing w:before="0" w:line="360" w:lineRule="auto"/>
        <w:jc w:val="both"/>
        <w:rPr>
          <w:rFonts w:eastAsia="Times New Roman" w:cs="Arial"/>
          <w:color w:val="000000"/>
          <w:sz w:val="22"/>
          <w:szCs w:val="22"/>
          <w:lang w:eastAsia="nl-NL" w:bidi="ar-SA"/>
        </w:rPr>
      </w:pPr>
      <w:r>
        <w:rPr>
          <w:rFonts w:eastAsia="Times New Roman" w:cs="Arial"/>
          <w:color w:val="000000"/>
          <w:sz w:val="22"/>
          <w:szCs w:val="22"/>
          <w:lang w:eastAsia="nl-NL" w:bidi="ar-SA"/>
        </w:rPr>
        <w:t xml:space="preserve">Following the literature reviewed concerning </w:t>
      </w:r>
      <w:r w:rsidR="00A10C64">
        <w:rPr>
          <w:rFonts w:eastAsia="Times New Roman" w:cs="Arial"/>
          <w:color w:val="000000"/>
          <w:sz w:val="22"/>
          <w:szCs w:val="22"/>
          <w:lang w:eastAsia="nl-NL" w:bidi="ar-SA"/>
        </w:rPr>
        <w:t>organizations’</w:t>
      </w:r>
      <w:r>
        <w:rPr>
          <w:rFonts w:eastAsia="Times New Roman" w:cs="Arial"/>
          <w:color w:val="000000"/>
          <w:sz w:val="22"/>
          <w:szCs w:val="22"/>
          <w:lang w:eastAsia="nl-NL" w:bidi="ar-SA"/>
        </w:rPr>
        <w:t xml:space="preserve"> capabilities and how these are influenced by path dependency, I am curious in how and to what extent TPL providers </w:t>
      </w:r>
      <w:r w:rsidRPr="00A84EBB">
        <w:rPr>
          <w:rFonts w:cs="AdvPS405B6"/>
          <w:sz w:val="22"/>
          <w:szCs w:val="22"/>
          <w:lang w:bidi="ar-SA"/>
        </w:rPr>
        <w:t>learn from existing client relationships</w:t>
      </w:r>
      <w:r>
        <w:rPr>
          <w:rFonts w:cs="AdvPS405B6"/>
          <w:sz w:val="22"/>
          <w:szCs w:val="22"/>
          <w:lang w:bidi="ar-SA"/>
        </w:rPr>
        <w:t>.</w:t>
      </w:r>
      <w:r w:rsidR="00FC6787">
        <w:rPr>
          <w:rFonts w:cs="AdvPS405B6"/>
          <w:sz w:val="22"/>
          <w:szCs w:val="22"/>
          <w:lang w:bidi="ar-SA"/>
        </w:rPr>
        <w:t xml:space="preserve"> According to Hertz &amp; Alfredsson (2003) references from existing clients are extremely important</w:t>
      </w:r>
      <w:r w:rsidR="00A652F9">
        <w:rPr>
          <w:rFonts w:cs="AdvPS405B6"/>
          <w:sz w:val="22"/>
          <w:szCs w:val="22"/>
          <w:lang w:bidi="ar-SA"/>
        </w:rPr>
        <w:t>, besides</w:t>
      </w:r>
      <w:r w:rsidR="00FC6787">
        <w:rPr>
          <w:rFonts w:cs="AdvPS405B6"/>
          <w:sz w:val="22"/>
          <w:szCs w:val="22"/>
          <w:lang w:bidi="ar-SA"/>
        </w:rPr>
        <w:t xml:space="preserve"> the fact that existing clients develop the knowledge and capabilities of the TPL provider</w:t>
      </w:r>
      <w:r w:rsidR="00A652F9">
        <w:rPr>
          <w:rFonts w:cs="AdvPS405B6"/>
          <w:sz w:val="22"/>
          <w:szCs w:val="22"/>
          <w:lang w:bidi="ar-SA"/>
        </w:rPr>
        <w:t>.</w:t>
      </w:r>
      <w:r w:rsidR="00FC6787">
        <w:rPr>
          <w:rFonts w:cs="AdvPS405B6"/>
          <w:sz w:val="22"/>
          <w:szCs w:val="22"/>
          <w:lang w:bidi="ar-SA"/>
        </w:rPr>
        <w:t xml:space="preserve"> </w:t>
      </w:r>
      <w:r w:rsidR="00A652F9">
        <w:rPr>
          <w:rFonts w:cs="AdvPS405B6"/>
          <w:sz w:val="22"/>
          <w:szCs w:val="22"/>
          <w:lang w:bidi="ar-SA"/>
        </w:rPr>
        <w:t xml:space="preserve"> </w:t>
      </w:r>
      <w:r>
        <w:rPr>
          <w:rFonts w:cs="AdvPS405B6"/>
          <w:sz w:val="22"/>
          <w:szCs w:val="22"/>
          <w:lang w:bidi="ar-SA"/>
        </w:rPr>
        <w:t>How do they use the capabilities earned by serving past and current clients for achieving competitive advantages in the future?</w:t>
      </w:r>
      <w:r w:rsidR="00173642" w:rsidRPr="00173642">
        <w:rPr>
          <w:rFonts w:cs="Times New Roman"/>
          <w:sz w:val="22"/>
          <w:szCs w:val="22"/>
          <w:lang w:bidi="ar-SA"/>
        </w:rPr>
        <w:t xml:space="preserve"> </w:t>
      </w:r>
      <w:r w:rsidR="00A10C64">
        <w:rPr>
          <w:rFonts w:cs="Times New Roman"/>
          <w:sz w:val="22"/>
          <w:szCs w:val="22"/>
          <w:lang w:bidi="ar-SA"/>
        </w:rPr>
        <w:t xml:space="preserve">Are </w:t>
      </w:r>
      <w:r w:rsidR="00173642">
        <w:rPr>
          <w:rFonts w:cs="Times New Roman"/>
          <w:sz w:val="22"/>
          <w:szCs w:val="22"/>
          <w:lang w:bidi="ar-SA"/>
        </w:rPr>
        <w:t>TPL providers</w:t>
      </w:r>
      <w:r w:rsidR="00A10C64">
        <w:rPr>
          <w:rFonts w:cs="Times New Roman"/>
          <w:sz w:val="22"/>
          <w:szCs w:val="22"/>
          <w:lang w:bidi="ar-SA"/>
        </w:rPr>
        <w:t xml:space="preserve"> largely</w:t>
      </w:r>
      <w:r w:rsidR="00173642">
        <w:rPr>
          <w:rFonts w:cs="Times New Roman"/>
          <w:sz w:val="22"/>
          <w:szCs w:val="22"/>
          <w:lang w:bidi="ar-SA"/>
        </w:rPr>
        <w:t xml:space="preserve"> shaped by their first </w:t>
      </w:r>
      <w:r w:rsidR="00A10C64">
        <w:rPr>
          <w:rFonts w:cs="Times New Roman"/>
          <w:sz w:val="22"/>
          <w:szCs w:val="22"/>
          <w:lang w:bidi="ar-SA"/>
        </w:rPr>
        <w:t>client?</w:t>
      </w:r>
      <w:r w:rsidR="00A652F9">
        <w:rPr>
          <w:rFonts w:cs="Times New Roman"/>
          <w:sz w:val="22"/>
          <w:szCs w:val="22"/>
          <w:lang w:bidi="ar-SA"/>
        </w:rPr>
        <w:t xml:space="preserve"> According to Herz &amp; Alfredsson (2003) </w:t>
      </w:r>
      <w:r w:rsidR="00A652F9">
        <w:rPr>
          <w:rFonts w:cs="Times New Roman"/>
          <w:i/>
          <w:sz w:val="22"/>
          <w:szCs w:val="22"/>
          <w:lang w:bidi="ar-SA"/>
        </w:rPr>
        <w:t xml:space="preserve">‘’ the importance of the first customer led many of the TPL firms to develop in many directions without a clear focus’’ </w:t>
      </w:r>
      <w:r w:rsidR="00A652F9">
        <w:rPr>
          <w:rFonts w:cs="Times New Roman"/>
          <w:sz w:val="22"/>
          <w:szCs w:val="22"/>
          <w:lang w:bidi="ar-SA"/>
        </w:rPr>
        <w:t>(p. 147).</w:t>
      </w:r>
      <w:r w:rsidR="00A10C64">
        <w:rPr>
          <w:rFonts w:cs="Times New Roman"/>
          <w:sz w:val="22"/>
          <w:szCs w:val="22"/>
          <w:lang w:bidi="ar-SA"/>
        </w:rPr>
        <w:t xml:space="preserve"> I wonder to what extent</w:t>
      </w:r>
      <w:r w:rsidR="00173642">
        <w:rPr>
          <w:rFonts w:cs="Times New Roman"/>
          <w:sz w:val="22"/>
          <w:szCs w:val="22"/>
          <w:lang w:bidi="ar-SA"/>
        </w:rPr>
        <w:t xml:space="preserve"> opportunistic behavio</w:t>
      </w:r>
      <w:r w:rsidR="00A10C64">
        <w:rPr>
          <w:rFonts w:cs="Times New Roman"/>
          <w:sz w:val="22"/>
          <w:szCs w:val="22"/>
          <w:lang w:bidi="ar-SA"/>
        </w:rPr>
        <w:t xml:space="preserve">r </w:t>
      </w:r>
      <w:r w:rsidR="00173642">
        <w:rPr>
          <w:rFonts w:cs="Times New Roman"/>
          <w:sz w:val="22"/>
          <w:szCs w:val="22"/>
          <w:lang w:bidi="ar-SA"/>
        </w:rPr>
        <w:t xml:space="preserve">that possibly took place in the past influences current and future business developments. </w:t>
      </w:r>
      <w:r w:rsidR="00173642" w:rsidRPr="00F27371">
        <w:rPr>
          <w:rFonts w:eastAsia="Times New Roman" w:cs="Arial"/>
          <w:color w:val="000000"/>
          <w:sz w:val="22"/>
          <w:szCs w:val="22"/>
          <w:lang w:eastAsia="nl-NL" w:bidi="ar-SA"/>
        </w:rPr>
        <w:t>To what extent are lock in effects and switching costs relevant concepts for TPL providers</w:t>
      </w:r>
      <w:r w:rsidR="00173642">
        <w:rPr>
          <w:rFonts w:eastAsia="Times New Roman" w:cs="Arial"/>
          <w:color w:val="000000"/>
          <w:sz w:val="22"/>
          <w:szCs w:val="22"/>
          <w:lang w:eastAsia="nl-NL" w:bidi="ar-SA"/>
        </w:rPr>
        <w:t xml:space="preserve">? Summarizing, I am interested in the relevance of path dependency for TPL providers and their </w:t>
      </w:r>
      <w:r w:rsidR="00A10C64">
        <w:rPr>
          <w:rFonts w:eastAsia="Times New Roman" w:cs="Arial"/>
          <w:color w:val="000000"/>
          <w:sz w:val="22"/>
          <w:szCs w:val="22"/>
          <w:lang w:eastAsia="nl-NL" w:bidi="ar-SA"/>
        </w:rPr>
        <w:t>organizations’</w:t>
      </w:r>
      <w:r w:rsidR="00173642">
        <w:rPr>
          <w:rFonts w:eastAsia="Times New Roman" w:cs="Arial"/>
          <w:color w:val="000000"/>
          <w:sz w:val="22"/>
          <w:szCs w:val="22"/>
          <w:lang w:eastAsia="nl-NL" w:bidi="ar-SA"/>
        </w:rPr>
        <w:t xml:space="preserve"> capabilities</w:t>
      </w:r>
      <w:r w:rsidR="00A10C64">
        <w:rPr>
          <w:rFonts w:eastAsia="Times New Roman" w:cs="Arial"/>
          <w:color w:val="000000"/>
          <w:sz w:val="22"/>
          <w:szCs w:val="22"/>
          <w:lang w:eastAsia="nl-NL" w:bidi="ar-SA"/>
        </w:rPr>
        <w:t xml:space="preserve"> and future strategic orientation</w:t>
      </w:r>
      <w:r w:rsidR="00173642">
        <w:rPr>
          <w:rFonts w:eastAsia="Times New Roman" w:cs="Arial"/>
          <w:color w:val="000000"/>
          <w:sz w:val="22"/>
          <w:szCs w:val="22"/>
          <w:lang w:eastAsia="nl-NL" w:bidi="ar-SA"/>
        </w:rPr>
        <w:t>.</w:t>
      </w:r>
      <w:r w:rsidR="00173642">
        <w:rPr>
          <w:rFonts w:cs="Times New Roman"/>
          <w:sz w:val="22"/>
          <w:szCs w:val="22"/>
          <w:lang w:bidi="ar-SA"/>
        </w:rPr>
        <w:t xml:space="preserve"> </w:t>
      </w:r>
      <w:r w:rsidR="00CE3894">
        <w:rPr>
          <w:rFonts w:eastAsia="Times New Roman" w:cs="Arial"/>
          <w:color w:val="000000"/>
          <w:sz w:val="22"/>
          <w:szCs w:val="22"/>
          <w:lang w:eastAsia="nl-NL" w:bidi="ar-SA"/>
        </w:rPr>
        <w:t xml:space="preserve">The following sub-question is </w:t>
      </w:r>
      <w:r>
        <w:rPr>
          <w:rFonts w:eastAsia="Times New Roman" w:cs="Arial"/>
          <w:color w:val="000000"/>
          <w:sz w:val="22"/>
          <w:szCs w:val="22"/>
          <w:lang w:eastAsia="nl-NL" w:bidi="ar-SA"/>
        </w:rPr>
        <w:t>formulated:</w:t>
      </w:r>
    </w:p>
    <w:tbl>
      <w:tblPr>
        <w:tblStyle w:val="Lichtearcering-accent6"/>
        <w:tblW w:w="0" w:type="auto"/>
        <w:tblLook w:val="04A0"/>
      </w:tblPr>
      <w:tblGrid>
        <w:gridCol w:w="9212"/>
      </w:tblGrid>
      <w:tr w:rsidR="0085586C" w:rsidTr="00FE4362">
        <w:trPr>
          <w:cnfStyle w:val="100000000000"/>
        </w:trPr>
        <w:tc>
          <w:tcPr>
            <w:cnfStyle w:val="001000000000"/>
            <w:tcW w:w="9212" w:type="dxa"/>
          </w:tcPr>
          <w:p w:rsidR="0085586C" w:rsidRPr="0064502E" w:rsidRDefault="0085586C" w:rsidP="00FE4362">
            <w:pPr>
              <w:autoSpaceDE w:val="0"/>
              <w:autoSpaceDN w:val="0"/>
              <w:adjustRightInd w:val="0"/>
              <w:spacing w:line="360" w:lineRule="auto"/>
              <w:jc w:val="center"/>
              <w:rPr>
                <w:rFonts w:asciiTheme="majorHAnsi" w:hAnsiTheme="majorHAnsi" w:cs="Times New Roman"/>
                <w:i/>
                <w:sz w:val="22"/>
                <w:szCs w:val="22"/>
                <w:lang w:bidi="ar-SA"/>
              </w:rPr>
            </w:pPr>
            <w:r w:rsidRPr="0064502E">
              <w:rPr>
                <w:rFonts w:asciiTheme="majorHAnsi" w:hAnsiTheme="majorHAnsi" w:cs="Times New Roman"/>
                <w:i/>
                <w:sz w:val="22"/>
                <w:szCs w:val="22"/>
                <w:lang w:bidi="ar-SA"/>
              </w:rPr>
              <w:t xml:space="preserve">‘’ </w:t>
            </w:r>
            <w:r w:rsidR="00D748A1" w:rsidRPr="0064502E">
              <w:rPr>
                <w:rFonts w:asciiTheme="majorHAnsi" w:hAnsiTheme="majorHAnsi" w:cs="Times New Roman"/>
                <w:i/>
                <w:sz w:val="22"/>
                <w:szCs w:val="22"/>
                <w:lang w:bidi="ar-SA"/>
              </w:rPr>
              <w:t xml:space="preserve">To what extent are </w:t>
            </w:r>
            <w:r w:rsidR="00A10C64" w:rsidRPr="0064502E">
              <w:rPr>
                <w:rFonts w:asciiTheme="majorHAnsi" w:hAnsiTheme="majorHAnsi" w:cs="Times New Roman"/>
                <w:i/>
                <w:sz w:val="22"/>
                <w:szCs w:val="22"/>
                <w:lang w:bidi="ar-SA"/>
              </w:rPr>
              <w:t xml:space="preserve">TPL </w:t>
            </w:r>
            <w:r w:rsidR="000A1922" w:rsidRPr="0064502E">
              <w:rPr>
                <w:rFonts w:asciiTheme="majorHAnsi" w:hAnsiTheme="majorHAnsi" w:cs="Times New Roman"/>
                <w:i/>
                <w:sz w:val="22"/>
                <w:szCs w:val="22"/>
                <w:lang w:bidi="ar-SA"/>
              </w:rPr>
              <w:t>providers’ capabilities</w:t>
            </w:r>
            <w:r w:rsidR="00D748A1" w:rsidRPr="0064502E">
              <w:rPr>
                <w:rFonts w:asciiTheme="majorHAnsi" w:hAnsiTheme="majorHAnsi" w:cs="Times New Roman"/>
                <w:i/>
                <w:sz w:val="22"/>
                <w:szCs w:val="22"/>
                <w:lang w:bidi="ar-SA"/>
              </w:rPr>
              <w:t xml:space="preserve"> influenced by path dependency?’’</w:t>
            </w:r>
          </w:p>
        </w:tc>
      </w:tr>
    </w:tbl>
    <w:p w:rsidR="00652232" w:rsidRDefault="00652232" w:rsidP="00652232">
      <w:pPr>
        <w:rPr>
          <w:lang w:bidi="ar-SA"/>
        </w:rPr>
      </w:pPr>
    </w:p>
    <w:p w:rsidR="001435B1" w:rsidRDefault="00FE4362" w:rsidP="00652232">
      <w:pPr>
        <w:rPr>
          <w:lang w:bidi="ar-SA"/>
        </w:rPr>
      </w:pPr>
      <w:r>
        <w:rPr>
          <w:lang w:bidi="ar-SA"/>
        </w:rPr>
        <w:br w:type="page"/>
      </w:r>
    </w:p>
    <w:p w:rsidR="00A10C64" w:rsidRPr="004A1087" w:rsidRDefault="00932487" w:rsidP="0069510B">
      <w:pPr>
        <w:pStyle w:val="Kop2"/>
        <w:numPr>
          <w:ilvl w:val="1"/>
          <w:numId w:val="13"/>
        </w:numPr>
        <w:rPr>
          <w:rFonts w:asciiTheme="majorHAnsi" w:hAnsiTheme="majorHAnsi"/>
          <w:lang w:bidi="ar-SA"/>
        </w:rPr>
      </w:pPr>
      <w:bookmarkStart w:id="18" w:name="_Toc300411992"/>
      <w:r w:rsidRPr="004A1087">
        <w:rPr>
          <w:rFonts w:asciiTheme="majorHAnsi" w:hAnsiTheme="majorHAnsi"/>
          <w:lang w:bidi="ar-SA"/>
        </w:rPr>
        <w:lastRenderedPageBreak/>
        <w:t>Client</w:t>
      </w:r>
      <w:r w:rsidR="0069510B" w:rsidRPr="004A1087">
        <w:rPr>
          <w:rFonts w:asciiTheme="majorHAnsi" w:hAnsiTheme="majorHAnsi"/>
          <w:lang w:bidi="ar-SA"/>
        </w:rPr>
        <w:t xml:space="preserve"> specific investments</w:t>
      </w:r>
      <w:bookmarkEnd w:id="18"/>
    </w:p>
    <w:p w:rsidR="00126E02" w:rsidRDefault="00126E02" w:rsidP="00126E02">
      <w:pPr>
        <w:pStyle w:val="Lijstalinea"/>
        <w:autoSpaceDE w:val="0"/>
        <w:autoSpaceDN w:val="0"/>
        <w:adjustRightInd w:val="0"/>
        <w:spacing w:before="0" w:after="0" w:line="240" w:lineRule="auto"/>
        <w:ind w:left="360"/>
        <w:rPr>
          <w:rFonts w:ascii="AdvP405B6" w:hAnsi="AdvP405B6" w:cs="AdvP405B6"/>
          <w:sz w:val="22"/>
          <w:szCs w:val="22"/>
          <w:lang w:bidi="ar-SA"/>
        </w:rPr>
      </w:pPr>
    </w:p>
    <w:p w:rsidR="00EA08FA" w:rsidRPr="00EA08FA" w:rsidRDefault="00932487" w:rsidP="00EA08FA">
      <w:pPr>
        <w:autoSpaceDE w:val="0"/>
        <w:autoSpaceDN w:val="0"/>
        <w:adjustRightInd w:val="0"/>
        <w:spacing w:before="0" w:after="0" w:line="360" w:lineRule="auto"/>
        <w:jc w:val="both"/>
        <w:rPr>
          <w:rFonts w:cs="AdvP405B6"/>
          <w:sz w:val="22"/>
          <w:szCs w:val="22"/>
          <w:lang w:bidi="ar-SA"/>
        </w:rPr>
      </w:pPr>
      <w:r>
        <w:rPr>
          <w:rFonts w:cs="AdvP405B6"/>
          <w:sz w:val="22"/>
          <w:szCs w:val="22"/>
          <w:lang w:bidi="ar-SA"/>
        </w:rPr>
        <w:t xml:space="preserve">By making </w:t>
      </w:r>
      <w:r w:rsidR="008323AF">
        <w:rPr>
          <w:rFonts w:cs="AdvP405B6"/>
          <w:sz w:val="22"/>
          <w:szCs w:val="22"/>
          <w:lang w:bidi="ar-SA"/>
        </w:rPr>
        <w:t xml:space="preserve">client </w:t>
      </w:r>
      <w:r w:rsidR="00CE3894">
        <w:rPr>
          <w:rFonts w:cs="AdvP405B6"/>
          <w:sz w:val="22"/>
          <w:szCs w:val="22"/>
          <w:lang w:bidi="ar-SA"/>
        </w:rPr>
        <w:t>specific investments</w:t>
      </w:r>
      <w:r w:rsidR="00200512">
        <w:rPr>
          <w:rFonts w:cs="AdvP405B6"/>
          <w:sz w:val="22"/>
          <w:szCs w:val="22"/>
          <w:lang w:bidi="ar-SA"/>
        </w:rPr>
        <w:t xml:space="preserve"> TPL providers’ services can become of greater strategic importance for their clients.</w:t>
      </w:r>
      <w:r>
        <w:rPr>
          <w:rFonts w:cs="AdvP405B6"/>
          <w:sz w:val="22"/>
          <w:szCs w:val="22"/>
          <w:lang w:bidi="ar-SA"/>
        </w:rPr>
        <w:t xml:space="preserve"> According to </w:t>
      </w:r>
      <w:r w:rsidR="000A1922">
        <w:rPr>
          <w:rFonts w:cs="AdvP405B6"/>
          <w:sz w:val="22"/>
          <w:szCs w:val="22"/>
          <w:lang w:bidi="ar-SA"/>
        </w:rPr>
        <w:t>Skjott</w:t>
      </w:r>
      <w:r>
        <w:rPr>
          <w:rFonts w:cs="AdvP405B6"/>
          <w:sz w:val="22"/>
          <w:szCs w:val="22"/>
          <w:lang w:bidi="ar-SA"/>
        </w:rPr>
        <w:t>-Larsen (2000), TPL arrangements are more than a means to cost efficiency: it is also a way to create competitive advantage through increased flexibility and service.</w:t>
      </w:r>
      <w:r w:rsidR="00200512">
        <w:rPr>
          <w:rFonts w:cs="AdvP405B6"/>
          <w:sz w:val="22"/>
          <w:szCs w:val="22"/>
          <w:lang w:bidi="ar-SA"/>
        </w:rPr>
        <w:t xml:space="preserve"> </w:t>
      </w:r>
      <w:r w:rsidR="00B851BC" w:rsidRPr="00F56830">
        <w:rPr>
          <w:rFonts w:cs="AdvP405B6"/>
          <w:sz w:val="22"/>
          <w:szCs w:val="22"/>
          <w:lang w:bidi="ar-SA"/>
        </w:rPr>
        <w:t>Van Laarhoven et al. (2000) found that the assets of the surveyed European TPL providers were dedicated to a large extent to the shipper. On a scale from 1 (‘’virtually all assets shared’’) to 5 (‘’virtually all assets dedicated’’) the average ‘score’ for personnel was 3</w:t>
      </w:r>
      <w:r w:rsidR="000A1922" w:rsidRPr="00F56830">
        <w:rPr>
          <w:rFonts w:cs="AdvP405B6"/>
          <w:sz w:val="22"/>
          <w:szCs w:val="22"/>
          <w:lang w:bidi="ar-SA"/>
        </w:rPr>
        <w:t>, 3</w:t>
      </w:r>
      <w:r w:rsidR="00B851BC" w:rsidRPr="00F56830">
        <w:rPr>
          <w:rFonts w:cs="AdvP405B6"/>
          <w:sz w:val="22"/>
          <w:szCs w:val="22"/>
          <w:lang w:bidi="ar-SA"/>
        </w:rPr>
        <w:t xml:space="preserve">. </w:t>
      </w:r>
      <w:r w:rsidR="00B851BC">
        <w:rPr>
          <w:rFonts w:cs="AdvP405B6"/>
          <w:sz w:val="22"/>
          <w:szCs w:val="22"/>
          <w:lang w:bidi="ar-SA"/>
        </w:rPr>
        <w:t xml:space="preserve"> They also found a relation between the level of ‘dedication’ of assets and the importance of cost reduction as a driver for the outsourcing decision. Not surprisingly, ‘the dedication score’ of assets was higher in relationships in which other reasons than cost reduction (like service improvement) were being the driver of the relationship </w:t>
      </w:r>
      <w:r w:rsidR="000A1922">
        <w:rPr>
          <w:rFonts w:cs="AdvP405B6"/>
          <w:sz w:val="22"/>
          <w:szCs w:val="22"/>
          <w:lang w:bidi="ar-SA"/>
        </w:rPr>
        <w:t>(3, 5</w:t>
      </w:r>
      <w:r w:rsidR="00B851BC">
        <w:rPr>
          <w:rFonts w:cs="AdvP405B6"/>
          <w:sz w:val="22"/>
          <w:szCs w:val="22"/>
          <w:lang w:bidi="ar-SA"/>
        </w:rPr>
        <w:t xml:space="preserve"> versus 3</w:t>
      </w:r>
      <w:r w:rsidR="000A1922">
        <w:rPr>
          <w:rFonts w:cs="AdvP405B6"/>
          <w:sz w:val="22"/>
          <w:szCs w:val="22"/>
          <w:lang w:bidi="ar-SA"/>
        </w:rPr>
        <w:t>, 1</w:t>
      </w:r>
      <w:r w:rsidR="00B851BC">
        <w:rPr>
          <w:rFonts w:cs="AdvP405B6"/>
          <w:sz w:val="22"/>
          <w:szCs w:val="22"/>
          <w:lang w:bidi="ar-SA"/>
        </w:rPr>
        <w:t xml:space="preserve">). </w:t>
      </w:r>
      <w:r w:rsidR="00205309">
        <w:rPr>
          <w:rFonts w:cs="AdvP405B6"/>
          <w:sz w:val="22"/>
          <w:szCs w:val="22"/>
          <w:lang w:bidi="ar-SA"/>
        </w:rPr>
        <w:t>Skjott-Larsen (2000)</w:t>
      </w:r>
      <w:r w:rsidR="00943805">
        <w:rPr>
          <w:rFonts w:cs="AdvP405B6"/>
          <w:sz w:val="22"/>
          <w:szCs w:val="22"/>
          <w:lang w:bidi="ar-SA"/>
        </w:rPr>
        <w:t xml:space="preserve"> conducted a case-study among three companies starting to largely outsource their logistics activities to different TPL providers. In these cases, the TPL providers made no physical asset-specific investments. On the contrary, large investments in human specific assets w</w:t>
      </w:r>
      <w:r>
        <w:rPr>
          <w:rFonts w:cs="AdvP405B6"/>
          <w:sz w:val="22"/>
          <w:szCs w:val="22"/>
          <w:lang w:bidi="ar-SA"/>
        </w:rPr>
        <w:t>ere made by the involved TPL providers. The</w:t>
      </w:r>
      <w:r w:rsidR="00943805">
        <w:rPr>
          <w:rFonts w:cs="AdvP405B6"/>
          <w:sz w:val="22"/>
          <w:szCs w:val="22"/>
          <w:lang w:bidi="ar-SA"/>
        </w:rPr>
        <w:t xml:space="preserve"> study concluded that</w:t>
      </w:r>
      <w:r>
        <w:rPr>
          <w:rFonts w:cs="AdvP405B6"/>
          <w:sz w:val="22"/>
          <w:szCs w:val="22"/>
          <w:lang w:bidi="ar-SA"/>
        </w:rPr>
        <w:t xml:space="preserve"> investing in human resources is very important in making third party arrangements successful. </w:t>
      </w:r>
      <w:r w:rsidR="00EA08FA">
        <w:rPr>
          <w:rFonts w:cs="AdvP405B6"/>
          <w:sz w:val="22"/>
          <w:szCs w:val="22"/>
          <w:lang w:bidi="ar-SA"/>
        </w:rPr>
        <w:t xml:space="preserve">On the contrary, only 30% of the questioned TPL providers’ CEOs </w:t>
      </w:r>
      <w:r w:rsidR="00EA08FA" w:rsidRPr="00EA08FA">
        <w:rPr>
          <w:rFonts w:cs="AdvPS405B6"/>
          <w:sz w:val="22"/>
          <w:szCs w:val="22"/>
          <w:lang w:bidi="ar-SA"/>
        </w:rPr>
        <w:t>reported offering joint implementation training programs involving employees of both companies</w:t>
      </w:r>
      <w:sdt>
        <w:sdtPr>
          <w:rPr>
            <w:rFonts w:cs="AdvPS405B6"/>
            <w:sz w:val="22"/>
            <w:szCs w:val="22"/>
            <w:lang w:bidi="ar-SA"/>
          </w:rPr>
          <w:id w:val="5885052"/>
          <w:citation/>
        </w:sdtPr>
        <w:sdtContent>
          <w:r w:rsidR="00BD69D8">
            <w:rPr>
              <w:rFonts w:cs="AdvPS405B6"/>
              <w:sz w:val="22"/>
              <w:szCs w:val="22"/>
              <w:lang w:bidi="ar-SA"/>
            </w:rPr>
            <w:fldChar w:fldCharType="begin"/>
          </w:r>
          <w:r w:rsidR="00EA08FA">
            <w:rPr>
              <w:rFonts w:cs="AdvPS405B6"/>
              <w:sz w:val="22"/>
              <w:szCs w:val="22"/>
              <w:lang w:bidi="ar-SA"/>
            </w:rPr>
            <w:instrText xml:space="preserve"> CITATION Placeholder1 \t  \l 1033  </w:instrText>
          </w:r>
          <w:r w:rsidR="00BD69D8">
            <w:rPr>
              <w:rFonts w:cs="AdvPS405B6"/>
              <w:sz w:val="22"/>
              <w:szCs w:val="22"/>
              <w:lang w:bidi="ar-SA"/>
            </w:rPr>
            <w:fldChar w:fldCharType="separate"/>
          </w:r>
          <w:r w:rsidR="00F26771">
            <w:rPr>
              <w:rFonts w:cs="AdvPS405B6"/>
              <w:noProof/>
              <w:sz w:val="22"/>
              <w:szCs w:val="22"/>
              <w:lang w:bidi="ar-SA"/>
            </w:rPr>
            <w:t xml:space="preserve"> </w:t>
          </w:r>
          <w:r w:rsidR="00F26771" w:rsidRPr="00F26771">
            <w:rPr>
              <w:rFonts w:cs="AdvPS405B6"/>
              <w:noProof/>
              <w:sz w:val="22"/>
              <w:szCs w:val="22"/>
              <w:lang w:bidi="ar-SA"/>
            </w:rPr>
            <w:t>(Lieb R. C., 2005)</w:t>
          </w:r>
          <w:r w:rsidR="00BD69D8">
            <w:rPr>
              <w:rFonts w:cs="AdvPS405B6"/>
              <w:sz w:val="22"/>
              <w:szCs w:val="22"/>
              <w:lang w:bidi="ar-SA"/>
            </w:rPr>
            <w:fldChar w:fldCharType="end"/>
          </w:r>
        </w:sdtContent>
      </w:sdt>
      <w:r w:rsidR="00EA08FA">
        <w:rPr>
          <w:rFonts w:cs="AdvPS405B6"/>
          <w:sz w:val="22"/>
          <w:szCs w:val="22"/>
          <w:lang w:bidi="ar-SA"/>
        </w:rPr>
        <w:t>.</w:t>
      </w:r>
    </w:p>
    <w:p w:rsidR="00740753" w:rsidRDefault="0064502E" w:rsidP="00740753">
      <w:pPr>
        <w:pStyle w:val="Bijschrift"/>
        <w:jc w:val="center"/>
      </w:pPr>
      <w:r w:rsidRPr="0064502E">
        <w:rPr>
          <w:noProof/>
          <w:lang w:val="nl-NL" w:eastAsia="nl-NL" w:bidi="ar-SA"/>
        </w:rPr>
        <w:drawing>
          <wp:inline distT="0" distB="0" distL="0" distR="0">
            <wp:extent cx="5410200" cy="2581934"/>
            <wp:effectExtent l="19050" t="19050" r="19050" b="27916"/>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a:stretch>
                      <a:fillRect/>
                    </a:stretch>
                  </pic:blipFill>
                  <pic:spPr bwMode="auto">
                    <a:xfrm>
                      <a:off x="0" y="0"/>
                      <a:ext cx="5410200" cy="2581934"/>
                    </a:xfrm>
                    <a:prstGeom prst="rect">
                      <a:avLst/>
                    </a:prstGeom>
                    <a:ln w="12700" cap="sq">
                      <a:solidFill>
                        <a:schemeClr val="accent1">
                          <a:lumMod val="75000"/>
                        </a:schemeClr>
                      </a:solidFill>
                      <a:prstDash val="solid"/>
                      <a:miter lim="800000"/>
                    </a:ln>
                    <a:effectLst/>
                  </pic:spPr>
                </pic:pic>
              </a:graphicData>
            </a:graphic>
          </wp:inline>
        </w:drawing>
      </w:r>
    </w:p>
    <w:p w:rsidR="00740753" w:rsidRDefault="00740753" w:rsidP="00740753">
      <w:pPr>
        <w:pStyle w:val="Bijschrift"/>
        <w:jc w:val="center"/>
      </w:pPr>
      <w:r>
        <w:t xml:space="preserve">Figure </w:t>
      </w:r>
      <w:r w:rsidR="001A1DF5">
        <w:t>8</w:t>
      </w:r>
      <w:r>
        <w:t xml:space="preserve"> Relationship between shipper and TPL provider (source: </w:t>
      </w:r>
      <w:r w:rsidR="009F4EB0">
        <w:rPr>
          <w:noProof/>
        </w:rPr>
        <w:t>Bowersox, Daugherty, DroEge, Rogers, &amp; Wardlow, 1989)</w:t>
      </w:r>
    </w:p>
    <w:p w:rsidR="00740753" w:rsidRPr="006B1885" w:rsidRDefault="00740753" w:rsidP="00740753">
      <w:pPr>
        <w:autoSpaceDE w:val="0"/>
        <w:autoSpaceDN w:val="0"/>
        <w:adjustRightInd w:val="0"/>
        <w:spacing w:before="0" w:line="360" w:lineRule="auto"/>
        <w:jc w:val="both"/>
        <w:rPr>
          <w:rFonts w:cs="AdvP405B6"/>
          <w:sz w:val="22"/>
          <w:szCs w:val="22"/>
          <w:lang w:bidi="ar-SA"/>
        </w:rPr>
      </w:pPr>
      <w:r w:rsidRPr="00815BEC">
        <w:rPr>
          <w:rFonts w:cs="AdvP405B6"/>
          <w:sz w:val="22"/>
          <w:szCs w:val="22"/>
          <w:lang w:bidi="ar-SA"/>
        </w:rPr>
        <w:t>The relationship between buyer and seller of logistics functions can be placed on a continuous scale, going from single transaction to integrated service ag</w:t>
      </w:r>
      <w:r w:rsidR="001A1DF5">
        <w:rPr>
          <w:rFonts w:cs="AdvP405B6"/>
          <w:sz w:val="22"/>
          <w:szCs w:val="22"/>
          <w:lang w:bidi="ar-SA"/>
        </w:rPr>
        <w:t>reements, as shown in figure 8</w:t>
      </w:r>
      <w:sdt>
        <w:sdtPr>
          <w:rPr>
            <w:rFonts w:cs="AdvP405B6"/>
            <w:sz w:val="22"/>
            <w:szCs w:val="22"/>
            <w:lang w:bidi="ar-SA"/>
          </w:rPr>
          <w:id w:val="13085838"/>
          <w:citation/>
        </w:sdtPr>
        <w:sdtContent>
          <w:r w:rsidR="00BD69D8" w:rsidRPr="00815BEC">
            <w:rPr>
              <w:rFonts w:cs="AdvP405B6"/>
              <w:sz w:val="22"/>
              <w:szCs w:val="22"/>
              <w:lang w:bidi="ar-SA"/>
            </w:rPr>
            <w:fldChar w:fldCharType="begin"/>
          </w:r>
          <w:r w:rsidRPr="00815BEC">
            <w:rPr>
              <w:rFonts w:cs="AdvP405B6"/>
              <w:sz w:val="22"/>
              <w:szCs w:val="22"/>
              <w:lang w:bidi="ar-SA"/>
            </w:rPr>
            <w:instrText xml:space="preserve"> CITATION Bow89 \l 1033 </w:instrText>
          </w:r>
          <w:r w:rsidR="00BD69D8" w:rsidRPr="00815BEC">
            <w:rPr>
              <w:rFonts w:cs="AdvP405B6"/>
              <w:sz w:val="22"/>
              <w:szCs w:val="22"/>
              <w:lang w:bidi="ar-SA"/>
            </w:rPr>
            <w:fldChar w:fldCharType="separate"/>
          </w:r>
          <w:r w:rsidR="00F26771">
            <w:rPr>
              <w:rFonts w:cs="AdvP405B6"/>
              <w:noProof/>
              <w:sz w:val="22"/>
              <w:szCs w:val="22"/>
              <w:lang w:bidi="ar-SA"/>
            </w:rPr>
            <w:t xml:space="preserve"> </w:t>
          </w:r>
          <w:r w:rsidR="00F26771" w:rsidRPr="00F26771">
            <w:rPr>
              <w:rFonts w:cs="AdvP405B6"/>
              <w:noProof/>
              <w:sz w:val="22"/>
              <w:szCs w:val="22"/>
              <w:lang w:bidi="ar-SA"/>
            </w:rPr>
            <w:t>(Bowersox, Daugherty, DroEge, Rogers, &amp; Wardlow, 1989)</w:t>
          </w:r>
          <w:r w:rsidR="00BD69D8" w:rsidRPr="00815BEC">
            <w:rPr>
              <w:rFonts w:cs="AdvP405B6"/>
              <w:sz w:val="22"/>
              <w:szCs w:val="22"/>
              <w:lang w:bidi="ar-SA"/>
            </w:rPr>
            <w:fldChar w:fldCharType="end"/>
          </w:r>
        </w:sdtContent>
      </w:sdt>
      <w:r w:rsidRPr="00815BEC">
        <w:rPr>
          <w:rFonts w:cs="AdvP405B6"/>
          <w:sz w:val="22"/>
          <w:szCs w:val="22"/>
          <w:lang w:bidi="ar-SA"/>
        </w:rPr>
        <w:t xml:space="preserve">. Starting from the left, single transactions corresponds to the traditional relationship on the transport market. The agreement is short term and carries no commitment apart from the specific investment. The degree of commitment and integration </w:t>
      </w:r>
      <w:r w:rsidRPr="00815BEC">
        <w:rPr>
          <w:rFonts w:cs="AdvP405B6"/>
          <w:sz w:val="22"/>
          <w:szCs w:val="22"/>
          <w:lang w:bidi="ar-SA"/>
        </w:rPr>
        <w:lastRenderedPageBreak/>
        <w:t xml:space="preserve">increases when moving to the right. In the partnership agreement, the provider gives standard solutions to the clients demand. </w:t>
      </w:r>
      <w:r>
        <w:rPr>
          <w:rFonts w:cs="AdvP405B6"/>
          <w:sz w:val="22"/>
          <w:szCs w:val="22"/>
          <w:lang w:bidi="ar-SA"/>
        </w:rPr>
        <w:t xml:space="preserve">Third party agreements are more tailored to the request of a client: these contracts require specific investments by the TPL provider in equipment or skills (training employees).  Integrated service agreements include the taking over of the whole management of logistics processes of the shipper by the TPL provider. The TPL provider makes specific investments, like inter-organizational teams of employees and often integrates the parties’ IT systems. </w:t>
      </w:r>
      <w:r w:rsidR="00B851BC">
        <w:rPr>
          <w:rFonts w:cs="AdvP405B6"/>
          <w:sz w:val="22"/>
          <w:szCs w:val="22"/>
          <w:lang w:bidi="ar-SA"/>
        </w:rPr>
        <w:t xml:space="preserve">These joint teams spent about 80% of their time on solving problems (van Laarhoven et al., 2000). </w:t>
      </w:r>
      <w:r>
        <w:rPr>
          <w:rFonts w:cs="AdvP405B6"/>
          <w:sz w:val="22"/>
          <w:szCs w:val="22"/>
          <w:lang w:bidi="ar-SA"/>
        </w:rPr>
        <w:t xml:space="preserve">Besides that, they will provide some value-adding </w:t>
      </w:r>
      <w:r w:rsidR="000A1922">
        <w:rPr>
          <w:rFonts w:cs="AdvP405B6"/>
          <w:sz w:val="22"/>
          <w:szCs w:val="22"/>
          <w:lang w:bidi="ar-SA"/>
        </w:rPr>
        <w:t>services (</w:t>
      </w:r>
      <w:r>
        <w:rPr>
          <w:rFonts w:cs="AdvP405B6"/>
          <w:sz w:val="22"/>
          <w:szCs w:val="22"/>
          <w:lang w:bidi="ar-SA"/>
        </w:rPr>
        <w:t xml:space="preserve">Bowersox et al., 1989). </w:t>
      </w:r>
    </w:p>
    <w:p w:rsidR="00EB12E4" w:rsidRPr="00037CFD" w:rsidRDefault="008323AF" w:rsidP="008323AF">
      <w:pPr>
        <w:autoSpaceDE w:val="0"/>
        <w:autoSpaceDN w:val="0"/>
        <w:adjustRightInd w:val="0"/>
        <w:spacing w:before="0" w:line="360" w:lineRule="auto"/>
        <w:jc w:val="both"/>
        <w:rPr>
          <w:rFonts w:cs="AdvP405B6"/>
          <w:sz w:val="22"/>
          <w:szCs w:val="22"/>
          <w:lang w:bidi="ar-SA"/>
        </w:rPr>
      </w:pPr>
      <w:r>
        <w:rPr>
          <w:rFonts w:cs="AdvP405B6"/>
          <w:sz w:val="22"/>
          <w:szCs w:val="22"/>
          <w:lang w:bidi="ar-SA"/>
        </w:rPr>
        <w:t xml:space="preserve">As stated by Skjott-Larsen (2000), </w:t>
      </w:r>
      <w:r w:rsidRPr="00932487">
        <w:rPr>
          <w:rFonts w:cs="AdvP405B7"/>
          <w:i/>
          <w:sz w:val="22"/>
          <w:szCs w:val="22"/>
          <w:lang w:bidi="ar-SA"/>
        </w:rPr>
        <w:t>‘’transaction cost analysis (TCA) explains the conditions under which third party agreements become preferable to the classical choice between market and hierarchy’’</w:t>
      </w:r>
      <w:r>
        <w:rPr>
          <w:rFonts w:cs="AdvP405B7"/>
          <w:sz w:val="22"/>
          <w:szCs w:val="22"/>
          <w:lang w:bidi="ar-SA"/>
        </w:rPr>
        <w:t xml:space="preserve"> (p. 16). </w:t>
      </w:r>
      <w:r w:rsidR="00EB12E4" w:rsidRPr="006E44CB">
        <w:rPr>
          <w:rFonts w:cs="AdvP405B6"/>
          <w:sz w:val="22"/>
          <w:szCs w:val="22"/>
          <w:lang w:bidi="ar-SA"/>
        </w:rPr>
        <w:t>According to Williamson (1</w:t>
      </w:r>
      <w:r w:rsidR="00C654E2">
        <w:rPr>
          <w:rFonts w:cs="AdvP405B6"/>
          <w:sz w:val="22"/>
          <w:szCs w:val="22"/>
          <w:lang w:bidi="ar-SA"/>
        </w:rPr>
        <w:t>979) asset specificity is a</w:t>
      </w:r>
      <w:r w:rsidR="00EB12E4" w:rsidRPr="006E44CB">
        <w:rPr>
          <w:rFonts w:cs="AdvP405B6"/>
          <w:sz w:val="22"/>
          <w:szCs w:val="22"/>
          <w:lang w:bidi="ar-SA"/>
        </w:rPr>
        <w:t xml:space="preserve"> main feature of the transaction. A specific investment has limited value when used in alternative applications. There can be various specific physical assets but also specific human assets are included </w:t>
      </w:r>
      <w:sdt>
        <w:sdtPr>
          <w:rPr>
            <w:rFonts w:cs="AdvP405B6"/>
            <w:sz w:val="22"/>
            <w:szCs w:val="22"/>
            <w:lang w:bidi="ar-SA"/>
          </w:rPr>
          <w:id w:val="13085841"/>
          <w:citation/>
        </w:sdtPr>
        <w:sdtContent>
          <w:r w:rsidR="00BD69D8" w:rsidRPr="006E44CB">
            <w:rPr>
              <w:rFonts w:cs="AdvP405B6"/>
              <w:sz w:val="22"/>
              <w:szCs w:val="22"/>
              <w:lang w:bidi="ar-SA"/>
            </w:rPr>
            <w:fldChar w:fldCharType="begin"/>
          </w:r>
          <w:r w:rsidR="00EB12E4" w:rsidRPr="006E44CB">
            <w:rPr>
              <w:rFonts w:cs="AdvP405B6"/>
              <w:sz w:val="22"/>
              <w:szCs w:val="22"/>
              <w:lang w:bidi="ar-SA"/>
            </w:rPr>
            <w:instrText xml:space="preserve"> CITATION Wil85 \t  \l 1033  </w:instrText>
          </w:r>
          <w:r w:rsidR="00BD69D8" w:rsidRPr="006E44CB">
            <w:rPr>
              <w:rFonts w:cs="AdvP405B6"/>
              <w:sz w:val="22"/>
              <w:szCs w:val="22"/>
              <w:lang w:bidi="ar-SA"/>
            </w:rPr>
            <w:fldChar w:fldCharType="separate"/>
          </w:r>
          <w:r w:rsidR="00F26771" w:rsidRPr="00F26771">
            <w:rPr>
              <w:rFonts w:cs="AdvP405B6"/>
              <w:noProof/>
              <w:sz w:val="22"/>
              <w:szCs w:val="22"/>
              <w:lang w:bidi="ar-SA"/>
            </w:rPr>
            <w:t>(Williamson, 1985)</w:t>
          </w:r>
          <w:r w:rsidR="00BD69D8" w:rsidRPr="006E44CB">
            <w:rPr>
              <w:rFonts w:cs="AdvP405B6"/>
              <w:sz w:val="22"/>
              <w:szCs w:val="22"/>
              <w:lang w:bidi="ar-SA"/>
            </w:rPr>
            <w:fldChar w:fldCharType="end"/>
          </w:r>
        </w:sdtContent>
      </w:sdt>
      <w:r w:rsidR="00EB12E4" w:rsidRPr="006E44CB">
        <w:rPr>
          <w:rFonts w:cs="AdvP405B6"/>
          <w:sz w:val="22"/>
          <w:szCs w:val="22"/>
          <w:lang w:bidi="ar-SA"/>
        </w:rPr>
        <w:t xml:space="preserve">. Making transaction specific investments creates mutual dependency, since the TPL buyer </w:t>
      </w:r>
      <w:r w:rsidR="006E44CB">
        <w:rPr>
          <w:rFonts w:cs="AdvP405B6"/>
          <w:sz w:val="22"/>
          <w:szCs w:val="22"/>
          <w:lang w:bidi="ar-SA"/>
        </w:rPr>
        <w:t xml:space="preserve">is also </w:t>
      </w:r>
      <w:r w:rsidR="00EB12E4" w:rsidRPr="006E44CB">
        <w:rPr>
          <w:rFonts w:cs="AdvP405B6"/>
          <w:sz w:val="22"/>
          <w:szCs w:val="22"/>
          <w:lang w:bidi="ar-SA"/>
        </w:rPr>
        <w:t>bound to us</w:t>
      </w:r>
      <w:r w:rsidR="006E44CB">
        <w:rPr>
          <w:rFonts w:cs="AdvP405B6"/>
          <w:sz w:val="22"/>
          <w:szCs w:val="22"/>
          <w:lang w:bidi="ar-SA"/>
        </w:rPr>
        <w:t>e the providers’ equipment.</w:t>
      </w:r>
      <w:r w:rsidR="00493810">
        <w:rPr>
          <w:rFonts w:cs="AdvP405B6"/>
          <w:sz w:val="22"/>
          <w:szCs w:val="22"/>
          <w:lang w:bidi="ar-SA"/>
        </w:rPr>
        <w:t xml:space="preserve"> That is why the market is to be preferred when assets are nonspecific: price is the only adjustment mechanism between supply and demand thereby preventing excessive rents. But if performance</w:t>
      </w:r>
      <w:r w:rsidR="00E01685">
        <w:rPr>
          <w:rFonts w:cs="AdvP405B6"/>
          <w:sz w:val="22"/>
          <w:szCs w:val="22"/>
          <w:lang w:bidi="ar-SA"/>
        </w:rPr>
        <w:t xml:space="preserve"> is difficult to measure, the shipper could choose to internalize </w:t>
      </w:r>
      <w:r w:rsidR="000A1922">
        <w:rPr>
          <w:rFonts w:cs="AdvP405B6"/>
          <w:sz w:val="22"/>
          <w:szCs w:val="22"/>
          <w:lang w:bidi="ar-SA"/>
        </w:rPr>
        <w:t>its</w:t>
      </w:r>
      <w:r w:rsidR="00E01685">
        <w:rPr>
          <w:rFonts w:cs="AdvP405B6"/>
          <w:sz w:val="22"/>
          <w:szCs w:val="22"/>
          <w:lang w:bidi="ar-SA"/>
        </w:rPr>
        <w:t xml:space="preserve"> logistics thereby lowering the possibility of a TPL provider to </w:t>
      </w:r>
      <w:r w:rsidR="00E60154">
        <w:rPr>
          <w:rFonts w:cs="AdvP405B6"/>
          <w:sz w:val="22"/>
          <w:szCs w:val="22"/>
          <w:lang w:bidi="ar-SA"/>
        </w:rPr>
        <w:t>perform opportunistic behavior (extract excessive rents compared to the service level).</w:t>
      </w:r>
      <w:r w:rsidR="0034474C">
        <w:rPr>
          <w:rFonts w:cs="AdvP405B6"/>
          <w:sz w:val="22"/>
          <w:szCs w:val="22"/>
          <w:lang w:bidi="ar-SA"/>
        </w:rPr>
        <w:t xml:space="preserve"> Investing in medium-specific assets, assets that can be used by various companies and thus provide scale economies</w:t>
      </w:r>
      <w:r w:rsidR="000A1922">
        <w:rPr>
          <w:rFonts w:cs="AdvP405B6"/>
          <w:sz w:val="22"/>
          <w:szCs w:val="22"/>
          <w:lang w:bidi="ar-SA"/>
        </w:rPr>
        <w:t>, is</w:t>
      </w:r>
      <w:r w:rsidR="0034474C">
        <w:rPr>
          <w:rFonts w:cs="AdvP405B6"/>
          <w:sz w:val="22"/>
          <w:szCs w:val="22"/>
          <w:lang w:bidi="ar-SA"/>
        </w:rPr>
        <w:t xml:space="preserve"> interesting for TPL providers. This is because economies of scale are combined with a specific asset/service thus ensuring higher margins</w:t>
      </w:r>
      <w:sdt>
        <w:sdtPr>
          <w:rPr>
            <w:rFonts w:cs="AdvP405B6"/>
            <w:sz w:val="22"/>
            <w:szCs w:val="22"/>
            <w:lang w:bidi="ar-SA"/>
          </w:rPr>
          <w:id w:val="13085845"/>
          <w:citation/>
        </w:sdtPr>
        <w:sdtContent>
          <w:r w:rsidR="00BD69D8">
            <w:rPr>
              <w:rFonts w:cs="AdvP405B6"/>
              <w:sz w:val="22"/>
              <w:szCs w:val="22"/>
              <w:lang w:bidi="ar-SA"/>
            </w:rPr>
            <w:fldChar w:fldCharType="begin"/>
          </w:r>
          <w:r w:rsidR="00CA1931">
            <w:rPr>
              <w:rFonts w:cs="AdvP405B6"/>
              <w:sz w:val="22"/>
              <w:szCs w:val="22"/>
              <w:lang w:bidi="ar-SA"/>
            </w:rPr>
            <w:instrText xml:space="preserve"> CITATION Wil85 \t  \l 1033  </w:instrText>
          </w:r>
          <w:r w:rsidR="00BD69D8">
            <w:rPr>
              <w:rFonts w:cs="AdvP405B6"/>
              <w:sz w:val="22"/>
              <w:szCs w:val="22"/>
              <w:lang w:bidi="ar-SA"/>
            </w:rPr>
            <w:fldChar w:fldCharType="separate"/>
          </w:r>
          <w:r w:rsidR="00F26771">
            <w:rPr>
              <w:rFonts w:cs="AdvP405B6"/>
              <w:noProof/>
              <w:sz w:val="22"/>
              <w:szCs w:val="22"/>
              <w:lang w:bidi="ar-SA"/>
            </w:rPr>
            <w:t xml:space="preserve"> </w:t>
          </w:r>
          <w:r w:rsidR="00F26771" w:rsidRPr="00F26771">
            <w:rPr>
              <w:rFonts w:cs="AdvP405B6"/>
              <w:noProof/>
              <w:sz w:val="22"/>
              <w:szCs w:val="22"/>
              <w:lang w:bidi="ar-SA"/>
            </w:rPr>
            <w:t>(Williamson, 1985)</w:t>
          </w:r>
          <w:r w:rsidR="00BD69D8">
            <w:rPr>
              <w:rFonts w:cs="AdvP405B6"/>
              <w:sz w:val="22"/>
              <w:szCs w:val="22"/>
              <w:lang w:bidi="ar-SA"/>
            </w:rPr>
            <w:fldChar w:fldCharType="end"/>
          </w:r>
        </w:sdtContent>
      </w:sdt>
      <w:r w:rsidR="00CA1931">
        <w:rPr>
          <w:rFonts w:cs="AdvP405B6"/>
          <w:sz w:val="22"/>
          <w:szCs w:val="22"/>
          <w:lang w:bidi="ar-SA"/>
        </w:rPr>
        <w:t xml:space="preserve">.  As mentioned before, the transaction cost theory is based on two behavioral assumptions, namely bounded rationality and opportunism. Transaction </w:t>
      </w:r>
      <w:r w:rsidR="00CE3894">
        <w:rPr>
          <w:rFonts w:cs="AdvP405B6"/>
          <w:sz w:val="22"/>
          <w:szCs w:val="22"/>
          <w:lang w:bidi="ar-SA"/>
        </w:rPr>
        <w:t xml:space="preserve">costs </w:t>
      </w:r>
      <w:r w:rsidR="00CA1931">
        <w:rPr>
          <w:rFonts w:cs="AdvP405B6"/>
          <w:sz w:val="22"/>
          <w:szCs w:val="22"/>
          <w:lang w:bidi="ar-SA"/>
        </w:rPr>
        <w:t xml:space="preserve">can be characterized by four dimensions: frequency, uncertainty, complexity and (asset) specificity. If transaction </w:t>
      </w:r>
      <w:r w:rsidR="000A1922">
        <w:rPr>
          <w:rFonts w:cs="AdvP405B6"/>
          <w:sz w:val="22"/>
          <w:szCs w:val="22"/>
          <w:lang w:bidi="ar-SA"/>
        </w:rPr>
        <w:t>costs are</w:t>
      </w:r>
      <w:r w:rsidR="00CA1931">
        <w:rPr>
          <w:rFonts w:cs="AdvP405B6"/>
          <w:sz w:val="22"/>
          <w:szCs w:val="22"/>
          <w:lang w:bidi="ar-SA"/>
        </w:rPr>
        <w:t xml:space="preserve"> low, the transaction should be purchased in the market. But with the rise of transaction cost, the demand for specific investments is rising</w:t>
      </w:r>
      <w:r w:rsidR="00B51034">
        <w:rPr>
          <w:rFonts w:cs="AdvP405B6"/>
          <w:sz w:val="22"/>
          <w:szCs w:val="22"/>
          <w:lang w:bidi="ar-SA"/>
        </w:rPr>
        <w:t>. In the end, activities will be internalized.  I am curious to what level of asset specificity it is profitable for T</w:t>
      </w:r>
      <w:r w:rsidR="00C654E2">
        <w:rPr>
          <w:rFonts w:cs="AdvP405B6"/>
          <w:sz w:val="22"/>
          <w:szCs w:val="22"/>
          <w:lang w:bidi="ar-SA"/>
        </w:rPr>
        <w:t>PL providers to make transaction/client</w:t>
      </w:r>
      <w:r w:rsidR="00B51034">
        <w:rPr>
          <w:rFonts w:cs="AdvP405B6"/>
          <w:sz w:val="22"/>
          <w:szCs w:val="22"/>
          <w:lang w:bidi="ar-SA"/>
        </w:rPr>
        <w:t xml:space="preserve"> specific investments. </w:t>
      </w:r>
      <w:r w:rsidR="00C15813">
        <w:rPr>
          <w:rFonts w:cs="AdvP405B6"/>
          <w:sz w:val="22"/>
          <w:szCs w:val="22"/>
          <w:lang w:bidi="ar-SA"/>
        </w:rPr>
        <w:t xml:space="preserve"> What kind of</w:t>
      </w:r>
      <w:r w:rsidR="00CE3894">
        <w:rPr>
          <w:rFonts w:cs="AdvP405B6"/>
          <w:sz w:val="22"/>
          <w:szCs w:val="22"/>
          <w:lang w:bidi="ar-SA"/>
        </w:rPr>
        <w:t xml:space="preserve"> (and to what extent are)</w:t>
      </w:r>
      <w:r w:rsidR="00C654E2">
        <w:rPr>
          <w:rFonts w:cs="AdvP405B6"/>
          <w:sz w:val="22"/>
          <w:szCs w:val="22"/>
          <w:lang w:bidi="ar-SA"/>
        </w:rPr>
        <w:t xml:space="preserve"> client</w:t>
      </w:r>
      <w:r w:rsidR="00C15813">
        <w:rPr>
          <w:rFonts w:cs="AdvP405B6"/>
          <w:sz w:val="22"/>
          <w:szCs w:val="22"/>
          <w:lang w:bidi="ar-SA"/>
        </w:rPr>
        <w:t xml:space="preserve"> specific investments do TPL providers make? Are they focusing on physical investments, IT systems, or employees/human skill related</w:t>
      </w:r>
      <w:r w:rsidR="00CE3894">
        <w:rPr>
          <w:rFonts w:cs="AdvP405B6"/>
          <w:sz w:val="22"/>
          <w:szCs w:val="22"/>
          <w:lang w:bidi="ar-SA"/>
        </w:rPr>
        <w:t xml:space="preserve"> investment</w:t>
      </w:r>
      <w:r w:rsidR="00C15813">
        <w:rPr>
          <w:rFonts w:cs="AdvP405B6"/>
          <w:sz w:val="22"/>
          <w:szCs w:val="22"/>
          <w:lang w:bidi="ar-SA"/>
        </w:rPr>
        <w:t>?</w:t>
      </w:r>
      <w:r w:rsidR="00CE3894">
        <w:rPr>
          <w:rFonts w:cs="AdvP405B6"/>
          <w:sz w:val="22"/>
          <w:szCs w:val="22"/>
          <w:lang w:bidi="ar-SA"/>
        </w:rPr>
        <w:t xml:space="preserve">  The following sub-question is formulated:</w:t>
      </w:r>
    </w:p>
    <w:tbl>
      <w:tblPr>
        <w:tblStyle w:val="Lichtearcering-accent6"/>
        <w:tblW w:w="0" w:type="auto"/>
        <w:tblLook w:val="04A0"/>
      </w:tblPr>
      <w:tblGrid>
        <w:gridCol w:w="9212"/>
      </w:tblGrid>
      <w:tr w:rsidR="00CE3894" w:rsidTr="0064502E">
        <w:trPr>
          <w:cnfStyle w:val="100000000000"/>
        </w:trPr>
        <w:tc>
          <w:tcPr>
            <w:cnfStyle w:val="001000000000"/>
            <w:tcW w:w="9212" w:type="dxa"/>
          </w:tcPr>
          <w:p w:rsidR="00CE3894" w:rsidRPr="0064502E" w:rsidRDefault="003E3EB7" w:rsidP="0064502E">
            <w:pPr>
              <w:spacing w:line="360" w:lineRule="auto"/>
              <w:jc w:val="center"/>
              <w:rPr>
                <w:rFonts w:asciiTheme="majorHAnsi" w:hAnsiTheme="majorHAnsi"/>
                <w:i/>
                <w:sz w:val="22"/>
                <w:szCs w:val="22"/>
                <w:lang w:bidi="ar-SA"/>
              </w:rPr>
            </w:pPr>
            <w:r w:rsidRPr="0064502E">
              <w:rPr>
                <w:rFonts w:asciiTheme="majorHAnsi" w:hAnsiTheme="majorHAnsi"/>
                <w:i/>
                <w:sz w:val="22"/>
                <w:szCs w:val="22"/>
                <w:lang w:bidi="ar-SA"/>
              </w:rPr>
              <w:t xml:space="preserve">‘’ </w:t>
            </w:r>
            <w:r w:rsidR="000A1922" w:rsidRPr="0064502E">
              <w:rPr>
                <w:rFonts w:asciiTheme="majorHAnsi" w:hAnsiTheme="majorHAnsi"/>
                <w:i/>
                <w:sz w:val="22"/>
                <w:szCs w:val="22"/>
                <w:lang w:bidi="ar-SA"/>
              </w:rPr>
              <w:t>What client</w:t>
            </w:r>
            <w:r w:rsidR="00CE3894" w:rsidRPr="0064502E">
              <w:rPr>
                <w:rFonts w:asciiTheme="majorHAnsi" w:hAnsiTheme="majorHAnsi"/>
                <w:i/>
                <w:sz w:val="22"/>
                <w:szCs w:val="22"/>
                <w:lang w:bidi="ar-SA"/>
              </w:rPr>
              <w:t xml:space="preserve"> specific investments do TPL providers make?’’</w:t>
            </w:r>
          </w:p>
        </w:tc>
      </w:tr>
    </w:tbl>
    <w:p w:rsidR="00740753" w:rsidRDefault="00740753" w:rsidP="00740753">
      <w:pPr>
        <w:autoSpaceDE w:val="0"/>
        <w:autoSpaceDN w:val="0"/>
        <w:adjustRightInd w:val="0"/>
        <w:spacing w:before="0" w:after="0" w:line="240" w:lineRule="auto"/>
        <w:rPr>
          <w:rFonts w:ascii="AdvP405B6" w:hAnsi="AdvP405B6" w:cs="AdvP405B6"/>
          <w:sz w:val="22"/>
          <w:szCs w:val="22"/>
          <w:lang w:bidi="ar-SA"/>
        </w:rPr>
      </w:pPr>
    </w:p>
    <w:p w:rsidR="001435B1" w:rsidRDefault="001435B1" w:rsidP="00740753">
      <w:pPr>
        <w:autoSpaceDE w:val="0"/>
        <w:autoSpaceDN w:val="0"/>
        <w:adjustRightInd w:val="0"/>
        <w:spacing w:before="0" w:after="0" w:line="240" w:lineRule="auto"/>
        <w:rPr>
          <w:rFonts w:ascii="AdvP405B6" w:hAnsi="AdvP405B6" w:cs="AdvP405B6"/>
          <w:sz w:val="22"/>
          <w:szCs w:val="22"/>
          <w:lang w:bidi="ar-SA"/>
        </w:rPr>
      </w:pPr>
    </w:p>
    <w:p w:rsidR="0064502E" w:rsidRDefault="0064502E" w:rsidP="00740753">
      <w:pPr>
        <w:autoSpaceDE w:val="0"/>
        <w:autoSpaceDN w:val="0"/>
        <w:adjustRightInd w:val="0"/>
        <w:spacing w:before="0" w:after="0" w:line="240" w:lineRule="auto"/>
        <w:rPr>
          <w:rFonts w:ascii="AdvP405B6" w:hAnsi="AdvP405B6" w:cs="AdvP405B6"/>
          <w:sz w:val="22"/>
          <w:szCs w:val="22"/>
          <w:lang w:bidi="ar-SA"/>
        </w:rPr>
      </w:pPr>
    </w:p>
    <w:p w:rsidR="00F56830" w:rsidRPr="004A1087" w:rsidRDefault="004A1087" w:rsidP="004A1087">
      <w:pPr>
        <w:pStyle w:val="Kop2"/>
        <w:numPr>
          <w:ilvl w:val="1"/>
          <w:numId w:val="13"/>
        </w:numPr>
        <w:rPr>
          <w:rFonts w:asciiTheme="majorHAnsi" w:hAnsiTheme="majorHAnsi"/>
          <w:lang w:bidi="ar-SA"/>
        </w:rPr>
      </w:pPr>
      <w:bookmarkStart w:id="19" w:name="_Toc300411993"/>
      <w:r w:rsidRPr="004A1087">
        <w:rPr>
          <w:rFonts w:asciiTheme="majorHAnsi" w:hAnsiTheme="majorHAnsi"/>
          <w:lang w:bidi="ar-SA"/>
        </w:rPr>
        <w:lastRenderedPageBreak/>
        <w:t xml:space="preserve">Customer adaption versus </w:t>
      </w:r>
      <w:r w:rsidR="002E5DEC">
        <w:rPr>
          <w:rFonts w:asciiTheme="majorHAnsi" w:hAnsiTheme="majorHAnsi"/>
          <w:lang w:bidi="ar-SA"/>
        </w:rPr>
        <w:t xml:space="preserve">offering </w:t>
      </w:r>
      <w:r w:rsidRPr="004A1087">
        <w:rPr>
          <w:rFonts w:asciiTheme="majorHAnsi" w:hAnsiTheme="majorHAnsi"/>
          <w:lang w:bidi="ar-SA"/>
        </w:rPr>
        <w:t xml:space="preserve">general </w:t>
      </w:r>
      <w:r w:rsidR="005243FD">
        <w:rPr>
          <w:rFonts w:asciiTheme="majorHAnsi" w:hAnsiTheme="majorHAnsi"/>
          <w:lang w:bidi="ar-SA"/>
        </w:rPr>
        <w:t>services</w:t>
      </w:r>
      <w:bookmarkEnd w:id="19"/>
    </w:p>
    <w:p w:rsidR="004A1087" w:rsidRDefault="00282B67" w:rsidP="00F714CC">
      <w:pPr>
        <w:spacing w:line="360" w:lineRule="auto"/>
        <w:jc w:val="both"/>
        <w:rPr>
          <w:noProof/>
          <w:sz w:val="22"/>
          <w:szCs w:val="22"/>
          <w:lang w:bidi="ar-SA"/>
        </w:rPr>
      </w:pPr>
      <w:r>
        <w:rPr>
          <w:sz w:val="22"/>
          <w:szCs w:val="22"/>
          <w:lang w:bidi="ar-SA"/>
        </w:rPr>
        <w:t xml:space="preserve">Already in 1999, a reasonably clear segmentation in terms </w:t>
      </w:r>
      <w:r w:rsidR="000A1922">
        <w:rPr>
          <w:sz w:val="22"/>
          <w:szCs w:val="22"/>
          <w:lang w:bidi="ar-SA"/>
        </w:rPr>
        <w:t>of strategic</w:t>
      </w:r>
      <w:r>
        <w:rPr>
          <w:sz w:val="22"/>
          <w:szCs w:val="22"/>
          <w:lang w:bidi="ar-SA"/>
        </w:rPr>
        <w:t xml:space="preserve"> differentiation was emerging</w:t>
      </w:r>
      <w:r>
        <w:rPr>
          <w:noProof/>
          <w:sz w:val="22"/>
          <w:szCs w:val="22"/>
          <w:lang w:bidi="ar-SA"/>
        </w:rPr>
        <w:t xml:space="preserve"> (Berglund et al., </w:t>
      </w:r>
      <w:r w:rsidRPr="00282B67">
        <w:rPr>
          <w:noProof/>
          <w:sz w:val="22"/>
          <w:szCs w:val="22"/>
          <w:lang w:bidi="ar-SA"/>
        </w:rPr>
        <w:t>1999)</w:t>
      </w:r>
      <w:r>
        <w:rPr>
          <w:noProof/>
          <w:sz w:val="22"/>
          <w:szCs w:val="22"/>
          <w:lang w:bidi="ar-SA"/>
        </w:rPr>
        <w:t>.  The TPL providers could be segmented into two dimensio</w:t>
      </w:r>
      <w:r w:rsidR="00F714CC">
        <w:rPr>
          <w:noProof/>
          <w:sz w:val="22"/>
          <w:szCs w:val="22"/>
          <w:lang w:bidi="ar-SA"/>
        </w:rPr>
        <w:t>ns. The first dimension is formed by service providers. Service providers focus on  a few standard services thereby aiming at economies of scale. The second dimension consists of solution providers. Solution providers focus on a few industries, taking over the whole logistics process and thus have to customise their services.  Berglund et al. (1999) compared both segments with eachother on multiple</w:t>
      </w:r>
      <w:r w:rsidR="009F4EB0">
        <w:rPr>
          <w:noProof/>
          <w:sz w:val="22"/>
          <w:szCs w:val="22"/>
          <w:lang w:bidi="ar-SA"/>
        </w:rPr>
        <w:t xml:space="preserve"> key figures.  They found that the average revenues per contract and per employee were substantial lower for service providers compared to solution providers.</w:t>
      </w:r>
    </w:p>
    <w:p w:rsidR="001435B1" w:rsidRDefault="00D75164" w:rsidP="001435B1">
      <w:pPr>
        <w:keepNext/>
        <w:autoSpaceDE w:val="0"/>
        <w:autoSpaceDN w:val="0"/>
        <w:adjustRightInd w:val="0"/>
        <w:spacing w:before="0" w:after="0" w:line="360" w:lineRule="auto"/>
        <w:jc w:val="both"/>
      </w:pPr>
      <w:r>
        <w:rPr>
          <w:noProof/>
          <w:lang w:val="nl-NL" w:eastAsia="nl-NL" w:bidi="ar-SA"/>
        </w:rPr>
        <w:drawing>
          <wp:anchor distT="0" distB="0" distL="114300" distR="114300" simplePos="0" relativeHeight="251679744" behindDoc="0" locked="0" layoutInCell="1" allowOverlap="1">
            <wp:simplePos x="0" y="0"/>
            <wp:positionH relativeFrom="margin">
              <wp:posOffset>2576830</wp:posOffset>
            </wp:positionH>
            <wp:positionV relativeFrom="margin">
              <wp:posOffset>5510530</wp:posOffset>
            </wp:positionV>
            <wp:extent cx="3143250" cy="2114550"/>
            <wp:effectExtent l="19050" t="19050" r="19050" b="19050"/>
            <wp:wrapSquare wrapText="bothSides"/>
            <wp:docPr id="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cstate="print"/>
                    <a:srcRect/>
                    <a:stretch>
                      <a:fillRect/>
                    </a:stretch>
                  </pic:blipFill>
                  <pic:spPr bwMode="auto">
                    <a:xfrm>
                      <a:off x="0" y="0"/>
                      <a:ext cx="3143250" cy="2114550"/>
                    </a:xfrm>
                    <a:prstGeom prst="rect">
                      <a:avLst/>
                    </a:prstGeom>
                    <a:ln w="12700" cap="sq">
                      <a:solidFill>
                        <a:schemeClr val="accent1">
                          <a:lumMod val="75000"/>
                        </a:schemeClr>
                      </a:solidFill>
                      <a:prstDash val="solid"/>
                      <a:miter lim="800000"/>
                    </a:ln>
                    <a:effectLst/>
                  </pic:spPr>
                </pic:pic>
              </a:graphicData>
            </a:graphic>
          </wp:anchor>
        </w:drawing>
      </w:r>
      <w:r w:rsidR="00BD69D8" w:rsidRPr="00BD69D8">
        <w:rPr>
          <w:noProof/>
        </w:rPr>
        <w:pict>
          <v:shape id="_x0000_s1040" type="#_x0000_t202" style="position:absolute;left:0;text-align:left;margin-left:251.65pt;margin-top:398.55pt;width:161.25pt;height:32.25pt;z-index:251674624;mso-position-horizontal-relative:text;mso-position-vertical-relative:text" wrapcoords="-90 0 -90 21312 21600 21312 21600 0 -90 0" stroked="f">
            <v:textbox style="mso-next-textbox:#_x0000_s1040" inset="0,0,0,0">
              <w:txbxContent>
                <w:p w:rsidR="002752F8" w:rsidRPr="001435B1" w:rsidRDefault="002752F8" w:rsidP="001435B1">
                  <w:pPr>
                    <w:pStyle w:val="Bijschrift"/>
                    <w:spacing w:line="240" w:lineRule="auto"/>
                    <w:jc w:val="center"/>
                  </w:pPr>
                  <w:r>
                    <w:t>Figure 9 Effi</w:t>
                  </w:r>
                  <w:r w:rsidRPr="00DA066F">
                    <w:rPr>
                      <w:b w:val="0"/>
                    </w:rPr>
                    <w:t>c</w:t>
                  </w:r>
                  <w:r>
                    <w:t xml:space="preserve">ient TPL services                               (source: </w:t>
                  </w:r>
                  <w:r>
                    <w:rPr>
                      <w:noProof/>
                    </w:rPr>
                    <w:t>Makelin &amp; Vepsalainen, 1990)</w:t>
                  </w:r>
                </w:p>
                <w:p w:rsidR="002752F8" w:rsidRPr="00765594" w:rsidRDefault="002752F8" w:rsidP="001435B1">
                  <w:pPr>
                    <w:pStyle w:val="Bijschrift"/>
                    <w:rPr>
                      <w:rFonts w:cs="AdvP405B6"/>
                      <w:noProof/>
                    </w:rPr>
                  </w:pPr>
                </w:p>
              </w:txbxContent>
            </v:textbox>
            <w10:wrap type="square"/>
          </v:shape>
        </w:pict>
      </w:r>
      <w:r w:rsidR="00CF0B1A" w:rsidRPr="00CF0B1A">
        <w:rPr>
          <w:rFonts w:cs="AdvP405B6"/>
          <w:sz w:val="22"/>
          <w:szCs w:val="22"/>
          <w:lang w:bidi="ar-SA"/>
        </w:rPr>
        <w:t xml:space="preserve">In the beginning of the 1990, some European TPL providers failed to properly brand their services despite their efforts to please all </w:t>
      </w:r>
      <w:r w:rsidR="00CF0B1A">
        <w:rPr>
          <w:rFonts w:cs="AdvP405B6"/>
          <w:sz w:val="22"/>
          <w:szCs w:val="22"/>
          <w:lang w:bidi="ar-SA"/>
        </w:rPr>
        <w:t>(</w:t>
      </w:r>
      <w:r w:rsidR="00CF0B1A" w:rsidRPr="00CF0B1A">
        <w:rPr>
          <w:rFonts w:cs="AdvP405B6"/>
          <w:sz w:val="22"/>
          <w:szCs w:val="22"/>
          <w:lang w:bidi="ar-SA"/>
        </w:rPr>
        <w:t xml:space="preserve">potential) customers with all types of services in all logistics operations </w:t>
      </w:r>
      <w:sdt>
        <w:sdtPr>
          <w:rPr>
            <w:rFonts w:cs="AdvP405B6"/>
            <w:sz w:val="22"/>
            <w:szCs w:val="22"/>
            <w:lang w:bidi="ar-SA"/>
          </w:rPr>
          <w:id w:val="5887017"/>
          <w:citation/>
        </w:sdtPr>
        <w:sdtContent>
          <w:r w:rsidR="00BD69D8" w:rsidRPr="00CF0B1A">
            <w:rPr>
              <w:rFonts w:cs="AdvP405B6"/>
              <w:sz w:val="22"/>
              <w:szCs w:val="22"/>
              <w:lang w:bidi="ar-SA"/>
            </w:rPr>
            <w:fldChar w:fldCharType="begin"/>
          </w:r>
          <w:r w:rsidR="00CF0B1A" w:rsidRPr="00CF0B1A">
            <w:rPr>
              <w:rFonts w:cs="AdvP405B6"/>
              <w:sz w:val="22"/>
              <w:szCs w:val="22"/>
              <w:lang w:bidi="ar-SA"/>
            </w:rPr>
            <w:instrText xml:space="preserve"> CITATION Coo97 \l 1033 </w:instrText>
          </w:r>
          <w:r w:rsidR="00BD69D8" w:rsidRPr="00CF0B1A">
            <w:rPr>
              <w:rFonts w:cs="AdvP405B6"/>
              <w:sz w:val="22"/>
              <w:szCs w:val="22"/>
              <w:lang w:bidi="ar-SA"/>
            </w:rPr>
            <w:fldChar w:fldCharType="separate"/>
          </w:r>
          <w:r w:rsidR="00F26771" w:rsidRPr="00F26771">
            <w:rPr>
              <w:rFonts w:cs="AdvP405B6"/>
              <w:noProof/>
              <w:sz w:val="22"/>
              <w:szCs w:val="22"/>
              <w:lang w:bidi="ar-SA"/>
            </w:rPr>
            <w:t>(Cooper, Lambert, &amp; Pagh, 1997)</w:t>
          </w:r>
          <w:r w:rsidR="00BD69D8" w:rsidRPr="00CF0B1A">
            <w:rPr>
              <w:rFonts w:cs="AdvP405B6"/>
              <w:sz w:val="22"/>
              <w:szCs w:val="22"/>
              <w:lang w:bidi="ar-SA"/>
            </w:rPr>
            <w:fldChar w:fldCharType="end"/>
          </w:r>
        </w:sdtContent>
      </w:sdt>
      <w:r w:rsidR="00CF0B1A" w:rsidRPr="00CF0B1A">
        <w:rPr>
          <w:rFonts w:cs="AdvP405B6"/>
          <w:sz w:val="22"/>
          <w:szCs w:val="22"/>
          <w:lang w:bidi="ar-SA"/>
        </w:rPr>
        <w:t>.</w:t>
      </w:r>
      <w:r w:rsidR="00CF0B1A">
        <w:rPr>
          <w:rFonts w:cs="AdvP405B6"/>
          <w:sz w:val="22"/>
          <w:szCs w:val="22"/>
          <w:lang w:bidi="ar-SA"/>
        </w:rPr>
        <w:t xml:space="preserve"> This led to fast increasing costs and diffused and dissatisfied customers. </w:t>
      </w:r>
      <w:r w:rsidR="00E00276">
        <w:rPr>
          <w:rFonts w:cs="AdvP405B6"/>
          <w:sz w:val="22"/>
          <w:szCs w:val="22"/>
          <w:lang w:bidi="ar-SA"/>
        </w:rPr>
        <w:t xml:space="preserve"> Inefficiencies</w:t>
      </w:r>
      <w:r w:rsidR="00711B16">
        <w:rPr>
          <w:rFonts w:cs="AdvP405B6"/>
          <w:sz w:val="22"/>
          <w:szCs w:val="22"/>
          <w:lang w:bidi="ar-SA"/>
        </w:rPr>
        <w:t xml:space="preserve">, as described in </w:t>
      </w:r>
      <w:r w:rsidR="0064502E">
        <w:rPr>
          <w:rFonts w:cs="AdvP405B6"/>
          <w:sz w:val="22"/>
          <w:szCs w:val="22"/>
          <w:lang w:bidi="ar-SA"/>
        </w:rPr>
        <w:t>the grey triangles of figure 9</w:t>
      </w:r>
      <w:r w:rsidR="00711B16">
        <w:rPr>
          <w:rFonts w:cs="AdvP405B6"/>
          <w:sz w:val="22"/>
          <w:szCs w:val="22"/>
          <w:lang w:bidi="ar-SA"/>
        </w:rPr>
        <w:t>,</w:t>
      </w:r>
      <w:r w:rsidR="00E00276">
        <w:rPr>
          <w:rFonts w:cs="AdvP405B6"/>
          <w:sz w:val="22"/>
          <w:szCs w:val="22"/>
          <w:lang w:bidi="ar-SA"/>
        </w:rPr>
        <w:t xml:space="preserve"> </w:t>
      </w:r>
      <w:r w:rsidR="001D1BDB">
        <w:rPr>
          <w:rFonts w:cs="AdvP405B6"/>
          <w:sz w:val="22"/>
          <w:szCs w:val="22"/>
          <w:lang w:bidi="ar-SA"/>
        </w:rPr>
        <w:t>occurred</w:t>
      </w:r>
      <w:r w:rsidR="00E00276">
        <w:rPr>
          <w:rFonts w:cs="AdvP405B6"/>
          <w:sz w:val="22"/>
          <w:szCs w:val="22"/>
          <w:lang w:bidi="ar-SA"/>
        </w:rPr>
        <w:t xml:space="preserve"> in two situations: by providing complex services in a loose customer relationship or by providing simple services to a customer with who the </w:t>
      </w:r>
      <w:r w:rsidR="001D1BDB">
        <w:rPr>
          <w:rFonts w:cs="AdvP405B6"/>
          <w:sz w:val="22"/>
          <w:szCs w:val="22"/>
          <w:lang w:bidi="ar-SA"/>
        </w:rPr>
        <w:t>TPL provide</w:t>
      </w:r>
      <w:r w:rsidR="00711B16">
        <w:rPr>
          <w:rFonts w:cs="AdvP405B6"/>
          <w:sz w:val="22"/>
          <w:szCs w:val="22"/>
          <w:lang w:bidi="ar-SA"/>
        </w:rPr>
        <w:t xml:space="preserve">r </w:t>
      </w:r>
      <w:r w:rsidR="001D1BDB">
        <w:rPr>
          <w:rFonts w:cs="AdvP405B6"/>
          <w:sz w:val="22"/>
          <w:szCs w:val="22"/>
          <w:lang w:bidi="ar-SA"/>
        </w:rPr>
        <w:t>has a close relationship</w:t>
      </w:r>
      <w:sdt>
        <w:sdtPr>
          <w:rPr>
            <w:rFonts w:cs="AdvP405B6"/>
            <w:sz w:val="22"/>
            <w:szCs w:val="22"/>
            <w:lang w:bidi="ar-SA"/>
          </w:rPr>
          <w:id w:val="5887018"/>
          <w:citation/>
        </w:sdtPr>
        <w:sdtContent>
          <w:r w:rsidR="00BD69D8">
            <w:rPr>
              <w:rFonts w:cs="AdvP405B6"/>
              <w:sz w:val="22"/>
              <w:szCs w:val="22"/>
              <w:lang w:bidi="ar-SA"/>
            </w:rPr>
            <w:fldChar w:fldCharType="begin"/>
          </w:r>
          <w:r w:rsidR="001D1BDB">
            <w:rPr>
              <w:rFonts w:cs="AdvP405B6"/>
              <w:sz w:val="22"/>
              <w:szCs w:val="22"/>
              <w:lang w:bidi="ar-SA"/>
            </w:rPr>
            <w:instrText xml:space="preserve"> CITATION Bas01 \l 1033 </w:instrText>
          </w:r>
          <w:r w:rsidR="00BD69D8">
            <w:rPr>
              <w:rFonts w:cs="AdvP405B6"/>
              <w:sz w:val="22"/>
              <w:szCs w:val="22"/>
              <w:lang w:bidi="ar-SA"/>
            </w:rPr>
            <w:fldChar w:fldCharType="separate"/>
          </w:r>
          <w:r w:rsidR="00F26771">
            <w:rPr>
              <w:rFonts w:cs="AdvP405B6"/>
              <w:noProof/>
              <w:sz w:val="22"/>
              <w:szCs w:val="22"/>
              <w:lang w:bidi="ar-SA"/>
            </w:rPr>
            <w:t xml:space="preserve"> </w:t>
          </w:r>
          <w:r w:rsidR="00F26771" w:rsidRPr="00F26771">
            <w:rPr>
              <w:rFonts w:cs="AdvP405B6"/>
              <w:noProof/>
              <w:sz w:val="22"/>
              <w:szCs w:val="22"/>
              <w:lang w:bidi="ar-SA"/>
            </w:rPr>
            <w:t>(Bask, 2001)</w:t>
          </w:r>
          <w:r w:rsidR="00BD69D8">
            <w:rPr>
              <w:rFonts w:cs="AdvP405B6"/>
              <w:sz w:val="22"/>
              <w:szCs w:val="22"/>
              <w:lang w:bidi="ar-SA"/>
            </w:rPr>
            <w:fldChar w:fldCharType="end"/>
          </w:r>
        </w:sdtContent>
      </w:sdt>
      <w:r w:rsidR="001D1BDB">
        <w:rPr>
          <w:rFonts w:cs="AdvP405B6"/>
          <w:sz w:val="22"/>
          <w:szCs w:val="22"/>
          <w:lang w:bidi="ar-SA"/>
        </w:rPr>
        <w:t xml:space="preserve">. </w:t>
      </w:r>
      <w:r w:rsidR="00711B16">
        <w:rPr>
          <w:rFonts w:cs="AdvP405B6"/>
          <w:sz w:val="22"/>
          <w:szCs w:val="22"/>
          <w:lang w:bidi="ar-SA"/>
        </w:rPr>
        <w:t>To make the TPL buyer-supplier relationship efficient, three different efficient services can be distinguished:  routine services, standard services and customized services</w:t>
      </w:r>
      <w:sdt>
        <w:sdtPr>
          <w:rPr>
            <w:rFonts w:cs="AdvP405B6"/>
            <w:sz w:val="22"/>
            <w:szCs w:val="22"/>
            <w:lang w:bidi="ar-SA"/>
          </w:rPr>
          <w:id w:val="5887021"/>
          <w:citation/>
        </w:sdtPr>
        <w:sdtContent>
          <w:r w:rsidR="00BD69D8">
            <w:rPr>
              <w:rFonts w:cs="AdvP405B6"/>
              <w:sz w:val="22"/>
              <w:szCs w:val="22"/>
              <w:lang w:bidi="ar-SA"/>
            </w:rPr>
            <w:fldChar w:fldCharType="begin"/>
          </w:r>
          <w:r w:rsidR="00711B16">
            <w:rPr>
              <w:rFonts w:cs="AdvP405B6"/>
              <w:sz w:val="22"/>
              <w:szCs w:val="22"/>
              <w:lang w:bidi="ar-SA"/>
            </w:rPr>
            <w:instrText xml:space="preserve"> CITATION Mak90 \l 1033 </w:instrText>
          </w:r>
          <w:r w:rsidR="00BD69D8">
            <w:rPr>
              <w:rFonts w:cs="AdvP405B6"/>
              <w:sz w:val="22"/>
              <w:szCs w:val="22"/>
              <w:lang w:bidi="ar-SA"/>
            </w:rPr>
            <w:fldChar w:fldCharType="separate"/>
          </w:r>
          <w:r w:rsidR="00F26771">
            <w:rPr>
              <w:rFonts w:cs="AdvP405B6"/>
              <w:noProof/>
              <w:sz w:val="22"/>
              <w:szCs w:val="22"/>
              <w:lang w:bidi="ar-SA"/>
            </w:rPr>
            <w:t xml:space="preserve"> </w:t>
          </w:r>
          <w:r w:rsidR="00F26771" w:rsidRPr="00F26771">
            <w:rPr>
              <w:rFonts w:cs="AdvP405B6"/>
              <w:noProof/>
              <w:sz w:val="22"/>
              <w:szCs w:val="22"/>
              <w:lang w:bidi="ar-SA"/>
            </w:rPr>
            <w:t>(Makelin &amp; Vepsalainen, 1990)</w:t>
          </w:r>
          <w:r w:rsidR="00BD69D8">
            <w:rPr>
              <w:rFonts w:cs="AdvP405B6"/>
              <w:sz w:val="22"/>
              <w:szCs w:val="22"/>
              <w:lang w:bidi="ar-SA"/>
            </w:rPr>
            <w:fldChar w:fldCharType="end"/>
          </w:r>
        </w:sdtContent>
      </w:sdt>
      <w:r w:rsidR="00711B16">
        <w:rPr>
          <w:rFonts w:cs="AdvP405B6"/>
          <w:sz w:val="22"/>
          <w:szCs w:val="22"/>
          <w:lang w:bidi="ar-SA"/>
        </w:rPr>
        <w:t>.</w:t>
      </w:r>
      <w:r w:rsidR="00DD3343">
        <w:rPr>
          <w:rFonts w:cs="AdvP405B6"/>
          <w:sz w:val="22"/>
          <w:szCs w:val="22"/>
          <w:lang w:bidi="ar-SA"/>
        </w:rPr>
        <w:t xml:space="preserve"> Routine TPL services are volume-based, founded on scale economies, and include services like transportation and warehousing. Standard TPL services </w:t>
      </w:r>
      <w:r w:rsidR="00CD5115">
        <w:rPr>
          <w:rFonts w:cs="AdvP405B6"/>
          <w:sz w:val="22"/>
          <w:szCs w:val="22"/>
          <w:lang w:bidi="ar-SA"/>
        </w:rPr>
        <w:t xml:space="preserve">contain relatively easy customized services, like air-conditioned transport combined with scheduled </w:t>
      </w:r>
      <w:r w:rsidR="00877B10">
        <w:rPr>
          <w:rFonts w:cs="AdvP405B6"/>
          <w:sz w:val="22"/>
          <w:szCs w:val="22"/>
          <w:lang w:bidi="ar-SA"/>
        </w:rPr>
        <w:t xml:space="preserve">order picking in the warehouse thereby </w:t>
      </w:r>
      <w:r w:rsidR="00CD5115">
        <w:rPr>
          <w:rFonts w:cs="AdvP405B6"/>
          <w:sz w:val="22"/>
          <w:szCs w:val="22"/>
          <w:lang w:bidi="ar-SA"/>
        </w:rPr>
        <w:t xml:space="preserve">preventing the </w:t>
      </w:r>
      <w:r w:rsidR="00877B10">
        <w:rPr>
          <w:rFonts w:cs="AdvP405B6"/>
          <w:sz w:val="22"/>
          <w:szCs w:val="22"/>
          <w:lang w:bidi="ar-SA"/>
        </w:rPr>
        <w:t>‘</w:t>
      </w:r>
      <w:r w:rsidR="00CD5115">
        <w:rPr>
          <w:rFonts w:cs="AdvP405B6"/>
          <w:sz w:val="22"/>
          <w:szCs w:val="22"/>
          <w:lang w:bidi="ar-SA"/>
        </w:rPr>
        <w:t>melting</w:t>
      </w:r>
      <w:r w:rsidR="00877B10">
        <w:rPr>
          <w:rFonts w:cs="AdvP405B6"/>
          <w:sz w:val="22"/>
          <w:szCs w:val="22"/>
          <w:lang w:bidi="ar-SA"/>
        </w:rPr>
        <w:t>’ of the goods during transition</w:t>
      </w:r>
      <w:r w:rsidR="00CD5115">
        <w:rPr>
          <w:rFonts w:cs="AdvP405B6"/>
          <w:sz w:val="22"/>
          <w:szCs w:val="22"/>
          <w:lang w:bidi="ar-SA"/>
        </w:rPr>
        <w:t>.  Customized TPL services include services which hold high transaction costs</w:t>
      </w:r>
      <w:r w:rsidR="00CC1C7C">
        <w:rPr>
          <w:rFonts w:cs="AdvP405B6"/>
          <w:sz w:val="22"/>
          <w:szCs w:val="22"/>
          <w:lang w:bidi="ar-SA"/>
        </w:rPr>
        <w:t xml:space="preserve"> and thus are often performed in long time contracts. Customized services are founded </w:t>
      </w:r>
      <w:r w:rsidR="000A1922">
        <w:rPr>
          <w:rFonts w:cs="AdvP405B6"/>
          <w:sz w:val="22"/>
          <w:szCs w:val="22"/>
          <w:lang w:bidi="ar-SA"/>
        </w:rPr>
        <w:t>on scope</w:t>
      </w:r>
      <w:r w:rsidR="00CC1C7C">
        <w:rPr>
          <w:rFonts w:cs="AdvP405B6"/>
          <w:sz w:val="22"/>
          <w:szCs w:val="22"/>
          <w:lang w:bidi="ar-SA"/>
        </w:rPr>
        <w:t xml:space="preserve"> economies. These services typically consist of different forms of postponement services, like final assembly, repair services or after-sales</w:t>
      </w:r>
      <w:sdt>
        <w:sdtPr>
          <w:rPr>
            <w:rFonts w:cs="AdvP405B6"/>
            <w:sz w:val="22"/>
            <w:szCs w:val="22"/>
            <w:lang w:bidi="ar-SA"/>
          </w:rPr>
          <w:id w:val="5887024"/>
          <w:citation/>
        </w:sdtPr>
        <w:sdtContent>
          <w:r w:rsidR="00BD69D8">
            <w:rPr>
              <w:rFonts w:cs="AdvP405B6"/>
              <w:sz w:val="22"/>
              <w:szCs w:val="22"/>
              <w:lang w:bidi="ar-SA"/>
            </w:rPr>
            <w:fldChar w:fldCharType="begin"/>
          </w:r>
          <w:r w:rsidR="00CC1C7C">
            <w:rPr>
              <w:rFonts w:cs="AdvP405B6"/>
              <w:sz w:val="22"/>
              <w:szCs w:val="22"/>
              <w:lang w:bidi="ar-SA"/>
            </w:rPr>
            <w:instrText xml:space="preserve"> CITATION Bas01 \l 1033 </w:instrText>
          </w:r>
          <w:r w:rsidR="00BD69D8">
            <w:rPr>
              <w:rFonts w:cs="AdvP405B6"/>
              <w:sz w:val="22"/>
              <w:szCs w:val="22"/>
              <w:lang w:bidi="ar-SA"/>
            </w:rPr>
            <w:fldChar w:fldCharType="separate"/>
          </w:r>
          <w:r w:rsidR="00F26771">
            <w:rPr>
              <w:rFonts w:cs="AdvP405B6"/>
              <w:noProof/>
              <w:sz w:val="22"/>
              <w:szCs w:val="22"/>
              <w:lang w:bidi="ar-SA"/>
            </w:rPr>
            <w:t xml:space="preserve"> </w:t>
          </w:r>
          <w:r w:rsidR="00F26771" w:rsidRPr="00F26771">
            <w:rPr>
              <w:rFonts w:cs="AdvP405B6"/>
              <w:noProof/>
              <w:sz w:val="22"/>
              <w:szCs w:val="22"/>
              <w:lang w:bidi="ar-SA"/>
            </w:rPr>
            <w:t>(Bask, 2001)</w:t>
          </w:r>
          <w:r w:rsidR="00BD69D8">
            <w:rPr>
              <w:rFonts w:cs="AdvP405B6"/>
              <w:sz w:val="22"/>
              <w:szCs w:val="22"/>
              <w:lang w:bidi="ar-SA"/>
            </w:rPr>
            <w:fldChar w:fldCharType="end"/>
          </w:r>
        </w:sdtContent>
      </w:sdt>
      <w:r w:rsidR="00CC1C7C">
        <w:rPr>
          <w:rFonts w:cs="AdvP405B6"/>
          <w:sz w:val="22"/>
          <w:szCs w:val="22"/>
          <w:lang w:bidi="ar-SA"/>
        </w:rPr>
        <w:t>.</w:t>
      </w:r>
      <w:r w:rsidR="001435B1" w:rsidRPr="001435B1">
        <w:t xml:space="preserve"> </w:t>
      </w:r>
    </w:p>
    <w:p w:rsidR="006B1885" w:rsidRDefault="006B1885" w:rsidP="00F714CC">
      <w:pPr>
        <w:autoSpaceDE w:val="0"/>
        <w:autoSpaceDN w:val="0"/>
        <w:adjustRightInd w:val="0"/>
        <w:spacing w:before="0" w:after="0" w:line="360" w:lineRule="auto"/>
        <w:jc w:val="both"/>
        <w:rPr>
          <w:rFonts w:ascii="AdvP405B6" w:hAnsi="AdvP405B6" w:cs="AdvP405B6"/>
          <w:sz w:val="22"/>
          <w:szCs w:val="22"/>
          <w:lang w:bidi="ar-SA"/>
        </w:rPr>
      </w:pPr>
    </w:p>
    <w:p w:rsidR="00E00276" w:rsidRDefault="00E00276" w:rsidP="00F714CC">
      <w:pPr>
        <w:autoSpaceDE w:val="0"/>
        <w:autoSpaceDN w:val="0"/>
        <w:adjustRightInd w:val="0"/>
        <w:spacing w:before="0" w:after="0" w:line="360" w:lineRule="auto"/>
        <w:jc w:val="both"/>
        <w:rPr>
          <w:rFonts w:ascii="AdvP405B6" w:hAnsi="AdvP405B6" w:cs="AdvP405B6"/>
          <w:sz w:val="22"/>
          <w:szCs w:val="22"/>
          <w:lang w:bidi="ar-SA"/>
        </w:rPr>
      </w:pPr>
    </w:p>
    <w:p w:rsidR="00126E02" w:rsidRDefault="001D1BDB" w:rsidP="00251632">
      <w:pPr>
        <w:rPr>
          <w:rFonts w:ascii="AdvPS405B7" w:hAnsi="AdvPS405B7" w:cs="AdvPS405B7"/>
          <w:lang w:bidi="ar-SA"/>
        </w:rPr>
      </w:pPr>
      <w:r>
        <w:rPr>
          <w:rFonts w:ascii="AdvPS405B7" w:hAnsi="AdvPS405B7" w:cs="AdvPS405B7"/>
          <w:lang w:bidi="ar-SA"/>
        </w:rPr>
        <w:br w:type="page"/>
      </w:r>
    </w:p>
    <w:p w:rsidR="00563BB0" w:rsidRDefault="00BD69D8" w:rsidP="00B85C6D">
      <w:pPr>
        <w:spacing w:line="360" w:lineRule="auto"/>
        <w:jc w:val="both"/>
        <w:rPr>
          <w:rFonts w:eastAsia="Times New Roman" w:cs="Arial"/>
          <w:color w:val="000000"/>
          <w:sz w:val="22"/>
          <w:szCs w:val="22"/>
          <w:lang w:eastAsia="nl-NL" w:bidi="ar-SA"/>
        </w:rPr>
      </w:pPr>
      <w:r w:rsidRPr="00BD69D8">
        <w:rPr>
          <w:noProof/>
        </w:rPr>
        <w:lastRenderedPageBreak/>
        <w:pict>
          <v:shape id="_x0000_s1041" type="#_x0000_t202" style="position:absolute;left:0;text-align:left;margin-left:2pt;margin-top:-22.85pt;width:319.15pt;height:21.1pt;z-index:251677696" stroked="f">
            <v:textbox inset="0,0,0,0">
              <w:txbxContent>
                <w:p w:rsidR="002752F8" w:rsidRPr="00445F82" w:rsidRDefault="002752F8" w:rsidP="00DA066F">
                  <w:pPr>
                    <w:pStyle w:val="Bijschrift"/>
                    <w:jc w:val="center"/>
                    <w:rPr>
                      <w:rFonts w:cs="AdvPS405B7"/>
                      <w:noProof/>
                    </w:rPr>
                  </w:pPr>
                  <w:r>
                    <w:t>Figure 10 Customer orientation and system efficiency: a trade off? (</w:t>
                  </w:r>
                  <w:r w:rsidR="006B4980">
                    <w:t>Source</w:t>
                  </w:r>
                  <w:r>
                    <w:t xml:space="preserve">: </w:t>
                  </w:r>
                  <w:r>
                    <w:rPr>
                      <w:noProof/>
                    </w:rPr>
                    <w:t>Nijdam, 2011</w:t>
                  </w:r>
                  <w:r>
                    <w:t>)</w:t>
                  </w:r>
                </w:p>
              </w:txbxContent>
            </v:textbox>
            <w10:wrap type="square"/>
          </v:shape>
        </w:pict>
      </w:r>
      <w:r w:rsidR="00DA066F">
        <w:rPr>
          <w:rFonts w:cs="AdvPS405B7"/>
          <w:noProof/>
          <w:sz w:val="22"/>
          <w:szCs w:val="22"/>
          <w:lang w:val="nl-NL" w:eastAsia="nl-NL" w:bidi="ar-SA"/>
        </w:rPr>
        <w:drawing>
          <wp:anchor distT="0" distB="0" distL="114300" distR="114300" simplePos="0" relativeHeight="251678720" behindDoc="0" locked="0" layoutInCell="1" allowOverlap="1">
            <wp:simplePos x="914400" y="895350"/>
            <wp:positionH relativeFrom="margin">
              <wp:align>left</wp:align>
            </wp:positionH>
            <wp:positionV relativeFrom="margin">
              <wp:align>top</wp:align>
            </wp:positionV>
            <wp:extent cx="4048125" cy="2219325"/>
            <wp:effectExtent l="19050" t="19050" r="28575" b="28575"/>
            <wp:wrapSquare wrapText="bothSides"/>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srcRect/>
                    <a:stretch>
                      <a:fillRect/>
                    </a:stretch>
                  </pic:blipFill>
                  <pic:spPr bwMode="auto">
                    <a:xfrm>
                      <a:off x="0" y="0"/>
                      <a:ext cx="4048125" cy="2219325"/>
                    </a:xfrm>
                    <a:prstGeom prst="rect">
                      <a:avLst/>
                    </a:prstGeom>
                    <a:ln w="12700" cap="sq">
                      <a:solidFill>
                        <a:schemeClr val="accent1">
                          <a:lumMod val="75000"/>
                        </a:schemeClr>
                      </a:solidFill>
                      <a:prstDash val="solid"/>
                      <a:miter lim="800000"/>
                    </a:ln>
                    <a:effectLst/>
                  </pic:spPr>
                </pic:pic>
              </a:graphicData>
            </a:graphic>
          </wp:anchor>
        </w:drawing>
      </w:r>
      <w:r w:rsidR="008D5EC8" w:rsidRPr="008D5EC8">
        <w:rPr>
          <w:rFonts w:cs="AdvPS405B7"/>
          <w:sz w:val="22"/>
          <w:szCs w:val="22"/>
          <w:lang w:bidi="ar-SA"/>
        </w:rPr>
        <w:t>There appears to exist a</w:t>
      </w:r>
      <w:r w:rsidR="005E057C">
        <w:rPr>
          <w:rFonts w:cs="AdvPS405B7"/>
          <w:sz w:val="22"/>
          <w:szCs w:val="22"/>
          <w:lang w:bidi="ar-SA"/>
        </w:rPr>
        <w:t xml:space="preserve"> </w:t>
      </w:r>
      <w:r w:rsidR="008D5EC8">
        <w:rPr>
          <w:rFonts w:cs="AdvPS405B7"/>
          <w:sz w:val="22"/>
          <w:szCs w:val="22"/>
          <w:lang w:bidi="ar-SA"/>
        </w:rPr>
        <w:t>strategic</w:t>
      </w:r>
      <w:r w:rsidR="005E057C">
        <w:rPr>
          <w:rFonts w:cs="AdvPS405B7"/>
          <w:sz w:val="22"/>
          <w:szCs w:val="22"/>
          <w:lang w:bidi="ar-SA"/>
        </w:rPr>
        <w:t xml:space="preserve"> </w:t>
      </w:r>
      <w:r w:rsidR="008D5EC8">
        <w:rPr>
          <w:rFonts w:cs="AdvPS405B7"/>
          <w:sz w:val="22"/>
          <w:szCs w:val="22"/>
          <w:lang w:bidi="ar-SA"/>
        </w:rPr>
        <w:t>frontier,</w:t>
      </w:r>
      <w:r w:rsidR="005E057C">
        <w:rPr>
          <w:rFonts w:cs="AdvPS405B7"/>
          <w:sz w:val="22"/>
          <w:szCs w:val="22"/>
          <w:lang w:bidi="ar-SA"/>
        </w:rPr>
        <w:t xml:space="preserve"> </w:t>
      </w:r>
      <w:r w:rsidR="0064502E">
        <w:rPr>
          <w:rFonts w:cs="AdvPS405B7"/>
          <w:sz w:val="22"/>
          <w:szCs w:val="22"/>
          <w:lang w:bidi="ar-SA"/>
        </w:rPr>
        <w:t>as shown in figure 10</w:t>
      </w:r>
      <w:r w:rsidR="008D5EC8">
        <w:rPr>
          <w:rFonts w:cs="AdvPS405B7"/>
          <w:sz w:val="22"/>
          <w:szCs w:val="22"/>
          <w:lang w:bidi="ar-SA"/>
        </w:rPr>
        <w:t>.</w:t>
      </w:r>
      <w:r w:rsidR="00563BB0">
        <w:rPr>
          <w:rFonts w:cs="AdvPS405B7"/>
          <w:sz w:val="22"/>
          <w:szCs w:val="22"/>
          <w:lang w:bidi="ar-SA"/>
        </w:rPr>
        <w:t xml:space="preserve"> </w:t>
      </w:r>
      <w:r w:rsidR="00563BB0" w:rsidRPr="00563BB0">
        <w:rPr>
          <w:rFonts w:eastAsia="Times New Roman" w:cs="Arial"/>
          <w:color w:val="000000"/>
          <w:sz w:val="22"/>
          <w:szCs w:val="22"/>
          <w:lang w:eastAsia="nl-NL" w:bidi="ar-SA"/>
        </w:rPr>
        <w:t>The depth</w:t>
      </w:r>
      <w:r w:rsidR="00563BB0">
        <w:rPr>
          <w:rFonts w:eastAsia="Times New Roman" w:cs="Arial"/>
          <w:color w:val="000000"/>
          <w:sz w:val="22"/>
          <w:szCs w:val="22"/>
          <w:lang w:eastAsia="nl-NL" w:bidi="ar-SA"/>
        </w:rPr>
        <w:t xml:space="preserve"> of the customer relationship and the degree of customer adaption</w:t>
      </w:r>
      <w:r w:rsidR="00563BB0" w:rsidRPr="00563BB0">
        <w:rPr>
          <w:rFonts w:eastAsia="Times New Roman" w:cs="Arial"/>
          <w:color w:val="000000"/>
          <w:sz w:val="22"/>
          <w:szCs w:val="22"/>
          <w:lang w:eastAsia="nl-NL" w:bidi="ar-SA"/>
        </w:rPr>
        <w:t xml:space="preserve"> has a negative impact on </w:t>
      </w:r>
      <w:r w:rsidR="00563BB0">
        <w:rPr>
          <w:rFonts w:eastAsia="Times New Roman" w:cs="Arial"/>
          <w:color w:val="000000"/>
          <w:sz w:val="22"/>
          <w:szCs w:val="22"/>
          <w:lang w:eastAsia="nl-NL" w:bidi="ar-SA"/>
        </w:rPr>
        <w:t>the general capabilities of the TPL provider</w:t>
      </w:r>
      <w:r w:rsidR="00563BB0" w:rsidRPr="00563BB0">
        <w:rPr>
          <w:rFonts w:eastAsia="Times New Roman" w:cs="Arial"/>
          <w:color w:val="000000"/>
          <w:sz w:val="22"/>
          <w:szCs w:val="22"/>
          <w:lang w:eastAsia="nl-NL" w:bidi="ar-SA"/>
        </w:rPr>
        <w:t xml:space="preserve"> and vice versa</w:t>
      </w:r>
      <w:r w:rsidR="00563BB0">
        <w:rPr>
          <w:rFonts w:eastAsia="Times New Roman" w:cs="Arial"/>
          <w:color w:val="000000"/>
          <w:sz w:val="22"/>
          <w:szCs w:val="22"/>
          <w:lang w:eastAsia="nl-NL" w:bidi="ar-SA"/>
        </w:rPr>
        <w:t xml:space="preserve">. This situation causes a strategic frontier. The meaning of this strategic frontier is that a TPL provider can’t have high axis values </w:t>
      </w:r>
      <w:r w:rsidR="000A1922">
        <w:rPr>
          <w:rFonts w:eastAsia="Times New Roman" w:cs="Arial"/>
          <w:color w:val="000000"/>
          <w:sz w:val="22"/>
          <w:szCs w:val="22"/>
          <w:lang w:eastAsia="nl-NL" w:bidi="ar-SA"/>
        </w:rPr>
        <w:t>on both</w:t>
      </w:r>
      <w:r w:rsidR="00563BB0">
        <w:rPr>
          <w:rFonts w:eastAsia="Times New Roman" w:cs="Arial"/>
          <w:color w:val="000000"/>
          <w:sz w:val="22"/>
          <w:szCs w:val="22"/>
          <w:lang w:eastAsia="nl-NL" w:bidi="ar-SA"/>
        </w:rPr>
        <w:t>.</w:t>
      </w:r>
      <w:r w:rsidR="00B85C6D">
        <w:rPr>
          <w:rFonts w:eastAsia="Times New Roman" w:cs="Arial"/>
          <w:color w:val="000000"/>
          <w:sz w:val="22"/>
          <w:szCs w:val="22"/>
          <w:lang w:eastAsia="nl-NL" w:bidi="ar-SA"/>
        </w:rPr>
        <w:t xml:space="preserve"> When having a deeper customer relationship, this will decline the actual number of clients you serve.</w:t>
      </w:r>
      <w:r w:rsidR="00563BB0">
        <w:rPr>
          <w:rFonts w:eastAsia="Times New Roman" w:cs="Arial"/>
          <w:color w:val="000000"/>
          <w:sz w:val="22"/>
          <w:szCs w:val="22"/>
          <w:lang w:eastAsia="nl-NL" w:bidi="ar-SA"/>
        </w:rPr>
        <w:t xml:space="preserve"> But, such as the arrow indicates, TPL providers try to become better in both</w:t>
      </w:r>
      <w:r w:rsidR="00B85C6D">
        <w:rPr>
          <w:rFonts w:eastAsia="Times New Roman" w:cs="Arial"/>
          <w:color w:val="000000"/>
          <w:sz w:val="22"/>
          <w:szCs w:val="22"/>
          <w:lang w:eastAsia="nl-NL" w:bidi="ar-SA"/>
        </w:rPr>
        <w:t xml:space="preserve"> fields.</w:t>
      </w:r>
      <w:r w:rsidR="00563BB0">
        <w:rPr>
          <w:rFonts w:eastAsia="Times New Roman" w:cs="Arial"/>
          <w:color w:val="000000"/>
          <w:sz w:val="22"/>
          <w:szCs w:val="22"/>
          <w:lang w:eastAsia="nl-NL" w:bidi="ar-SA"/>
        </w:rPr>
        <w:t xml:space="preserve"> </w:t>
      </w:r>
      <w:r w:rsidR="007D53B4">
        <w:rPr>
          <w:rFonts w:eastAsia="Times New Roman" w:cs="Arial"/>
          <w:color w:val="000000"/>
          <w:sz w:val="22"/>
          <w:szCs w:val="22"/>
          <w:lang w:eastAsia="nl-NL" w:bidi="ar-SA"/>
        </w:rPr>
        <w:t xml:space="preserve">From a strategic perspective, positioning along this strategic frontier involves how and where the TPL </w:t>
      </w:r>
      <w:r w:rsidR="000A1922">
        <w:rPr>
          <w:rFonts w:eastAsia="Times New Roman" w:cs="Arial"/>
          <w:color w:val="000000"/>
          <w:sz w:val="22"/>
          <w:szCs w:val="22"/>
          <w:lang w:eastAsia="nl-NL" w:bidi="ar-SA"/>
        </w:rPr>
        <w:t>providers want</w:t>
      </w:r>
      <w:r w:rsidR="007D53B4">
        <w:rPr>
          <w:rFonts w:eastAsia="Times New Roman" w:cs="Arial"/>
          <w:color w:val="000000"/>
          <w:sz w:val="22"/>
          <w:szCs w:val="22"/>
          <w:lang w:eastAsia="nl-NL" w:bidi="ar-SA"/>
        </w:rPr>
        <w:t xml:space="preserve"> to target a market and compete</w:t>
      </w:r>
      <w:sdt>
        <w:sdtPr>
          <w:rPr>
            <w:rFonts w:eastAsia="Times New Roman" w:cs="Arial"/>
            <w:color w:val="000000"/>
            <w:sz w:val="22"/>
            <w:szCs w:val="22"/>
            <w:lang w:eastAsia="nl-NL" w:bidi="ar-SA"/>
          </w:rPr>
          <w:id w:val="14298960"/>
          <w:citation/>
        </w:sdtPr>
        <w:sdtContent>
          <w:r>
            <w:rPr>
              <w:rFonts w:eastAsia="Times New Roman" w:cs="Arial"/>
              <w:color w:val="000000"/>
              <w:sz w:val="22"/>
              <w:szCs w:val="22"/>
              <w:lang w:eastAsia="nl-NL" w:bidi="ar-SA"/>
            </w:rPr>
            <w:fldChar w:fldCharType="begin"/>
          </w:r>
          <w:r w:rsidR="007D53B4">
            <w:rPr>
              <w:rFonts w:eastAsia="Times New Roman" w:cs="Arial"/>
              <w:color w:val="000000"/>
              <w:sz w:val="22"/>
              <w:szCs w:val="22"/>
              <w:lang w:eastAsia="nl-NL" w:bidi="ar-SA"/>
            </w:rPr>
            <w:instrText xml:space="preserve"> CITATION Hoo93 \l 1033 </w:instrText>
          </w:r>
          <w:r>
            <w:rPr>
              <w:rFonts w:eastAsia="Times New Roman" w:cs="Arial"/>
              <w:color w:val="000000"/>
              <w:sz w:val="22"/>
              <w:szCs w:val="22"/>
              <w:lang w:eastAsia="nl-NL" w:bidi="ar-SA"/>
            </w:rPr>
            <w:fldChar w:fldCharType="separate"/>
          </w:r>
          <w:r w:rsidR="00F26771">
            <w:rPr>
              <w:rFonts w:eastAsia="Times New Roman" w:cs="Arial"/>
              <w:noProof/>
              <w:color w:val="000000"/>
              <w:sz w:val="22"/>
              <w:szCs w:val="22"/>
              <w:lang w:eastAsia="nl-NL" w:bidi="ar-SA"/>
            </w:rPr>
            <w:t xml:space="preserve"> </w:t>
          </w:r>
          <w:r w:rsidR="00F26771" w:rsidRPr="00F26771">
            <w:rPr>
              <w:rFonts w:eastAsia="Times New Roman" w:cs="Arial"/>
              <w:noProof/>
              <w:color w:val="000000"/>
              <w:sz w:val="22"/>
              <w:szCs w:val="22"/>
              <w:lang w:eastAsia="nl-NL" w:bidi="ar-SA"/>
            </w:rPr>
            <w:t>(Hooley &amp; Saunders, 1993)</w:t>
          </w:r>
          <w:r>
            <w:rPr>
              <w:rFonts w:eastAsia="Times New Roman" w:cs="Arial"/>
              <w:color w:val="000000"/>
              <w:sz w:val="22"/>
              <w:szCs w:val="22"/>
              <w:lang w:eastAsia="nl-NL" w:bidi="ar-SA"/>
            </w:rPr>
            <w:fldChar w:fldCharType="end"/>
          </w:r>
        </w:sdtContent>
      </w:sdt>
      <w:r w:rsidR="007D53B4">
        <w:rPr>
          <w:rFonts w:eastAsia="Times New Roman" w:cs="Arial"/>
          <w:color w:val="000000"/>
          <w:sz w:val="22"/>
          <w:szCs w:val="22"/>
          <w:lang w:eastAsia="nl-NL" w:bidi="ar-SA"/>
        </w:rPr>
        <w:t>.</w:t>
      </w:r>
    </w:p>
    <w:p w:rsidR="00335C9C" w:rsidRDefault="00DF0626" w:rsidP="00EF41C9">
      <w:pPr>
        <w:autoSpaceDE w:val="0"/>
        <w:autoSpaceDN w:val="0"/>
        <w:adjustRightInd w:val="0"/>
        <w:spacing w:before="0" w:after="0" w:line="360" w:lineRule="auto"/>
        <w:jc w:val="both"/>
        <w:rPr>
          <w:rFonts w:cs="Times-Roman"/>
          <w:sz w:val="22"/>
          <w:szCs w:val="22"/>
          <w:lang w:bidi="ar-SA"/>
        </w:rPr>
      </w:pPr>
      <w:r>
        <w:rPr>
          <w:rFonts w:cs="Times-Roman"/>
          <w:sz w:val="22"/>
          <w:szCs w:val="22"/>
          <w:lang w:bidi="ar-SA"/>
        </w:rPr>
        <w:t>Hertz and Alfredsson (2003) describe the strategy of logistics service providers in terms of their problem-solving ability compared to customer adaption. According to Halldorsson and Skjott-Larsen (2004)</w:t>
      </w:r>
      <w:r w:rsidR="002F2766">
        <w:rPr>
          <w:rFonts w:cs="Times-Roman"/>
          <w:sz w:val="22"/>
          <w:szCs w:val="22"/>
          <w:lang w:bidi="ar-SA"/>
        </w:rPr>
        <w:t xml:space="preserve"> outsourcing relationships represent a process in which competencies are developed according </w:t>
      </w:r>
      <w:r w:rsidR="000A1922">
        <w:rPr>
          <w:rFonts w:cs="Times-Roman"/>
          <w:sz w:val="22"/>
          <w:szCs w:val="22"/>
          <w:lang w:bidi="ar-SA"/>
        </w:rPr>
        <w:t>to the</w:t>
      </w:r>
      <w:r w:rsidR="002F2766">
        <w:rPr>
          <w:rFonts w:cs="Times-Roman"/>
          <w:sz w:val="22"/>
          <w:szCs w:val="22"/>
          <w:lang w:bidi="ar-SA"/>
        </w:rPr>
        <w:t xml:space="preserve"> requirements of the relationship. These views are based on a competence-based strategy:  focused on intangible assets and capabilities which can provide solutions for creating value to customers</w:t>
      </w:r>
      <w:sdt>
        <w:sdtPr>
          <w:rPr>
            <w:rFonts w:cs="Times-Roman"/>
            <w:sz w:val="22"/>
            <w:szCs w:val="22"/>
            <w:lang w:bidi="ar-SA"/>
          </w:rPr>
          <w:id w:val="14298963"/>
          <w:citation/>
        </w:sdtPr>
        <w:sdtContent>
          <w:r w:rsidR="00BD69D8">
            <w:rPr>
              <w:rFonts w:cs="Times-Roman"/>
              <w:sz w:val="22"/>
              <w:szCs w:val="22"/>
              <w:lang w:bidi="ar-SA"/>
            </w:rPr>
            <w:fldChar w:fldCharType="begin"/>
          </w:r>
          <w:r w:rsidR="002F2766">
            <w:rPr>
              <w:rFonts w:cs="Times-Roman"/>
              <w:sz w:val="22"/>
              <w:szCs w:val="22"/>
              <w:lang w:bidi="ar-SA"/>
            </w:rPr>
            <w:instrText xml:space="preserve"> CITATION Jug08 \l 1033 </w:instrText>
          </w:r>
          <w:r w:rsidR="00BD69D8">
            <w:rPr>
              <w:rFonts w:cs="Times-Roman"/>
              <w:sz w:val="22"/>
              <w:szCs w:val="22"/>
              <w:lang w:bidi="ar-SA"/>
            </w:rPr>
            <w:fldChar w:fldCharType="separate"/>
          </w:r>
          <w:r w:rsidR="00F26771">
            <w:rPr>
              <w:rFonts w:cs="Times-Roman"/>
              <w:noProof/>
              <w:sz w:val="22"/>
              <w:szCs w:val="22"/>
              <w:lang w:bidi="ar-SA"/>
            </w:rPr>
            <w:t xml:space="preserve"> </w:t>
          </w:r>
          <w:r w:rsidR="00F26771" w:rsidRPr="00F26771">
            <w:rPr>
              <w:rFonts w:cs="Times-Roman"/>
              <w:noProof/>
              <w:sz w:val="22"/>
              <w:szCs w:val="22"/>
              <w:lang w:bidi="ar-SA"/>
            </w:rPr>
            <w:t>(Juga, Pekkarinen, &amp; Kilpala, 2008)</w:t>
          </w:r>
          <w:r w:rsidR="00BD69D8">
            <w:rPr>
              <w:rFonts w:cs="Times-Roman"/>
              <w:sz w:val="22"/>
              <w:szCs w:val="22"/>
              <w:lang w:bidi="ar-SA"/>
            </w:rPr>
            <w:fldChar w:fldCharType="end"/>
          </w:r>
        </w:sdtContent>
      </w:sdt>
      <w:r w:rsidR="002F2766">
        <w:rPr>
          <w:rFonts w:cs="Times-Roman"/>
          <w:sz w:val="22"/>
          <w:szCs w:val="22"/>
          <w:lang w:bidi="ar-SA"/>
        </w:rPr>
        <w:t xml:space="preserve">. Continuing with Hertz and Alfredsson (2003), </w:t>
      </w:r>
      <w:r w:rsidR="0064502E">
        <w:rPr>
          <w:rFonts w:cs="Times-Roman"/>
          <w:sz w:val="22"/>
          <w:szCs w:val="22"/>
          <w:lang w:bidi="ar-SA"/>
        </w:rPr>
        <w:t>in figure 11</w:t>
      </w:r>
      <w:r w:rsidR="00032ECF">
        <w:rPr>
          <w:rFonts w:cs="Times-Roman"/>
          <w:sz w:val="22"/>
          <w:szCs w:val="22"/>
          <w:lang w:bidi="ar-SA"/>
        </w:rPr>
        <w:t xml:space="preserve"> they classified TPL providers according to abilities</w:t>
      </w:r>
      <w:r w:rsidR="00DA1DEA">
        <w:rPr>
          <w:rFonts w:cs="Times-Roman"/>
          <w:sz w:val="22"/>
          <w:szCs w:val="22"/>
          <w:lang w:bidi="ar-SA"/>
        </w:rPr>
        <w:t xml:space="preserve"> of general problem solving and customer adaption.</w:t>
      </w:r>
      <w:r w:rsidR="00824192">
        <w:rPr>
          <w:rFonts w:cs="Times-Roman"/>
          <w:sz w:val="22"/>
          <w:szCs w:val="22"/>
          <w:lang w:bidi="ar-SA"/>
        </w:rPr>
        <w:t xml:space="preserve"> The division of TPL providers based on the previously mentioned </w:t>
      </w:r>
      <w:r w:rsidR="000A1922">
        <w:rPr>
          <w:rFonts w:cs="Times-Roman"/>
          <w:sz w:val="22"/>
          <w:szCs w:val="22"/>
          <w:lang w:bidi="ar-SA"/>
        </w:rPr>
        <w:t>dimension</w:t>
      </w:r>
      <w:r w:rsidR="00824192">
        <w:rPr>
          <w:rFonts w:cs="Times-Roman"/>
          <w:sz w:val="22"/>
          <w:szCs w:val="22"/>
          <w:lang w:bidi="ar-SA"/>
        </w:rPr>
        <w:t xml:space="preserve"> gives the following</w:t>
      </w:r>
      <w:r w:rsidR="0032720D">
        <w:rPr>
          <w:rFonts w:cs="Times-Roman"/>
          <w:sz w:val="22"/>
          <w:szCs w:val="22"/>
          <w:lang w:bidi="ar-SA"/>
        </w:rPr>
        <w:t xml:space="preserve"> classification: standard TPL provider, service developer, customer adapter and customer developer.  At first the standard TPL provider is discussed. This type of TPL provider has a relatively high problem solving ability and customer adaption. This is </w:t>
      </w:r>
      <w:r w:rsidR="000A1922">
        <w:rPr>
          <w:rFonts w:cs="Times-Roman"/>
          <w:sz w:val="22"/>
          <w:szCs w:val="22"/>
          <w:lang w:bidi="ar-SA"/>
        </w:rPr>
        <w:t>a</w:t>
      </w:r>
      <w:r w:rsidR="0032720D">
        <w:rPr>
          <w:rFonts w:cs="Times-Roman"/>
          <w:sz w:val="22"/>
          <w:szCs w:val="22"/>
          <w:lang w:bidi="ar-SA"/>
        </w:rPr>
        <w:t xml:space="preserve"> supplier of standardized services like warehousing, distribution and order picking: their customers are offered their own relatively simple combination of standardized services. The service developer also has a relatively high</w:t>
      </w:r>
      <w:r w:rsidR="005077C7">
        <w:rPr>
          <w:rFonts w:cs="Times-Roman"/>
          <w:sz w:val="22"/>
          <w:szCs w:val="22"/>
          <w:lang w:bidi="ar-SA"/>
        </w:rPr>
        <w:t xml:space="preserve"> score in customer adaption, but scores high in problem solving general ability. The service developer focuses on developing a large variety of services which their customers can combine according to their demands. A advanced IT system facilities these complex (combined) service offerings, thereby aiming at servicing as many clients as possible thus creating economies of scale and scope. The customer adapter, scoring high in the customer adaption dimension and relatively high in its general problem solving ability</w:t>
      </w:r>
      <w:r w:rsidR="000A1922">
        <w:rPr>
          <w:rFonts w:cs="Times-Roman"/>
          <w:sz w:val="22"/>
          <w:szCs w:val="22"/>
          <w:lang w:bidi="ar-SA"/>
        </w:rPr>
        <w:t>, doesn’t</w:t>
      </w:r>
      <w:r w:rsidR="005077C7">
        <w:rPr>
          <w:rFonts w:cs="Times-Roman"/>
          <w:sz w:val="22"/>
          <w:szCs w:val="22"/>
          <w:lang w:bidi="ar-SA"/>
        </w:rPr>
        <w:t xml:space="preserve"> actually makes much development in services. They take over the customers’ </w:t>
      </w:r>
      <w:r w:rsidR="005077C7">
        <w:rPr>
          <w:rFonts w:cs="Times-Roman"/>
          <w:sz w:val="22"/>
          <w:szCs w:val="22"/>
          <w:lang w:bidi="ar-SA"/>
        </w:rPr>
        <w:lastRenderedPageBreak/>
        <w:t xml:space="preserve">existing logistics activities and try to </w:t>
      </w:r>
      <w:r w:rsidR="00803734">
        <w:rPr>
          <w:rFonts w:cs="Times-Roman"/>
          <w:sz w:val="22"/>
          <w:szCs w:val="22"/>
          <w:lang w:bidi="ar-SA"/>
        </w:rPr>
        <w:t>improve total efficie</w:t>
      </w:r>
      <w:r w:rsidR="005077C7">
        <w:rPr>
          <w:rFonts w:cs="Times-Roman"/>
          <w:sz w:val="22"/>
          <w:szCs w:val="22"/>
          <w:lang w:bidi="ar-SA"/>
        </w:rPr>
        <w:t>ncy</w:t>
      </w:r>
      <w:r w:rsidR="002A1D2A">
        <w:rPr>
          <w:rFonts w:cs="Times-Roman"/>
          <w:sz w:val="22"/>
          <w:szCs w:val="22"/>
          <w:lang w:bidi="ar-SA"/>
        </w:rPr>
        <w:t xml:space="preserve">. These TPL providers rely on a few very close customers. The same can be said about Customer developers, although their problem solving </w:t>
      </w:r>
      <w:r w:rsidR="00335C9C">
        <w:rPr>
          <w:rFonts w:cs="Times-Roman"/>
          <w:noProof/>
          <w:sz w:val="22"/>
          <w:szCs w:val="22"/>
          <w:lang w:val="nl-NL" w:eastAsia="nl-NL" w:bidi="ar-SA"/>
        </w:rPr>
        <w:drawing>
          <wp:anchor distT="0" distB="0" distL="114300" distR="114300" simplePos="0" relativeHeight="251683840" behindDoc="0" locked="0" layoutInCell="1" allowOverlap="1">
            <wp:simplePos x="0" y="0"/>
            <wp:positionH relativeFrom="margin">
              <wp:posOffset>-23495</wp:posOffset>
            </wp:positionH>
            <wp:positionV relativeFrom="margin">
              <wp:posOffset>709930</wp:posOffset>
            </wp:positionV>
            <wp:extent cx="3362325" cy="2604770"/>
            <wp:effectExtent l="19050" t="19050" r="28575" b="24130"/>
            <wp:wrapSquare wrapText="bothSides"/>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srcRect/>
                    <a:stretch>
                      <a:fillRect/>
                    </a:stretch>
                  </pic:blipFill>
                  <pic:spPr bwMode="auto">
                    <a:xfrm>
                      <a:off x="0" y="0"/>
                      <a:ext cx="3362325" cy="2604770"/>
                    </a:xfrm>
                    <a:prstGeom prst="rect">
                      <a:avLst/>
                    </a:prstGeom>
                    <a:ln w="12700" cap="sq">
                      <a:solidFill>
                        <a:schemeClr val="accent1">
                          <a:lumMod val="75000"/>
                        </a:schemeClr>
                      </a:solidFill>
                      <a:prstDash val="solid"/>
                      <a:miter lim="800000"/>
                    </a:ln>
                    <a:effectLst/>
                  </pic:spPr>
                </pic:pic>
              </a:graphicData>
            </a:graphic>
          </wp:anchor>
        </w:drawing>
      </w:r>
      <w:r w:rsidR="002A1D2A">
        <w:rPr>
          <w:rFonts w:cs="Times-Roman"/>
          <w:sz w:val="22"/>
          <w:szCs w:val="22"/>
          <w:lang w:bidi="ar-SA"/>
        </w:rPr>
        <w:t xml:space="preserve">ability and customer adaption scores are both high. The customer developer is the most advanced form of the classification: these TPL providers develop advanced customer solutions for each customer. </w:t>
      </w:r>
      <w:r w:rsidR="009544F9">
        <w:rPr>
          <w:rFonts w:cs="Times-Roman"/>
          <w:sz w:val="22"/>
          <w:szCs w:val="22"/>
          <w:lang w:bidi="ar-SA"/>
        </w:rPr>
        <w:t xml:space="preserve"> Because of </w:t>
      </w:r>
      <w:r w:rsidR="000A1922">
        <w:rPr>
          <w:rFonts w:cs="Times-Roman"/>
          <w:sz w:val="22"/>
          <w:szCs w:val="22"/>
          <w:lang w:bidi="ar-SA"/>
        </w:rPr>
        <w:t>their knowledge</w:t>
      </w:r>
      <w:r w:rsidR="009544F9">
        <w:rPr>
          <w:rFonts w:cs="Times-Roman"/>
          <w:sz w:val="22"/>
          <w:szCs w:val="22"/>
          <w:lang w:bidi="ar-SA"/>
        </w:rPr>
        <w:t xml:space="preserve"> bases activities and tight relationships with each customer, the number of customers is limited. The customer developer is </w:t>
      </w:r>
      <w:r w:rsidR="00BD69D8" w:rsidRPr="00BD69D8">
        <w:rPr>
          <w:rFonts w:asciiTheme="majorHAnsi" w:hAnsiTheme="majorHAnsi"/>
          <w:noProof/>
          <w:lang w:eastAsia="zh-TW"/>
        </w:rPr>
        <w:pict>
          <v:shape id="_x0000_s1043" type="#_x0000_t202" style="position:absolute;left:0;text-align:left;margin-left:-12.35pt;margin-top:254.65pt;width:286.5pt;height:45pt;z-index:-251626496;mso-position-horizontal-relative:margin;mso-position-vertical-relative:text;mso-width-relative:margin;mso-height-relative:margin" stroked="f">
            <v:textbox>
              <w:txbxContent>
                <w:p w:rsidR="002752F8" w:rsidRPr="00DA1DEA" w:rsidRDefault="002752F8" w:rsidP="0032720D">
                  <w:pPr>
                    <w:pStyle w:val="Bijschrift"/>
                    <w:jc w:val="center"/>
                  </w:pPr>
                  <w:r>
                    <w:t>Figure 11 TPL providers classified according to abilities of general problem solving and customer adaption (source: Hertz &amp; Alfredsson, 20003)</w:t>
                  </w:r>
                </w:p>
                <w:p w:rsidR="002752F8" w:rsidRDefault="002752F8"/>
              </w:txbxContent>
            </v:textbox>
            <w10:wrap anchorx="margin"/>
          </v:shape>
        </w:pict>
      </w:r>
      <w:r w:rsidR="009544F9">
        <w:rPr>
          <w:rFonts w:cs="Times-Roman"/>
          <w:sz w:val="22"/>
          <w:szCs w:val="22"/>
          <w:lang w:bidi="ar-SA"/>
        </w:rPr>
        <w:t xml:space="preserve">also known as fourth party logistics provider </w:t>
      </w:r>
      <w:sdt>
        <w:sdtPr>
          <w:rPr>
            <w:rFonts w:cs="Times-Roman"/>
            <w:sz w:val="22"/>
            <w:szCs w:val="22"/>
            <w:lang w:bidi="ar-SA"/>
          </w:rPr>
          <w:id w:val="14298966"/>
          <w:citation/>
        </w:sdtPr>
        <w:sdtContent>
          <w:r w:rsidR="00BD69D8">
            <w:rPr>
              <w:rFonts w:cs="Times-Roman"/>
              <w:sz w:val="22"/>
              <w:szCs w:val="22"/>
              <w:lang w:bidi="ar-SA"/>
            </w:rPr>
            <w:fldChar w:fldCharType="begin"/>
          </w:r>
          <w:r w:rsidR="00803734">
            <w:rPr>
              <w:rFonts w:cs="Times-Roman"/>
              <w:sz w:val="22"/>
              <w:szCs w:val="22"/>
              <w:lang w:bidi="ar-SA"/>
            </w:rPr>
            <w:instrText xml:space="preserve"> CITATION Her03 \l 1033 </w:instrText>
          </w:r>
          <w:r w:rsidR="00BD69D8">
            <w:rPr>
              <w:rFonts w:cs="Times-Roman"/>
              <w:sz w:val="22"/>
              <w:szCs w:val="22"/>
              <w:lang w:bidi="ar-SA"/>
            </w:rPr>
            <w:fldChar w:fldCharType="separate"/>
          </w:r>
          <w:r w:rsidR="00F26771" w:rsidRPr="00F26771">
            <w:rPr>
              <w:rFonts w:cs="Times-Roman"/>
              <w:noProof/>
              <w:sz w:val="22"/>
              <w:szCs w:val="22"/>
              <w:lang w:bidi="ar-SA"/>
            </w:rPr>
            <w:t>(Hertz &amp; Alfredsson, 2003)</w:t>
          </w:r>
          <w:r w:rsidR="00BD69D8">
            <w:rPr>
              <w:rFonts w:cs="Times-Roman"/>
              <w:sz w:val="22"/>
              <w:szCs w:val="22"/>
              <w:lang w:bidi="ar-SA"/>
            </w:rPr>
            <w:fldChar w:fldCharType="end"/>
          </w:r>
        </w:sdtContent>
      </w:sdt>
      <w:r w:rsidR="00803734">
        <w:rPr>
          <w:rFonts w:cs="Times-Roman"/>
          <w:sz w:val="22"/>
          <w:szCs w:val="22"/>
          <w:lang w:bidi="ar-SA"/>
        </w:rPr>
        <w:t xml:space="preserve">. </w:t>
      </w:r>
    </w:p>
    <w:p w:rsidR="00EF41C9" w:rsidRDefault="00EF41C9" w:rsidP="00335C9C">
      <w:pPr>
        <w:spacing w:before="0" w:line="360" w:lineRule="auto"/>
        <w:jc w:val="both"/>
        <w:textAlignment w:val="top"/>
        <w:rPr>
          <w:sz w:val="22"/>
          <w:szCs w:val="22"/>
        </w:rPr>
      </w:pPr>
      <w:bookmarkStart w:id="20" w:name="_Ref293684341"/>
    </w:p>
    <w:p w:rsidR="00A4285F" w:rsidRDefault="00493860" w:rsidP="00335C9C">
      <w:pPr>
        <w:spacing w:before="0" w:line="360" w:lineRule="auto"/>
        <w:jc w:val="both"/>
        <w:textAlignment w:val="top"/>
        <w:rPr>
          <w:rFonts w:eastAsia="Times New Roman" w:cs="Arial"/>
          <w:color w:val="000000"/>
          <w:sz w:val="22"/>
          <w:szCs w:val="22"/>
          <w:lang w:eastAsia="nl-NL" w:bidi="ar-SA"/>
        </w:rPr>
      </w:pPr>
      <w:r w:rsidRPr="00A4285F">
        <w:rPr>
          <w:sz w:val="22"/>
          <w:szCs w:val="22"/>
        </w:rPr>
        <w:t>The division made by Hertz &amp; Alfredsson (2003) further stresses the relevance of the strategic frontier: the existence of a certain tradeoff between general capabilities</w:t>
      </w:r>
      <w:r w:rsidR="00766EA8" w:rsidRPr="00A4285F">
        <w:rPr>
          <w:sz w:val="22"/>
          <w:szCs w:val="22"/>
        </w:rPr>
        <w:t>/services</w:t>
      </w:r>
      <w:r w:rsidRPr="00A4285F">
        <w:rPr>
          <w:sz w:val="22"/>
          <w:szCs w:val="22"/>
        </w:rPr>
        <w:t xml:space="preserve"> and customer adaption</w:t>
      </w:r>
      <w:r w:rsidR="00766EA8" w:rsidRPr="00A4285F">
        <w:rPr>
          <w:sz w:val="22"/>
          <w:szCs w:val="22"/>
        </w:rPr>
        <w:t xml:space="preserve">. </w:t>
      </w:r>
      <w:r w:rsidR="003A122B" w:rsidRPr="00A4285F">
        <w:rPr>
          <w:sz w:val="22"/>
          <w:szCs w:val="22"/>
        </w:rPr>
        <w:t xml:space="preserve"> It becomes more relevant to balance between the two dimensions once the TPL business and the number of clients is growing. According to Lieb &amp; Lieb (2008), the TPL industry is increasingly </w:t>
      </w:r>
      <w:r w:rsidR="00F860B3" w:rsidRPr="00A4285F">
        <w:rPr>
          <w:sz w:val="22"/>
          <w:szCs w:val="22"/>
        </w:rPr>
        <w:t>merging, in the end leaving just a few large providers and many small specialized en niche providers. Developing niches seems a way to increase customer adaption</w:t>
      </w:r>
      <w:sdt>
        <w:sdtPr>
          <w:rPr>
            <w:sz w:val="22"/>
            <w:szCs w:val="22"/>
          </w:rPr>
          <w:id w:val="23092048"/>
          <w:citation/>
        </w:sdtPr>
        <w:sdtContent>
          <w:r w:rsidR="00BD69D8" w:rsidRPr="00A4285F">
            <w:rPr>
              <w:sz w:val="22"/>
              <w:szCs w:val="22"/>
            </w:rPr>
            <w:fldChar w:fldCharType="begin"/>
          </w:r>
          <w:r w:rsidR="00F860B3" w:rsidRPr="00A4285F">
            <w:rPr>
              <w:sz w:val="22"/>
              <w:szCs w:val="22"/>
            </w:rPr>
            <w:instrText xml:space="preserve"> CITATION Her03 \l 1033 </w:instrText>
          </w:r>
          <w:r w:rsidR="00BD69D8" w:rsidRPr="00A4285F">
            <w:rPr>
              <w:sz w:val="22"/>
              <w:szCs w:val="22"/>
            </w:rPr>
            <w:fldChar w:fldCharType="separate"/>
          </w:r>
          <w:r w:rsidR="00F26771">
            <w:rPr>
              <w:noProof/>
              <w:sz w:val="22"/>
              <w:szCs w:val="22"/>
            </w:rPr>
            <w:t xml:space="preserve"> </w:t>
          </w:r>
          <w:r w:rsidR="00F26771" w:rsidRPr="00F26771">
            <w:rPr>
              <w:noProof/>
              <w:sz w:val="22"/>
              <w:szCs w:val="22"/>
            </w:rPr>
            <w:t>(Hertz &amp; Alfredsson, 2003)</w:t>
          </w:r>
          <w:r w:rsidR="00BD69D8" w:rsidRPr="00A4285F">
            <w:rPr>
              <w:sz w:val="22"/>
              <w:szCs w:val="22"/>
            </w:rPr>
            <w:fldChar w:fldCharType="end"/>
          </w:r>
        </w:sdtContent>
      </w:sdt>
      <w:r w:rsidR="00F860B3" w:rsidRPr="00A4285F">
        <w:rPr>
          <w:sz w:val="22"/>
          <w:szCs w:val="22"/>
        </w:rPr>
        <w:t>. Following the rise of the 4PL providers, it seems that TPL providers should adapt more and more to their customers, which would mean they industry making a shift towards the</w:t>
      </w:r>
      <w:r w:rsidR="008C4C93" w:rsidRPr="00A4285F">
        <w:rPr>
          <w:sz w:val="22"/>
          <w:szCs w:val="22"/>
        </w:rPr>
        <w:t xml:space="preserve"> category of</w:t>
      </w:r>
      <w:r w:rsidR="00F860B3" w:rsidRPr="00A4285F">
        <w:rPr>
          <w:sz w:val="22"/>
          <w:szCs w:val="22"/>
        </w:rPr>
        <w:t xml:space="preserve"> </w:t>
      </w:r>
      <w:r w:rsidR="008C4C93" w:rsidRPr="00A4285F">
        <w:rPr>
          <w:sz w:val="22"/>
          <w:szCs w:val="22"/>
        </w:rPr>
        <w:t>customer developer.</w:t>
      </w:r>
      <w:r w:rsidR="00356B9C" w:rsidRPr="00A4285F">
        <w:rPr>
          <w:noProof/>
          <w:sz w:val="22"/>
          <w:szCs w:val="22"/>
        </w:rPr>
        <w:t xml:space="preserve"> Juga, Pekkarinen, &amp; Kilpala (2008) did research </w:t>
      </w:r>
      <w:r w:rsidR="00A4285F" w:rsidRPr="00A4285F">
        <w:rPr>
          <w:noProof/>
          <w:sz w:val="22"/>
          <w:szCs w:val="22"/>
        </w:rPr>
        <w:t xml:space="preserve">during 2003/2004 </w:t>
      </w:r>
      <w:r w:rsidR="00356B9C" w:rsidRPr="00A4285F">
        <w:rPr>
          <w:noProof/>
          <w:sz w:val="22"/>
          <w:szCs w:val="22"/>
        </w:rPr>
        <w:t xml:space="preserve">on the strategic positioning of </w:t>
      </w:r>
      <w:r w:rsidR="00A4285F" w:rsidRPr="00A4285F">
        <w:rPr>
          <w:noProof/>
          <w:sz w:val="22"/>
          <w:szCs w:val="22"/>
        </w:rPr>
        <w:t>logistics services</w:t>
      </w:r>
      <w:r w:rsidR="00356B9C" w:rsidRPr="00A4285F">
        <w:rPr>
          <w:noProof/>
          <w:sz w:val="22"/>
          <w:szCs w:val="22"/>
        </w:rPr>
        <w:t xml:space="preserve"> providers in Finland. They found that</w:t>
      </w:r>
      <w:r w:rsidR="00A4285F" w:rsidRPr="00A4285F">
        <w:rPr>
          <w:sz w:val="22"/>
          <w:szCs w:val="22"/>
        </w:rPr>
        <w:t xml:space="preserve"> </w:t>
      </w:r>
      <w:r w:rsidR="00356B9C" w:rsidRPr="00A4285F">
        <w:rPr>
          <w:rFonts w:cs="Times-Roman"/>
          <w:sz w:val="22"/>
          <w:szCs w:val="22"/>
          <w:lang w:bidi="ar-SA"/>
        </w:rPr>
        <w:t xml:space="preserve">most companies were positioned in the mid-zone. </w:t>
      </w:r>
      <w:r w:rsidR="00A4285F" w:rsidRPr="00A4285F">
        <w:rPr>
          <w:rFonts w:cs="Times-Roman"/>
          <w:sz w:val="22"/>
          <w:szCs w:val="22"/>
          <w:lang w:bidi="ar-SA"/>
        </w:rPr>
        <w:t xml:space="preserve">They balanced their approach by aiming at </w:t>
      </w:r>
      <w:r w:rsidR="00356B9C" w:rsidRPr="00A4285F">
        <w:rPr>
          <w:rFonts w:cs="Times-Roman"/>
          <w:sz w:val="22"/>
          <w:szCs w:val="22"/>
          <w:lang w:bidi="ar-SA"/>
        </w:rPr>
        <w:t>competence development instead of focusing</w:t>
      </w:r>
      <w:r w:rsidR="00A4285F" w:rsidRPr="00A4285F">
        <w:rPr>
          <w:rFonts w:cs="Times-Roman"/>
          <w:sz w:val="22"/>
          <w:szCs w:val="22"/>
          <w:lang w:bidi="ar-SA"/>
        </w:rPr>
        <w:t xml:space="preserve"> </w:t>
      </w:r>
      <w:r w:rsidR="00356B9C" w:rsidRPr="00A4285F">
        <w:rPr>
          <w:rFonts w:cs="Times-Roman"/>
          <w:sz w:val="22"/>
          <w:szCs w:val="22"/>
          <w:lang w:bidi="ar-SA"/>
        </w:rPr>
        <w:t>exclusively on either service-oriented or customer-oriented competencies.</w:t>
      </w:r>
      <w:r w:rsidR="00A4285F" w:rsidRPr="00A4285F">
        <w:rPr>
          <w:rFonts w:cs="Times-Roman"/>
          <w:sz w:val="22"/>
          <w:szCs w:val="22"/>
          <w:lang w:bidi="ar-SA"/>
        </w:rPr>
        <w:t xml:space="preserve"> This generalist strategy may be caused by the fact that </w:t>
      </w:r>
      <w:r w:rsidR="000A1922" w:rsidRPr="00A4285F">
        <w:rPr>
          <w:rFonts w:cs="Times-Roman"/>
          <w:sz w:val="22"/>
          <w:szCs w:val="22"/>
          <w:lang w:bidi="ar-SA"/>
        </w:rPr>
        <w:t>in a</w:t>
      </w:r>
      <w:r w:rsidR="00A4285F" w:rsidRPr="00A4285F">
        <w:rPr>
          <w:rFonts w:cs="Times-Roman"/>
          <w:sz w:val="22"/>
          <w:szCs w:val="22"/>
          <w:lang w:bidi="ar-SA"/>
        </w:rPr>
        <w:t xml:space="preserve"> small country such as Finland there is limited demand for specialized services </w:t>
      </w:r>
      <w:sdt>
        <w:sdtPr>
          <w:rPr>
            <w:rFonts w:cs="Times-Roman"/>
            <w:sz w:val="22"/>
            <w:szCs w:val="22"/>
            <w:lang w:bidi="ar-SA"/>
          </w:rPr>
          <w:id w:val="23092050"/>
          <w:citation/>
        </w:sdtPr>
        <w:sdtContent>
          <w:r w:rsidR="00BD69D8" w:rsidRPr="00A4285F">
            <w:rPr>
              <w:rFonts w:cs="Times-Roman"/>
              <w:sz w:val="22"/>
              <w:szCs w:val="22"/>
              <w:lang w:bidi="ar-SA"/>
            </w:rPr>
            <w:fldChar w:fldCharType="begin"/>
          </w:r>
          <w:r w:rsidR="00A4285F" w:rsidRPr="00A4285F">
            <w:rPr>
              <w:rFonts w:cs="Times-Roman"/>
              <w:sz w:val="22"/>
              <w:szCs w:val="22"/>
              <w:lang w:bidi="ar-SA"/>
            </w:rPr>
            <w:instrText xml:space="preserve"> CITATION Jug08 \l 1033 </w:instrText>
          </w:r>
          <w:r w:rsidR="00BD69D8" w:rsidRPr="00A4285F">
            <w:rPr>
              <w:rFonts w:cs="Times-Roman"/>
              <w:sz w:val="22"/>
              <w:szCs w:val="22"/>
              <w:lang w:bidi="ar-SA"/>
            </w:rPr>
            <w:fldChar w:fldCharType="separate"/>
          </w:r>
          <w:r w:rsidR="00F26771" w:rsidRPr="00F26771">
            <w:rPr>
              <w:rFonts w:cs="Times-Roman"/>
              <w:noProof/>
              <w:sz w:val="22"/>
              <w:szCs w:val="22"/>
              <w:lang w:bidi="ar-SA"/>
            </w:rPr>
            <w:t>(Juga, Pekkarinen, &amp; Kilpala, 2008)</w:t>
          </w:r>
          <w:r w:rsidR="00BD69D8" w:rsidRPr="00A4285F">
            <w:rPr>
              <w:rFonts w:cs="Times-Roman"/>
              <w:sz w:val="22"/>
              <w:szCs w:val="22"/>
              <w:lang w:bidi="ar-SA"/>
            </w:rPr>
            <w:fldChar w:fldCharType="end"/>
          </w:r>
        </w:sdtContent>
      </w:sdt>
      <w:r w:rsidR="00A4285F" w:rsidRPr="00A4285F">
        <w:rPr>
          <w:rFonts w:cs="Times-Roman"/>
          <w:sz w:val="22"/>
          <w:szCs w:val="22"/>
          <w:lang w:bidi="ar-SA"/>
        </w:rPr>
        <w:t>.</w:t>
      </w:r>
      <w:r w:rsidR="00A4285F" w:rsidRPr="00A4285F">
        <w:rPr>
          <w:rFonts w:cs="Arial"/>
          <w:color w:val="000000"/>
          <w:sz w:val="22"/>
          <w:szCs w:val="22"/>
        </w:rPr>
        <w:t xml:space="preserve"> </w:t>
      </w:r>
      <w:r w:rsidR="00A4285F" w:rsidRPr="00A4285F">
        <w:rPr>
          <w:rFonts w:eastAsia="Times New Roman" w:cs="Arial"/>
          <w:color w:val="000000"/>
          <w:sz w:val="22"/>
          <w:szCs w:val="22"/>
          <w:lang w:eastAsia="nl-NL" w:bidi="ar-SA"/>
        </w:rPr>
        <w:t>Relating to the above literature, the following sub-question was formulated:</w:t>
      </w:r>
    </w:p>
    <w:tbl>
      <w:tblPr>
        <w:tblStyle w:val="Lichtearcering-accent6"/>
        <w:tblW w:w="0" w:type="auto"/>
        <w:tblLook w:val="04A0"/>
      </w:tblPr>
      <w:tblGrid>
        <w:gridCol w:w="9212"/>
      </w:tblGrid>
      <w:tr w:rsidR="001152F7" w:rsidTr="0064502E">
        <w:trPr>
          <w:cnfStyle w:val="100000000000"/>
        </w:trPr>
        <w:tc>
          <w:tcPr>
            <w:cnfStyle w:val="001000000000"/>
            <w:tcW w:w="9212" w:type="dxa"/>
          </w:tcPr>
          <w:p w:rsidR="001152F7" w:rsidRPr="0064502E" w:rsidRDefault="001152F7" w:rsidP="0064502E">
            <w:pPr>
              <w:spacing w:line="360" w:lineRule="auto"/>
              <w:jc w:val="center"/>
              <w:textAlignment w:val="top"/>
              <w:rPr>
                <w:rFonts w:asciiTheme="majorHAnsi" w:eastAsia="Times New Roman" w:hAnsiTheme="majorHAnsi" w:cs="Arial"/>
                <w:i/>
                <w:sz w:val="22"/>
                <w:szCs w:val="22"/>
                <w:lang w:eastAsia="nl-NL" w:bidi="ar-SA"/>
              </w:rPr>
            </w:pPr>
            <w:r w:rsidRPr="0064502E">
              <w:rPr>
                <w:rFonts w:asciiTheme="majorHAnsi" w:eastAsia="Times New Roman" w:hAnsiTheme="majorHAnsi" w:cs="Arial"/>
                <w:i/>
                <w:sz w:val="22"/>
                <w:szCs w:val="22"/>
                <w:lang w:eastAsia="nl-NL" w:bidi="ar-SA"/>
              </w:rPr>
              <w:t xml:space="preserve">‘’ How do TPL providers balance between offering </w:t>
            </w:r>
            <w:r w:rsidR="006A191B" w:rsidRPr="0064502E">
              <w:rPr>
                <w:rFonts w:asciiTheme="majorHAnsi" w:eastAsia="Times New Roman" w:hAnsiTheme="majorHAnsi" w:cs="Arial"/>
                <w:i/>
                <w:sz w:val="22"/>
                <w:szCs w:val="22"/>
                <w:lang w:eastAsia="nl-NL" w:bidi="ar-SA"/>
              </w:rPr>
              <w:t>general services and their ability for customer adaption?’’</w:t>
            </w:r>
          </w:p>
        </w:tc>
      </w:tr>
    </w:tbl>
    <w:p w:rsidR="00356B9C" w:rsidRDefault="00356B9C" w:rsidP="00A4285F">
      <w:pPr>
        <w:spacing w:line="360" w:lineRule="auto"/>
        <w:jc w:val="both"/>
        <w:rPr>
          <w:rFonts w:eastAsia="Times New Roman" w:cs="Arial"/>
          <w:color w:val="888888"/>
          <w:sz w:val="22"/>
          <w:szCs w:val="22"/>
          <w:lang w:eastAsia="nl-NL" w:bidi="ar-SA"/>
        </w:rPr>
      </w:pPr>
    </w:p>
    <w:p w:rsidR="00662FE4" w:rsidRPr="00361559" w:rsidRDefault="008554AA" w:rsidP="006E52B5">
      <w:pPr>
        <w:pStyle w:val="Kop2"/>
        <w:numPr>
          <w:ilvl w:val="1"/>
          <w:numId w:val="13"/>
        </w:numPr>
        <w:spacing w:after="240"/>
        <w:rPr>
          <w:rFonts w:asciiTheme="majorHAnsi" w:hAnsiTheme="majorHAnsi"/>
        </w:rPr>
      </w:pPr>
      <w:bookmarkStart w:id="21" w:name="_Toc300411994"/>
      <w:r>
        <w:rPr>
          <w:rFonts w:asciiTheme="majorHAnsi" w:hAnsiTheme="majorHAnsi"/>
        </w:rPr>
        <w:lastRenderedPageBreak/>
        <w:t>Environmental awareness in the TPL industry</w:t>
      </w:r>
      <w:bookmarkEnd w:id="21"/>
    </w:p>
    <w:p w:rsidR="007A4003" w:rsidRPr="0028135C" w:rsidRDefault="006E52B5" w:rsidP="007A4003">
      <w:pPr>
        <w:spacing w:line="360" w:lineRule="auto"/>
        <w:jc w:val="both"/>
        <w:rPr>
          <w:rFonts w:eastAsia="Times New Roman" w:cs="Arial"/>
          <w:color w:val="000000"/>
          <w:sz w:val="22"/>
          <w:szCs w:val="22"/>
          <w:lang w:eastAsia="nl-NL" w:bidi="ar-SA"/>
        </w:rPr>
      </w:pPr>
      <w:r>
        <w:rPr>
          <w:sz w:val="22"/>
          <w:szCs w:val="22"/>
        </w:rPr>
        <w:t>‘</w:t>
      </w:r>
      <w:r w:rsidR="007A4003">
        <w:rPr>
          <w:sz w:val="22"/>
          <w:szCs w:val="22"/>
        </w:rPr>
        <w:t>Being green’ and ‘sustainable</w:t>
      </w:r>
      <w:r>
        <w:rPr>
          <w:sz w:val="22"/>
          <w:szCs w:val="22"/>
        </w:rPr>
        <w:t>’ are hot topics recent y</w:t>
      </w:r>
      <w:r w:rsidR="00AC5B7F">
        <w:rPr>
          <w:sz w:val="22"/>
          <w:szCs w:val="22"/>
        </w:rPr>
        <w:t>ears. The car industry mark</w:t>
      </w:r>
      <w:r w:rsidR="007A4003">
        <w:rPr>
          <w:sz w:val="22"/>
          <w:szCs w:val="22"/>
        </w:rPr>
        <w:t>s</w:t>
      </w:r>
      <w:r>
        <w:rPr>
          <w:sz w:val="22"/>
          <w:szCs w:val="22"/>
        </w:rPr>
        <w:t xml:space="preserve"> their cars with </w:t>
      </w:r>
      <w:r w:rsidR="00AC5B7F">
        <w:rPr>
          <w:sz w:val="22"/>
          <w:szCs w:val="22"/>
        </w:rPr>
        <w:t xml:space="preserve">all </w:t>
      </w:r>
      <w:r>
        <w:rPr>
          <w:sz w:val="22"/>
          <w:szCs w:val="22"/>
        </w:rPr>
        <w:t xml:space="preserve">kinds of labels, promoting their cars as if they are actually helping the environment. Other companies are involved with </w:t>
      </w:r>
      <w:r w:rsidR="000A1922">
        <w:rPr>
          <w:sz w:val="22"/>
          <w:szCs w:val="22"/>
        </w:rPr>
        <w:t>‘green</w:t>
      </w:r>
      <w:r>
        <w:rPr>
          <w:sz w:val="22"/>
          <w:szCs w:val="22"/>
        </w:rPr>
        <w:t xml:space="preserve"> operations’, like shortening their supply chain</w:t>
      </w:r>
      <w:r w:rsidR="00050A1C">
        <w:rPr>
          <w:sz w:val="22"/>
          <w:szCs w:val="22"/>
        </w:rPr>
        <w:t>, for which help of TPL providers is usually requested (Lieb &amp; Lieb, 2010),</w:t>
      </w:r>
      <w:r>
        <w:rPr>
          <w:sz w:val="22"/>
          <w:szCs w:val="22"/>
        </w:rPr>
        <w:t xml:space="preserve"> or keeping sustainability and social responsiveness in mind when taking their sourcing decisions.  In that context, it seems obvious that the transport and logistics industry </w:t>
      </w:r>
      <w:r w:rsidR="00AC5B7F">
        <w:rPr>
          <w:sz w:val="22"/>
          <w:szCs w:val="22"/>
        </w:rPr>
        <w:t xml:space="preserve">is also engaged in environmental entrepreneurship.  Some examples that they are actually engaging in this movement are the </w:t>
      </w:r>
      <w:r w:rsidR="00AC5B7F" w:rsidRPr="00AC5B7F">
        <w:rPr>
          <w:rFonts w:eastAsia="Times New Roman" w:cs="Arial"/>
          <w:color w:val="000000"/>
          <w:sz w:val="22"/>
          <w:szCs w:val="22"/>
          <w:lang w:eastAsia="nl-NL" w:bidi="ar-SA"/>
        </w:rPr>
        <w:t>development of carbon footprints, showing the environmental impact o</w:t>
      </w:r>
      <w:r w:rsidR="00AC5B7F">
        <w:rPr>
          <w:rFonts w:eastAsia="Times New Roman" w:cs="Arial"/>
          <w:color w:val="000000"/>
          <w:sz w:val="22"/>
          <w:szCs w:val="22"/>
          <w:lang w:eastAsia="nl-NL" w:bidi="ar-SA"/>
        </w:rPr>
        <w:t xml:space="preserve">f </w:t>
      </w:r>
      <w:r w:rsidR="007A4003">
        <w:rPr>
          <w:rFonts w:eastAsia="Times New Roman" w:cs="Arial"/>
          <w:color w:val="000000"/>
          <w:sz w:val="22"/>
          <w:szCs w:val="22"/>
          <w:lang w:eastAsia="nl-NL" w:bidi="ar-SA"/>
        </w:rPr>
        <w:t xml:space="preserve">the transportation of the shippers’ goods. Or the fact that truck fleets are renewed and become ‘greener’. Good examples of such initiatives are electronic city freight trains servicing </w:t>
      </w:r>
      <w:r w:rsidR="000A1922">
        <w:rPr>
          <w:rFonts w:eastAsia="Times New Roman" w:cs="Arial"/>
          <w:color w:val="000000"/>
          <w:sz w:val="22"/>
          <w:szCs w:val="22"/>
          <w:lang w:eastAsia="nl-NL" w:bidi="ar-SA"/>
        </w:rPr>
        <w:t>customer’s</w:t>
      </w:r>
      <w:r w:rsidR="007A4003">
        <w:rPr>
          <w:rFonts w:eastAsia="Times New Roman" w:cs="Arial"/>
          <w:color w:val="000000"/>
          <w:sz w:val="22"/>
          <w:szCs w:val="22"/>
          <w:lang w:eastAsia="nl-NL" w:bidi="ar-SA"/>
        </w:rPr>
        <w:t xml:space="preserve"> downtown and the L</w:t>
      </w:r>
      <w:r w:rsidR="007A4003" w:rsidRPr="007A4003">
        <w:rPr>
          <w:rFonts w:eastAsia="Times New Roman" w:cs="Arial"/>
          <w:color w:val="000000"/>
          <w:sz w:val="22"/>
          <w:szCs w:val="22"/>
          <w:lang w:eastAsia="nl-NL" w:bidi="ar-SA"/>
        </w:rPr>
        <w:t xml:space="preserve">onger and </w:t>
      </w:r>
      <w:r w:rsidR="007A4003">
        <w:rPr>
          <w:rFonts w:eastAsia="Times New Roman" w:cs="Arial"/>
          <w:color w:val="000000"/>
          <w:sz w:val="22"/>
          <w:szCs w:val="22"/>
          <w:lang w:eastAsia="nl-NL" w:bidi="ar-SA"/>
        </w:rPr>
        <w:t>H</w:t>
      </w:r>
      <w:r w:rsidR="007A4003" w:rsidRPr="007A4003">
        <w:rPr>
          <w:rFonts w:eastAsia="Times New Roman" w:cs="Arial"/>
          <w:color w:val="000000"/>
          <w:sz w:val="22"/>
          <w:szCs w:val="22"/>
          <w:lang w:eastAsia="nl-NL" w:bidi="ar-SA"/>
        </w:rPr>
        <w:t>eavier Vehicle Combination (LHV), also known</w:t>
      </w:r>
      <w:r w:rsidR="007A4003">
        <w:rPr>
          <w:rFonts w:eastAsia="Times New Roman" w:cs="Arial"/>
          <w:color w:val="000000"/>
          <w:sz w:val="22"/>
          <w:szCs w:val="22"/>
          <w:lang w:eastAsia="nl-NL" w:bidi="ar-SA"/>
        </w:rPr>
        <w:t xml:space="preserve"> as</w:t>
      </w:r>
      <w:r w:rsidR="007A4003" w:rsidRPr="007A4003">
        <w:rPr>
          <w:rFonts w:eastAsia="Times New Roman" w:cs="Arial"/>
          <w:color w:val="000000"/>
          <w:sz w:val="22"/>
          <w:szCs w:val="22"/>
          <w:lang w:eastAsia="nl-NL" w:bidi="ar-SA"/>
        </w:rPr>
        <w:t xml:space="preserve"> Ecocombi</w:t>
      </w:r>
      <w:r w:rsidR="007A4003">
        <w:rPr>
          <w:rFonts w:eastAsia="Times New Roman" w:cs="Arial"/>
          <w:color w:val="000000"/>
          <w:sz w:val="22"/>
          <w:szCs w:val="22"/>
          <w:lang w:eastAsia="nl-NL" w:bidi="ar-SA"/>
        </w:rPr>
        <w:t xml:space="preserve">. The Ecocombi is a truck </w:t>
      </w:r>
      <w:r w:rsidR="007A4003" w:rsidRPr="007A4003">
        <w:rPr>
          <w:rFonts w:eastAsia="Times New Roman" w:cs="Arial"/>
          <w:color w:val="000000"/>
          <w:sz w:val="22"/>
          <w:szCs w:val="22"/>
          <w:lang w:eastAsia="nl-NL" w:bidi="ar-SA"/>
        </w:rPr>
        <w:t>that can carry more cargo than a conventional truck combination. Because the fuel</w:t>
      </w:r>
      <w:r w:rsidR="001F5D02">
        <w:rPr>
          <w:rFonts w:eastAsia="Times New Roman" w:cs="Arial"/>
          <w:color w:val="000000"/>
          <w:sz w:val="22"/>
          <w:szCs w:val="22"/>
          <w:lang w:eastAsia="nl-NL" w:bidi="ar-SA"/>
        </w:rPr>
        <w:t xml:space="preserve"> usage of an Ecocombi</w:t>
      </w:r>
      <w:r w:rsidR="007A4003" w:rsidRPr="007A4003">
        <w:rPr>
          <w:rFonts w:eastAsia="Times New Roman" w:cs="Arial"/>
          <w:color w:val="000000"/>
          <w:sz w:val="22"/>
          <w:szCs w:val="22"/>
          <w:lang w:eastAsia="nl-NL" w:bidi="ar-SA"/>
        </w:rPr>
        <w:t xml:space="preserve"> barely increases</w:t>
      </w:r>
      <w:r w:rsidR="001F5D02">
        <w:rPr>
          <w:rFonts w:eastAsia="Times New Roman" w:cs="Arial"/>
          <w:color w:val="000000"/>
          <w:sz w:val="22"/>
          <w:szCs w:val="22"/>
          <w:lang w:eastAsia="nl-NL" w:bidi="ar-SA"/>
        </w:rPr>
        <w:t xml:space="preserve"> compared to a conventional truck</w:t>
      </w:r>
      <w:r w:rsidR="007A4003" w:rsidRPr="007A4003">
        <w:rPr>
          <w:rFonts w:eastAsia="Times New Roman" w:cs="Arial"/>
          <w:color w:val="000000"/>
          <w:sz w:val="22"/>
          <w:szCs w:val="22"/>
          <w:lang w:eastAsia="nl-NL" w:bidi="ar-SA"/>
        </w:rPr>
        <w:t xml:space="preserve">, transporting goods by </w:t>
      </w:r>
      <w:r w:rsidR="001F5D02">
        <w:rPr>
          <w:rFonts w:eastAsia="Times New Roman" w:cs="Arial"/>
          <w:color w:val="000000"/>
          <w:sz w:val="22"/>
          <w:szCs w:val="22"/>
          <w:lang w:eastAsia="nl-NL" w:bidi="ar-SA"/>
        </w:rPr>
        <w:t xml:space="preserve">Ecocombi can save up </w:t>
      </w:r>
      <w:r w:rsidR="007A4003" w:rsidRPr="007A4003">
        <w:rPr>
          <w:rFonts w:eastAsia="Times New Roman" w:cs="Arial"/>
          <w:color w:val="000000"/>
          <w:sz w:val="22"/>
          <w:szCs w:val="22"/>
          <w:lang w:eastAsia="nl-NL" w:bidi="ar-SA"/>
        </w:rPr>
        <w:t xml:space="preserve">to 30% </w:t>
      </w:r>
      <w:r w:rsidR="001F5D02">
        <w:rPr>
          <w:rFonts w:eastAsia="Times New Roman" w:cs="Arial"/>
          <w:color w:val="000000"/>
          <w:sz w:val="22"/>
          <w:szCs w:val="22"/>
          <w:lang w:eastAsia="nl-NL" w:bidi="ar-SA"/>
        </w:rPr>
        <w:t xml:space="preserve">on fuel, helping the TPL provider and the environment at once.  Last but not least, the government is promoting sustainable operating as can be seen from the fact that the Dutch government legalized the Ecocombi after </w:t>
      </w:r>
      <w:r w:rsidR="000A1922">
        <w:rPr>
          <w:rFonts w:eastAsia="Times New Roman" w:cs="Arial"/>
          <w:color w:val="000000"/>
          <w:sz w:val="22"/>
          <w:szCs w:val="22"/>
          <w:lang w:eastAsia="nl-NL" w:bidi="ar-SA"/>
        </w:rPr>
        <w:t>an</w:t>
      </w:r>
      <w:r w:rsidR="001F5D02">
        <w:rPr>
          <w:rFonts w:eastAsia="Times New Roman" w:cs="Arial"/>
          <w:color w:val="000000"/>
          <w:sz w:val="22"/>
          <w:szCs w:val="22"/>
          <w:lang w:eastAsia="nl-NL" w:bidi="ar-SA"/>
        </w:rPr>
        <w:t xml:space="preserve"> extensive testing period. Besides that, the European unions’</w:t>
      </w:r>
      <w:r w:rsidR="0028135C">
        <w:rPr>
          <w:rFonts w:eastAsia="Times New Roman" w:cs="Arial"/>
          <w:color w:val="000000"/>
          <w:sz w:val="22"/>
          <w:szCs w:val="22"/>
          <w:lang w:eastAsia="nl-NL" w:bidi="ar-SA"/>
        </w:rPr>
        <w:t xml:space="preserve"> </w:t>
      </w:r>
      <w:r w:rsidR="0028135C" w:rsidRPr="0028135C">
        <w:rPr>
          <w:rFonts w:eastAsia="Times New Roman" w:cs="Arial"/>
          <w:i/>
          <w:color w:val="000000"/>
          <w:sz w:val="22"/>
          <w:szCs w:val="22"/>
          <w:lang w:eastAsia="nl-NL" w:bidi="ar-SA"/>
        </w:rPr>
        <w:t>white paper 2011</w:t>
      </w:r>
      <w:r w:rsidR="0028135C">
        <w:rPr>
          <w:rFonts w:eastAsia="Times New Roman" w:cs="Arial"/>
          <w:i/>
          <w:color w:val="000000"/>
          <w:sz w:val="22"/>
          <w:szCs w:val="22"/>
          <w:lang w:eastAsia="nl-NL" w:bidi="ar-SA"/>
        </w:rPr>
        <w:t xml:space="preserve"> </w:t>
      </w:r>
      <w:r w:rsidR="0028135C">
        <w:rPr>
          <w:rFonts w:eastAsia="Times New Roman" w:cs="Arial"/>
          <w:color w:val="000000"/>
          <w:sz w:val="22"/>
          <w:szCs w:val="22"/>
          <w:lang w:eastAsia="nl-NL" w:bidi="ar-SA"/>
        </w:rPr>
        <w:t>roadmap for a competitive and resource efficient transport system most important goal</w:t>
      </w:r>
      <w:r w:rsidR="00050A1C">
        <w:rPr>
          <w:rFonts w:eastAsia="Times New Roman" w:cs="Arial"/>
          <w:color w:val="000000"/>
          <w:sz w:val="22"/>
          <w:szCs w:val="22"/>
          <w:lang w:eastAsia="nl-NL" w:bidi="ar-SA"/>
        </w:rPr>
        <w:t xml:space="preserve">s are promoting intermodal transportation and </w:t>
      </w:r>
      <w:r w:rsidR="0028135C">
        <w:rPr>
          <w:rFonts w:eastAsia="Times New Roman" w:cs="Arial"/>
          <w:color w:val="000000"/>
          <w:sz w:val="22"/>
          <w:szCs w:val="22"/>
          <w:lang w:eastAsia="nl-NL" w:bidi="ar-SA"/>
        </w:rPr>
        <w:t xml:space="preserve">to reduce emissions by 60% by the middle of the century </w:t>
      </w:r>
      <w:sdt>
        <w:sdtPr>
          <w:rPr>
            <w:rFonts w:eastAsia="Times New Roman" w:cs="Arial"/>
            <w:color w:val="000000"/>
            <w:sz w:val="22"/>
            <w:szCs w:val="22"/>
            <w:lang w:eastAsia="nl-NL" w:bidi="ar-SA"/>
          </w:rPr>
          <w:id w:val="3143936"/>
          <w:citation/>
        </w:sdtPr>
        <w:sdtContent>
          <w:r w:rsidR="00BD69D8">
            <w:rPr>
              <w:rFonts w:eastAsia="Times New Roman" w:cs="Arial"/>
              <w:color w:val="000000"/>
              <w:sz w:val="22"/>
              <w:szCs w:val="22"/>
              <w:lang w:eastAsia="nl-NL" w:bidi="ar-SA"/>
            </w:rPr>
            <w:fldChar w:fldCharType="begin"/>
          </w:r>
          <w:r w:rsidR="0028135C">
            <w:rPr>
              <w:rFonts w:eastAsia="Times New Roman" w:cs="Arial"/>
              <w:color w:val="000000"/>
              <w:sz w:val="22"/>
              <w:szCs w:val="22"/>
              <w:lang w:eastAsia="nl-NL" w:bidi="ar-SA"/>
            </w:rPr>
            <w:instrText xml:space="preserve"> CITATION Eur11 \l 1033 </w:instrText>
          </w:r>
          <w:r w:rsidR="00BD69D8">
            <w:rPr>
              <w:rFonts w:eastAsia="Times New Roman" w:cs="Arial"/>
              <w:color w:val="000000"/>
              <w:sz w:val="22"/>
              <w:szCs w:val="22"/>
              <w:lang w:eastAsia="nl-NL" w:bidi="ar-SA"/>
            </w:rPr>
            <w:fldChar w:fldCharType="separate"/>
          </w:r>
          <w:r w:rsidR="00F26771" w:rsidRPr="00F26771">
            <w:rPr>
              <w:rFonts w:eastAsia="Times New Roman" w:cs="Arial"/>
              <w:noProof/>
              <w:color w:val="000000"/>
              <w:sz w:val="22"/>
              <w:szCs w:val="22"/>
              <w:lang w:eastAsia="nl-NL" w:bidi="ar-SA"/>
            </w:rPr>
            <w:t>(European Commision, 2011)</w:t>
          </w:r>
          <w:r w:rsidR="00BD69D8">
            <w:rPr>
              <w:rFonts w:eastAsia="Times New Roman" w:cs="Arial"/>
              <w:color w:val="000000"/>
              <w:sz w:val="22"/>
              <w:szCs w:val="22"/>
              <w:lang w:eastAsia="nl-NL" w:bidi="ar-SA"/>
            </w:rPr>
            <w:fldChar w:fldCharType="end"/>
          </w:r>
        </w:sdtContent>
      </w:sdt>
      <w:r w:rsidR="0028135C">
        <w:rPr>
          <w:rFonts w:eastAsia="Times New Roman" w:cs="Arial"/>
          <w:color w:val="000000"/>
          <w:sz w:val="22"/>
          <w:szCs w:val="22"/>
          <w:lang w:eastAsia="nl-NL" w:bidi="ar-SA"/>
        </w:rPr>
        <w:t xml:space="preserve">. </w:t>
      </w:r>
    </w:p>
    <w:p w:rsidR="00222A0B" w:rsidRDefault="00ED5A98" w:rsidP="00222A0B">
      <w:pPr>
        <w:spacing w:before="0" w:line="360" w:lineRule="auto"/>
        <w:jc w:val="both"/>
        <w:textAlignment w:val="top"/>
        <w:rPr>
          <w:rFonts w:eastAsia="Times New Roman" w:cs="Arial"/>
          <w:color w:val="000000"/>
          <w:sz w:val="22"/>
          <w:szCs w:val="22"/>
          <w:lang w:eastAsia="nl-NL" w:bidi="ar-SA"/>
        </w:rPr>
      </w:pPr>
      <w:r>
        <w:rPr>
          <w:rFonts w:eastAsia="Times New Roman" w:cs="Arial"/>
          <w:color w:val="000000"/>
          <w:sz w:val="22"/>
          <w:szCs w:val="22"/>
          <w:lang w:eastAsia="nl-NL" w:bidi="ar-SA"/>
        </w:rPr>
        <w:t xml:space="preserve">The literature on the TPL industry is not discussing the environmental awareness within the industry, except for the surveys Lieb &amp; Lieb conducted during 2008-2010, surveying among the </w:t>
      </w:r>
      <w:r w:rsidR="002752F8">
        <w:rPr>
          <w:rFonts w:eastAsia="Times New Roman" w:cs="Arial"/>
          <w:color w:val="000000"/>
          <w:sz w:val="22"/>
          <w:szCs w:val="22"/>
          <w:lang w:eastAsia="nl-NL" w:bidi="ar-SA"/>
        </w:rPr>
        <w:t>North</w:t>
      </w:r>
      <w:r>
        <w:rPr>
          <w:rFonts w:eastAsia="Times New Roman" w:cs="Arial"/>
          <w:color w:val="000000"/>
          <w:sz w:val="22"/>
          <w:szCs w:val="22"/>
          <w:lang w:eastAsia="nl-NL" w:bidi="ar-SA"/>
        </w:rPr>
        <w:t xml:space="preserve"> American third party logistics industry. According to Lieb &amp; Lieb (2010), their research on environmental sustainability clearly show TPL providers made significant commitments to ‘green goals’, both for themselves as by helping their </w:t>
      </w:r>
      <w:r w:rsidR="000A1922">
        <w:rPr>
          <w:rFonts w:eastAsia="Times New Roman" w:cs="Arial"/>
          <w:color w:val="000000"/>
          <w:sz w:val="22"/>
          <w:szCs w:val="22"/>
          <w:lang w:eastAsia="nl-NL" w:bidi="ar-SA"/>
        </w:rPr>
        <w:t>client’s</w:t>
      </w:r>
      <w:r w:rsidR="00EC507A">
        <w:rPr>
          <w:rFonts w:eastAsia="Times New Roman" w:cs="Arial"/>
          <w:color w:val="000000"/>
          <w:sz w:val="22"/>
          <w:szCs w:val="22"/>
          <w:lang w:eastAsia="nl-NL" w:bidi="ar-SA"/>
        </w:rPr>
        <w:t xml:space="preserve"> reach</w:t>
      </w:r>
      <w:r>
        <w:rPr>
          <w:rFonts w:eastAsia="Times New Roman" w:cs="Arial"/>
          <w:color w:val="000000"/>
          <w:sz w:val="22"/>
          <w:szCs w:val="22"/>
          <w:lang w:eastAsia="nl-NL" w:bidi="ar-SA"/>
        </w:rPr>
        <w:t xml:space="preserve"> similar goals. 50% of the surveyed CEOs believe that their companies’ sustainability differentiate it from their competitors. </w:t>
      </w:r>
      <w:r w:rsidR="00050A1C">
        <w:rPr>
          <w:rFonts w:eastAsia="Times New Roman" w:cs="Arial"/>
          <w:color w:val="000000"/>
          <w:sz w:val="22"/>
          <w:szCs w:val="22"/>
          <w:lang w:eastAsia="nl-NL" w:bidi="ar-SA"/>
        </w:rPr>
        <w:t xml:space="preserve">An often used tool to become ‘green’ is the establishment of formal company sustainability groups, to ensure the item is on the agenda </w:t>
      </w:r>
      <w:sdt>
        <w:sdtPr>
          <w:rPr>
            <w:rFonts w:eastAsia="Times New Roman" w:cs="Arial"/>
            <w:color w:val="000000"/>
            <w:sz w:val="22"/>
            <w:szCs w:val="22"/>
            <w:lang w:eastAsia="nl-NL" w:bidi="ar-SA"/>
          </w:rPr>
          <w:id w:val="3143937"/>
          <w:citation/>
        </w:sdtPr>
        <w:sdtContent>
          <w:r w:rsidR="00BD69D8">
            <w:rPr>
              <w:rFonts w:eastAsia="Times New Roman" w:cs="Arial"/>
              <w:color w:val="000000"/>
              <w:sz w:val="22"/>
              <w:szCs w:val="22"/>
              <w:lang w:eastAsia="nl-NL" w:bidi="ar-SA"/>
            </w:rPr>
            <w:fldChar w:fldCharType="begin"/>
          </w:r>
          <w:r w:rsidR="00050A1C">
            <w:rPr>
              <w:rFonts w:eastAsia="Times New Roman" w:cs="Arial"/>
              <w:color w:val="000000"/>
              <w:sz w:val="22"/>
              <w:szCs w:val="22"/>
              <w:lang w:eastAsia="nl-NL" w:bidi="ar-SA"/>
            </w:rPr>
            <w:instrText xml:space="preserve"> CITATION Lie10 \t  \l 1033  </w:instrText>
          </w:r>
          <w:r w:rsidR="00BD69D8">
            <w:rPr>
              <w:rFonts w:eastAsia="Times New Roman" w:cs="Arial"/>
              <w:color w:val="000000"/>
              <w:sz w:val="22"/>
              <w:szCs w:val="22"/>
              <w:lang w:eastAsia="nl-NL" w:bidi="ar-SA"/>
            </w:rPr>
            <w:fldChar w:fldCharType="separate"/>
          </w:r>
          <w:r w:rsidR="00F26771" w:rsidRPr="00F26771">
            <w:rPr>
              <w:rFonts w:eastAsia="Times New Roman" w:cs="Arial"/>
              <w:noProof/>
              <w:color w:val="000000"/>
              <w:sz w:val="22"/>
              <w:szCs w:val="22"/>
              <w:lang w:eastAsia="nl-NL" w:bidi="ar-SA"/>
            </w:rPr>
            <w:t>(Lieb &amp; Lieb, 2010)</w:t>
          </w:r>
          <w:r w:rsidR="00BD69D8">
            <w:rPr>
              <w:rFonts w:eastAsia="Times New Roman" w:cs="Arial"/>
              <w:color w:val="000000"/>
              <w:sz w:val="22"/>
              <w:szCs w:val="22"/>
              <w:lang w:eastAsia="nl-NL" w:bidi="ar-SA"/>
            </w:rPr>
            <w:fldChar w:fldCharType="end"/>
          </w:r>
        </w:sdtContent>
      </w:sdt>
      <w:r w:rsidR="00050A1C">
        <w:rPr>
          <w:rFonts w:eastAsia="Times New Roman" w:cs="Arial"/>
          <w:color w:val="000000"/>
          <w:sz w:val="22"/>
          <w:szCs w:val="22"/>
          <w:lang w:eastAsia="nl-NL" w:bidi="ar-SA"/>
        </w:rPr>
        <w:t>.</w:t>
      </w:r>
      <w:r w:rsidR="00222A0B">
        <w:rPr>
          <w:rFonts w:eastAsia="Times New Roman" w:cs="Arial"/>
          <w:color w:val="000000"/>
          <w:sz w:val="22"/>
          <w:szCs w:val="22"/>
          <w:lang w:eastAsia="nl-NL" w:bidi="ar-SA"/>
        </w:rPr>
        <w:t xml:space="preserve"> </w:t>
      </w:r>
      <w:r w:rsidR="00056C29">
        <w:rPr>
          <w:rFonts w:eastAsia="Times New Roman" w:cs="Arial"/>
          <w:color w:val="000000"/>
          <w:sz w:val="22"/>
          <w:szCs w:val="22"/>
          <w:lang w:eastAsia="nl-NL" w:bidi="ar-SA"/>
        </w:rPr>
        <w:t>H</w:t>
      </w:r>
      <w:r w:rsidR="00222A0B">
        <w:rPr>
          <w:rFonts w:eastAsia="Times New Roman" w:cs="Arial"/>
          <w:color w:val="000000"/>
          <w:sz w:val="22"/>
          <w:szCs w:val="22"/>
          <w:lang w:eastAsia="nl-NL" w:bidi="ar-SA"/>
        </w:rPr>
        <w:t xml:space="preserve">ow </w:t>
      </w:r>
      <w:r w:rsidR="00056C29">
        <w:rPr>
          <w:rFonts w:eastAsia="Times New Roman" w:cs="Arial"/>
          <w:color w:val="000000"/>
          <w:sz w:val="22"/>
          <w:szCs w:val="22"/>
          <w:lang w:eastAsia="nl-NL" w:bidi="ar-SA"/>
        </w:rPr>
        <w:t xml:space="preserve">do </w:t>
      </w:r>
      <w:r w:rsidR="00222A0B">
        <w:rPr>
          <w:rFonts w:eastAsia="Times New Roman" w:cs="Arial"/>
          <w:color w:val="000000"/>
          <w:sz w:val="22"/>
          <w:szCs w:val="22"/>
          <w:lang w:eastAsia="nl-NL" w:bidi="ar-SA"/>
        </w:rPr>
        <w:t>Dutch T</w:t>
      </w:r>
      <w:r w:rsidR="00056C29">
        <w:rPr>
          <w:rFonts w:eastAsia="Times New Roman" w:cs="Arial"/>
          <w:color w:val="000000"/>
          <w:sz w:val="22"/>
          <w:szCs w:val="22"/>
          <w:lang w:eastAsia="nl-NL" w:bidi="ar-SA"/>
        </w:rPr>
        <w:t>PL providers look at this trend?</w:t>
      </w:r>
      <w:r w:rsidR="00222A0B">
        <w:rPr>
          <w:rFonts w:eastAsia="Times New Roman" w:cs="Arial"/>
          <w:color w:val="000000"/>
          <w:sz w:val="22"/>
          <w:szCs w:val="22"/>
          <w:lang w:eastAsia="nl-NL" w:bidi="ar-SA"/>
        </w:rPr>
        <w:t xml:space="preserve"> Is it a way to develop their business, and if so, how do they give shape to this policy? </w:t>
      </w:r>
      <w:r w:rsidR="00222A0B" w:rsidRPr="00A4285F">
        <w:rPr>
          <w:rFonts w:eastAsia="Times New Roman" w:cs="Arial"/>
          <w:color w:val="000000"/>
          <w:sz w:val="22"/>
          <w:szCs w:val="22"/>
          <w:lang w:eastAsia="nl-NL" w:bidi="ar-SA"/>
        </w:rPr>
        <w:t>Relating to the above literature, the following sub-question was formulated:</w:t>
      </w:r>
    </w:p>
    <w:tbl>
      <w:tblPr>
        <w:tblStyle w:val="Lichtearcering-accent6"/>
        <w:tblW w:w="0" w:type="auto"/>
        <w:tblLook w:val="04A0"/>
      </w:tblPr>
      <w:tblGrid>
        <w:gridCol w:w="9212"/>
      </w:tblGrid>
      <w:tr w:rsidR="00305DEC" w:rsidTr="00461EB9">
        <w:trPr>
          <w:cnfStyle w:val="100000000000"/>
        </w:trPr>
        <w:tc>
          <w:tcPr>
            <w:cnfStyle w:val="001000000000"/>
            <w:tcW w:w="9212" w:type="dxa"/>
          </w:tcPr>
          <w:p w:rsidR="00305DEC" w:rsidRPr="00461EB9" w:rsidRDefault="00305DEC" w:rsidP="00461EB9">
            <w:pPr>
              <w:spacing w:line="360" w:lineRule="auto"/>
              <w:jc w:val="center"/>
              <w:textAlignment w:val="top"/>
              <w:rPr>
                <w:rFonts w:asciiTheme="majorHAnsi" w:eastAsia="Times New Roman" w:hAnsiTheme="majorHAnsi" w:cs="Arial"/>
                <w:i/>
                <w:sz w:val="22"/>
                <w:szCs w:val="22"/>
                <w:lang w:eastAsia="nl-NL" w:bidi="ar-SA"/>
              </w:rPr>
            </w:pPr>
            <w:r w:rsidRPr="00461EB9">
              <w:rPr>
                <w:rFonts w:asciiTheme="majorHAnsi" w:eastAsia="Times New Roman" w:hAnsiTheme="majorHAnsi" w:cs="Arial"/>
                <w:i/>
                <w:sz w:val="22"/>
                <w:szCs w:val="22"/>
                <w:lang w:eastAsia="nl-NL" w:bidi="ar-SA"/>
              </w:rPr>
              <w:t>‘’ Is being environmental sustainable a way to develop business?’’</w:t>
            </w:r>
          </w:p>
        </w:tc>
      </w:tr>
    </w:tbl>
    <w:p w:rsidR="00305DEC" w:rsidRDefault="00305DEC" w:rsidP="00222A0B">
      <w:pPr>
        <w:spacing w:before="0" w:line="360" w:lineRule="auto"/>
        <w:jc w:val="both"/>
        <w:textAlignment w:val="top"/>
        <w:rPr>
          <w:rFonts w:eastAsia="Times New Roman" w:cs="Arial"/>
          <w:color w:val="000000"/>
          <w:sz w:val="22"/>
          <w:szCs w:val="22"/>
          <w:lang w:eastAsia="nl-NL" w:bidi="ar-SA"/>
        </w:rPr>
      </w:pPr>
    </w:p>
    <w:p w:rsidR="0032720D" w:rsidRPr="00A4285F" w:rsidRDefault="0032720D" w:rsidP="002F2766">
      <w:pPr>
        <w:rPr>
          <w:rFonts w:asciiTheme="majorHAnsi" w:hAnsiTheme="majorHAnsi"/>
        </w:rPr>
      </w:pPr>
    </w:p>
    <w:p w:rsidR="0032720D" w:rsidRPr="005969F2" w:rsidRDefault="005969F2" w:rsidP="00305DEC">
      <w:pPr>
        <w:pStyle w:val="Kop2"/>
        <w:numPr>
          <w:ilvl w:val="1"/>
          <w:numId w:val="13"/>
        </w:numPr>
        <w:spacing w:after="240"/>
        <w:rPr>
          <w:rFonts w:asciiTheme="majorHAnsi" w:hAnsiTheme="majorHAnsi"/>
        </w:rPr>
      </w:pPr>
      <w:bookmarkStart w:id="22" w:name="_Toc300411995"/>
      <w:r>
        <w:rPr>
          <w:rFonts w:asciiTheme="majorHAnsi" w:hAnsiTheme="majorHAnsi"/>
        </w:rPr>
        <w:lastRenderedPageBreak/>
        <w:t>Value added logistics</w:t>
      </w:r>
      <w:bookmarkEnd w:id="22"/>
    </w:p>
    <w:p w:rsidR="008C4C5F" w:rsidRDefault="00122885" w:rsidP="004102FF">
      <w:pPr>
        <w:spacing w:line="360" w:lineRule="auto"/>
        <w:jc w:val="both"/>
        <w:rPr>
          <w:rFonts w:cs="Times-Roman"/>
          <w:sz w:val="22"/>
          <w:szCs w:val="22"/>
          <w:lang w:bidi="ar-SA"/>
        </w:rPr>
      </w:pPr>
      <w:r w:rsidRPr="00122885">
        <w:rPr>
          <w:sz w:val="22"/>
          <w:szCs w:val="22"/>
        </w:rPr>
        <w:t>According to Berglund et al. (1999)</w:t>
      </w:r>
      <w:r w:rsidR="00893932">
        <w:rPr>
          <w:sz w:val="22"/>
          <w:szCs w:val="22"/>
        </w:rPr>
        <w:t>,</w:t>
      </w:r>
      <w:r w:rsidRPr="00122885">
        <w:rPr>
          <w:sz w:val="22"/>
          <w:szCs w:val="22"/>
        </w:rPr>
        <w:t xml:space="preserve"> </w:t>
      </w:r>
      <w:r w:rsidRPr="00122885">
        <w:rPr>
          <w:i/>
          <w:sz w:val="22"/>
          <w:szCs w:val="22"/>
        </w:rPr>
        <w:t xml:space="preserve">‘’the challenge that providers face is to provide their customers with services that add more value to their customers’ business than that the customers would be able to achieve themselves’’ </w:t>
      </w:r>
      <w:r w:rsidRPr="00122885">
        <w:rPr>
          <w:sz w:val="22"/>
          <w:szCs w:val="22"/>
        </w:rPr>
        <w:t>(p. 65)</w:t>
      </w:r>
      <w:r w:rsidR="00893932">
        <w:rPr>
          <w:sz w:val="22"/>
          <w:szCs w:val="22"/>
        </w:rPr>
        <w:t xml:space="preserve">. As can be seen from this citation, value adding logistics is a wide term and probably entails a large variety of value adding services.  The most obvious form of services seems to be the most valued. </w:t>
      </w:r>
      <w:r w:rsidR="00D54DF0" w:rsidRPr="00D54DF0">
        <w:rPr>
          <w:rFonts w:cs="Times-Italic"/>
          <w:iCs/>
          <w:sz w:val="22"/>
          <w:szCs w:val="22"/>
          <w:lang w:bidi="ar-SA"/>
        </w:rPr>
        <w:t>According to Ra</w:t>
      </w:r>
      <w:r w:rsidR="005C6635">
        <w:rPr>
          <w:rFonts w:cs="Times-Italic"/>
          <w:iCs/>
          <w:sz w:val="22"/>
          <w:szCs w:val="22"/>
          <w:lang w:bidi="ar-SA"/>
        </w:rPr>
        <w:t>h</w:t>
      </w:r>
      <w:r w:rsidR="00D54DF0" w:rsidRPr="00D54DF0">
        <w:rPr>
          <w:rFonts w:cs="Times-Italic"/>
          <w:iCs/>
          <w:sz w:val="22"/>
          <w:szCs w:val="22"/>
          <w:lang w:bidi="ar-SA"/>
        </w:rPr>
        <w:t>man (2011)</w:t>
      </w:r>
      <w:r w:rsidR="00893932">
        <w:rPr>
          <w:rFonts w:cs="Times-Italic"/>
          <w:iCs/>
          <w:sz w:val="22"/>
          <w:szCs w:val="22"/>
          <w:lang w:bidi="ar-SA"/>
        </w:rPr>
        <w:t>,</w:t>
      </w:r>
      <w:r w:rsidR="00D54DF0" w:rsidRPr="00D54DF0">
        <w:rPr>
          <w:rFonts w:cs="Times-Italic"/>
          <w:iCs/>
          <w:sz w:val="22"/>
          <w:szCs w:val="22"/>
          <w:lang w:bidi="ar-SA"/>
        </w:rPr>
        <w:t xml:space="preserve"> the increase in the extent of the use of TPL services in Australia</w:t>
      </w:r>
      <w:r w:rsidR="00D54DF0" w:rsidRPr="00D54DF0">
        <w:rPr>
          <w:rFonts w:cs="Times-Roman"/>
          <w:sz w:val="22"/>
          <w:szCs w:val="22"/>
          <w:lang w:bidi="ar-SA"/>
        </w:rPr>
        <w:t xml:space="preserve"> could reflect the expansion of warehouse-related services </w:t>
      </w:r>
      <w:r w:rsidR="000A1922" w:rsidRPr="00D54DF0">
        <w:rPr>
          <w:rFonts w:cs="Times-Roman"/>
          <w:sz w:val="22"/>
          <w:szCs w:val="22"/>
          <w:lang w:bidi="ar-SA"/>
        </w:rPr>
        <w:t>offered in</w:t>
      </w:r>
      <w:r w:rsidR="00D54DF0" w:rsidRPr="00D54DF0">
        <w:rPr>
          <w:rFonts w:cs="Times-Roman"/>
          <w:sz w:val="22"/>
          <w:szCs w:val="22"/>
          <w:lang w:bidi="ar-SA"/>
        </w:rPr>
        <w:t xml:space="preserve"> addition to classical warehousing functions. Another explanation for this increase could be that the </w:t>
      </w:r>
      <w:r w:rsidR="000A1922" w:rsidRPr="00D54DF0">
        <w:rPr>
          <w:rFonts w:cs="Times-Roman"/>
          <w:sz w:val="22"/>
          <w:szCs w:val="22"/>
          <w:lang w:bidi="ar-SA"/>
        </w:rPr>
        <w:t>costs of in-house warehouse operations are</w:t>
      </w:r>
      <w:r w:rsidR="00FB63AC">
        <w:rPr>
          <w:rFonts w:cs="Times-Roman"/>
          <w:sz w:val="22"/>
          <w:szCs w:val="22"/>
          <w:lang w:bidi="ar-SA"/>
        </w:rPr>
        <w:t xml:space="preserve"> rising: t</w:t>
      </w:r>
      <w:r w:rsidR="00D54DF0" w:rsidRPr="00D54DF0">
        <w:rPr>
          <w:rFonts w:cs="Times-Roman"/>
          <w:sz w:val="22"/>
          <w:szCs w:val="22"/>
          <w:lang w:bidi="ar-SA"/>
        </w:rPr>
        <w:t>here is evidence that out of all TPL services, outsourcing warehouse activities provide</w:t>
      </w:r>
      <w:r w:rsidR="00FB63AC">
        <w:rPr>
          <w:rFonts w:cs="Times-Roman"/>
          <w:sz w:val="22"/>
          <w:szCs w:val="22"/>
          <w:lang w:bidi="ar-SA"/>
        </w:rPr>
        <w:t>s</w:t>
      </w:r>
      <w:r w:rsidR="00D54DF0" w:rsidRPr="00D54DF0">
        <w:rPr>
          <w:rFonts w:cs="Times-Roman"/>
          <w:sz w:val="22"/>
          <w:szCs w:val="22"/>
          <w:lang w:bidi="ar-SA"/>
        </w:rPr>
        <w:t xml:space="preserve"> the greatest cost-benefits (add the most value) for TPL buyers</w:t>
      </w:r>
      <w:sdt>
        <w:sdtPr>
          <w:rPr>
            <w:rFonts w:cs="Times-Roman"/>
            <w:sz w:val="22"/>
            <w:szCs w:val="22"/>
            <w:lang w:bidi="ar-SA"/>
          </w:rPr>
          <w:id w:val="3143939"/>
          <w:citation/>
        </w:sdtPr>
        <w:sdtContent>
          <w:r w:rsidR="00BD69D8" w:rsidRPr="00D54DF0">
            <w:rPr>
              <w:rFonts w:cs="Times-Roman"/>
              <w:sz w:val="22"/>
              <w:szCs w:val="22"/>
              <w:lang w:bidi="ar-SA"/>
            </w:rPr>
            <w:fldChar w:fldCharType="begin"/>
          </w:r>
          <w:r w:rsidR="00D54DF0" w:rsidRPr="00D54DF0">
            <w:rPr>
              <w:rFonts w:cs="Times-Roman"/>
              <w:sz w:val="22"/>
              <w:szCs w:val="22"/>
              <w:lang w:bidi="ar-SA"/>
            </w:rPr>
            <w:instrText xml:space="preserve"> CITATION Lie05 \t  \l 1033  </w:instrText>
          </w:r>
          <w:r w:rsidR="00BD69D8" w:rsidRPr="00D54DF0">
            <w:rPr>
              <w:rFonts w:cs="Times-Roman"/>
              <w:sz w:val="22"/>
              <w:szCs w:val="22"/>
              <w:lang w:bidi="ar-SA"/>
            </w:rPr>
            <w:fldChar w:fldCharType="separate"/>
          </w:r>
          <w:r w:rsidR="00F26771">
            <w:rPr>
              <w:rFonts w:cs="Times-Roman"/>
              <w:noProof/>
              <w:sz w:val="22"/>
              <w:szCs w:val="22"/>
              <w:lang w:bidi="ar-SA"/>
            </w:rPr>
            <w:t xml:space="preserve"> </w:t>
          </w:r>
          <w:r w:rsidR="00F26771" w:rsidRPr="00F26771">
            <w:rPr>
              <w:rFonts w:cs="Times-Roman"/>
              <w:noProof/>
              <w:sz w:val="22"/>
              <w:szCs w:val="22"/>
              <w:lang w:bidi="ar-SA"/>
            </w:rPr>
            <w:t>(Lieb &amp; Bentz, 2005)</w:t>
          </w:r>
          <w:r w:rsidR="00BD69D8" w:rsidRPr="00D54DF0">
            <w:rPr>
              <w:rFonts w:cs="Times-Roman"/>
              <w:sz w:val="22"/>
              <w:szCs w:val="22"/>
              <w:lang w:bidi="ar-SA"/>
            </w:rPr>
            <w:fldChar w:fldCharType="end"/>
          </w:r>
        </w:sdtContent>
      </w:sdt>
      <w:r w:rsidR="00D54DF0" w:rsidRPr="00D54DF0">
        <w:rPr>
          <w:rFonts w:cs="Times-Roman"/>
          <w:sz w:val="22"/>
          <w:szCs w:val="22"/>
          <w:lang w:bidi="ar-SA"/>
        </w:rPr>
        <w:t>.</w:t>
      </w:r>
      <w:r w:rsidR="00893932">
        <w:rPr>
          <w:rFonts w:cs="Times-Roman"/>
          <w:sz w:val="22"/>
          <w:szCs w:val="22"/>
          <w:lang w:bidi="ar-SA"/>
        </w:rPr>
        <w:t xml:space="preserve"> But how do TPL providers achieve in creating value? TPL providers have to achieve higher operational efficiency then their customers. By sharing resources between customers, such as operating a warehouse for multiple customers, economies of scale can be achieved.  By vertical- or horizontal integration, </w:t>
      </w:r>
      <w:r w:rsidR="00793EB0">
        <w:rPr>
          <w:rFonts w:cs="Times-Roman"/>
          <w:sz w:val="22"/>
          <w:szCs w:val="22"/>
          <w:lang w:bidi="ar-SA"/>
        </w:rPr>
        <w:t xml:space="preserve">the TPL provider </w:t>
      </w:r>
      <w:r w:rsidR="00893932">
        <w:rPr>
          <w:rFonts w:cs="Times-Roman"/>
          <w:sz w:val="22"/>
          <w:szCs w:val="22"/>
          <w:lang w:bidi="ar-SA"/>
        </w:rPr>
        <w:t>outsourcing</w:t>
      </w:r>
      <w:r w:rsidR="00793EB0">
        <w:rPr>
          <w:rFonts w:cs="Times-Roman"/>
          <w:sz w:val="22"/>
          <w:szCs w:val="22"/>
          <w:lang w:bidi="ar-SA"/>
        </w:rPr>
        <w:t xml:space="preserve"> some of its activities</w:t>
      </w:r>
      <w:r w:rsidR="000A1922">
        <w:rPr>
          <w:rFonts w:cs="Times-Roman"/>
          <w:sz w:val="22"/>
          <w:szCs w:val="22"/>
          <w:lang w:bidi="ar-SA"/>
        </w:rPr>
        <w:t>, more</w:t>
      </w:r>
      <w:r w:rsidR="00793EB0">
        <w:rPr>
          <w:rFonts w:cs="Times-Roman"/>
          <w:sz w:val="22"/>
          <w:szCs w:val="22"/>
          <w:lang w:bidi="ar-SA"/>
        </w:rPr>
        <w:t xml:space="preserve"> scale and scope economies can be found. That’s why some TPL providers’ prefer to be non-asset based, hiring transport, warehousing and manufacturing companies to operate some activities for them. The fourth way to develop extra value is by improving their customers’ supply chain. Supply chain optimization, integration or supply chain management or often used terms which describe the TPL providers efforts</w:t>
      </w:r>
      <w:r w:rsidR="009D21AD">
        <w:rPr>
          <w:rFonts w:cs="Times-Roman"/>
          <w:sz w:val="22"/>
          <w:szCs w:val="22"/>
          <w:lang w:bidi="ar-SA"/>
        </w:rPr>
        <w:t>,</w:t>
      </w:r>
      <w:r w:rsidR="006A1682">
        <w:rPr>
          <w:rFonts w:cs="Times-Roman"/>
          <w:sz w:val="22"/>
          <w:szCs w:val="22"/>
          <w:lang w:bidi="ar-SA"/>
        </w:rPr>
        <w:t xml:space="preserve"> </w:t>
      </w:r>
      <w:r w:rsidR="00793EB0">
        <w:rPr>
          <w:rFonts w:cs="Times-Roman"/>
          <w:sz w:val="22"/>
          <w:szCs w:val="22"/>
          <w:lang w:bidi="ar-SA"/>
        </w:rPr>
        <w:t xml:space="preserve">based on </w:t>
      </w:r>
      <w:r w:rsidR="009D21AD">
        <w:rPr>
          <w:rFonts w:cs="Times-Roman"/>
          <w:sz w:val="22"/>
          <w:szCs w:val="22"/>
          <w:lang w:bidi="ar-SA"/>
        </w:rPr>
        <w:t xml:space="preserve">excellent </w:t>
      </w:r>
      <w:r w:rsidR="00793EB0">
        <w:rPr>
          <w:rFonts w:cs="Times-Roman"/>
          <w:sz w:val="22"/>
          <w:szCs w:val="22"/>
          <w:lang w:bidi="ar-SA"/>
        </w:rPr>
        <w:t>logistics knowledge</w:t>
      </w:r>
      <w:r w:rsidR="009D21AD">
        <w:rPr>
          <w:rFonts w:cs="Times-Roman"/>
          <w:sz w:val="22"/>
          <w:szCs w:val="22"/>
          <w:lang w:bidi="ar-SA"/>
        </w:rPr>
        <w:t xml:space="preserve">, for creating value </w:t>
      </w:r>
      <w:r w:rsidR="009F2EA1">
        <w:rPr>
          <w:rFonts w:cs="Times-Roman"/>
          <w:sz w:val="22"/>
          <w:szCs w:val="22"/>
          <w:lang w:bidi="ar-SA"/>
        </w:rPr>
        <w:t>(Berglund et al., 1999).</w:t>
      </w:r>
    </w:p>
    <w:p w:rsidR="00FB63AC" w:rsidRDefault="00BD69D8" w:rsidP="00FB63AC">
      <w:pPr>
        <w:autoSpaceDE w:val="0"/>
        <w:autoSpaceDN w:val="0"/>
        <w:adjustRightInd w:val="0"/>
        <w:spacing w:before="0" w:line="360" w:lineRule="auto"/>
        <w:jc w:val="both"/>
        <w:rPr>
          <w:rFonts w:cs="Times New Roman"/>
          <w:sz w:val="22"/>
          <w:szCs w:val="22"/>
          <w:lang w:bidi="ar-SA"/>
        </w:rPr>
      </w:pPr>
      <w:r w:rsidRPr="00BD69D8">
        <w:rPr>
          <w:noProof/>
        </w:rPr>
        <w:pict>
          <v:shape id="_x0000_s1046" type="#_x0000_t202" style="position:absolute;left:0;text-align:left;margin-left:-7.85pt;margin-top:250.65pt;width:238.5pt;height:39pt;z-index:-251653121" stroked="f">
            <v:textbox style="mso-next-textbox:#_x0000_s1046" inset="0,0,0,0">
              <w:txbxContent>
                <w:p w:rsidR="002752F8" w:rsidRPr="001E0625" w:rsidRDefault="002752F8" w:rsidP="00C81AF0">
                  <w:pPr>
                    <w:pStyle w:val="Bijschrift"/>
                    <w:jc w:val="center"/>
                  </w:pPr>
                  <w:r>
                    <w:t xml:space="preserve">Figure 12 Range of value added services offered by TPL providers </w:t>
                  </w:r>
                  <w:r>
                    <w:tab/>
                  </w:r>
                  <w:r>
                    <w:tab/>
                    <w:t>(source: Nijdam, 2010)</w:t>
                  </w:r>
                </w:p>
              </w:txbxContent>
            </v:textbox>
            <w10:wrap type="square"/>
          </v:shape>
        </w:pict>
      </w:r>
      <w:r w:rsidR="003231D9">
        <w:rPr>
          <w:noProof/>
          <w:lang w:val="nl-NL" w:eastAsia="nl-NL" w:bidi="ar-SA"/>
        </w:rPr>
        <w:drawing>
          <wp:anchor distT="0" distB="0" distL="114300" distR="114300" simplePos="0" relativeHeight="251691008" behindDoc="0" locked="0" layoutInCell="1" allowOverlap="1">
            <wp:simplePos x="0" y="0"/>
            <wp:positionH relativeFrom="margin">
              <wp:posOffset>-33020</wp:posOffset>
            </wp:positionH>
            <wp:positionV relativeFrom="margin">
              <wp:posOffset>5720080</wp:posOffset>
            </wp:positionV>
            <wp:extent cx="2952750" cy="2664460"/>
            <wp:effectExtent l="19050" t="19050" r="19050" b="21590"/>
            <wp:wrapSquare wrapText="bothSides"/>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srcRect/>
                    <a:stretch>
                      <a:fillRect/>
                    </a:stretch>
                  </pic:blipFill>
                  <pic:spPr bwMode="auto">
                    <a:xfrm>
                      <a:off x="0" y="0"/>
                      <a:ext cx="2952750" cy="2664460"/>
                    </a:xfrm>
                    <a:prstGeom prst="rect">
                      <a:avLst/>
                    </a:prstGeom>
                    <a:ln w="12700" cap="sq">
                      <a:solidFill>
                        <a:schemeClr val="accent1">
                          <a:lumMod val="75000"/>
                        </a:schemeClr>
                      </a:solidFill>
                      <a:prstDash val="solid"/>
                      <a:miter lim="800000"/>
                    </a:ln>
                    <a:effectLst/>
                  </pic:spPr>
                </pic:pic>
              </a:graphicData>
            </a:graphic>
          </wp:anchor>
        </w:drawing>
      </w:r>
      <w:r w:rsidR="009103A3">
        <w:rPr>
          <w:rFonts w:cs="Times-Roman"/>
          <w:sz w:val="22"/>
          <w:szCs w:val="22"/>
          <w:lang w:bidi="ar-SA"/>
        </w:rPr>
        <w:t>I</w:t>
      </w:r>
      <w:r w:rsidR="009F2EA1">
        <w:rPr>
          <w:rFonts w:cs="Times-Roman"/>
          <w:sz w:val="22"/>
          <w:szCs w:val="22"/>
          <w:lang w:bidi="ar-SA"/>
        </w:rPr>
        <w:t>t is</w:t>
      </w:r>
      <w:r w:rsidR="009103A3">
        <w:rPr>
          <w:rFonts w:cs="Times-Roman"/>
          <w:sz w:val="22"/>
          <w:szCs w:val="22"/>
          <w:lang w:bidi="ar-SA"/>
        </w:rPr>
        <w:t xml:space="preserve"> interest</w:t>
      </w:r>
      <w:r w:rsidR="009F2EA1">
        <w:rPr>
          <w:rFonts w:cs="Times-Roman"/>
          <w:sz w:val="22"/>
          <w:szCs w:val="22"/>
          <w:lang w:bidi="ar-SA"/>
        </w:rPr>
        <w:t>ing to see</w:t>
      </w:r>
      <w:r w:rsidR="009103A3">
        <w:rPr>
          <w:rFonts w:cs="Times-Roman"/>
          <w:sz w:val="22"/>
          <w:szCs w:val="22"/>
          <w:lang w:bidi="ar-SA"/>
        </w:rPr>
        <w:t xml:space="preserve"> the range of value adding services provided by TPL firms</w:t>
      </w:r>
      <w:r w:rsidR="008C4C5F">
        <w:rPr>
          <w:rFonts w:cs="Times-Roman"/>
          <w:sz w:val="22"/>
          <w:szCs w:val="22"/>
          <w:lang w:bidi="ar-SA"/>
        </w:rPr>
        <w:t>, of which a few ex</w:t>
      </w:r>
      <w:r w:rsidR="00461EB9">
        <w:rPr>
          <w:rFonts w:cs="Times-Roman"/>
          <w:sz w:val="22"/>
          <w:szCs w:val="22"/>
          <w:lang w:bidi="ar-SA"/>
        </w:rPr>
        <w:t>amples are listed in figure 12</w:t>
      </w:r>
      <w:r w:rsidR="009103A3">
        <w:rPr>
          <w:rFonts w:cs="Times-Roman"/>
          <w:sz w:val="22"/>
          <w:szCs w:val="22"/>
          <w:lang w:bidi="ar-SA"/>
        </w:rPr>
        <w:t>.</w:t>
      </w:r>
      <w:r w:rsidR="007C15D5">
        <w:rPr>
          <w:rFonts w:cs="Times-Roman"/>
          <w:sz w:val="22"/>
          <w:szCs w:val="22"/>
          <w:lang w:bidi="ar-SA"/>
        </w:rPr>
        <w:t xml:space="preserve"> The services portfolio of TPL providers becomes wider, as mentioned TPL providers increasingly try to act as logistics consultants for their clients. Besides that, chapter 2.11 is about TPL providers efforts to capture </w:t>
      </w:r>
      <w:r w:rsidR="00DF4500">
        <w:rPr>
          <w:rFonts w:cs="Times-Roman"/>
          <w:sz w:val="22"/>
          <w:szCs w:val="22"/>
          <w:lang w:bidi="ar-SA"/>
        </w:rPr>
        <w:t xml:space="preserve">a larger part of the supply chain. All these </w:t>
      </w:r>
      <w:r w:rsidR="00056C29">
        <w:rPr>
          <w:rFonts w:cs="Times-Roman"/>
          <w:sz w:val="22"/>
          <w:szCs w:val="22"/>
          <w:lang w:bidi="ar-SA"/>
        </w:rPr>
        <w:t>developments and industry dynamics explain TPL providers expand their service to include sophisticated IT driven supply chain management, consulting, manufacturing and</w:t>
      </w:r>
      <w:r w:rsidR="008C4C5F">
        <w:rPr>
          <w:rFonts w:cs="Times-Roman"/>
          <w:sz w:val="22"/>
          <w:szCs w:val="22"/>
          <w:lang w:bidi="ar-SA"/>
        </w:rPr>
        <w:t xml:space="preserve"> </w:t>
      </w:r>
      <w:r w:rsidR="00056C29">
        <w:rPr>
          <w:rFonts w:cs="Times-Roman"/>
          <w:sz w:val="22"/>
          <w:szCs w:val="22"/>
          <w:lang w:bidi="ar-SA"/>
        </w:rPr>
        <w:t>financial services (factoring etc.). Nevertheless, there seems to be weak demand for such services, since most clients perceive such activities are too important to outsource</w:t>
      </w:r>
      <w:r w:rsidR="0035468F">
        <w:rPr>
          <w:rFonts w:cs="Times-Roman"/>
          <w:sz w:val="22"/>
          <w:szCs w:val="22"/>
          <w:lang w:bidi="ar-SA"/>
        </w:rPr>
        <w:t xml:space="preserve"> </w:t>
      </w:r>
      <w:r w:rsidR="0035468F" w:rsidRPr="004102FF">
        <w:rPr>
          <w:rFonts w:cs="AdvPS405B6"/>
          <w:noProof/>
          <w:sz w:val="22"/>
          <w:szCs w:val="22"/>
          <w:lang w:bidi="ar-SA"/>
        </w:rPr>
        <w:t xml:space="preserve">(van </w:t>
      </w:r>
      <w:r w:rsidR="0035468F" w:rsidRPr="004102FF">
        <w:rPr>
          <w:rFonts w:cs="AdvPS405B6"/>
          <w:noProof/>
          <w:sz w:val="22"/>
          <w:szCs w:val="22"/>
          <w:lang w:bidi="ar-SA"/>
        </w:rPr>
        <w:lastRenderedPageBreak/>
        <w:t>Hoek &amp; Dierdonck, 2000</w:t>
      </w:r>
      <w:r w:rsidR="004102FF" w:rsidRPr="004102FF">
        <w:rPr>
          <w:rFonts w:cs="AdvPS405B6"/>
          <w:noProof/>
          <w:sz w:val="22"/>
          <w:szCs w:val="22"/>
          <w:lang w:bidi="ar-SA"/>
        </w:rPr>
        <w:t>;</w:t>
      </w:r>
      <w:r w:rsidR="00E747A8" w:rsidRPr="00E747A8">
        <w:rPr>
          <w:rFonts w:cs="AdvPS405B6"/>
          <w:noProof/>
          <w:sz w:val="22"/>
          <w:szCs w:val="22"/>
          <w:lang w:bidi="ar-SA"/>
        </w:rPr>
        <w:t xml:space="preserve"> </w:t>
      </w:r>
      <w:r w:rsidR="00E747A8">
        <w:rPr>
          <w:rFonts w:cs="AdvPS405B6"/>
          <w:noProof/>
          <w:sz w:val="22"/>
          <w:szCs w:val="22"/>
          <w:lang w:bidi="ar-SA"/>
        </w:rPr>
        <w:t>Langley &amp; Capgemini, 2010;</w:t>
      </w:r>
      <w:r w:rsidR="004102FF" w:rsidRPr="004102FF">
        <w:rPr>
          <w:rFonts w:cs="AdvPS405B6"/>
          <w:noProof/>
          <w:sz w:val="22"/>
          <w:szCs w:val="22"/>
          <w:lang w:bidi="ar-SA"/>
        </w:rPr>
        <w:t xml:space="preserve"> Lieb &amp; Bentz, 2005; Lieb &amp; Kendrick, 2003)</w:t>
      </w:r>
      <w:r w:rsidR="004102FF">
        <w:rPr>
          <w:rFonts w:cs="AdvPS405B6"/>
          <w:noProof/>
          <w:sz w:val="22"/>
          <w:szCs w:val="22"/>
          <w:lang w:bidi="ar-SA"/>
        </w:rPr>
        <w:t>.</w:t>
      </w:r>
      <w:r w:rsidR="00E747A8">
        <w:rPr>
          <w:rFonts w:cs="AdvPS405B6"/>
          <w:noProof/>
          <w:sz w:val="22"/>
          <w:szCs w:val="22"/>
          <w:lang w:bidi="ar-SA"/>
        </w:rPr>
        <w:t xml:space="preserve">  </w:t>
      </w:r>
      <w:r w:rsidR="000A1646">
        <w:rPr>
          <w:rFonts w:cs="AdvPS405B6"/>
          <w:noProof/>
          <w:sz w:val="22"/>
          <w:szCs w:val="22"/>
          <w:lang w:bidi="ar-SA"/>
        </w:rPr>
        <w:t>Hard data in this regard are convincing: on average, 54% of shippers’ total expenditures on logistics was spend on transportation. Warehousing costs represented 40%,  leaving just 6% for other value added logistics</w:t>
      </w:r>
      <w:sdt>
        <w:sdtPr>
          <w:rPr>
            <w:rFonts w:cs="AdvPS405B6"/>
            <w:noProof/>
            <w:sz w:val="22"/>
            <w:szCs w:val="22"/>
            <w:lang w:bidi="ar-SA"/>
          </w:rPr>
          <w:id w:val="3143957"/>
          <w:citation/>
        </w:sdtPr>
        <w:sdtContent>
          <w:r>
            <w:rPr>
              <w:rFonts w:cs="AdvPS405B6"/>
              <w:noProof/>
              <w:sz w:val="22"/>
              <w:szCs w:val="22"/>
              <w:lang w:bidi="ar-SA"/>
            </w:rPr>
            <w:fldChar w:fldCharType="begin"/>
          </w:r>
          <w:r w:rsidR="000A1646">
            <w:rPr>
              <w:rFonts w:cs="AdvPS405B6"/>
              <w:noProof/>
              <w:sz w:val="22"/>
              <w:szCs w:val="22"/>
              <w:lang w:bidi="ar-SA"/>
            </w:rPr>
            <w:instrText xml:space="preserve"> CITATION Lan10 \l 1033 </w:instrText>
          </w:r>
          <w:r>
            <w:rPr>
              <w:rFonts w:cs="AdvPS405B6"/>
              <w:noProof/>
              <w:sz w:val="22"/>
              <w:szCs w:val="22"/>
              <w:lang w:bidi="ar-SA"/>
            </w:rPr>
            <w:fldChar w:fldCharType="separate"/>
          </w:r>
          <w:r w:rsidR="00F26771">
            <w:rPr>
              <w:rFonts w:cs="AdvPS405B6"/>
              <w:noProof/>
              <w:sz w:val="22"/>
              <w:szCs w:val="22"/>
              <w:lang w:bidi="ar-SA"/>
            </w:rPr>
            <w:t xml:space="preserve"> </w:t>
          </w:r>
          <w:r w:rsidR="00F26771" w:rsidRPr="00F26771">
            <w:rPr>
              <w:rFonts w:cs="AdvPS405B6"/>
              <w:noProof/>
              <w:sz w:val="22"/>
              <w:szCs w:val="22"/>
              <w:lang w:bidi="ar-SA"/>
            </w:rPr>
            <w:t>(Langley &amp; Capgemini, 2010)</w:t>
          </w:r>
          <w:r>
            <w:rPr>
              <w:rFonts w:cs="AdvPS405B6"/>
              <w:noProof/>
              <w:sz w:val="22"/>
              <w:szCs w:val="22"/>
              <w:lang w:bidi="ar-SA"/>
            </w:rPr>
            <w:fldChar w:fldCharType="end"/>
          </w:r>
        </w:sdtContent>
      </w:sdt>
      <w:r w:rsidR="000A1646">
        <w:rPr>
          <w:rFonts w:cs="AdvPS405B6"/>
          <w:noProof/>
          <w:sz w:val="22"/>
          <w:szCs w:val="22"/>
          <w:lang w:bidi="ar-SA"/>
        </w:rPr>
        <w:t xml:space="preserve">. </w:t>
      </w:r>
      <w:r w:rsidR="004A1960">
        <w:rPr>
          <w:rFonts w:cs="AdvPS405B6"/>
          <w:noProof/>
          <w:sz w:val="22"/>
          <w:szCs w:val="22"/>
          <w:lang w:bidi="ar-SA"/>
        </w:rPr>
        <w:t xml:space="preserve">The apparantly present mismatch between </w:t>
      </w:r>
      <w:r w:rsidR="00EA4E7C">
        <w:rPr>
          <w:rFonts w:cs="AdvPS405B6"/>
          <w:noProof/>
          <w:sz w:val="22"/>
          <w:szCs w:val="22"/>
          <w:lang w:bidi="ar-SA"/>
        </w:rPr>
        <w:t xml:space="preserve">demand and supply of value adding services can be explained by the fact that, over the last nine years, several studies documented a gap between the importance shippers place on the IT capabilities of the TPL provider and their satisfaction with those capabilities; the IT </w:t>
      </w:r>
      <w:r w:rsidR="00FB63AC">
        <w:rPr>
          <w:rFonts w:cs="AdvPS405B6"/>
          <w:noProof/>
          <w:sz w:val="22"/>
          <w:szCs w:val="22"/>
          <w:lang w:bidi="ar-SA"/>
        </w:rPr>
        <w:t>c</w:t>
      </w:r>
      <w:r w:rsidR="00EA4E7C">
        <w:rPr>
          <w:rFonts w:cs="AdvPS405B6"/>
          <w:noProof/>
          <w:sz w:val="22"/>
          <w:szCs w:val="22"/>
          <w:lang w:bidi="ar-SA"/>
        </w:rPr>
        <w:t>apability gap. Although continuous investments are</w:t>
      </w:r>
      <w:r w:rsidR="00FB63AC">
        <w:rPr>
          <w:rFonts w:cs="AdvPS405B6"/>
          <w:noProof/>
          <w:sz w:val="22"/>
          <w:szCs w:val="22"/>
          <w:lang w:bidi="ar-SA"/>
        </w:rPr>
        <w:t xml:space="preserve"> still</w:t>
      </w:r>
      <w:r w:rsidR="00EA4E7C">
        <w:rPr>
          <w:rFonts w:cs="AdvPS405B6"/>
          <w:noProof/>
          <w:sz w:val="22"/>
          <w:szCs w:val="22"/>
          <w:lang w:bidi="ar-SA"/>
        </w:rPr>
        <w:t xml:space="preserve"> needed</w:t>
      </w:r>
      <w:r w:rsidR="00FB63AC">
        <w:rPr>
          <w:rFonts w:cs="AdvPS405B6"/>
          <w:noProof/>
          <w:sz w:val="22"/>
          <w:szCs w:val="22"/>
          <w:lang w:bidi="ar-SA"/>
        </w:rPr>
        <w:t xml:space="preserve">, the IT capabilty gap narrowed for the first in ten years </w:t>
      </w:r>
      <w:sdt>
        <w:sdtPr>
          <w:rPr>
            <w:rFonts w:cs="AdvPS405B6"/>
            <w:noProof/>
            <w:sz w:val="22"/>
            <w:szCs w:val="22"/>
            <w:lang w:bidi="ar-SA"/>
          </w:rPr>
          <w:id w:val="3143960"/>
          <w:citation/>
        </w:sdtPr>
        <w:sdtContent>
          <w:r>
            <w:rPr>
              <w:rFonts w:cs="AdvPS405B6"/>
              <w:noProof/>
              <w:sz w:val="22"/>
              <w:szCs w:val="22"/>
              <w:lang w:bidi="ar-SA"/>
            </w:rPr>
            <w:fldChar w:fldCharType="begin"/>
          </w:r>
          <w:r w:rsidR="00FB63AC">
            <w:rPr>
              <w:rFonts w:cs="AdvPS405B6"/>
              <w:noProof/>
              <w:sz w:val="22"/>
              <w:szCs w:val="22"/>
              <w:lang w:bidi="ar-SA"/>
            </w:rPr>
            <w:instrText xml:space="preserve"> CITATION Lan10 \l 1033 </w:instrText>
          </w:r>
          <w:r>
            <w:rPr>
              <w:rFonts w:cs="AdvPS405B6"/>
              <w:noProof/>
              <w:sz w:val="22"/>
              <w:szCs w:val="22"/>
              <w:lang w:bidi="ar-SA"/>
            </w:rPr>
            <w:fldChar w:fldCharType="separate"/>
          </w:r>
          <w:r w:rsidR="00F26771" w:rsidRPr="00F26771">
            <w:rPr>
              <w:rFonts w:cs="AdvPS405B6"/>
              <w:noProof/>
              <w:sz w:val="22"/>
              <w:szCs w:val="22"/>
              <w:lang w:bidi="ar-SA"/>
            </w:rPr>
            <w:t>(Langley &amp; Capgemini, 2010)</w:t>
          </w:r>
          <w:r>
            <w:rPr>
              <w:rFonts w:cs="AdvPS405B6"/>
              <w:noProof/>
              <w:sz w:val="22"/>
              <w:szCs w:val="22"/>
              <w:lang w:bidi="ar-SA"/>
            </w:rPr>
            <w:fldChar w:fldCharType="end"/>
          </w:r>
        </w:sdtContent>
      </w:sdt>
      <w:r w:rsidR="00FB63AC">
        <w:rPr>
          <w:rFonts w:cs="AdvPS405B6"/>
          <w:noProof/>
          <w:sz w:val="22"/>
          <w:szCs w:val="22"/>
          <w:lang w:bidi="ar-SA"/>
        </w:rPr>
        <w:t>.</w:t>
      </w:r>
      <w:r w:rsidR="00FB63AC" w:rsidRPr="00FB63AC">
        <w:rPr>
          <w:rFonts w:cs="Times New Roman"/>
          <w:sz w:val="22"/>
          <w:szCs w:val="22"/>
          <w:lang w:bidi="ar-SA"/>
        </w:rPr>
        <w:t xml:space="preserve"> </w:t>
      </w:r>
      <w:r w:rsidR="00FB63AC">
        <w:rPr>
          <w:rFonts w:cs="Times New Roman"/>
          <w:sz w:val="22"/>
          <w:szCs w:val="22"/>
          <w:lang w:bidi="ar-SA"/>
        </w:rPr>
        <w:t>Following the literature related to the value added services of TPL providers, the sub-questing listed below is formulated:</w:t>
      </w:r>
    </w:p>
    <w:tbl>
      <w:tblPr>
        <w:tblStyle w:val="Lichtearcering-accent6"/>
        <w:tblW w:w="0" w:type="auto"/>
        <w:tblLook w:val="04A0"/>
      </w:tblPr>
      <w:tblGrid>
        <w:gridCol w:w="9212"/>
      </w:tblGrid>
      <w:tr w:rsidR="00FB63AC" w:rsidTr="00D75164">
        <w:trPr>
          <w:cnfStyle w:val="100000000000"/>
        </w:trPr>
        <w:tc>
          <w:tcPr>
            <w:cnfStyle w:val="001000000000"/>
            <w:tcW w:w="9212" w:type="dxa"/>
          </w:tcPr>
          <w:p w:rsidR="00FB63AC" w:rsidRPr="00D75164" w:rsidRDefault="005D657E" w:rsidP="00D75164">
            <w:pPr>
              <w:autoSpaceDE w:val="0"/>
              <w:autoSpaceDN w:val="0"/>
              <w:adjustRightInd w:val="0"/>
              <w:spacing w:line="360" w:lineRule="auto"/>
              <w:jc w:val="center"/>
              <w:rPr>
                <w:rFonts w:asciiTheme="majorHAnsi" w:hAnsiTheme="majorHAnsi" w:cs="Times New Roman"/>
                <w:i/>
                <w:sz w:val="22"/>
                <w:szCs w:val="22"/>
                <w:lang w:bidi="ar-SA"/>
              </w:rPr>
            </w:pPr>
            <w:r w:rsidRPr="00D75164">
              <w:rPr>
                <w:rFonts w:asciiTheme="majorHAnsi" w:hAnsiTheme="majorHAnsi" w:cs="Times New Roman"/>
                <w:i/>
                <w:sz w:val="22"/>
                <w:szCs w:val="22"/>
                <w:lang w:bidi="ar-SA"/>
              </w:rPr>
              <w:t xml:space="preserve">‘’Which value adding services </w:t>
            </w:r>
            <w:r w:rsidR="005D64B5" w:rsidRPr="00D75164">
              <w:rPr>
                <w:rFonts w:asciiTheme="majorHAnsi" w:hAnsiTheme="majorHAnsi" w:cs="Times New Roman"/>
                <w:i/>
                <w:sz w:val="22"/>
                <w:szCs w:val="22"/>
                <w:lang w:bidi="ar-SA"/>
              </w:rPr>
              <w:t xml:space="preserve">are </w:t>
            </w:r>
            <w:r w:rsidRPr="00D75164">
              <w:rPr>
                <w:rFonts w:asciiTheme="majorHAnsi" w:hAnsiTheme="majorHAnsi" w:cs="Times New Roman"/>
                <w:i/>
                <w:sz w:val="22"/>
                <w:szCs w:val="22"/>
                <w:lang w:bidi="ar-SA"/>
              </w:rPr>
              <w:t>offer</w:t>
            </w:r>
            <w:r w:rsidR="005D64B5" w:rsidRPr="00D75164">
              <w:rPr>
                <w:rFonts w:asciiTheme="majorHAnsi" w:hAnsiTheme="majorHAnsi" w:cs="Times New Roman"/>
                <w:i/>
                <w:sz w:val="22"/>
                <w:szCs w:val="22"/>
                <w:lang w:bidi="ar-SA"/>
              </w:rPr>
              <w:t>ed</w:t>
            </w:r>
            <w:r w:rsidRPr="00D75164">
              <w:rPr>
                <w:rFonts w:asciiTheme="majorHAnsi" w:hAnsiTheme="majorHAnsi" w:cs="Times New Roman"/>
                <w:i/>
                <w:sz w:val="22"/>
                <w:szCs w:val="22"/>
                <w:lang w:bidi="ar-SA"/>
              </w:rPr>
              <w:t xml:space="preserve"> and wh</w:t>
            </w:r>
            <w:r w:rsidR="005D64B5" w:rsidRPr="00D75164">
              <w:rPr>
                <w:rFonts w:asciiTheme="majorHAnsi" w:hAnsiTheme="majorHAnsi" w:cs="Times New Roman"/>
                <w:i/>
                <w:sz w:val="22"/>
                <w:szCs w:val="22"/>
                <w:lang w:bidi="ar-SA"/>
              </w:rPr>
              <w:t>at is their role in developing business?’’</w:t>
            </w:r>
          </w:p>
        </w:tc>
      </w:tr>
    </w:tbl>
    <w:p w:rsidR="004102FF" w:rsidRPr="004102FF" w:rsidRDefault="004102FF" w:rsidP="002F2766">
      <w:pPr>
        <w:rPr>
          <w:rFonts w:asciiTheme="majorHAnsi" w:hAnsiTheme="majorHAnsi"/>
        </w:rPr>
      </w:pPr>
    </w:p>
    <w:p w:rsidR="0032720D" w:rsidRPr="005969F2" w:rsidRDefault="005969F2" w:rsidP="005969F2">
      <w:pPr>
        <w:pStyle w:val="Kop2"/>
        <w:numPr>
          <w:ilvl w:val="1"/>
          <w:numId w:val="13"/>
        </w:numPr>
        <w:rPr>
          <w:rFonts w:asciiTheme="majorHAnsi" w:hAnsiTheme="majorHAnsi"/>
        </w:rPr>
      </w:pPr>
      <w:bookmarkStart w:id="23" w:name="_Toc300411996"/>
      <w:r>
        <w:rPr>
          <w:rFonts w:asciiTheme="majorHAnsi" w:hAnsiTheme="majorHAnsi"/>
        </w:rPr>
        <w:t>Capturing the supply chain</w:t>
      </w:r>
      <w:bookmarkEnd w:id="23"/>
    </w:p>
    <w:p w:rsidR="005F7EEB" w:rsidRDefault="005F7EEB" w:rsidP="005F7EEB">
      <w:pPr>
        <w:pStyle w:val="Lijstalinea"/>
        <w:autoSpaceDE w:val="0"/>
        <w:autoSpaceDN w:val="0"/>
        <w:adjustRightInd w:val="0"/>
        <w:spacing w:before="0" w:after="0" w:line="240" w:lineRule="auto"/>
        <w:ind w:left="360"/>
        <w:rPr>
          <w:rFonts w:ascii="Verdana,Italic" w:hAnsi="Verdana,Italic" w:cs="Verdana,Italic"/>
          <w:i/>
          <w:iCs/>
          <w:lang w:bidi="ar-SA"/>
        </w:rPr>
      </w:pPr>
    </w:p>
    <w:p w:rsidR="00B10223" w:rsidRDefault="00D81EF2" w:rsidP="00B10223">
      <w:pPr>
        <w:spacing w:line="360" w:lineRule="auto"/>
        <w:jc w:val="both"/>
        <w:rPr>
          <w:noProof/>
          <w:sz w:val="22"/>
          <w:szCs w:val="22"/>
        </w:rPr>
      </w:pPr>
      <w:r>
        <w:rPr>
          <w:rFonts w:cs="Verdana,Italic"/>
          <w:iCs/>
          <w:sz w:val="22"/>
          <w:szCs w:val="22"/>
          <w:lang w:bidi="ar-SA"/>
        </w:rPr>
        <w:t>Supply chain management strategies are vary varied in method, but their intentions are all the same: satisfying customer needs by reducing cost and uncertainty</w:t>
      </w:r>
      <w:sdt>
        <w:sdtPr>
          <w:rPr>
            <w:rFonts w:cs="Verdana,Italic"/>
            <w:iCs/>
            <w:sz w:val="22"/>
            <w:szCs w:val="22"/>
            <w:lang w:bidi="ar-SA"/>
          </w:rPr>
          <w:id w:val="6118921"/>
          <w:citation/>
        </w:sdtPr>
        <w:sdtContent>
          <w:r w:rsidR="00BD69D8">
            <w:rPr>
              <w:rFonts w:cs="Verdana,Italic"/>
              <w:iCs/>
              <w:sz w:val="22"/>
              <w:szCs w:val="22"/>
              <w:lang w:bidi="ar-SA"/>
            </w:rPr>
            <w:fldChar w:fldCharType="begin"/>
          </w:r>
          <w:r>
            <w:rPr>
              <w:rFonts w:cs="Verdana,Italic"/>
              <w:iCs/>
              <w:sz w:val="22"/>
              <w:szCs w:val="22"/>
              <w:lang w:bidi="ar-SA"/>
            </w:rPr>
            <w:instrText xml:space="preserve"> CITATION Boo07 \l 1033 </w:instrText>
          </w:r>
          <w:r w:rsidR="00BD69D8">
            <w:rPr>
              <w:rFonts w:cs="Verdana,Italic"/>
              <w:iCs/>
              <w:sz w:val="22"/>
              <w:szCs w:val="22"/>
              <w:lang w:bidi="ar-SA"/>
            </w:rPr>
            <w:fldChar w:fldCharType="separate"/>
          </w:r>
          <w:r w:rsidR="00F26771">
            <w:rPr>
              <w:rFonts w:cs="Verdana,Italic"/>
              <w:iCs/>
              <w:noProof/>
              <w:sz w:val="22"/>
              <w:szCs w:val="22"/>
              <w:lang w:bidi="ar-SA"/>
            </w:rPr>
            <w:t xml:space="preserve"> </w:t>
          </w:r>
          <w:r w:rsidR="00F26771" w:rsidRPr="00F26771">
            <w:rPr>
              <w:rFonts w:cs="Verdana,Italic"/>
              <w:noProof/>
              <w:sz w:val="22"/>
              <w:szCs w:val="22"/>
              <w:lang w:bidi="ar-SA"/>
            </w:rPr>
            <w:t>(Boone, Craighead, &amp; Hanna, 2007)</w:t>
          </w:r>
          <w:r w:rsidR="00BD69D8">
            <w:rPr>
              <w:rFonts w:cs="Verdana,Italic"/>
              <w:iCs/>
              <w:sz w:val="22"/>
              <w:szCs w:val="22"/>
              <w:lang w:bidi="ar-SA"/>
            </w:rPr>
            <w:fldChar w:fldCharType="end"/>
          </w:r>
        </w:sdtContent>
      </w:sdt>
      <w:r>
        <w:rPr>
          <w:rFonts w:cs="Verdana,Italic"/>
          <w:iCs/>
          <w:sz w:val="22"/>
          <w:szCs w:val="22"/>
          <w:lang w:bidi="ar-SA"/>
        </w:rPr>
        <w:t>.</w:t>
      </w:r>
      <w:r w:rsidR="00F15668">
        <w:rPr>
          <w:rFonts w:cs="Verdana,Italic"/>
          <w:iCs/>
          <w:sz w:val="22"/>
          <w:szCs w:val="22"/>
          <w:lang w:bidi="ar-SA"/>
        </w:rPr>
        <w:t xml:space="preserve"> Companies can create value by sharing knowledge, placed orders and resources, thereby lowering costs and increas</w:t>
      </w:r>
      <w:r w:rsidR="0045259D">
        <w:rPr>
          <w:rFonts w:cs="Verdana,Italic"/>
          <w:iCs/>
          <w:sz w:val="22"/>
          <w:szCs w:val="22"/>
          <w:lang w:bidi="ar-SA"/>
        </w:rPr>
        <w:t>ing efficiency</w:t>
      </w:r>
      <w:r w:rsidR="0045259D">
        <w:rPr>
          <w:rFonts w:cs="Verdana,Italic"/>
          <w:iCs/>
          <w:noProof/>
          <w:sz w:val="22"/>
          <w:szCs w:val="22"/>
          <w:lang w:bidi="ar-SA"/>
        </w:rPr>
        <w:t xml:space="preserve"> </w:t>
      </w:r>
      <w:r w:rsidR="0045259D">
        <w:rPr>
          <w:rFonts w:cs="Verdana,Italic"/>
          <w:noProof/>
          <w:sz w:val="22"/>
          <w:szCs w:val="22"/>
          <w:lang w:bidi="ar-SA"/>
        </w:rPr>
        <w:t xml:space="preserve">(Doz &amp; Hamel, 1998; </w:t>
      </w:r>
      <w:r w:rsidR="0045259D" w:rsidRPr="0045259D">
        <w:rPr>
          <w:rFonts w:cs="Verdana,Italic"/>
          <w:noProof/>
          <w:sz w:val="22"/>
          <w:szCs w:val="22"/>
          <w:lang w:bidi="ar-SA"/>
        </w:rPr>
        <w:t>Skjott-Larsen &amp; Thernu, 2003)</w:t>
      </w:r>
      <w:r w:rsidR="0045259D">
        <w:rPr>
          <w:rFonts w:cs="Verdana,Italic"/>
          <w:noProof/>
          <w:sz w:val="22"/>
          <w:szCs w:val="22"/>
          <w:lang w:bidi="ar-SA"/>
        </w:rPr>
        <w:t>.</w:t>
      </w:r>
      <w:r>
        <w:rPr>
          <w:rFonts w:cs="Verdana,Italic"/>
          <w:iCs/>
          <w:sz w:val="22"/>
          <w:szCs w:val="22"/>
          <w:lang w:bidi="ar-SA"/>
        </w:rPr>
        <w:t xml:space="preserve"> </w:t>
      </w:r>
      <w:r w:rsidR="0045259D">
        <w:rPr>
          <w:rFonts w:cs="Verdana,Italic"/>
          <w:iCs/>
          <w:sz w:val="22"/>
          <w:szCs w:val="22"/>
          <w:lang w:bidi="ar-SA"/>
        </w:rPr>
        <w:t>This reasoning also explains the strategic alliances between manufacturing firms and global LSPs hence aiming at enhancing their competitive position by utilizing each other’s competences</w:t>
      </w:r>
      <w:sdt>
        <w:sdtPr>
          <w:rPr>
            <w:rFonts w:cs="Verdana,Italic"/>
            <w:iCs/>
            <w:sz w:val="22"/>
            <w:szCs w:val="22"/>
            <w:lang w:bidi="ar-SA"/>
          </w:rPr>
          <w:id w:val="6118926"/>
          <w:citation/>
        </w:sdtPr>
        <w:sdtContent>
          <w:r w:rsidR="00BD69D8">
            <w:rPr>
              <w:rFonts w:cs="Verdana,Italic"/>
              <w:iCs/>
              <w:sz w:val="22"/>
              <w:szCs w:val="22"/>
              <w:lang w:bidi="ar-SA"/>
            </w:rPr>
            <w:fldChar w:fldCharType="begin"/>
          </w:r>
          <w:r w:rsidR="0045259D">
            <w:rPr>
              <w:rFonts w:cs="Verdana,Italic"/>
              <w:iCs/>
              <w:sz w:val="22"/>
              <w:szCs w:val="22"/>
              <w:lang w:bidi="ar-SA"/>
            </w:rPr>
            <w:instrText xml:space="preserve"> CITATION Bha00 \l 1033 </w:instrText>
          </w:r>
          <w:r w:rsidR="00BD69D8">
            <w:rPr>
              <w:rFonts w:cs="Verdana,Italic"/>
              <w:iCs/>
              <w:sz w:val="22"/>
              <w:szCs w:val="22"/>
              <w:lang w:bidi="ar-SA"/>
            </w:rPr>
            <w:fldChar w:fldCharType="separate"/>
          </w:r>
          <w:r w:rsidR="00F26771">
            <w:rPr>
              <w:rFonts w:cs="Verdana,Italic"/>
              <w:iCs/>
              <w:noProof/>
              <w:sz w:val="22"/>
              <w:szCs w:val="22"/>
              <w:lang w:bidi="ar-SA"/>
            </w:rPr>
            <w:t xml:space="preserve"> </w:t>
          </w:r>
          <w:r w:rsidR="00F26771" w:rsidRPr="00F26771">
            <w:rPr>
              <w:rFonts w:cs="Verdana,Italic"/>
              <w:noProof/>
              <w:sz w:val="22"/>
              <w:szCs w:val="22"/>
              <w:lang w:bidi="ar-SA"/>
            </w:rPr>
            <w:t>(Bhatnager &amp; Viswanathan, 2000)</w:t>
          </w:r>
          <w:r w:rsidR="00BD69D8">
            <w:rPr>
              <w:rFonts w:cs="Verdana,Italic"/>
              <w:iCs/>
              <w:sz w:val="22"/>
              <w:szCs w:val="22"/>
              <w:lang w:bidi="ar-SA"/>
            </w:rPr>
            <w:fldChar w:fldCharType="end"/>
          </w:r>
        </w:sdtContent>
      </w:sdt>
      <w:r w:rsidR="0045259D">
        <w:rPr>
          <w:rFonts w:cs="Verdana,Italic"/>
          <w:iCs/>
          <w:sz w:val="22"/>
          <w:szCs w:val="22"/>
          <w:lang w:bidi="ar-SA"/>
        </w:rPr>
        <w:t>.</w:t>
      </w:r>
      <w:r w:rsidR="007633AA" w:rsidRPr="007633AA">
        <w:rPr>
          <w:sz w:val="22"/>
          <w:szCs w:val="22"/>
        </w:rPr>
        <w:t xml:space="preserve"> </w:t>
      </w:r>
      <w:r w:rsidR="007633AA">
        <w:rPr>
          <w:sz w:val="22"/>
          <w:szCs w:val="22"/>
        </w:rPr>
        <w:t>This ini</w:t>
      </w:r>
      <w:r w:rsidR="007633AA" w:rsidRPr="00873C16">
        <w:rPr>
          <w:sz w:val="22"/>
          <w:szCs w:val="22"/>
        </w:rPr>
        <w:t>tiative</w:t>
      </w:r>
      <w:r w:rsidR="00C73319">
        <w:rPr>
          <w:sz w:val="22"/>
          <w:szCs w:val="22"/>
        </w:rPr>
        <w:t xml:space="preserve"> is </w:t>
      </w:r>
      <w:r w:rsidR="007633AA" w:rsidRPr="00873C16">
        <w:rPr>
          <w:sz w:val="22"/>
          <w:szCs w:val="22"/>
        </w:rPr>
        <w:t>called ‘’advanced third party alignment’’, TPL providers bypassing their weaknesses in manufacturing by partnering with industrial subcontractors, is another characteri</w:t>
      </w:r>
      <w:r w:rsidR="007633AA">
        <w:rPr>
          <w:sz w:val="22"/>
          <w:szCs w:val="22"/>
        </w:rPr>
        <w:t>stic development</w:t>
      </w:r>
      <w:sdt>
        <w:sdtPr>
          <w:rPr>
            <w:sz w:val="22"/>
            <w:szCs w:val="22"/>
          </w:rPr>
          <w:id w:val="6118927"/>
          <w:citation/>
        </w:sdtPr>
        <w:sdtContent>
          <w:r w:rsidR="00BD69D8">
            <w:rPr>
              <w:sz w:val="22"/>
              <w:szCs w:val="22"/>
            </w:rPr>
            <w:fldChar w:fldCharType="begin"/>
          </w:r>
          <w:r w:rsidR="007633AA">
            <w:rPr>
              <w:sz w:val="22"/>
              <w:szCs w:val="22"/>
            </w:rPr>
            <w:instrText xml:space="preserve"> CITATION van001 \t  \l 1033  </w:instrText>
          </w:r>
          <w:r w:rsidR="00BD69D8">
            <w:rPr>
              <w:sz w:val="22"/>
              <w:szCs w:val="22"/>
            </w:rPr>
            <w:fldChar w:fldCharType="separate"/>
          </w:r>
          <w:r w:rsidR="00F26771">
            <w:rPr>
              <w:noProof/>
              <w:sz w:val="22"/>
              <w:szCs w:val="22"/>
            </w:rPr>
            <w:t xml:space="preserve"> </w:t>
          </w:r>
          <w:r w:rsidR="00F26771" w:rsidRPr="00F26771">
            <w:rPr>
              <w:noProof/>
              <w:sz w:val="22"/>
              <w:szCs w:val="22"/>
            </w:rPr>
            <w:t>(van Hoek R. I., 2000)</w:t>
          </w:r>
          <w:r w:rsidR="00BD69D8">
            <w:rPr>
              <w:sz w:val="22"/>
              <w:szCs w:val="22"/>
            </w:rPr>
            <w:fldChar w:fldCharType="end"/>
          </w:r>
        </w:sdtContent>
      </w:sdt>
      <w:r w:rsidR="007633AA">
        <w:rPr>
          <w:sz w:val="22"/>
          <w:szCs w:val="22"/>
        </w:rPr>
        <w:t>.</w:t>
      </w:r>
      <w:r w:rsidR="0045259D">
        <w:rPr>
          <w:rFonts w:cs="Verdana,Italic"/>
          <w:iCs/>
          <w:sz w:val="22"/>
          <w:szCs w:val="22"/>
          <w:lang w:bidi="ar-SA"/>
        </w:rPr>
        <w:t xml:space="preserve"> </w:t>
      </w:r>
      <w:r w:rsidR="0066372F">
        <w:rPr>
          <w:rFonts w:cs="Verdana,Italic"/>
          <w:iCs/>
          <w:sz w:val="22"/>
          <w:szCs w:val="22"/>
          <w:lang w:bidi="ar-SA"/>
        </w:rPr>
        <w:t xml:space="preserve">The first national supply chain monitor showed the Netherlands still has a significant step to take to </w:t>
      </w:r>
      <w:r>
        <w:rPr>
          <w:rFonts w:cs="Verdana,Italic"/>
          <w:iCs/>
          <w:sz w:val="22"/>
          <w:szCs w:val="22"/>
          <w:lang w:bidi="ar-SA"/>
        </w:rPr>
        <w:t>achieve</w:t>
      </w:r>
      <w:r w:rsidR="007633AA">
        <w:rPr>
          <w:rFonts w:cs="Verdana,Italic"/>
          <w:iCs/>
          <w:sz w:val="22"/>
          <w:szCs w:val="22"/>
          <w:lang w:bidi="ar-SA"/>
        </w:rPr>
        <w:t xml:space="preserve"> such</w:t>
      </w:r>
      <w:r>
        <w:rPr>
          <w:rFonts w:cs="Verdana,Italic"/>
          <w:iCs/>
          <w:sz w:val="22"/>
          <w:szCs w:val="22"/>
          <w:lang w:bidi="ar-SA"/>
        </w:rPr>
        <w:t xml:space="preserve"> </w:t>
      </w:r>
      <w:r w:rsidR="00C73319">
        <w:rPr>
          <w:rFonts w:cs="Verdana,Italic"/>
          <w:iCs/>
          <w:sz w:val="22"/>
          <w:szCs w:val="22"/>
          <w:lang w:bidi="ar-SA"/>
        </w:rPr>
        <w:t xml:space="preserve">advanced </w:t>
      </w:r>
      <w:r>
        <w:rPr>
          <w:rFonts w:cs="Verdana,Italic"/>
          <w:iCs/>
          <w:sz w:val="22"/>
          <w:szCs w:val="22"/>
          <w:lang w:bidi="ar-SA"/>
        </w:rPr>
        <w:t>supply chain management</w:t>
      </w:r>
      <w:r w:rsidR="0066372F">
        <w:rPr>
          <w:rFonts w:cs="Verdana,Italic"/>
          <w:iCs/>
          <w:sz w:val="22"/>
          <w:szCs w:val="22"/>
          <w:lang w:bidi="ar-SA"/>
        </w:rPr>
        <w:t xml:space="preserve">. Although supply chain optimization isn’t a new </w:t>
      </w:r>
      <w:r w:rsidR="000A1922">
        <w:rPr>
          <w:rFonts w:cs="Verdana,Italic"/>
          <w:iCs/>
          <w:sz w:val="22"/>
          <w:szCs w:val="22"/>
          <w:lang w:bidi="ar-SA"/>
        </w:rPr>
        <w:t>phenomenon, the</w:t>
      </w:r>
      <w:r w:rsidR="0066372F">
        <w:rPr>
          <w:rFonts w:cs="Verdana,Italic"/>
          <w:iCs/>
          <w:sz w:val="22"/>
          <w:szCs w:val="22"/>
          <w:lang w:bidi="ar-SA"/>
        </w:rPr>
        <w:t xml:space="preserve"> sub-optimization ‘ghost’ is still present</w:t>
      </w:r>
      <w:r w:rsidR="000A1922">
        <w:rPr>
          <w:rFonts w:cs="Verdana,Italic"/>
          <w:iCs/>
          <w:sz w:val="22"/>
          <w:szCs w:val="22"/>
          <w:lang w:bidi="ar-SA"/>
        </w:rPr>
        <w:t>, each</w:t>
      </w:r>
      <w:r w:rsidR="0066372F">
        <w:rPr>
          <w:rFonts w:cs="Verdana,Italic"/>
          <w:iCs/>
          <w:sz w:val="22"/>
          <w:szCs w:val="22"/>
          <w:lang w:bidi="ar-SA"/>
        </w:rPr>
        <w:t xml:space="preserve"> part of the chain trying to optimize its own operations thereby los</w:t>
      </w:r>
      <w:r w:rsidR="00C73319">
        <w:rPr>
          <w:rFonts w:cs="Verdana,Italic"/>
          <w:iCs/>
          <w:sz w:val="22"/>
          <w:szCs w:val="22"/>
          <w:lang w:bidi="ar-SA"/>
        </w:rPr>
        <w:t>ing the big picture, and numerous</w:t>
      </w:r>
      <w:r w:rsidR="0066372F">
        <w:rPr>
          <w:rFonts w:cs="Verdana,Italic"/>
          <w:iCs/>
          <w:sz w:val="22"/>
          <w:szCs w:val="22"/>
          <w:lang w:bidi="ar-SA"/>
        </w:rPr>
        <w:t xml:space="preserve"> advantages</w:t>
      </w:r>
      <w:r w:rsidR="000A1922">
        <w:rPr>
          <w:rFonts w:cs="Verdana,Italic"/>
          <w:iCs/>
          <w:sz w:val="22"/>
          <w:szCs w:val="22"/>
          <w:lang w:bidi="ar-SA"/>
        </w:rPr>
        <w:t>, out</w:t>
      </w:r>
      <w:r w:rsidR="0066372F">
        <w:rPr>
          <w:rFonts w:cs="Verdana,Italic"/>
          <w:iCs/>
          <w:sz w:val="22"/>
          <w:szCs w:val="22"/>
          <w:lang w:bidi="ar-SA"/>
        </w:rPr>
        <w:t xml:space="preserve"> of sight</w:t>
      </w:r>
      <w:sdt>
        <w:sdtPr>
          <w:rPr>
            <w:rFonts w:cs="Verdana,Italic"/>
            <w:iCs/>
            <w:sz w:val="22"/>
            <w:szCs w:val="22"/>
            <w:lang w:bidi="ar-SA"/>
          </w:rPr>
          <w:id w:val="6118908"/>
          <w:citation/>
        </w:sdtPr>
        <w:sdtContent>
          <w:r w:rsidR="00BD69D8">
            <w:rPr>
              <w:rFonts w:cs="Verdana,Italic"/>
              <w:iCs/>
              <w:sz w:val="22"/>
              <w:szCs w:val="22"/>
              <w:lang w:bidi="ar-SA"/>
            </w:rPr>
            <w:fldChar w:fldCharType="begin"/>
          </w:r>
          <w:r w:rsidR="0066372F">
            <w:rPr>
              <w:rFonts w:cs="Verdana,Italic"/>
              <w:iCs/>
              <w:sz w:val="22"/>
              <w:szCs w:val="22"/>
              <w:lang w:bidi="ar-SA"/>
            </w:rPr>
            <w:instrText xml:space="preserve"> CITATION BLM11 \l 1033 </w:instrText>
          </w:r>
          <w:r w:rsidR="00BD69D8">
            <w:rPr>
              <w:rFonts w:cs="Verdana,Italic"/>
              <w:iCs/>
              <w:sz w:val="22"/>
              <w:szCs w:val="22"/>
              <w:lang w:bidi="ar-SA"/>
            </w:rPr>
            <w:fldChar w:fldCharType="separate"/>
          </w:r>
          <w:r w:rsidR="00F26771">
            <w:rPr>
              <w:rFonts w:cs="Verdana,Italic"/>
              <w:iCs/>
              <w:noProof/>
              <w:sz w:val="22"/>
              <w:szCs w:val="22"/>
              <w:lang w:bidi="ar-SA"/>
            </w:rPr>
            <w:t xml:space="preserve"> </w:t>
          </w:r>
          <w:r w:rsidR="00F26771" w:rsidRPr="00F26771">
            <w:rPr>
              <w:rFonts w:cs="Verdana,Italic"/>
              <w:noProof/>
              <w:sz w:val="22"/>
              <w:szCs w:val="22"/>
              <w:lang w:bidi="ar-SA"/>
            </w:rPr>
            <w:t>(BLMC, 2011)</w:t>
          </w:r>
          <w:r w:rsidR="00BD69D8">
            <w:rPr>
              <w:rFonts w:cs="Verdana,Italic"/>
              <w:iCs/>
              <w:sz w:val="22"/>
              <w:szCs w:val="22"/>
              <w:lang w:bidi="ar-SA"/>
            </w:rPr>
            <w:fldChar w:fldCharType="end"/>
          </w:r>
        </w:sdtContent>
      </w:sdt>
      <w:r w:rsidR="0066372F">
        <w:rPr>
          <w:rFonts w:cs="Verdana,Italic"/>
          <w:iCs/>
          <w:sz w:val="22"/>
          <w:szCs w:val="22"/>
          <w:lang w:bidi="ar-SA"/>
        </w:rPr>
        <w:t>. According to BLMC (2011), the obsessive focus of shippers on costs hinders its relationship with TPL providers</w:t>
      </w:r>
      <w:r w:rsidR="001818E0">
        <w:rPr>
          <w:rFonts w:cs="Verdana,Italic"/>
          <w:iCs/>
          <w:sz w:val="22"/>
          <w:szCs w:val="22"/>
          <w:lang w:bidi="ar-SA"/>
        </w:rPr>
        <w:t xml:space="preserve">; there is no money reserved for supply chain </w:t>
      </w:r>
      <w:r w:rsidR="00C73319">
        <w:rPr>
          <w:rFonts w:cs="Verdana,Italic"/>
          <w:iCs/>
          <w:sz w:val="22"/>
          <w:szCs w:val="22"/>
          <w:lang w:bidi="ar-SA"/>
        </w:rPr>
        <w:t>optimizing since the only numbers</w:t>
      </w:r>
      <w:r w:rsidR="001818E0">
        <w:rPr>
          <w:rFonts w:cs="Verdana,Italic"/>
          <w:iCs/>
          <w:sz w:val="22"/>
          <w:szCs w:val="22"/>
          <w:lang w:bidi="ar-SA"/>
        </w:rPr>
        <w:t xml:space="preserve"> looked at are the rates of isolated services.</w:t>
      </w:r>
      <w:r w:rsidR="00B10223" w:rsidRPr="00B10223">
        <w:rPr>
          <w:sz w:val="22"/>
          <w:szCs w:val="22"/>
        </w:rPr>
        <w:t xml:space="preserve"> </w:t>
      </w:r>
      <w:r w:rsidR="00B10223">
        <w:rPr>
          <w:sz w:val="22"/>
          <w:szCs w:val="22"/>
        </w:rPr>
        <w:t xml:space="preserve">According to </w:t>
      </w:r>
      <w:r w:rsidR="00B10223">
        <w:rPr>
          <w:noProof/>
          <w:sz w:val="22"/>
          <w:szCs w:val="22"/>
        </w:rPr>
        <w:t>Jayaram &amp; Keah (2</w:t>
      </w:r>
      <w:r w:rsidR="00B10223" w:rsidRPr="00B10223">
        <w:rPr>
          <w:noProof/>
          <w:sz w:val="22"/>
          <w:szCs w:val="22"/>
        </w:rPr>
        <w:t>010)</w:t>
      </w:r>
      <w:r w:rsidR="00B10223">
        <w:rPr>
          <w:noProof/>
          <w:sz w:val="22"/>
          <w:szCs w:val="22"/>
        </w:rPr>
        <w:t xml:space="preserve"> this isn’t so strange, since they found that </w:t>
      </w:r>
      <w:r w:rsidR="00B10223" w:rsidRPr="00B10223">
        <w:rPr>
          <w:sz w:val="22"/>
          <w:szCs w:val="22"/>
        </w:rPr>
        <w:t>appropriate actions must be taken to ensure the effectiveness</w:t>
      </w:r>
      <w:r w:rsidR="00C73319">
        <w:rPr>
          <w:sz w:val="22"/>
          <w:szCs w:val="22"/>
        </w:rPr>
        <w:t xml:space="preserve"> </w:t>
      </w:r>
      <w:r w:rsidR="00B10223" w:rsidRPr="00B10223">
        <w:rPr>
          <w:sz w:val="22"/>
          <w:szCs w:val="22"/>
        </w:rPr>
        <w:t>and involvement</w:t>
      </w:r>
      <w:r w:rsidR="00B10223">
        <w:rPr>
          <w:sz w:val="22"/>
          <w:szCs w:val="22"/>
        </w:rPr>
        <w:t xml:space="preserve"> of TPL providers in supply chain management; including TPL providers into supply chain integration efforts is no guarantee for success. </w:t>
      </w:r>
    </w:p>
    <w:p w:rsidR="00514E4E" w:rsidRDefault="00B10223" w:rsidP="00514E4E">
      <w:pPr>
        <w:spacing w:line="360" w:lineRule="auto"/>
        <w:jc w:val="both"/>
        <w:rPr>
          <w:rFonts w:asciiTheme="majorHAnsi" w:hAnsiTheme="majorHAnsi"/>
        </w:rPr>
      </w:pPr>
      <w:r>
        <w:rPr>
          <w:rFonts w:cs="Verdana,Italic"/>
          <w:iCs/>
          <w:sz w:val="22"/>
          <w:szCs w:val="22"/>
          <w:lang w:bidi="ar-SA"/>
        </w:rPr>
        <w:lastRenderedPageBreak/>
        <w:t>The</w:t>
      </w:r>
      <w:r w:rsidR="001818E0">
        <w:rPr>
          <w:rFonts w:cs="Verdana,Italic"/>
          <w:iCs/>
          <w:sz w:val="22"/>
          <w:szCs w:val="22"/>
          <w:lang w:bidi="ar-SA"/>
        </w:rPr>
        <w:t>s</w:t>
      </w:r>
      <w:r>
        <w:rPr>
          <w:rFonts w:cs="Verdana,Italic"/>
          <w:iCs/>
          <w:sz w:val="22"/>
          <w:szCs w:val="22"/>
          <w:lang w:bidi="ar-SA"/>
        </w:rPr>
        <w:t>e</w:t>
      </w:r>
      <w:r w:rsidR="001818E0">
        <w:rPr>
          <w:rFonts w:cs="Verdana,Italic"/>
          <w:iCs/>
          <w:sz w:val="22"/>
          <w:szCs w:val="22"/>
          <w:lang w:bidi="ar-SA"/>
        </w:rPr>
        <w:t xml:space="preserve"> observation</w:t>
      </w:r>
      <w:r>
        <w:rPr>
          <w:rFonts w:cs="Verdana,Italic"/>
          <w:iCs/>
          <w:sz w:val="22"/>
          <w:szCs w:val="22"/>
          <w:lang w:bidi="ar-SA"/>
        </w:rPr>
        <w:t>s contradict the findings o</w:t>
      </w:r>
      <w:r w:rsidR="001818E0">
        <w:rPr>
          <w:rFonts w:cs="Verdana,Italic"/>
          <w:iCs/>
          <w:sz w:val="22"/>
          <w:szCs w:val="22"/>
          <w:lang w:bidi="ar-SA"/>
        </w:rPr>
        <w:t>f several othe</w:t>
      </w:r>
      <w:r>
        <w:rPr>
          <w:rFonts w:cs="Verdana,Italic"/>
          <w:iCs/>
          <w:sz w:val="22"/>
          <w:szCs w:val="22"/>
          <w:lang w:bidi="ar-SA"/>
        </w:rPr>
        <w:t>r students.</w:t>
      </w:r>
      <w:r w:rsidR="001818E0">
        <w:rPr>
          <w:rFonts w:cs="Verdana,Italic"/>
          <w:iCs/>
          <w:sz w:val="22"/>
          <w:szCs w:val="22"/>
          <w:lang w:bidi="ar-SA"/>
        </w:rPr>
        <w:t xml:space="preserve"> According to Bask (2011), </w:t>
      </w:r>
      <w:r w:rsidR="001818E0">
        <w:rPr>
          <w:rFonts w:cs="Verdana,Bold"/>
          <w:bCs/>
          <w:sz w:val="22"/>
          <w:szCs w:val="22"/>
          <w:lang w:bidi="ar-SA"/>
        </w:rPr>
        <w:t>t</w:t>
      </w:r>
      <w:r w:rsidR="00762DD5" w:rsidRPr="001818E0">
        <w:rPr>
          <w:rFonts w:cs="Verdana,Bold"/>
          <w:bCs/>
          <w:sz w:val="22"/>
          <w:szCs w:val="22"/>
          <w:lang w:bidi="ar-SA"/>
        </w:rPr>
        <w:t>here has been a movemen</w:t>
      </w:r>
      <w:r w:rsidR="001818E0">
        <w:rPr>
          <w:rFonts w:cs="Verdana,Bold"/>
          <w:bCs/>
          <w:sz w:val="22"/>
          <w:szCs w:val="22"/>
          <w:lang w:bidi="ar-SA"/>
        </w:rPr>
        <w:t xml:space="preserve">t of </w:t>
      </w:r>
      <w:r w:rsidR="001818E0" w:rsidRPr="001818E0">
        <w:rPr>
          <w:rFonts w:cs="Verdana,Bold"/>
          <w:bCs/>
          <w:sz w:val="22"/>
          <w:szCs w:val="22"/>
          <w:lang w:bidi="ar-SA"/>
        </w:rPr>
        <w:t>growing importance for TPL</w:t>
      </w:r>
      <w:r w:rsidR="00762DD5" w:rsidRPr="001818E0">
        <w:rPr>
          <w:rFonts w:cs="Verdana,Bold"/>
          <w:bCs/>
          <w:sz w:val="22"/>
          <w:szCs w:val="22"/>
          <w:lang w:bidi="ar-SA"/>
        </w:rPr>
        <w:t xml:space="preserve"> providers to provide logistics strategy solutions for their customers in a more efficient way.</w:t>
      </w:r>
      <w:r w:rsidR="001818E0">
        <w:rPr>
          <w:rFonts w:cs="Verdana,Bold"/>
          <w:bCs/>
          <w:sz w:val="22"/>
          <w:szCs w:val="22"/>
          <w:lang w:bidi="ar-SA"/>
        </w:rPr>
        <w:t xml:space="preserve"> Lieb &amp; Lieb (2010) found that expansion of integrated supply chain management services was identified as the second most important opportunity for company growth in 2008 and 2009; in 2010 this opportunity was ranked third.</w:t>
      </w:r>
      <w:r w:rsidR="002816C3">
        <w:rPr>
          <w:rFonts w:cs="Verdana,Bold"/>
          <w:bCs/>
          <w:sz w:val="22"/>
          <w:szCs w:val="22"/>
          <w:lang w:bidi="ar-SA"/>
        </w:rPr>
        <w:t xml:space="preserve"> Over the past </w:t>
      </w:r>
      <w:r w:rsidR="000A1922">
        <w:rPr>
          <w:rFonts w:cs="Verdana,Bold"/>
          <w:bCs/>
          <w:sz w:val="22"/>
          <w:szCs w:val="22"/>
          <w:lang w:bidi="ar-SA"/>
        </w:rPr>
        <w:t>years many</w:t>
      </w:r>
      <w:r w:rsidR="002816C3">
        <w:rPr>
          <w:rFonts w:cs="Verdana,Bold"/>
          <w:bCs/>
          <w:sz w:val="22"/>
          <w:szCs w:val="22"/>
          <w:lang w:bidi="ar-SA"/>
        </w:rPr>
        <w:t xml:space="preserve"> companies have tried to shorten their supply chains, aiming at service level improvement and reducing costs. An average of 23% of all major customers of American TPL providers shortened their supply chain </w:t>
      </w:r>
      <w:r w:rsidR="00C73319">
        <w:rPr>
          <w:rFonts w:cs="Verdana,Bold"/>
          <w:bCs/>
          <w:sz w:val="22"/>
          <w:szCs w:val="22"/>
          <w:lang w:bidi="ar-SA"/>
        </w:rPr>
        <w:t>in recent years</w:t>
      </w:r>
      <w:r w:rsidR="00D81EF2">
        <w:rPr>
          <w:rFonts w:cs="Verdana,Bold"/>
          <w:bCs/>
          <w:sz w:val="22"/>
          <w:szCs w:val="22"/>
          <w:lang w:bidi="ar-SA"/>
        </w:rPr>
        <w:t xml:space="preserve">. </w:t>
      </w:r>
      <w:r w:rsidR="002816C3">
        <w:rPr>
          <w:rFonts w:cs="Verdana,Bold"/>
          <w:bCs/>
          <w:sz w:val="22"/>
          <w:szCs w:val="22"/>
          <w:lang w:bidi="ar-SA"/>
        </w:rPr>
        <w:t xml:space="preserve">The implications of this development for TPL </w:t>
      </w:r>
      <w:r w:rsidR="000A1922">
        <w:rPr>
          <w:rFonts w:cs="Verdana,Bold"/>
          <w:bCs/>
          <w:sz w:val="22"/>
          <w:szCs w:val="22"/>
          <w:lang w:bidi="ar-SA"/>
        </w:rPr>
        <w:t>providers can</w:t>
      </w:r>
      <w:r w:rsidR="00D81EF2">
        <w:rPr>
          <w:rFonts w:cs="Verdana,Bold"/>
          <w:bCs/>
          <w:sz w:val="22"/>
          <w:szCs w:val="22"/>
          <w:lang w:bidi="ar-SA"/>
        </w:rPr>
        <w:t xml:space="preserve"> be both positive and negative: surveyed CEOs identified implication</w:t>
      </w:r>
      <w:r w:rsidR="00C73319">
        <w:rPr>
          <w:rFonts w:cs="Verdana,Bold"/>
          <w:bCs/>
          <w:sz w:val="22"/>
          <w:szCs w:val="22"/>
          <w:lang w:bidi="ar-SA"/>
        </w:rPr>
        <w:t>s</w:t>
      </w:r>
      <w:r w:rsidR="00D81EF2">
        <w:rPr>
          <w:rFonts w:cs="Verdana,Bold"/>
          <w:bCs/>
          <w:sz w:val="22"/>
          <w:szCs w:val="22"/>
          <w:lang w:bidi="ar-SA"/>
        </w:rPr>
        <w:t xml:space="preserve"> such as the reduction of company revenues related to freight forwarding and customs clearance and the increased demand for handling smaller shipments at higher velocity</w:t>
      </w:r>
      <w:r w:rsidR="00D81EF2" w:rsidRPr="00D81EF2">
        <w:rPr>
          <w:rFonts w:cs="Verdana,Bold"/>
          <w:bCs/>
          <w:sz w:val="22"/>
          <w:szCs w:val="22"/>
          <w:lang w:bidi="ar-SA"/>
        </w:rPr>
        <w:t xml:space="preserve"> </w:t>
      </w:r>
      <w:sdt>
        <w:sdtPr>
          <w:rPr>
            <w:rFonts w:cs="Verdana,Bold"/>
            <w:bCs/>
            <w:sz w:val="22"/>
            <w:szCs w:val="22"/>
            <w:lang w:bidi="ar-SA"/>
          </w:rPr>
          <w:id w:val="6118919"/>
          <w:citation/>
        </w:sdtPr>
        <w:sdtContent>
          <w:r w:rsidR="00BD69D8">
            <w:rPr>
              <w:rFonts w:cs="Verdana,Bold"/>
              <w:bCs/>
              <w:sz w:val="22"/>
              <w:szCs w:val="22"/>
              <w:lang w:bidi="ar-SA"/>
            </w:rPr>
            <w:fldChar w:fldCharType="begin"/>
          </w:r>
          <w:r w:rsidR="00D81EF2">
            <w:rPr>
              <w:rFonts w:cs="Verdana,Bold"/>
              <w:bCs/>
              <w:sz w:val="22"/>
              <w:szCs w:val="22"/>
              <w:lang w:bidi="ar-SA"/>
            </w:rPr>
            <w:instrText xml:space="preserve"> CITATION Lie09 \t  \l 1033  </w:instrText>
          </w:r>
          <w:r w:rsidR="00BD69D8">
            <w:rPr>
              <w:rFonts w:cs="Verdana,Bold"/>
              <w:bCs/>
              <w:sz w:val="22"/>
              <w:szCs w:val="22"/>
              <w:lang w:bidi="ar-SA"/>
            </w:rPr>
            <w:fldChar w:fldCharType="separate"/>
          </w:r>
          <w:r w:rsidR="00F26771" w:rsidRPr="00F26771">
            <w:rPr>
              <w:rFonts w:cs="Verdana,Bold"/>
              <w:noProof/>
              <w:sz w:val="22"/>
              <w:szCs w:val="22"/>
              <w:lang w:bidi="ar-SA"/>
            </w:rPr>
            <w:t>(Lieb &amp; Lieb, 2009)</w:t>
          </w:r>
          <w:r w:rsidR="00BD69D8">
            <w:rPr>
              <w:rFonts w:cs="Verdana,Bold"/>
              <w:bCs/>
              <w:sz w:val="22"/>
              <w:szCs w:val="22"/>
              <w:lang w:bidi="ar-SA"/>
            </w:rPr>
            <w:fldChar w:fldCharType="end"/>
          </w:r>
        </w:sdtContent>
      </w:sdt>
      <w:r w:rsidR="00D81EF2">
        <w:rPr>
          <w:rFonts w:cs="Verdana,Bold"/>
          <w:bCs/>
          <w:sz w:val="22"/>
          <w:szCs w:val="22"/>
          <w:lang w:bidi="ar-SA"/>
        </w:rPr>
        <w:t>.</w:t>
      </w:r>
      <w:r w:rsidR="00D077A6">
        <w:rPr>
          <w:rFonts w:cs="Verdana,Bold"/>
          <w:bCs/>
          <w:sz w:val="22"/>
          <w:szCs w:val="22"/>
          <w:lang w:bidi="ar-SA"/>
        </w:rPr>
        <w:t xml:space="preserve"> A much discussed issue in relation to the TPL providers changing role in the supply chain is postponed manufacturing; this is seen as a  opportunity to develop business </w:t>
      </w:r>
      <w:r w:rsidR="00514E4E" w:rsidRPr="00514E4E">
        <w:rPr>
          <w:noProof/>
          <w:sz w:val="22"/>
          <w:szCs w:val="22"/>
        </w:rPr>
        <w:t xml:space="preserve">(Chiou, Wu, &amp; Hsu, 2002; van Hoek, 2000; Yang, Burns, &amp; Backhouse, 2004; Rabinovich &amp; Evers, 2003; </w:t>
      </w:r>
      <w:r w:rsidR="00514E4E" w:rsidRPr="00514E4E">
        <w:rPr>
          <w:rFonts w:cs="AdvPS405B6"/>
          <w:noProof/>
          <w:sz w:val="22"/>
          <w:szCs w:val="22"/>
          <w:lang w:bidi="ar-SA"/>
        </w:rPr>
        <w:t>Su, Chang, &amp; Ferguson, 2005)</w:t>
      </w:r>
      <w:r w:rsidR="00514E4E">
        <w:rPr>
          <w:rFonts w:cs="AdvPS405B6"/>
          <w:noProof/>
          <w:sz w:val="22"/>
          <w:szCs w:val="22"/>
          <w:lang w:bidi="ar-SA"/>
        </w:rPr>
        <w:t>.</w:t>
      </w:r>
    </w:p>
    <w:p w:rsidR="00D75164" w:rsidRDefault="004E4390" w:rsidP="00E0711C">
      <w:pPr>
        <w:spacing w:line="360" w:lineRule="auto"/>
        <w:jc w:val="both"/>
        <w:rPr>
          <w:sz w:val="22"/>
          <w:szCs w:val="22"/>
        </w:rPr>
      </w:pPr>
      <w:r>
        <w:rPr>
          <w:sz w:val="22"/>
          <w:szCs w:val="22"/>
        </w:rPr>
        <w:t xml:space="preserve">According to van Hoek (2000) </w:t>
      </w:r>
      <w:r w:rsidRPr="00873C16">
        <w:rPr>
          <w:sz w:val="22"/>
          <w:szCs w:val="22"/>
        </w:rPr>
        <w:t>‘’</w:t>
      </w:r>
      <w:r>
        <w:rPr>
          <w:i/>
          <w:sz w:val="22"/>
          <w:szCs w:val="22"/>
        </w:rPr>
        <w:t>i</w:t>
      </w:r>
      <w:r w:rsidRPr="00873C16">
        <w:rPr>
          <w:i/>
          <w:sz w:val="22"/>
          <w:szCs w:val="22"/>
        </w:rPr>
        <w:t xml:space="preserve">t can then be expected that manufacturing will increasingly involve the contribution of TPLs for specific customizing initiatives, assuming that the supply chain is integrated further and further, across functions and companies’’ </w:t>
      </w:r>
      <w:r w:rsidRPr="00873C16">
        <w:rPr>
          <w:sz w:val="22"/>
          <w:szCs w:val="22"/>
        </w:rPr>
        <w:t xml:space="preserve">(p. 386). </w:t>
      </w:r>
      <w:r w:rsidR="00E0711C">
        <w:rPr>
          <w:sz w:val="22"/>
          <w:szCs w:val="22"/>
        </w:rPr>
        <w:t xml:space="preserve"> </w:t>
      </w:r>
      <w:r w:rsidR="00B521E2" w:rsidRPr="00873C16">
        <w:rPr>
          <w:sz w:val="22"/>
          <w:szCs w:val="22"/>
        </w:rPr>
        <w:t>Several studies performed in the nineties found that TPL providers’ were involved in relatively simple customizing activities, like packaging. But according to van Hoek (2000), supplementary services were already considered a future development area back in 2000.</w:t>
      </w:r>
      <w:r w:rsidR="00CF7F33" w:rsidRPr="00CF7F33">
        <w:rPr>
          <w:sz w:val="22"/>
          <w:szCs w:val="22"/>
        </w:rPr>
        <w:t xml:space="preserve"> </w:t>
      </w:r>
      <w:r w:rsidR="00CF7F33">
        <w:rPr>
          <w:sz w:val="22"/>
          <w:szCs w:val="22"/>
        </w:rPr>
        <w:t xml:space="preserve">Mass customization is </w:t>
      </w:r>
      <w:r w:rsidR="00CF7F33" w:rsidRPr="00873C16">
        <w:rPr>
          <w:sz w:val="22"/>
          <w:szCs w:val="22"/>
        </w:rPr>
        <w:t>coming to the forefront of international supply chains and postponing product finalization is a met</w:t>
      </w:r>
      <w:r w:rsidR="00CF7F33">
        <w:rPr>
          <w:sz w:val="22"/>
          <w:szCs w:val="22"/>
        </w:rPr>
        <w:t xml:space="preserve">hod for achieving customization (van Hoek, 2000). </w:t>
      </w:r>
      <w:r w:rsidR="00CF7F33">
        <w:rPr>
          <w:rFonts w:cs="AdvPS405B6"/>
          <w:sz w:val="22"/>
          <w:szCs w:val="22"/>
          <w:lang w:bidi="ar-SA"/>
        </w:rPr>
        <w:t>M</w:t>
      </w:r>
      <w:r w:rsidR="007863B7" w:rsidRPr="007863B7">
        <w:rPr>
          <w:rFonts w:cs="AdvPS405B6"/>
          <w:sz w:val="22"/>
          <w:szCs w:val="22"/>
          <w:lang w:bidi="ar-SA"/>
        </w:rPr>
        <w:t>any organizations are changing their supply chains to accommodate mass customization processes thereby improving product offerings</w:t>
      </w:r>
      <w:sdt>
        <w:sdtPr>
          <w:rPr>
            <w:rFonts w:cs="AdvPS405B6"/>
            <w:sz w:val="22"/>
            <w:szCs w:val="22"/>
            <w:lang w:bidi="ar-SA"/>
          </w:rPr>
          <w:id w:val="6118949"/>
          <w:citation/>
        </w:sdtPr>
        <w:sdtContent>
          <w:r w:rsidR="00BD69D8" w:rsidRPr="007863B7">
            <w:rPr>
              <w:rFonts w:cs="AdvPS405B6"/>
              <w:sz w:val="22"/>
              <w:szCs w:val="22"/>
              <w:lang w:bidi="ar-SA"/>
            </w:rPr>
            <w:fldChar w:fldCharType="begin"/>
          </w:r>
          <w:r w:rsidR="007863B7" w:rsidRPr="007863B7">
            <w:rPr>
              <w:rFonts w:cs="AdvPS405B6"/>
              <w:sz w:val="22"/>
              <w:szCs w:val="22"/>
              <w:lang w:bidi="ar-SA"/>
            </w:rPr>
            <w:instrText xml:space="preserve"> CITATION SuJ05 \l 1033 </w:instrText>
          </w:r>
          <w:r w:rsidR="00BD69D8" w:rsidRPr="007863B7">
            <w:rPr>
              <w:rFonts w:cs="AdvPS405B6"/>
              <w:sz w:val="22"/>
              <w:szCs w:val="22"/>
              <w:lang w:bidi="ar-SA"/>
            </w:rPr>
            <w:fldChar w:fldCharType="separate"/>
          </w:r>
          <w:r w:rsidR="00F26771">
            <w:rPr>
              <w:rFonts w:cs="AdvPS405B6"/>
              <w:noProof/>
              <w:sz w:val="22"/>
              <w:szCs w:val="22"/>
              <w:lang w:bidi="ar-SA"/>
            </w:rPr>
            <w:t xml:space="preserve"> </w:t>
          </w:r>
          <w:r w:rsidR="00F26771" w:rsidRPr="00F26771">
            <w:rPr>
              <w:rFonts w:cs="AdvPS405B6"/>
              <w:noProof/>
              <w:sz w:val="22"/>
              <w:szCs w:val="22"/>
              <w:lang w:bidi="ar-SA"/>
            </w:rPr>
            <w:t>(Su, Chang, &amp; Ferguson, 2005)</w:t>
          </w:r>
          <w:r w:rsidR="00BD69D8" w:rsidRPr="007863B7">
            <w:rPr>
              <w:rFonts w:cs="AdvPS405B6"/>
              <w:sz w:val="22"/>
              <w:szCs w:val="22"/>
              <w:lang w:bidi="ar-SA"/>
            </w:rPr>
            <w:fldChar w:fldCharType="end"/>
          </w:r>
        </w:sdtContent>
      </w:sdt>
      <w:r w:rsidR="007863B7" w:rsidRPr="007863B7">
        <w:rPr>
          <w:rFonts w:cs="AdvPS405B6"/>
          <w:sz w:val="22"/>
          <w:szCs w:val="22"/>
          <w:lang w:bidi="ar-SA"/>
        </w:rPr>
        <w:t>.</w:t>
      </w:r>
      <w:r w:rsidR="007863B7">
        <w:rPr>
          <w:rFonts w:cs="AdvPS405B6"/>
          <w:sz w:val="22"/>
          <w:szCs w:val="22"/>
          <w:lang w:bidi="ar-SA"/>
        </w:rPr>
        <w:t xml:space="preserve"> </w:t>
      </w:r>
      <w:r w:rsidR="00B521E2">
        <w:rPr>
          <w:sz w:val="22"/>
          <w:szCs w:val="22"/>
        </w:rPr>
        <w:t>Despite</w:t>
      </w:r>
      <w:r w:rsidR="00B521E2" w:rsidRPr="00873C16">
        <w:rPr>
          <w:sz w:val="22"/>
          <w:szCs w:val="22"/>
        </w:rPr>
        <w:t xml:space="preserve"> TPL providers’ traditional role in the supply cha</w:t>
      </w:r>
      <w:r w:rsidR="007863B7">
        <w:rPr>
          <w:sz w:val="22"/>
          <w:szCs w:val="22"/>
        </w:rPr>
        <w:t xml:space="preserve">in, </w:t>
      </w:r>
      <w:r w:rsidR="00B521E2" w:rsidRPr="00873C16">
        <w:rPr>
          <w:sz w:val="22"/>
          <w:szCs w:val="22"/>
        </w:rPr>
        <w:t>TPL providers are targeting postponement as an extension of the s</w:t>
      </w:r>
      <w:r w:rsidR="007863B7">
        <w:rPr>
          <w:sz w:val="22"/>
          <w:szCs w:val="22"/>
        </w:rPr>
        <w:t xml:space="preserve">ervices. </w:t>
      </w:r>
      <w:r w:rsidR="00B521E2" w:rsidRPr="00873C16">
        <w:rPr>
          <w:sz w:val="22"/>
          <w:szCs w:val="22"/>
        </w:rPr>
        <w:t>A huge advantage of applying postponed manufacturing in the supply chain is the fact that the customer is clo</w:t>
      </w:r>
      <w:r w:rsidR="00B521E2">
        <w:rPr>
          <w:sz w:val="22"/>
          <w:szCs w:val="22"/>
        </w:rPr>
        <w:t>se by and can be served rapidly</w:t>
      </w:r>
      <w:r w:rsidR="00B521E2" w:rsidRPr="00B521E2">
        <w:rPr>
          <w:sz w:val="22"/>
          <w:szCs w:val="22"/>
        </w:rPr>
        <w:t xml:space="preserve"> </w:t>
      </w:r>
      <w:sdt>
        <w:sdtPr>
          <w:rPr>
            <w:sz w:val="22"/>
            <w:szCs w:val="22"/>
          </w:rPr>
          <w:id w:val="23092059"/>
          <w:citation/>
        </w:sdtPr>
        <w:sdtContent>
          <w:r w:rsidR="00BD69D8">
            <w:rPr>
              <w:sz w:val="22"/>
              <w:szCs w:val="22"/>
            </w:rPr>
            <w:fldChar w:fldCharType="begin"/>
          </w:r>
          <w:r w:rsidR="00B521E2">
            <w:rPr>
              <w:sz w:val="22"/>
              <w:szCs w:val="22"/>
            </w:rPr>
            <w:instrText xml:space="preserve"> CITATION van001 \t  \l 1033  </w:instrText>
          </w:r>
          <w:r w:rsidR="00BD69D8">
            <w:rPr>
              <w:sz w:val="22"/>
              <w:szCs w:val="22"/>
            </w:rPr>
            <w:fldChar w:fldCharType="separate"/>
          </w:r>
          <w:r w:rsidR="00F26771" w:rsidRPr="00F26771">
            <w:rPr>
              <w:noProof/>
              <w:sz w:val="22"/>
              <w:szCs w:val="22"/>
            </w:rPr>
            <w:t>(van Hoek R. I., 2000)</w:t>
          </w:r>
          <w:r w:rsidR="00BD69D8">
            <w:rPr>
              <w:sz w:val="22"/>
              <w:szCs w:val="22"/>
            </w:rPr>
            <w:fldChar w:fldCharType="end"/>
          </w:r>
        </w:sdtContent>
      </w:sdt>
      <w:r w:rsidR="00B521E2">
        <w:rPr>
          <w:sz w:val="22"/>
          <w:szCs w:val="22"/>
        </w:rPr>
        <w:t>.</w:t>
      </w:r>
      <w:r w:rsidR="007863B7" w:rsidRPr="007863B7">
        <w:rPr>
          <w:sz w:val="22"/>
          <w:szCs w:val="22"/>
        </w:rPr>
        <w:t xml:space="preserve"> </w:t>
      </w:r>
      <w:r w:rsidR="007863B7">
        <w:rPr>
          <w:sz w:val="22"/>
          <w:szCs w:val="22"/>
        </w:rPr>
        <w:t xml:space="preserve">The wish to lower inventory risks and logistics costs made organizations use the </w:t>
      </w:r>
      <w:r w:rsidR="00CF7F33">
        <w:rPr>
          <w:sz w:val="22"/>
          <w:szCs w:val="22"/>
        </w:rPr>
        <w:t>different postponement methods</w:t>
      </w:r>
      <w:sdt>
        <w:sdtPr>
          <w:rPr>
            <w:sz w:val="22"/>
            <w:szCs w:val="22"/>
          </w:rPr>
          <w:id w:val="6118945"/>
          <w:citation/>
        </w:sdtPr>
        <w:sdtContent>
          <w:r w:rsidR="00BD69D8">
            <w:rPr>
              <w:sz w:val="22"/>
              <w:szCs w:val="22"/>
            </w:rPr>
            <w:fldChar w:fldCharType="begin"/>
          </w:r>
          <w:r w:rsidR="007863B7">
            <w:rPr>
              <w:sz w:val="22"/>
              <w:szCs w:val="22"/>
            </w:rPr>
            <w:instrText xml:space="preserve"> CITATION Chi02 \l 1033 </w:instrText>
          </w:r>
          <w:r w:rsidR="00BD69D8">
            <w:rPr>
              <w:sz w:val="22"/>
              <w:szCs w:val="22"/>
            </w:rPr>
            <w:fldChar w:fldCharType="separate"/>
          </w:r>
          <w:r w:rsidR="00F26771">
            <w:rPr>
              <w:noProof/>
              <w:sz w:val="22"/>
              <w:szCs w:val="22"/>
            </w:rPr>
            <w:t xml:space="preserve"> </w:t>
          </w:r>
          <w:r w:rsidR="00F26771" w:rsidRPr="00F26771">
            <w:rPr>
              <w:noProof/>
              <w:sz w:val="22"/>
              <w:szCs w:val="22"/>
            </w:rPr>
            <w:t>(Chiou, Wu, &amp; Hsu, 2002)</w:t>
          </w:r>
          <w:r w:rsidR="00BD69D8">
            <w:rPr>
              <w:sz w:val="22"/>
              <w:szCs w:val="22"/>
            </w:rPr>
            <w:fldChar w:fldCharType="end"/>
          </w:r>
        </w:sdtContent>
      </w:sdt>
      <w:r w:rsidR="007863B7">
        <w:rPr>
          <w:sz w:val="22"/>
          <w:szCs w:val="22"/>
        </w:rPr>
        <w:t>.</w:t>
      </w:r>
      <w:r w:rsidR="00CF7F33">
        <w:rPr>
          <w:sz w:val="22"/>
          <w:szCs w:val="22"/>
        </w:rPr>
        <w:t xml:space="preserve"> The most known methods are described by Bowersox and Closs (1996). According to them,</w:t>
      </w:r>
      <w:r w:rsidR="00B521E2">
        <w:rPr>
          <w:sz w:val="22"/>
          <w:szCs w:val="22"/>
        </w:rPr>
        <w:t xml:space="preserve"> postponed manufacturing is a combination of form, time and place postponement. Form postponement is postponing final manufacturing;</w:t>
      </w:r>
      <w:r w:rsidR="007863B7" w:rsidRPr="007863B7">
        <w:rPr>
          <w:sz w:val="22"/>
          <w:szCs w:val="22"/>
        </w:rPr>
        <w:t xml:space="preserve"> </w:t>
      </w:r>
      <w:r w:rsidR="007863B7">
        <w:rPr>
          <w:sz w:val="22"/>
          <w:szCs w:val="22"/>
        </w:rPr>
        <w:t>by applying form postponement manufacturers hope to lower the amount of obsolete goods</w:t>
      </w:r>
      <w:sdt>
        <w:sdtPr>
          <w:rPr>
            <w:sz w:val="22"/>
            <w:szCs w:val="22"/>
          </w:rPr>
          <w:id w:val="6118947"/>
          <w:citation/>
        </w:sdtPr>
        <w:sdtContent>
          <w:r w:rsidR="00BD69D8">
            <w:rPr>
              <w:sz w:val="22"/>
              <w:szCs w:val="22"/>
            </w:rPr>
            <w:fldChar w:fldCharType="begin"/>
          </w:r>
          <w:r w:rsidR="007863B7">
            <w:rPr>
              <w:sz w:val="22"/>
              <w:szCs w:val="22"/>
            </w:rPr>
            <w:instrText xml:space="preserve"> CITATION Rab03 \l 1033 </w:instrText>
          </w:r>
          <w:r w:rsidR="00BD69D8">
            <w:rPr>
              <w:sz w:val="22"/>
              <w:szCs w:val="22"/>
            </w:rPr>
            <w:fldChar w:fldCharType="separate"/>
          </w:r>
          <w:r w:rsidR="00F26771">
            <w:rPr>
              <w:noProof/>
              <w:sz w:val="22"/>
              <w:szCs w:val="22"/>
            </w:rPr>
            <w:t xml:space="preserve"> </w:t>
          </w:r>
          <w:r w:rsidR="00F26771" w:rsidRPr="00F26771">
            <w:rPr>
              <w:noProof/>
              <w:sz w:val="22"/>
              <w:szCs w:val="22"/>
            </w:rPr>
            <w:t>(Rabinovich &amp; Evers, 2003)</w:t>
          </w:r>
          <w:r w:rsidR="00BD69D8">
            <w:rPr>
              <w:sz w:val="22"/>
              <w:szCs w:val="22"/>
            </w:rPr>
            <w:fldChar w:fldCharType="end"/>
          </w:r>
        </w:sdtContent>
      </w:sdt>
      <w:r w:rsidR="007863B7">
        <w:rPr>
          <w:sz w:val="22"/>
          <w:szCs w:val="22"/>
        </w:rPr>
        <w:t>.</w:t>
      </w:r>
      <w:r w:rsidR="00CF7F33">
        <w:rPr>
          <w:rFonts w:cs="AdvPS405B6"/>
          <w:sz w:val="22"/>
          <w:szCs w:val="22"/>
          <w:lang w:bidi="ar-SA"/>
        </w:rPr>
        <w:t xml:space="preserve"> </w:t>
      </w:r>
      <w:r w:rsidR="00CF7F33">
        <w:rPr>
          <w:sz w:val="22"/>
          <w:szCs w:val="22"/>
        </w:rPr>
        <w:t>T</w:t>
      </w:r>
      <w:r w:rsidR="00B521E2">
        <w:rPr>
          <w:sz w:val="22"/>
          <w:szCs w:val="22"/>
        </w:rPr>
        <w:t xml:space="preserve">ime postponement refers to the delaying of the forward movement of goods till </w:t>
      </w:r>
      <w:r w:rsidR="00A916A3">
        <w:rPr>
          <w:sz w:val="22"/>
          <w:szCs w:val="22"/>
        </w:rPr>
        <w:t xml:space="preserve">customer </w:t>
      </w:r>
      <w:r w:rsidR="00B521E2">
        <w:rPr>
          <w:sz w:val="22"/>
          <w:szCs w:val="22"/>
        </w:rPr>
        <w:t>orders have been received; place postponement is the positioning of inventories upstream thus in</w:t>
      </w:r>
      <w:r w:rsidR="00A916A3">
        <w:rPr>
          <w:sz w:val="22"/>
          <w:szCs w:val="22"/>
        </w:rPr>
        <w:t xml:space="preserve"> centralized manufacturing or distribution sites before continuing its </w:t>
      </w:r>
      <w:r w:rsidR="00A916A3">
        <w:rPr>
          <w:sz w:val="22"/>
          <w:szCs w:val="22"/>
        </w:rPr>
        <w:lastRenderedPageBreak/>
        <w:t>downstream voyage to the final customer. This system of postponed manufacturing and mass customization is 100% opposed to push systems in which goods are manufactured in expectation of future orders and are stored downstream the supply chain</w:t>
      </w:r>
      <w:r w:rsidR="00A916A3">
        <w:rPr>
          <w:noProof/>
          <w:sz w:val="22"/>
          <w:szCs w:val="22"/>
        </w:rPr>
        <w:t xml:space="preserve"> (van Hoek</w:t>
      </w:r>
      <w:r w:rsidR="00A916A3" w:rsidRPr="00A916A3">
        <w:rPr>
          <w:noProof/>
          <w:sz w:val="22"/>
          <w:szCs w:val="22"/>
        </w:rPr>
        <w:t>, 1997)</w:t>
      </w:r>
      <w:r w:rsidR="00A916A3">
        <w:rPr>
          <w:sz w:val="22"/>
          <w:szCs w:val="22"/>
        </w:rPr>
        <w:t>. Postponed manufacturing</w:t>
      </w:r>
      <w:r>
        <w:rPr>
          <w:sz w:val="22"/>
          <w:szCs w:val="22"/>
        </w:rPr>
        <w:t xml:space="preserve"> does hold </w:t>
      </w:r>
      <w:r w:rsidR="00A916A3">
        <w:rPr>
          <w:sz w:val="22"/>
          <w:szCs w:val="22"/>
        </w:rPr>
        <w:t>advantages over push systems since higher service levels and lower operating and inventory costs can be achieved</w:t>
      </w:r>
      <w:sdt>
        <w:sdtPr>
          <w:rPr>
            <w:sz w:val="22"/>
            <w:szCs w:val="22"/>
          </w:rPr>
          <w:id w:val="6118942"/>
          <w:citation/>
        </w:sdtPr>
        <w:sdtContent>
          <w:r w:rsidR="00BD69D8">
            <w:rPr>
              <w:sz w:val="22"/>
              <w:szCs w:val="22"/>
            </w:rPr>
            <w:fldChar w:fldCharType="begin"/>
          </w:r>
          <w:r w:rsidR="00A916A3">
            <w:rPr>
              <w:sz w:val="22"/>
              <w:szCs w:val="22"/>
            </w:rPr>
            <w:instrText xml:space="preserve"> CITATION Bow96 \t  \l 1033  </w:instrText>
          </w:r>
          <w:r w:rsidR="00BD69D8">
            <w:rPr>
              <w:sz w:val="22"/>
              <w:szCs w:val="22"/>
            </w:rPr>
            <w:fldChar w:fldCharType="separate"/>
          </w:r>
          <w:r w:rsidR="00F26771">
            <w:rPr>
              <w:noProof/>
              <w:sz w:val="22"/>
              <w:szCs w:val="22"/>
            </w:rPr>
            <w:t xml:space="preserve"> </w:t>
          </w:r>
          <w:r w:rsidR="00F26771" w:rsidRPr="00F26771">
            <w:rPr>
              <w:noProof/>
              <w:sz w:val="22"/>
              <w:szCs w:val="22"/>
            </w:rPr>
            <w:t>(Bowersox &amp; Closs, 1996)</w:t>
          </w:r>
          <w:r w:rsidR="00BD69D8">
            <w:rPr>
              <w:sz w:val="22"/>
              <w:szCs w:val="22"/>
            </w:rPr>
            <w:fldChar w:fldCharType="end"/>
          </w:r>
        </w:sdtContent>
      </w:sdt>
      <w:r w:rsidR="00A916A3">
        <w:rPr>
          <w:sz w:val="22"/>
          <w:szCs w:val="22"/>
        </w:rPr>
        <w:t xml:space="preserve">. </w:t>
      </w:r>
      <w:r w:rsidR="00E0711C">
        <w:rPr>
          <w:sz w:val="22"/>
          <w:szCs w:val="22"/>
        </w:rPr>
        <w:t>Summarizing, the ‘typical’ supply chain fo</w:t>
      </w:r>
      <w:r w:rsidR="00D75164">
        <w:rPr>
          <w:sz w:val="22"/>
          <w:szCs w:val="22"/>
        </w:rPr>
        <w:t>rmat is changing. As figure 13</w:t>
      </w:r>
      <w:r w:rsidR="00E0711C">
        <w:rPr>
          <w:sz w:val="22"/>
          <w:szCs w:val="22"/>
        </w:rPr>
        <w:t xml:space="preserve"> shows, manufacturing doesn’t just </w:t>
      </w:r>
      <w:r w:rsidR="000A1922">
        <w:rPr>
          <w:sz w:val="22"/>
          <w:szCs w:val="22"/>
        </w:rPr>
        <w:t>take</w:t>
      </w:r>
      <w:r w:rsidR="00E0711C">
        <w:rPr>
          <w:sz w:val="22"/>
          <w:szCs w:val="22"/>
        </w:rPr>
        <w:t xml:space="preserve"> place at the manufacturer, but also further downstream the supply chain</w:t>
      </w:r>
      <w:r w:rsidR="00C73319">
        <w:rPr>
          <w:sz w:val="22"/>
          <w:szCs w:val="22"/>
        </w:rPr>
        <w:t>, enabling the TPL provider to try and capture this busine</w:t>
      </w:r>
      <w:r w:rsidR="00D75164">
        <w:rPr>
          <w:sz w:val="22"/>
          <w:szCs w:val="22"/>
        </w:rPr>
        <w:t>ss</w:t>
      </w:r>
    </w:p>
    <w:p w:rsidR="00D75164" w:rsidRDefault="00D75164" w:rsidP="00E0711C">
      <w:pPr>
        <w:spacing w:line="360" w:lineRule="auto"/>
        <w:jc w:val="both"/>
        <w:rPr>
          <w:sz w:val="22"/>
          <w:szCs w:val="22"/>
        </w:rPr>
      </w:pPr>
      <w:r w:rsidRPr="00E0711C">
        <w:rPr>
          <w:noProof/>
          <w:sz w:val="22"/>
          <w:szCs w:val="22"/>
          <w:lang w:val="nl-NL" w:eastAsia="nl-NL" w:bidi="ar-SA"/>
        </w:rPr>
        <w:drawing>
          <wp:inline distT="0" distB="0" distL="0" distR="0">
            <wp:extent cx="5694990" cy="2800350"/>
            <wp:effectExtent l="19050" t="19050" r="20010" b="19050"/>
            <wp:docPr id="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srcRect/>
                    <a:stretch>
                      <a:fillRect/>
                    </a:stretch>
                  </pic:blipFill>
                  <pic:spPr bwMode="auto">
                    <a:xfrm>
                      <a:off x="0" y="0"/>
                      <a:ext cx="5694990" cy="2800350"/>
                    </a:xfrm>
                    <a:prstGeom prst="rect">
                      <a:avLst/>
                    </a:prstGeom>
                    <a:ln w="12700" cap="sq">
                      <a:solidFill>
                        <a:schemeClr val="accent1">
                          <a:lumMod val="75000"/>
                        </a:schemeClr>
                      </a:solidFill>
                      <a:prstDash val="solid"/>
                      <a:miter lim="800000"/>
                    </a:ln>
                    <a:effectLst/>
                  </pic:spPr>
                </pic:pic>
              </a:graphicData>
            </a:graphic>
          </wp:inline>
        </w:drawing>
      </w:r>
    </w:p>
    <w:p w:rsidR="00D75164" w:rsidRDefault="00D75164" w:rsidP="00D75164">
      <w:pPr>
        <w:pStyle w:val="Bijschrift"/>
        <w:jc w:val="center"/>
      </w:pPr>
      <w:r>
        <w:t>Figure 13</w:t>
      </w:r>
      <w:r w:rsidR="00E0711C">
        <w:t xml:space="preserve"> Changing supply chains</w:t>
      </w:r>
      <w:r w:rsidR="00FE7CAD">
        <w:t xml:space="preserve"> (source: Nijdam, 2011)</w:t>
      </w:r>
    </w:p>
    <w:p w:rsidR="00D75164" w:rsidRDefault="00D75164" w:rsidP="00D75164">
      <w:pPr>
        <w:rPr>
          <w:color w:val="365F91" w:themeColor="accent1" w:themeShade="BF"/>
          <w:sz w:val="16"/>
          <w:szCs w:val="16"/>
        </w:rPr>
      </w:pPr>
      <w:r>
        <w:br w:type="page"/>
      </w:r>
    </w:p>
    <w:p w:rsidR="004E4390" w:rsidRDefault="004E4390" w:rsidP="00D75164">
      <w:pPr>
        <w:pStyle w:val="Bijschrift"/>
        <w:jc w:val="center"/>
        <w:rPr>
          <w:sz w:val="22"/>
          <w:szCs w:val="22"/>
        </w:rPr>
      </w:pPr>
    </w:p>
    <w:p w:rsidR="0061416C" w:rsidRPr="00E0711C" w:rsidRDefault="004E4390" w:rsidP="00E0711C">
      <w:pPr>
        <w:autoSpaceDE w:val="0"/>
        <w:autoSpaceDN w:val="0"/>
        <w:adjustRightInd w:val="0"/>
        <w:spacing w:before="0" w:after="0" w:line="360" w:lineRule="auto"/>
        <w:jc w:val="center"/>
        <w:rPr>
          <w:sz w:val="22"/>
          <w:szCs w:val="22"/>
        </w:rPr>
      </w:pPr>
      <w:r w:rsidRPr="004E4390">
        <w:rPr>
          <w:noProof/>
          <w:sz w:val="22"/>
          <w:szCs w:val="22"/>
          <w:lang w:val="nl-NL" w:eastAsia="nl-NL" w:bidi="ar-SA"/>
        </w:rPr>
        <w:drawing>
          <wp:inline distT="0" distB="0" distL="0" distR="0">
            <wp:extent cx="4191000" cy="2331417"/>
            <wp:effectExtent l="19050" t="19050" r="19050" b="11733"/>
            <wp:docPr id="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print"/>
                    <a:srcRect/>
                    <a:stretch>
                      <a:fillRect/>
                    </a:stretch>
                  </pic:blipFill>
                  <pic:spPr bwMode="auto">
                    <a:xfrm>
                      <a:off x="0" y="0"/>
                      <a:ext cx="4191000" cy="2331417"/>
                    </a:xfrm>
                    <a:prstGeom prst="rect">
                      <a:avLst/>
                    </a:prstGeom>
                    <a:ln w="12700" cap="sq">
                      <a:solidFill>
                        <a:schemeClr val="accent1">
                          <a:lumMod val="75000"/>
                        </a:schemeClr>
                      </a:solidFill>
                      <a:prstDash val="solid"/>
                      <a:miter lim="800000"/>
                    </a:ln>
                    <a:effectLst/>
                  </pic:spPr>
                </pic:pic>
              </a:graphicData>
            </a:graphic>
          </wp:inline>
        </w:drawing>
      </w:r>
    </w:p>
    <w:p w:rsidR="0061416C" w:rsidRDefault="00D75164" w:rsidP="004E4390">
      <w:pPr>
        <w:pStyle w:val="Bijschrift"/>
        <w:jc w:val="center"/>
        <w:rPr>
          <w:sz w:val="22"/>
          <w:szCs w:val="22"/>
        </w:rPr>
      </w:pPr>
      <w:r>
        <w:t>Figure 14</w:t>
      </w:r>
      <w:r w:rsidR="004E4390">
        <w:t xml:space="preserve"> TPL providers’ shifting tasks in the supply chain</w:t>
      </w:r>
      <w:r w:rsidR="00FE7CAD">
        <w:t xml:space="preserve"> (source: Nijdam, 2011)</w:t>
      </w:r>
    </w:p>
    <w:p w:rsidR="00E0711C" w:rsidRDefault="00E0711C" w:rsidP="00E0711C">
      <w:pPr>
        <w:autoSpaceDE w:val="0"/>
        <w:autoSpaceDN w:val="0"/>
        <w:adjustRightInd w:val="0"/>
        <w:spacing w:before="0" w:line="360" w:lineRule="auto"/>
        <w:jc w:val="both"/>
        <w:rPr>
          <w:rFonts w:eastAsia="Times New Roman" w:cs="Arial"/>
          <w:color w:val="000000"/>
          <w:sz w:val="22"/>
          <w:szCs w:val="22"/>
          <w:lang w:eastAsia="nl-NL" w:bidi="ar-SA"/>
        </w:rPr>
      </w:pPr>
      <w:r>
        <w:rPr>
          <w:sz w:val="22"/>
          <w:szCs w:val="22"/>
        </w:rPr>
        <w:t>But what is the exact reason for the increased interest in postponement? Some believe the rise of e-business is a key driver</w:t>
      </w:r>
      <w:sdt>
        <w:sdtPr>
          <w:rPr>
            <w:sz w:val="22"/>
            <w:szCs w:val="22"/>
          </w:rPr>
          <w:id w:val="6118961"/>
          <w:citation/>
        </w:sdtPr>
        <w:sdtContent>
          <w:r w:rsidR="00BD69D8">
            <w:rPr>
              <w:sz w:val="22"/>
              <w:szCs w:val="22"/>
            </w:rPr>
            <w:fldChar w:fldCharType="begin"/>
          </w:r>
          <w:r>
            <w:rPr>
              <w:sz w:val="22"/>
              <w:szCs w:val="22"/>
            </w:rPr>
            <w:instrText xml:space="preserve"> CITATION Yan04 \l 1033 </w:instrText>
          </w:r>
          <w:r w:rsidR="00BD69D8">
            <w:rPr>
              <w:sz w:val="22"/>
              <w:szCs w:val="22"/>
            </w:rPr>
            <w:fldChar w:fldCharType="separate"/>
          </w:r>
          <w:r w:rsidR="00F26771">
            <w:rPr>
              <w:noProof/>
              <w:sz w:val="22"/>
              <w:szCs w:val="22"/>
            </w:rPr>
            <w:t xml:space="preserve"> </w:t>
          </w:r>
          <w:r w:rsidR="00F26771" w:rsidRPr="00F26771">
            <w:rPr>
              <w:noProof/>
              <w:sz w:val="22"/>
              <w:szCs w:val="22"/>
            </w:rPr>
            <w:t>(Yang, Burns, &amp; Backhouse, 2004)</w:t>
          </w:r>
          <w:r w:rsidR="00BD69D8">
            <w:rPr>
              <w:sz w:val="22"/>
              <w:szCs w:val="22"/>
            </w:rPr>
            <w:fldChar w:fldCharType="end"/>
          </w:r>
        </w:sdtContent>
      </w:sdt>
      <w:r>
        <w:rPr>
          <w:sz w:val="22"/>
          <w:szCs w:val="22"/>
        </w:rPr>
        <w:t>. But most like this evolution is caused by many factors, such as growth in competition, more product varieties, a shorter product life cycle and more demanding customers</w:t>
      </w:r>
      <w:sdt>
        <w:sdtPr>
          <w:rPr>
            <w:sz w:val="22"/>
            <w:szCs w:val="22"/>
          </w:rPr>
          <w:id w:val="6118962"/>
          <w:citation/>
        </w:sdtPr>
        <w:sdtContent>
          <w:r w:rsidR="00BD69D8">
            <w:rPr>
              <w:sz w:val="22"/>
              <w:szCs w:val="22"/>
            </w:rPr>
            <w:fldChar w:fldCharType="begin"/>
          </w:r>
          <w:r>
            <w:rPr>
              <w:sz w:val="22"/>
              <w:szCs w:val="22"/>
            </w:rPr>
            <w:instrText xml:space="preserve"> CITATION Boo07 \l 1033 </w:instrText>
          </w:r>
          <w:r w:rsidR="00BD69D8">
            <w:rPr>
              <w:sz w:val="22"/>
              <w:szCs w:val="22"/>
            </w:rPr>
            <w:fldChar w:fldCharType="separate"/>
          </w:r>
          <w:r w:rsidR="00F26771">
            <w:rPr>
              <w:noProof/>
              <w:sz w:val="22"/>
              <w:szCs w:val="22"/>
            </w:rPr>
            <w:t xml:space="preserve"> </w:t>
          </w:r>
          <w:r w:rsidR="00F26771" w:rsidRPr="00F26771">
            <w:rPr>
              <w:noProof/>
              <w:sz w:val="22"/>
              <w:szCs w:val="22"/>
            </w:rPr>
            <w:t>(Boone, Craighead, &amp; Hanna, 2007)</w:t>
          </w:r>
          <w:r w:rsidR="00BD69D8">
            <w:rPr>
              <w:sz w:val="22"/>
              <w:szCs w:val="22"/>
            </w:rPr>
            <w:fldChar w:fldCharType="end"/>
          </w:r>
        </w:sdtContent>
      </w:sdt>
      <w:r w:rsidR="00C73319">
        <w:rPr>
          <w:sz w:val="22"/>
          <w:szCs w:val="22"/>
        </w:rPr>
        <w:t xml:space="preserve">. </w:t>
      </w:r>
      <w:r>
        <w:rPr>
          <w:sz w:val="22"/>
          <w:szCs w:val="22"/>
        </w:rPr>
        <w:t xml:space="preserve">The interest of TPL providers for providing postponement driven services is clear. According to van Hoek (2000), </w:t>
      </w:r>
      <w:r w:rsidRPr="00873C16">
        <w:rPr>
          <w:sz w:val="22"/>
          <w:szCs w:val="22"/>
        </w:rPr>
        <w:t xml:space="preserve">TPL providers started offering customization services, </w:t>
      </w:r>
      <w:r w:rsidR="000A1922" w:rsidRPr="00873C16">
        <w:rPr>
          <w:sz w:val="22"/>
          <w:szCs w:val="22"/>
        </w:rPr>
        <w:t>since this</w:t>
      </w:r>
      <w:r w:rsidRPr="00873C16">
        <w:rPr>
          <w:sz w:val="22"/>
          <w:szCs w:val="22"/>
        </w:rPr>
        <w:t xml:space="preserve"> part of the supply chain has higher value-added activities and thus yields higher margins in comparison to distribution and storage. </w:t>
      </w:r>
      <w:r>
        <w:rPr>
          <w:sz w:val="22"/>
          <w:szCs w:val="22"/>
        </w:rPr>
        <w:t>This</w:t>
      </w:r>
      <w:r w:rsidR="00011D3E">
        <w:rPr>
          <w:sz w:val="22"/>
          <w:szCs w:val="22"/>
        </w:rPr>
        <w:t xml:space="preserve"> argumentation</w:t>
      </w:r>
      <w:r>
        <w:rPr>
          <w:sz w:val="22"/>
          <w:szCs w:val="22"/>
        </w:rPr>
        <w:t xml:space="preserve"> is </w:t>
      </w:r>
      <w:r w:rsidR="00D75164">
        <w:rPr>
          <w:sz w:val="22"/>
          <w:szCs w:val="22"/>
        </w:rPr>
        <w:t>graphically shown in figure 14</w:t>
      </w:r>
      <w:r>
        <w:rPr>
          <w:sz w:val="22"/>
          <w:szCs w:val="22"/>
        </w:rPr>
        <w:t>.</w:t>
      </w:r>
      <w:r w:rsidR="00011D3E">
        <w:rPr>
          <w:sz w:val="22"/>
          <w:szCs w:val="22"/>
        </w:rPr>
        <w:t xml:space="preserve"> </w:t>
      </w:r>
      <w:r w:rsidR="00FE7CAD">
        <w:rPr>
          <w:rFonts w:eastAsia="Times New Roman" w:cs="Arial"/>
          <w:color w:val="000000"/>
          <w:sz w:val="22"/>
          <w:szCs w:val="22"/>
          <w:lang w:eastAsia="nl-NL" w:bidi="ar-SA"/>
        </w:rPr>
        <w:t xml:space="preserve">According to this subchapter on TPL </w:t>
      </w:r>
      <w:r w:rsidR="000A1922">
        <w:rPr>
          <w:rFonts w:eastAsia="Times New Roman" w:cs="Arial"/>
          <w:color w:val="000000"/>
          <w:sz w:val="22"/>
          <w:szCs w:val="22"/>
          <w:lang w:eastAsia="nl-NL" w:bidi="ar-SA"/>
        </w:rPr>
        <w:t>providers’</w:t>
      </w:r>
      <w:r w:rsidR="00FE7CAD">
        <w:rPr>
          <w:rFonts w:eastAsia="Times New Roman" w:cs="Arial"/>
          <w:color w:val="000000"/>
          <w:sz w:val="22"/>
          <w:szCs w:val="22"/>
          <w:lang w:eastAsia="nl-NL" w:bidi="ar-SA"/>
        </w:rPr>
        <w:t xml:space="preserve"> greater influence on the supply chain, the following </w:t>
      </w:r>
      <w:r w:rsidR="00FE7CAD" w:rsidRPr="002F15A7">
        <w:rPr>
          <w:rFonts w:eastAsia="Times New Roman" w:cs="Arial"/>
          <w:color w:val="000000"/>
          <w:sz w:val="22"/>
          <w:szCs w:val="22"/>
          <w:lang w:eastAsia="nl-NL" w:bidi="ar-SA"/>
        </w:rPr>
        <w:t>sub-question</w:t>
      </w:r>
      <w:r w:rsidR="00FE7CAD">
        <w:rPr>
          <w:rFonts w:eastAsia="Times New Roman" w:cs="Arial"/>
          <w:color w:val="000000"/>
          <w:sz w:val="22"/>
          <w:szCs w:val="22"/>
          <w:lang w:eastAsia="nl-NL" w:bidi="ar-SA"/>
        </w:rPr>
        <w:t xml:space="preserve"> is</w:t>
      </w:r>
      <w:r w:rsidR="00FE7CAD" w:rsidRPr="002F15A7">
        <w:rPr>
          <w:rFonts w:eastAsia="Times New Roman" w:cs="Arial"/>
          <w:color w:val="000000"/>
          <w:sz w:val="22"/>
          <w:szCs w:val="22"/>
          <w:lang w:eastAsia="nl-NL" w:bidi="ar-SA"/>
        </w:rPr>
        <w:t xml:space="preserve"> formulated</w:t>
      </w:r>
      <w:r w:rsidR="00FE7CAD">
        <w:rPr>
          <w:rFonts w:eastAsia="Times New Roman" w:cs="Arial"/>
          <w:color w:val="000000"/>
          <w:sz w:val="22"/>
          <w:szCs w:val="22"/>
          <w:lang w:eastAsia="nl-NL" w:bidi="ar-SA"/>
        </w:rPr>
        <w:t>:</w:t>
      </w:r>
    </w:p>
    <w:tbl>
      <w:tblPr>
        <w:tblStyle w:val="Lichtearcering-accent6"/>
        <w:tblW w:w="0" w:type="auto"/>
        <w:tblLook w:val="04A0"/>
      </w:tblPr>
      <w:tblGrid>
        <w:gridCol w:w="9212"/>
      </w:tblGrid>
      <w:tr w:rsidR="0015512F" w:rsidTr="00D75164">
        <w:trPr>
          <w:cnfStyle w:val="100000000000"/>
        </w:trPr>
        <w:tc>
          <w:tcPr>
            <w:cnfStyle w:val="001000000000"/>
            <w:tcW w:w="9212" w:type="dxa"/>
          </w:tcPr>
          <w:p w:rsidR="0015512F" w:rsidRPr="00D75164" w:rsidRDefault="0015512F" w:rsidP="00D75164">
            <w:pPr>
              <w:autoSpaceDE w:val="0"/>
              <w:autoSpaceDN w:val="0"/>
              <w:adjustRightInd w:val="0"/>
              <w:spacing w:line="360" w:lineRule="auto"/>
              <w:jc w:val="center"/>
              <w:rPr>
                <w:rFonts w:asciiTheme="majorHAnsi" w:hAnsiTheme="majorHAnsi"/>
                <w:i/>
                <w:sz w:val="22"/>
                <w:szCs w:val="22"/>
              </w:rPr>
            </w:pPr>
            <w:r w:rsidRPr="00D75164">
              <w:rPr>
                <w:rFonts w:asciiTheme="majorHAnsi" w:hAnsiTheme="majorHAnsi"/>
                <w:i/>
                <w:sz w:val="22"/>
                <w:szCs w:val="22"/>
              </w:rPr>
              <w:t>‘’</w:t>
            </w:r>
            <w:r w:rsidR="00C73319" w:rsidRPr="00D75164">
              <w:rPr>
                <w:rFonts w:asciiTheme="majorHAnsi" w:hAnsiTheme="majorHAnsi"/>
                <w:i/>
                <w:sz w:val="22"/>
                <w:szCs w:val="22"/>
              </w:rPr>
              <w:t>How do TPL providers try to get hold of a larger part of the supply chain?’’</w:t>
            </w:r>
          </w:p>
        </w:tc>
      </w:tr>
    </w:tbl>
    <w:p w:rsidR="00FE7CAD" w:rsidRDefault="00FE7CAD" w:rsidP="00E0711C">
      <w:pPr>
        <w:autoSpaceDE w:val="0"/>
        <w:autoSpaceDN w:val="0"/>
        <w:adjustRightInd w:val="0"/>
        <w:spacing w:before="0" w:after="0" w:line="360" w:lineRule="auto"/>
        <w:jc w:val="both"/>
        <w:rPr>
          <w:sz w:val="22"/>
          <w:szCs w:val="22"/>
        </w:rPr>
      </w:pPr>
    </w:p>
    <w:p w:rsidR="0061416C" w:rsidRDefault="0061416C" w:rsidP="0061416C">
      <w:pPr>
        <w:autoSpaceDE w:val="0"/>
        <w:autoSpaceDN w:val="0"/>
        <w:adjustRightInd w:val="0"/>
        <w:spacing w:before="0" w:after="0" w:line="360" w:lineRule="auto"/>
        <w:jc w:val="both"/>
        <w:rPr>
          <w:sz w:val="22"/>
          <w:szCs w:val="22"/>
        </w:rPr>
      </w:pPr>
    </w:p>
    <w:p w:rsidR="0061416C" w:rsidRDefault="0061416C" w:rsidP="0061416C">
      <w:pPr>
        <w:autoSpaceDE w:val="0"/>
        <w:autoSpaceDN w:val="0"/>
        <w:adjustRightInd w:val="0"/>
        <w:spacing w:before="0" w:after="0" w:line="360" w:lineRule="auto"/>
        <w:jc w:val="both"/>
        <w:rPr>
          <w:sz w:val="22"/>
          <w:szCs w:val="22"/>
        </w:rPr>
      </w:pPr>
    </w:p>
    <w:p w:rsidR="0061416C" w:rsidRDefault="0061416C" w:rsidP="0061416C">
      <w:pPr>
        <w:autoSpaceDE w:val="0"/>
        <w:autoSpaceDN w:val="0"/>
        <w:adjustRightInd w:val="0"/>
        <w:spacing w:before="0" w:after="0" w:line="360" w:lineRule="auto"/>
        <w:jc w:val="both"/>
        <w:rPr>
          <w:sz w:val="22"/>
          <w:szCs w:val="22"/>
        </w:rPr>
      </w:pPr>
    </w:p>
    <w:p w:rsidR="0061416C" w:rsidRDefault="0061416C" w:rsidP="0061416C">
      <w:pPr>
        <w:autoSpaceDE w:val="0"/>
        <w:autoSpaceDN w:val="0"/>
        <w:adjustRightInd w:val="0"/>
        <w:spacing w:before="0" w:after="0" w:line="360" w:lineRule="auto"/>
        <w:jc w:val="both"/>
        <w:rPr>
          <w:sz w:val="22"/>
          <w:szCs w:val="22"/>
        </w:rPr>
      </w:pPr>
    </w:p>
    <w:p w:rsidR="0061416C" w:rsidRDefault="0061416C" w:rsidP="0061416C">
      <w:pPr>
        <w:autoSpaceDE w:val="0"/>
        <w:autoSpaceDN w:val="0"/>
        <w:adjustRightInd w:val="0"/>
        <w:spacing w:before="0" w:after="0" w:line="360" w:lineRule="auto"/>
        <w:jc w:val="both"/>
        <w:rPr>
          <w:sz w:val="22"/>
          <w:szCs w:val="22"/>
        </w:rPr>
      </w:pPr>
    </w:p>
    <w:p w:rsidR="001F584F" w:rsidRDefault="001F584F" w:rsidP="001F584F">
      <w:pPr>
        <w:keepNext/>
        <w:spacing w:line="360" w:lineRule="auto"/>
        <w:jc w:val="both"/>
      </w:pPr>
    </w:p>
    <w:p w:rsidR="0032720D" w:rsidRPr="00A4285F" w:rsidRDefault="0032720D" w:rsidP="002F2766">
      <w:pPr>
        <w:rPr>
          <w:rFonts w:asciiTheme="majorHAnsi" w:hAnsiTheme="majorHAnsi"/>
        </w:rPr>
      </w:pPr>
    </w:p>
    <w:p w:rsidR="000A6BDF" w:rsidRDefault="000A6BDF">
      <w:pPr>
        <w:rPr>
          <w:rFonts w:asciiTheme="majorHAnsi" w:hAnsiTheme="majorHAnsi"/>
        </w:rPr>
      </w:pPr>
    </w:p>
    <w:p w:rsidR="00D75164" w:rsidRDefault="00D75164">
      <w:pPr>
        <w:rPr>
          <w:rFonts w:asciiTheme="majorHAnsi" w:hAnsiTheme="majorHAnsi"/>
          <w:b/>
          <w:bCs/>
          <w:caps/>
          <w:color w:val="FFFFFF" w:themeColor="background1"/>
          <w:spacing w:val="15"/>
          <w:sz w:val="22"/>
          <w:szCs w:val="22"/>
        </w:rPr>
      </w:pPr>
    </w:p>
    <w:p w:rsidR="00C467D1" w:rsidRPr="009315AD" w:rsidRDefault="00590513" w:rsidP="00590513">
      <w:pPr>
        <w:pStyle w:val="Kop1"/>
        <w:numPr>
          <w:ilvl w:val="0"/>
          <w:numId w:val="13"/>
        </w:numPr>
        <w:rPr>
          <w:rFonts w:asciiTheme="majorHAnsi" w:hAnsiTheme="majorHAnsi"/>
        </w:rPr>
      </w:pPr>
      <w:bookmarkStart w:id="24" w:name="_Toc300411997"/>
      <w:r w:rsidRPr="009315AD">
        <w:rPr>
          <w:rFonts w:asciiTheme="majorHAnsi" w:hAnsiTheme="majorHAnsi"/>
        </w:rPr>
        <w:lastRenderedPageBreak/>
        <w:t>METHODOLOGY</w:t>
      </w:r>
      <w:bookmarkEnd w:id="20"/>
      <w:bookmarkEnd w:id="24"/>
    </w:p>
    <w:p w:rsidR="00590513" w:rsidRPr="00B21F51" w:rsidRDefault="00B21F51" w:rsidP="00B21F51">
      <w:pPr>
        <w:spacing w:line="360" w:lineRule="auto"/>
        <w:jc w:val="both"/>
        <w:rPr>
          <w:sz w:val="22"/>
          <w:szCs w:val="22"/>
        </w:rPr>
      </w:pPr>
      <w:r w:rsidRPr="00B21F51">
        <w:rPr>
          <w:sz w:val="22"/>
          <w:szCs w:val="22"/>
        </w:rPr>
        <w:t>After explaining the setting and framework of this research, this chapter describes the method of data collection and data analysis. In this way, the results of this research can be correctly interpreted.</w:t>
      </w:r>
    </w:p>
    <w:p w:rsidR="00482A72" w:rsidRPr="000A65D6" w:rsidRDefault="00AE2BA0" w:rsidP="00AE2BA0">
      <w:pPr>
        <w:pStyle w:val="Kop2"/>
        <w:numPr>
          <w:ilvl w:val="1"/>
          <w:numId w:val="13"/>
        </w:numPr>
        <w:rPr>
          <w:rFonts w:asciiTheme="majorHAnsi" w:hAnsiTheme="majorHAnsi"/>
        </w:rPr>
      </w:pPr>
      <w:bookmarkStart w:id="25" w:name="_Toc300411998"/>
      <w:r w:rsidRPr="000A65D6">
        <w:rPr>
          <w:rFonts w:asciiTheme="majorHAnsi" w:hAnsiTheme="majorHAnsi"/>
        </w:rPr>
        <w:t>Setting and framework of the research</w:t>
      </w:r>
      <w:bookmarkEnd w:id="25"/>
    </w:p>
    <w:p w:rsidR="00482A72" w:rsidRPr="009D0917" w:rsidRDefault="009D0917" w:rsidP="00482A72">
      <w:pPr>
        <w:spacing w:line="360" w:lineRule="auto"/>
        <w:jc w:val="both"/>
        <w:rPr>
          <w:rFonts w:eastAsia="Times New Roman" w:cs="Arial"/>
          <w:color w:val="000000"/>
          <w:sz w:val="22"/>
          <w:szCs w:val="22"/>
          <w:lang w:eastAsia="nl-NL" w:bidi="ar-SA"/>
        </w:rPr>
      </w:pPr>
      <w:r>
        <w:rPr>
          <w:sz w:val="22"/>
          <w:szCs w:val="22"/>
        </w:rPr>
        <w:t xml:space="preserve">As mentioned before, after studying </w:t>
      </w:r>
      <w:r w:rsidRPr="006D2978">
        <w:rPr>
          <w:sz w:val="22"/>
          <w:szCs w:val="22"/>
        </w:rPr>
        <w:t>business</w:t>
      </w:r>
      <w:r w:rsidRPr="00560CD8">
        <w:rPr>
          <w:sz w:val="22"/>
          <w:szCs w:val="22"/>
        </w:rPr>
        <w:t xml:space="preserve"> logistics and supply chain management literature</w:t>
      </w:r>
      <w:r>
        <w:rPr>
          <w:sz w:val="22"/>
          <w:szCs w:val="22"/>
        </w:rPr>
        <w:t>,</w:t>
      </w:r>
      <w:r w:rsidRPr="009D0917">
        <w:rPr>
          <w:sz w:val="22"/>
          <w:szCs w:val="22"/>
        </w:rPr>
        <w:t xml:space="preserve"> </w:t>
      </w:r>
      <w:r>
        <w:rPr>
          <w:sz w:val="22"/>
          <w:szCs w:val="22"/>
        </w:rPr>
        <w:t xml:space="preserve">various sub-questions arose. These sub-questions give answer to the research-question, all from a different angle. </w:t>
      </w:r>
      <w:r>
        <w:rPr>
          <w:rFonts w:eastAsia="Times New Roman" w:cs="Arial"/>
          <w:color w:val="000000"/>
          <w:sz w:val="22"/>
          <w:szCs w:val="22"/>
          <w:lang w:eastAsia="nl-NL" w:bidi="ar-SA"/>
        </w:rPr>
        <w:t>T</w:t>
      </w:r>
      <w:r w:rsidR="00482A72">
        <w:rPr>
          <w:sz w:val="22"/>
          <w:szCs w:val="22"/>
        </w:rPr>
        <w:t>his part</w:t>
      </w:r>
      <w:r w:rsidR="00482A72" w:rsidRPr="00BB61C1">
        <w:rPr>
          <w:sz w:val="22"/>
          <w:szCs w:val="22"/>
        </w:rPr>
        <w:t xml:space="preserve"> consist</w:t>
      </w:r>
      <w:r w:rsidR="00482A72">
        <w:rPr>
          <w:sz w:val="22"/>
          <w:szCs w:val="22"/>
        </w:rPr>
        <w:t>s</w:t>
      </w:r>
      <w:r w:rsidR="00075370">
        <w:rPr>
          <w:sz w:val="22"/>
          <w:szCs w:val="22"/>
        </w:rPr>
        <w:t xml:space="preserve"> of the survey</w:t>
      </w:r>
      <w:r w:rsidR="00482A72" w:rsidRPr="00BB61C1">
        <w:rPr>
          <w:sz w:val="22"/>
          <w:szCs w:val="22"/>
        </w:rPr>
        <w:t xml:space="preserve"> framework</w:t>
      </w:r>
      <w:r w:rsidR="00482A72">
        <w:rPr>
          <w:sz w:val="22"/>
          <w:szCs w:val="22"/>
        </w:rPr>
        <w:t>,</w:t>
      </w:r>
      <w:r w:rsidR="00482A72" w:rsidRPr="00BB61C1">
        <w:rPr>
          <w:sz w:val="22"/>
          <w:szCs w:val="22"/>
        </w:rPr>
        <w:t xml:space="preserve"> which </w:t>
      </w:r>
      <w:r w:rsidR="00482A72">
        <w:rPr>
          <w:sz w:val="22"/>
          <w:szCs w:val="22"/>
        </w:rPr>
        <w:t>is sc</w:t>
      </w:r>
      <w:r w:rsidR="00075370">
        <w:rPr>
          <w:sz w:val="22"/>
          <w:szCs w:val="22"/>
        </w:rPr>
        <w:t>hematically shown in figure 15</w:t>
      </w:r>
      <w:r w:rsidR="00482A72">
        <w:rPr>
          <w:sz w:val="22"/>
          <w:szCs w:val="22"/>
        </w:rPr>
        <w:t>. B</w:t>
      </w:r>
      <w:r w:rsidR="00482A72" w:rsidRPr="00BB61C1">
        <w:rPr>
          <w:sz w:val="22"/>
          <w:szCs w:val="22"/>
        </w:rPr>
        <w:t xml:space="preserve">y </w:t>
      </w:r>
      <w:r w:rsidR="00482A72">
        <w:rPr>
          <w:sz w:val="22"/>
          <w:szCs w:val="22"/>
        </w:rPr>
        <w:t>answering</w:t>
      </w:r>
      <w:r w:rsidR="00482A72" w:rsidRPr="00BB61C1">
        <w:rPr>
          <w:sz w:val="22"/>
          <w:szCs w:val="22"/>
        </w:rPr>
        <w:t xml:space="preserve"> the </w:t>
      </w:r>
      <w:r w:rsidR="00482A72">
        <w:rPr>
          <w:sz w:val="22"/>
          <w:szCs w:val="22"/>
        </w:rPr>
        <w:t>various sub-questions</w:t>
      </w:r>
      <w:r>
        <w:rPr>
          <w:sz w:val="22"/>
          <w:szCs w:val="22"/>
        </w:rPr>
        <w:t>, discussed within the theoretical framework</w:t>
      </w:r>
      <w:r w:rsidR="00482A72">
        <w:rPr>
          <w:sz w:val="22"/>
          <w:szCs w:val="22"/>
        </w:rPr>
        <w:t>, the answer to the question how Dutch TPL providers develop their business will be found. To summarize</w:t>
      </w:r>
      <w:r w:rsidR="00482A72" w:rsidRPr="00BB61C1">
        <w:rPr>
          <w:sz w:val="22"/>
          <w:szCs w:val="22"/>
        </w:rPr>
        <w:t xml:space="preserve">, this </w:t>
      </w:r>
      <w:r w:rsidR="00075370">
        <w:rPr>
          <w:sz w:val="22"/>
          <w:szCs w:val="22"/>
        </w:rPr>
        <w:t>survey</w:t>
      </w:r>
      <w:r w:rsidR="00482A72" w:rsidRPr="00BB61C1">
        <w:rPr>
          <w:sz w:val="22"/>
          <w:szCs w:val="22"/>
        </w:rPr>
        <w:t xml:space="preserve"> framework form</w:t>
      </w:r>
      <w:r w:rsidR="008A785C">
        <w:rPr>
          <w:sz w:val="22"/>
          <w:szCs w:val="22"/>
        </w:rPr>
        <w:t>s</w:t>
      </w:r>
      <w:r w:rsidR="00482A72" w:rsidRPr="00BB61C1">
        <w:rPr>
          <w:sz w:val="22"/>
          <w:szCs w:val="22"/>
        </w:rPr>
        <w:t xml:space="preserve"> the basis for understanding the development of</w:t>
      </w:r>
      <w:r w:rsidR="00482A72">
        <w:rPr>
          <w:sz w:val="22"/>
          <w:szCs w:val="22"/>
        </w:rPr>
        <w:t xml:space="preserve"> TPL providers. </w:t>
      </w:r>
    </w:p>
    <w:p w:rsidR="00482A72" w:rsidRDefault="00482A72" w:rsidP="00590513">
      <w:r w:rsidRPr="00482A72">
        <w:rPr>
          <w:noProof/>
          <w:lang w:val="nl-NL" w:eastAsia="nl-NL" w:bidi="ar-SA"/>
        </w:rPr>
        <w:drawing>
          <wp:inline distT="0" distB="0" distL="0" distR="0">
            <wp:extent cx="5334000" cy="5400675"/>
            <wp:effectExtent l="0" t="19050" r="76200" b="9525"/>
            <wp:docPr id="14"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rsidR="00482A72" w:rsidRDefault="00075370" w:rsidP="00482A72">
      <w:pPr>
        <w:pStyle w:val="Bijschrift"/>
        <w:jc w:val="center"/>
      </w:pPr>
      <w:r>
        <w:t>Figure 15</w:t>
      </w:r>
      <w:r w:rsidR="00482A72">
        <w:t xml:space="preserve"> Schema</w:t>
      </w:r>
      <w:r>
        <w:t>tic representation of the survey</w:t>
      </w:r>
      <w:r w:rsidR="00482A72">
        <w:t xml:space="preserve"> framework</w:t>
      </w:r>
    </w:p>
    <w:p w:rsidR="009D0917" w:rsidRPr="000A65D6" w:rsidRDefault="000225C5" w:rsidP="003A4CEB">
      <w:pPr>
        <w:pStyle w:val="Kop2"/>
        <w:numPr>
          <w:ilvl w:val="1"/>
          <w:numId w:val="13"/>
        </w:numPr>
        <w:rPr>
          <w:rFonts w:asciiTheme="majorHAnsi" w:hAnsiTheme="majorHAnsi"/>
        </w:rPr>
      </w:pPr>
      <w:bookmarkStart w:id="26" w:name="_Toc300411999"/>
      <w:r w:rsidRPr="000A65D6">
        <w:rPr>
          <w:rFonts w:asciiTheme="majorHAnsi" w:hAnsiTheme="majorHAnsi"/>
        </w:rPr>
        <w:lastRenderedPageBreak/>
        <w:t>Method of data collection</w:t>
      </w:r>
      <w:bookmarkEnd w:id="26"/>
    </w:p>
    <w:p w:rsidR="00DC3B10" w:rsidRDefault="00DC3B10" w:rsidP="00DC3B10">
      <w:pPr>
        <w:spacing w:line="360" w:lineRule="auto"/>
        <w:jc w:val="both"/>
        <w:textAlignment w:val="top"/>
        <w:rPr>
          <w:rFonts w:eastAsia="Times New Roman" w:cs="Arial"/>
          <w:sz w:val="22"/>
          <w:szCs w:val="22"/>
          <w:lang w:eastAsia="nl-NL" w:bidi="ar-SA"/>
        </w:rPr>
      </w:pPr>
      <w:r>
        <w:rPr>
          <w:sz w:val="22"/>
          <w:szCs w:val="22"/>
        </w:rPr>
        <w:t>To give answer to the various sub-questions discussed within the theoretical frame</w:t>
      </w:r>
      <w:r w:rsidR="00312F7B">
        <w:rPr>
          <w:sz w:val="22"/>
          <w:szCs w:val="22"/>
        </w:rPr>
        <w:t>work, a survey was conducted. A</w:t>
      </w:r>
      <w:r>
        <w:rPr>
          <w:sz w:val="22"/>
          <w:szCs w:val="22"/>
        </w:rPr>
        <w:t xml:space="preserve"> questionnaire was developed, consisting of fifteen statements and twenty-eight closed questions.</w:t>
      </w:r>
      <w:r w:rsidRPr="00DC3B10">
        <w:rPr>
          <w:rFonts w:ascii="Arial" w:eastAsia="Times New Roman" w:hAnsi="Arial" w:cs="Arial"/>
          <w:color w:val="888888"/>
          <w:lang w:eastAsia="nl-NL" w:bidi="ar-SA"/>
        </w:rPr>
        <w:t xml:space="preserve"> </w:t>
      </w:r>
      <w:r w:rsidR="00A41E82">
        <w:rPr>
          <w:rFonts w:eastAsia="Times New Roman" w:cs="Arial"/>
          <w:sz w:val="22"/>
          <w:szCs w:val="22"/>
          <w:lang w:eastAsia="nl-NL" w:bidi="ar-SA"/>
        </w:rPr>
        <w:t>The questionnaire is</w:t>
      </w:r>
      <w:r w:rsidRPr="00DC3B10">
        <w:rPr>
          <w:rFonts w:eastAsia="Times New Roman" w:cs="Arial"/>
          <w:sz w:val="22"/>
          <w:szCs w:val="22"/>
          <w:lang w:eastAsia="nl-NL" w:bidi="ar-SA"/>
        </w:rPr>
        <w:t xml:space="preserve"> designed so that each sub-question can be answered using the questionnaire responses</w:t>
      </w:r>
      <w:r>
        <w:rPr>
          <w:rFonts w:eastAsia="Times New Roman" w:cs="Arial"/>
          <w:sz w:val="22"/>
          <w:szCs w:val="22"/>
          <w:lang w:eastAsia="nl-NL" w:bidi="ar-SA"/>
        </w:rPr>
        <w:t>. Because the main goal of this research is to describe how Dutch TPL providers develop their business</w:t>
      </w:r>
      <w:r w:rsidR="009A67D3">
        <w:rPr>
          <w:rFonts w:eastAsia="Times New Roman" w:cs="Arial"/>
          <w:sz w:val="22"/>
          <w:szCs w:val="22"/>
          <w:lang w:eastAsia="nl-NL" w:bidi="ar-SA"/>
        </w:rPr>
        <w:t xml:space="preserve">, </w:t>
      </w:r>
      <w:r>
        <w:rPr>
          <w:rFonts w:eastAsia="Times New Roman" w:cs="Arial"/>
          <w:sz w:val="22"/>
          <w:szCs w:val="22"/>
          <w:lang w:eastAsia="nl-NL" w:bidi="ar-SA"/>
        </w:rPr>
        <w:t xml:space="preserve">the aim was to </w:t>
      </w:r>
      <w:r w:rsidR="00312F7B">
        <w:rPr>
          <w:rFonts w:eastAsia="Times New Roman" w:cs="Arial"/>
          <w:sz w:val="22"/>
          <w:szCs w:val="22"/>
          <w:lang w:eastAsia="nl-NL" w:bidi="ar-SA"/>
        </w:rPr>
        <w:t>collec</w:t>
      </w:r>
      <w:r w:rsidR="00545908">
        <w:rPr>
          <w:rFonts w:eastAsia="Times New Roman" w:cs="Arial"/>
          <w:sz w:val="22"/>
          <w:szCs w:val="22"/>
          <w:lang w:eastAsia="nl-NL" w:bidi="ar-SA"/>
        </w:rPr>
        <w:t>t as much responses from Dutch T</w:t>
      </w:r>
      <w:r w:rsidR="00312F7B">
        <w:rPr>
          <w:rFonts w:eastAsia="Times New Roman" w:cs="Arial"/>
          <w:sz w:val="22"/>
          <w:szCs w:val="22"/>
          <w:lang w:eastAsia="nl-NL" w:bidi="ar-SA"/>
        </w:rPr>
        <w:t>P</w:t>
      </w:r>
      <w:r w:rsidR="009A67D3">
        <w:rPr>
          <w:rFonts w:eastAsia="Times New Roman" w:cs="Arial"/>
          <w:sz w:val="22"/>
          <w:szCs w:val="22"/>
          <w:lang w:eastAsia="nl-NL" w:bidi="ar-SA"/>
        </w:rPr>
        <w:t>L providers as possible. Because of the wide scope of the research, the most appropriate research method seemed to be an (online) questionnaire. Obtaining data through an online questionnaire holds many advantages. It is, for example, fast, cheap, user friendly (for both the respondents as for the researcher)</w:t>
      </w:r>
      <w:r w:rsidR="003124FB">
        <w:rPr>
          <w:rFonts w:eastAsia="Times New Roman" w:cs="Arial"/>
          <w:sz w:val="22"/>
          <w:szCs w:val="22"/>
          <w:lang w:eastAsia="nl-NL" w:bidi="ar-SA"/>
        </w:rPr>
        <w:t xml:space="preserve">, it’s possible to establish relatively long questionnaires </w:t>
      </w:r>
      <w:r w:rsidR="009A67D3">
        <w:rPr>
          <w:rFonts w:eastAsia="Times New Roman" w:cs="Arial"/>
          <w:sz w:val="22"/>
          <w:szCs w:val="22"/>
          <w:lang w:eastAsia="nl-NL" w:bidi="ar-SA"/>
        </w:rPr>
        <w:t xml:space="preserve">and the responses are fast processed and analyzed. </w:t>
      </w:r>
      <w:r w:rsidR="00C324BF">
        <w:rPr>
          <w:rFonts w:eastAsia="Times New Roman" w:cs="Arial"/>
          <w:sz w:val="22"/>
          <w:szCs w:val="22"/>
          <w:lang w:eastAsia="nl-NL" w:bidi="ar-SA"/>
        </w:rPr>
        <w:t xml:space="preserve">Besides that, the anonymity of the respondent is safeguarded: sensitive commercial information concerning business strategy will remain confidential. </w:t>
      </w:r>
      <w:r w:rsidR="003124FB">
        <w:rPr>
          <w:rFonts w:eastAsia="Times New Roman" w:cs="Arial"/>
          <w:sz w:val="22"/>
          <w:szCs w:val="22"/>
          <w:lang w:eastAsia="nl-NL" w:bidi="ar-SA"/>
        </w:rPr>
        <w:t xml:space="preserve">These advantages outweigh the disadvantage of not having the possibility to ask for more in-depth information. </w:t>
      </w:r>
      <w:r w:rsidR="00ED6483">
        <w:rPr>
          <w:rFonts w:eastAsia="Times New Roman" w:cs="Arial"/>
          <w:sz w:val="22"/>
          <w:szCs w:val="22"/>
          <w:lang w:eastAsia="nl-NL" w:bidi="ar-SA"/>
        </w:rPr>
        <w:t xml:space="preserve"> Conducting in depth interviews was considered, but put aside since no general conclusions can be drawn about the entire target group by applying this research method</w:t>
      </w:r>
      <w:r w:rsidR="00A41E82">
        <w:rPr>
          <w:rFonts w:eastAsia="Times New Roman" w:cs="Arial"/>
          <w:sz w:val="22"/>
          <w:szCs w:val="22"/>
          <w:lang w:eastAsia="nl-NL" w:bidi="ar-SA"/>
        </w:rPr>
        <w:t>. T</w:t>
      </w:r>
      <w:r w:rsidR="00A8211B">
        <w:rPr>
          <w:rFonts w:eastAsia="Times New Roman" w:cs="Arial"/>
          <w:sz w:val="22"/>
          <w:szCs w:val="22"/>
          <w:lang w:eastAsia="nl-NL" w:bidi="ar-SA"/>
        </w:rPr>
        <w:t xml:space="preserve">his way of data collection would </w:t>
      </w:r>
      <w:r w:rsidR="00A41E82">
        <w:rPr>
          <w:rFonts w:eastAsia="Times New Roman" w:cs="Arial"/>
          <w:sz w:val="22"/>
          <w:szCs w:val="22"/>
          <w:lang w:eastAsia="nl-NL" w:bidi="ar-SA"/>
        </w:rPr>
        <w:t xml:space="preserve">also </w:t>
      </w:r>
      <w:r w:rsidR="00A8211B">
        <w:rPr>
          <w:rFonts w:eastAsia="Times New Roman" w:cs="Arial"/>
          <w:sz w:val="22"/>
          <w:szCs w:val="22"/>
          <w:lang w:eastAsia="nl-NL" w:bidi="ar-SA"/>
        </w:rPr>
        <w:t>have cost too much time.</w:t>
      </w:r>
      <w:r w:rsidR="00ED6483">
        <w:rPr>
          <w:rFonts w:eastAsia="Times New Roman" w:cs="Arial"/>
          <w:sz w:val="22"/>
          <w:szCs w:val="22"/>
          <w:lang w:eastAsia="nl-NL" w:bidi="ar-SA"/>
        </w:rPr>
        <w:t xml:space="preserve"> </w:t>
      </w:r>
      <w:r w:rsidR="00A8211B">
        <w:rPr>
          <w:rFonts w:eastAsia="Times New Roman" w:cs="Arial"/>
          <w:sz w:val="22"/>
          <w:szCs w:val="22"/>
          <w:lang w:eastAsia="nl-NL" w:bidi="ar-SA"/>
        </w:rPr>
        <w:t>Conducting telephonic research was also considered, but this method was rejected since this method is more suitable for relatively easy questions and short questionnaires</w:t>
      </w:r>
      <w:r w:rsidR="00A41E82">
        <w:rPr>
          <w:rFonts w:eastAsia="Times New Roman" w:cs="Arial"/>
          <w:sz w:val="22"/>
          <w:szCs w:val="22"/>
          <w:lang w:eastAsia="nl-NL" w:bidi="ar-SA"/>
        </w:rPr>
        <w:t xml:space="preserve"> and because of the causation of irritation</w:t>
      </w:r>
      <w:r w:rsidR="00A8211B">
        <w:rPr>
          <w:rFonts w:eastAsia="Times New Roman" w:cs="Arial"/>
          <w:sz w:val="22"/>
          <w:szCs w:val="22"/>
          <w:lang w:eastAsia="nl-NL" w:bidi="ar-SA"/>
        </w:rPr>
        <w:t xml:space="preserve"> </w:t>
      </w:r>
      <w:r w:rsidR="00A41E82">
        <w:rPr>
          <w:rFonts w:eastAsia="Times New Roman" w:cs="Arial"/>
          <w:sz w:val="22"/>
          <w:szCs w:val="22"/>
          <w:lang w:eastAsia="nl-NL" w:bidi="ar-SA"/>
        </w:rPr>
        <w:t>by the target respondents about this research method. Summarizing, obtaining data through an online questionnaire seemed the most suitable for this research. A</w:t>
      </w:r>
      <w:r w:rsidR="003124FB">
        <w:rPr>
          <w:rFonts w:eastAsia="Times New Roman" w:cs="Arial"/>
          <w:sz w:val="22"/>
          <w:szCs w:val="22"/>
          <w:lang w:eastAsia="nl-NL" w:bidi="ar-SA"/>
        </w:rPr>
        <w:t xml:space="preserve"> disadvantage of the </w:t>
      </w:r>
      <w:r w:rsidR="00ED6483">
        <w:rPr>
          <w:rFonts w:eastAsia="Times New Roman" w:cs="Arial"/>
          <w:sz w:val="22"/>
          <w:szCs w:val="22"/>
          <w:lang w:eastAsia="nl-NL" w:bidi="ar-SA"/>
        </w:rPr>
        <w:t xml:space="preserve">chosen </w:t>
      </w:r>
      <w:r w:rsidR="003124FB">
        <w:rPr>
          <w:rFonts w:eastAsia="Times New Roman" w:cs="Arial"/>
          <w:sz w:val="22"/>
          <w:szCs w:val="22"/>
          <w:lang w:eastAsia="nl-NL" w:bidi="ar-SA"/>
        </w:rPr>
        <w:t>research method is the relatively low response rate, but this was</w:t>
      </w:r>
      <w:r w:rsidR="00C9475E">
        <w:rPr>
          <w:rFonts w:eastAsia="Times New Roman" w:cs="Arial"/>
          <w:sz w:val="22"/>
          <w:szCs w:val="22"/>
          <w:lang w:eastAsia="nl-NL" w:bidi="ar-SA"/>
        </w:rPr>
        <w:t xml:space="preserve"> partially offset by sending a part of the respondents, which will be discussed later on, a paper version of the questionnaire accompanied by a covering letter and reply envelope. </w:t>
      </w:r>
      <w:r w:rsidR="00A8211B">
        <w:rPr>
          <w:rFonts w:eastAsia="Times New Roman" w:cs="Arial"/>
          <w:sz w:val="22"/>
          <w:szCs w:val="22"/>
          <w:lang w:eastAsia="nl-NL" w:bidi="ar-SA"/>
        </w:rPr>
        <w:t>The paper version of the Dutch questionnaire including the covering letter can be found in appendix 1.</w:t>
      </w:r>
    </w:p>
    <w:p w:rsidR="00BB563A" w:rsidRDefault="00F4571F" w:rsidP="00DC3B10">
      <w:pPr>
        <w:spacing w:line="360" w:lineRule="auto"/>
        <w:jc w:val="both"/>
        <w:textAlignment w:val="top"/>
        <w:rPr>
          <w:rFonts w:eastAsia="Times New Roman" w:cs="Arial"/>
          <w:sz w:val="22"/>
          <w:szCs w:val="22"/>
          <w:lang w:eastAsia="nl-NL" w:bidi="ar-SA"/>
        </w:rPr>
      </w:pPr>
      <w:r>
        <w:rPr>
          <w:rFonts w:eastAsia="Times New Roman" w:cs="Arial"/>
          <w:sz w:val="22"/>
          <w:szCs w:val="22"/>
          <w:lang w:eastAsia="nl-NL" w:bidi="ar-SA"/>
        </w:rPr>
        <w:t xml:space="preserve">The goal was to maximize the number of respondents, since the more respondents, the more value can be attached to the research results. To obtain as much response as possible, the appropriate companies should be </w:t>
      </w:r>
      <w:r w:rsidR="00ED0353">
        <w:rPr>
          <w:rFonts w:eastAsia="Times New Roman" w:cs="Arial"/>
          <w:sz w:val="22"/>
          <w:szCs w:val="22"/>
          <w:lang w:eastAsia="nl-NL" w:bidi="ar-SA"/>
        </w:rPr>
        <w:t xml:space="preserve">noticed.  I thought the best way to get some attention for the research was by trying to get help from Transport and Logistics Netherlands (hereinafter TLN). </w:t>
      </w:r>
      <w:r w:rsidR="002752F8">
        <w:rPr>
          <w:rFonts w:eastAsia="Times New Roman" w:cs="Arial"/>
          <w:sz w:val="22"/>
          <w:szCs w:val="22"/>
          <w:lang w:eastAsia="nl-NL" w:bidi="ar-SA"/>
        </w:rPr>
        <w:t>TLN is</w:t>
      </w:r>
      <w:r w:rsidR="00ED0353">
        <w:rPr>
          <w:rFonts w:eastAsia="Times New Roman" w:cs="Arial"/>
          <w:sz w:val="22"/>
          <w:szCs w:val="22"/>
          <w:lang w:eastAsia="nl-NL" w:bidi="ar-SA"/>
        </w:rPr>
        <w:t xml:space="preserve"> the largest and leading advocate/interest group in the freight and logistics services. TLN represents more than 6.000 of its members interests</w:t>
      </w:r>
      <w:sdt>
        <w:sdtPr>
          <w:rPr>
            <w:rFonts w:eastAsia="Times New Roman" w:cs="Arial"/>
            <w:sz w:val="22"/>
            <w:szCs w:val="22"/>
            <w:lang w:eastAsia="nl-NL" w:bidi="ar-SA"/>
          </w:rPr>
          <w:id w:val="15267195"/>
          <w:citation/>
        </w:sdtPr>
        <w:sdtContent>
          <w:r w:rsidR="00BD69D8">
            <w:rPr>
              <w:rFonts w:eastAsia="Times New Roman" w:cs="Arial"/>
              <w:sz w:val="22"/>
              <w:szCs w:val="22"/>
              <w:lang w:eastAsia="nl-NL" w:bidi="ar-SA"/>
            </w:rPr>
            <w:fldChar w:fldCharType="begin"/>
          </w:r>
          <w:r w:rsidR="00ED0353">
            <w:rPr>
              <w:rFonts w:eastAsia="Times New Roman" w:cs="Arial"/>
              <w:sz w:val="22"/>
              <w:szCs w:val="22"/>
              <w:lang w:eastAsia="nl-NL" w:bidi="ar-SA"/>
            </w:rPr>
            <w:instrText xml:space="preserve"> CITATION TLN11 \l 1033 </w:instrText>
          </w:r>
          <w:r w:rsidR="00BD69D8">
            <w:rPr>
              <w:rFonts w:eastAsia="Times New Roman" w:cs="Arial"/>
              <w:sz w:val="22"/>
              <w:szCs w:val="22"/>
              <w:lang w:eastAsia="nl-NL" w:bidi="ar-SA"/>
            </w:rPr>
            <w:fldChar w:fldCharType="separate"/>
          </w:r>
          <w:r w:rsidR="00F26771">
            <w:rPr>
              <w:rFonts w:eastAsia="Times New Roman" w:cs="Arial"/>
              <w:noProof/>
              <w:sz w:val="22"/>
              <w:szCs w:val="22"/>
              <w:lang w:eastAsia="nl-NL" w:bidi="ar-SA"/>
            </w:rPr>
            <w:t xml:space="preserve"> </w:t>
          </w:r>
          <w:r w:rsidR="00F26771" w:rsidRPr="00F26771">
            <w:rPr>
              <w:rFonts w:eastAsia="Times New Roman" w:cs="Arial"/>
              <w:noProof/>
              <w:sz w:val="22"/>
              <w:szCs w:val="22"/>
              <w:lang w:eastAsia="nl-NL" w:bidi="ar-SA"/>
            </w:rPr>
            <w:t>(TLN, 2011)</w:t>
          </w:r>
          <w:r w:rsidR="00BD69D8">
            <w:rPr>
              <w:rFonts w:eastAsia="Times New Roman" w:cs="Arial"/>
              <w:sz w:val="22"/>
              <w:szCs w:val="22"/>
              <w:lang w:eastAsia="nl-NL" w:bidi="ar-SA"/>
            </w:rPr>
            <w:fldChar w:fldCharType="end"/>
          </w:r>
        </w:sdtContent>
      </w:sdt>
      <w:r w:rsidR="00ED0353">
        <w:rPr>
          <w:rFonts w:eastAsia="Times New Roman" w:cs="Arial"/>
          <w:sz w:val="22"/>
          <w:szCs w:val="22"/>
          <w:lang w:eastAsia="nl-NL" w:bidi="ar-SA"/>
        </w:rPr>
        <w:t xml:space="preserve">. TLN was very helpful in bringing this research under the attention of the appropriate (potential) respondents.  </w:t>
      </w:r>
      <w:r w:rsidR="00685181">
        <w:rPr>
          <w:rFonts w:eastAsia="Times New Roman" w:cs="Arial"/>
          <w:sz w:val="22"/>
          <w:szCs w:val="22"/>
          <w:lang w:eastAsia="nl-NL" w:bidi="ar-SA"/>
        </w:rPr>
        <w:t>They did this through several ways. First of all, I wrote a promotional text</w:t>
      </w:r>
      <w:r w:rsidR="000042FD">
        <w:rPr>
          <w:rFonts w:eastAsia="Times New Roman" w:cs="Arial"/>
          <w:sz w:val="22"/>
          <w:szCs w:val="22"/>
          <w:lang w:eastAsia="nl-NL" w:bidi="ar-SA"/>
        </w:rPr>
        <w:t xml:space="preserve"> including a link to the online questionnaire which was</w:t>
      </w:r>
      <w:r w:rsidR="00685181">
        <w:rPr>
          <w:rFonts w:eastAsia="Times New Roman" w:cs="Arial"/>
          <w:sz w:val="22"/>
          <w:szCs w:val="22"/>
          <w:lang w:eastAsia="nl-NL" w:bidi="ar-SA"/>
        </w:rPr>
        <w:t xml:space="preserve"> included in the biweekly newsletter of TLN. This newsletter</w:t>
      </w:r>
      <w:r w:rsidR="000042FD">
        <w:rPr>
          <w:rFonts w:eastAsia="Times New Roman" w:cs="Arial"/>
          <w:sz w:val="22"/>
          <w:szCs w:val="22"/>
          <w:lang w:eastAsia="nl-NL" w:bidi="ar-SA"/>
        </w:rPr>
        <w:t xml:space="preserve"> (logistics club no. 27)</w:t>
      </w:r>
      <w:r w:rsidR="00685181">
        <w:rPr>
          <w:rFonts w:eastAsia="Times New Roman" w:cs="Arial"/>
          <w:sz w:val="22"/>
          <w:szCs w:val="22"/>
          <w:lang w:eastAsia="nl-NL" w:bidi="ar-SA"/>
        </w:rPr>
        <w:t xml:space="preserve"> was sent to all TLN members</w:t>
      </w:r>
      <w:r w:rsidR="000042FD">
        <w:rPr>
          <w:rFonts w:eastAsia="Times New Roman" w:cs="Arial"/>
          <w:sz w:val="22"/>
          <w:szCs w:val="22"/>
          <w:lang w:eastAsia="nl-NL" w:bidi="ar-SA"/>
        </w:rPr>
        <w:t xml:space="preserve">. The promotional text including the link to the questionnaire was also placed on the TLN website, under </w:t>
      </w:r>
      <w:r w:rsidR="000042FD">
        <w:rPr>
          <w:rFonts w:eastAsia="Times New Roman" w:cs="Arial"/>
          <w:sz w:val="22"/>
          <w:szCs w:val="22"/>
          <w:lang w:eastAsia="nl-NL" w:bidi="ar-SA"/>
        </w:rPr>
        <w:lastRenderedPageBreak/>
        <w:t xml:space="preserve">the headers logistics and technique &gt; strategy. Besides that, an email was sent to a distinct group of TLN members: the Physical Distribution Group. </w:t>
      </w:r>
      <w:r w:rsidR="003B0EF5">
        <w:rPr>
          <w:rFonts w:eastAsia="Times New Roman" w:cs="Arial"/>
          <w:sz w:val="22"/>
          <w:szCs w:val="22"/>
          <w:lang w:eastAsia="nl-NL" w:bidi="ar-SA"/>
        </w:rPr>
        <w:t xml:space="preserve">The physical distribution group consists of fifty-three members engaged in logistic activities and operating at least fifty transport units. Two weeks </w:t>
      </w:r>
      <w:r w:rsidR="002752F8">
        <w:rPr>
          <w:rFonts w:eastAsia="Times New Roman" w:cs="Arial"/>
          <w:sz w:val="22"/>
          <w:szCs w:val="22"/>
          <w:lang w:eastAsia="nl-NL" w:bidi="ar-SA"/>
        </w:rPr>
        <w:t>after sending</w:t>
      </w:r>
      <w:r w:rsidR="003B0EF5">
        <w:rPr>
          <w:rFonts w:eastAsia="Times New Roman" w:cs="Arial"/>
          <w:sz w:val="22"/>
          <w:szCs w:val="22"/>
          <w:lang w:eastAsia="nl-NL" w:bidi="ar-SA"/>
        </w:rPr>
        <w:t xml:space="preserve"> the email calling for corporation with the research, the members received a paper version of the questionnaire accompanied by a covering letter and reply envelope.</w:t>
      </w:r>
      <w:r w:rsidR="00E15738">
        <w:rPr>
          <w:rFonts w:eastAsia="Times New Roman" w:cs="Arial"/>
          <w:sz w:val="22"/>
          <w:szCs w:val="22"/>
          <w:lang w:eastAsia="nl-NL" w:bidi="ar-SA"/>
        </w:rPr>
        <w:t xml:space="preserve"> This was sent by TLN on TLN marked paper because this was thought to be raising the response rate. T</w:t>
      </w:r>
      <w:r w:rsidR="003B0EF5">
        <w:rPr>
          <w:rFonts w:eastAsia="Times New Roman" w:cs="Arial"/>
          <w:sz w:val="22"/>
          <w:szCs w:val="22"/>
          <w:lang w:eastAsia="nl-NL" w:bidi="ar-SA"/>
        </w:rPr>
        <w:t>his way one could choose how to complete the questionnaire</w:t>
      </w:r>
      <w:r w:rsidR="00E15738">
        <w:rPr>
          <w:rFonts w:eastAsia="Times New Roman" w:cs="Arial"/>
          <w:sz w:val="22"/>
          <w:szCs w:val="22"/>
          <w:lang w:eastAsia="nl-NL" w:bidi="ar-SA"/>
        </w:rPr>
        <w:t>: on paper or online</w:t>
      </w:r>
      <w:r w:rsidR="003B0EF5">
        <w:rPr>
          <w:rFonts w:eastAsia="Times New Roman" w:cs="Arial"/>
          <w:sz w:val="22"/>
          <w:szCs w:val="22"/>
          <w:lang w:eastAsia="nl-NL" w:bidi="ar-SA"/>
        </w:rPr>
        <w:t xml:space="preserve">. Because of the risk of overkill, no reminder email was sent. Two weeks after </w:t>
      </w:r>
      <w:r w:rsidR="002752F8">
        <w:rPr>
          <w:rFonts w:eastAsia="Times New Roman" w:cs="Arial"/>
          <w:sz w:val="22"/>
          <w:szCs w:val="22"/>
          <w:lang w:eastAsia="nl-NL" w:bidi="ar-SA"/>
        </w:rPr>
        <w:t>sending the</w:t>
      </w:r>
      <w:r w:rsidR="0041423F">
        <w:rPr>
          <w:rFonts w:eastAsia="Times New Roman" w:cs="Arial"/>
          <w:sz w:val="22"/>
          <w:szCs w:val="22"/>
          <w:lang w:eastAsia="nl-NL" w:bidi="ar-SA"/>
        </w:rPr>
        <w:t xml:space="preserve"> paper version of the questionnaire, the submission period was closed.  </w:t>
      </w:r>
    </w:p>
    <w:p w:rsidR="006601A8" w:rsidRDefault="0041423F" w:rsidP="00DC3B10">
      <w:pPr>
        <w:spacing w:line="360" w:lineRule="auto"/>
        <w:jc w:val="both"/>
        <w:textAlignment w:val="top"/>
        <w:rPr>
          <w:rFonts w:eastAsia="Times New Roman" w:cs="Arial"/>
          <w:sz w:val="22"/>
          <w:szCs w:val="22"/>
          <w:lang w:eastAsia="nl-NL" w:bidi="ar-SA"/>
        </w:rPr>
      </w:pPr>
      <w:r>
        <w:rPr>
          <w:rFonts w:eastAsia="Times New Roman" w:cs="Arial"/>
          <w:sz w:val="22"/>
          <w:szCs w:val="22"/>
          <w:lang w:eastAsia="nl-NL" w:bidi="ar-SA"/>
        </w:rPr>
        <w:t xml:space="preserve">Besides through TLN, I also raised awareness and asked for respondents participating in this research by LinkedIn. I posted promotional texts including a link to the online questionnaire in several groups pages related to the subject. I did this for about a month and made sure my contribution stayed on top of those group pages, clearly visible for all </w:t>
      </w:r>
      <w:r w:rsidR="00BB563A">
        <w:rPr>
          <w:rFonts w:eastAsia="Times New Roman" w:cs="Arial"/>
          <w:sz w:val="22"/>
          <w:szCs w:val="22"/>
          <w:lang w:eastAsia="nl-NL" w:bidi="ar-SA"/>
        </w:rPr>
        <w:t xml:space="preserve">group members. By posting several times, members were also notified by LinkedIn through an email about new ‘discussions’ taking place on the group page. </w:t>
      </w:r>
      <w:r>
        <w:rPr>
          <w:rFonts w:eastAsia="Times New Roman" w:cs="Arial"/>
          <w:sz w:val="22"/>
          <w:szCs w:val="22"/>
          <w:lang w:eastAsia="nl-NL" w:bidi="ar-SA"/>
        </w:rPr>
        <w:t xml:space="preserve"> </w:t>
      </w:r>
      <w:r w:rsidR="00BB563A">
        <w:rPr>
          <w:rFonts w:eastAsia="Times New Roman" w:cs="Arial"/>
          <w:sz w:val="22"/>
          <w:szCs w:val="22"/>
          <w:lang w:eastAsia="nl-NL" w:bidi="ar-SA"/>
        </w:rPr>
        <w:t xml:space="preserve">The groups used are Supply Chain Magazine, </w:t>
      </w:r>
      <w:r w:rsidR="00BB563A" w:rsidRPr="00BB563A">
        <w:rPr>
          <w:rFonts w:eastAsia="Times New Roman" w:cs="Arial"/>
          <w:i/>
          <w:sz w:val="22"/>
          <w:szCs w:val="22"/>
          <w:lang w:eastAsia="nl-NL" w:bidi="ar-SA"/>
        </w:rPr>
        <w:t>Jong Logistiek Nederland</w:t>
      </w:r>
      <w:r w:rsidR="00BB563A">
        <w:rPr>
          <w:rFonts w:eastAsia="Times New Roman" w:cs="Arial"/>
          <w:sz w:val="22"/>
          <w:szCs w:val="22"/>
          <w:lang w:eastAsia="nl-NL" w:bidi="ar-SA"/>
        </w:rPr>
        <w:t xml:space="preserve">, EVO Supply Chain Management Network, Managed Innovative Logistics, Transito, </w:t>
      </w:r>
      <w:r w:rsidR="00BB563A">
        <w:rPr>
          <w:rFonts w:eastAsia="Times New Roman" w:cs="Arial"/>
          <w:i/>
          <w:sz w:val="22"/>
          <w:szCs w:val="22"/>
          <w:lang w:eastAsia="nl-NL" w:bidi="ar-SA"/>
        </w:rPr>
        <w:t xml:space="preserve">delaatstemeter.nl, logistieke vactures, Nieuwsblad Transport </w:t>
      </w:r>
      <w:r w:rsidR="00BB563A">
        <w:rPr>
          <w:rFonts w:eastAsia="Times New Roman" w:cs="Arial"/>
          <w:sz w:val="22"/>
          <w:szCs w:val="22"/>
          <w:lang w:eastAsia="nl-NL" w:bidi="ar-SA"/>
        </w:rPr>
        <w:t xml:space="preserve">and </w:t>
      </w:r>
      <w:r w:rsidR="00BB563A">
        <w:rPr>
          <w:rFonts w:eastAsia="Times New Roman" w:cs="Arial"/>
          <w:i/>
          <w:sz w:val="22"/>
          <w:szCs w:val="22"/>
          <w:lang w:eastAsia="nl-NL" w:bidi="ar-SA"/>
        </w:rPr>
        <w:t xml:space="preserve">Transport &amp; Warehousing Zuid-Nederland. </w:t>
      </w:r>
    </w:p>
    <w:p w:rsidR="00BB563A" w:rsidRPr="00BB563A" w:rsidRDefault="00E15738" w:rsidP="00DC3B10">
      <w:pPr>
        <w:spacing w:line="360" w:lineRule="auto"/>
        <w:jc w:val="both"/>
        <w:textAlignment w:val="top"/>
        <w:rPr>
          <w:rFonts w:eastAsia="Times New Roman" w:cs="Arial"/>
          <w:sz w:val="22"/>
          <w:szCs w:val="22"/>
          <w:lang w:eastAsia="nl-NL" w:bidi="ar-SA"/>
        </w:rPr>
      </w:pPr>
      <w:r>
        <w:rPr>
          <w:rFonts w:eastAsia="Times New Roman" w:cs="Arial"/>
          <w:sz w:val="22"/>
          <w:szCs w:val="22"/>
          <w:lang w:eastAsia="nl-NL" w:bidi="ar-SA"/>
        </w:rPr>
        <w:t xml:space="preserve">All these efforts finally resulted in </w:t>
      </w:r>
      <w:r w:rsidR="00545908">
        <w:rPr>
          <w:rFonts w:eastAsia="Times New Roman" w:cs="Arial"/>
          <w:sz w:val="22"/>
          <w:szCs w:val="22"/>
          <w:lang w:eastAsia="nl-NL" w:bidi="ar-SA"/>
        </w:rPr>
        <w:t>twenty-seven responses from Dutch TPL providers.</w:t>
      </w:r>
      <w:r w:rsidR="009E595B">
        <w:rPr>
          <w:rFonts w:eastAsia="Times New Roman" w:cs="Arial"/>
          <w:sz w:val="22"/>
          <w:szCs w:val="22"/>
          <w:lang w:eastAsia="nl-NL" w:bidi="ar-SA"/>
        </w:rPr>
        <w:t xml:space="preserve"> </w:t>
      </w:r>
      <w:r w:rsidR="00545908">
        <w:rPr>
          <w:rFonts w:eastAsia="Times New Roman" w:cs="Arial"/>
          <w:sz w:val="22"/>
          <w:szCs w:val="22"/>
          <w:lang w:eastAsia="nl-NL" w:bidi="ar-SA"/>
        </w:rPr>
        <w:t>Two questionnaires were incompletely filled, but because</w:t>
      </w:r>
      <w:r w:rsidR="009E595B">
        <w:rPr>
          <w:rFonts w:eastAsia="Times New Roman" w:cs="Arial"/>
          <w:sz w:val="22"/>
          <w:szCs w:val="22"/>
          <w:lang w:eastAsia="nl-NL" w:bidi="ar-SA"/>
        </w:rPr>
        <w:t xml:space="preserve"> of</w:t>
      </w:r>
      <w:r w:rsidR="00545908">
        <w:rPr>
          <w:rFonts w:eastAsia="Times New Roman" w:cs="Arial"/>
          <w:sz w:val="22"/>
          <w:szCs w:val="22"/>
          <w:lang w:eastAsia="nl-NL" w:bidi="ar-SA"/>
        </w:rPr>
        <w:t xml:space="preserve"> the total number of responses and the fact that both respondents answered at least 75% of all the questions asked, both responses are included in the results.</w:t>
      </w:r>
      <w:r w:rsidR="009E595B">
        <w:rPr>
          <w:rFonts w:eastAsia="Times New Roman" w:cs="Arial"/>
          <w:sz w:val="22"/>
          <w:szCs w:val="22"/>
          <w:lang w:eastAsia="nl-NL" w:bidi="ar-SA"/>
        </w:rPr>
        <w:t xml:space="preserve"> Responses other than from TPL providers or responses with an entry rate of less than 75% were removed.</w:t>
      </w:r>
      <w:r w:rsidR="009E595B" w:rsidRPr="009E595B">
        <w:rPr>
          <w:rFonts w:eastAsia="Times New Roman" w:cs="Arial"/>
          <w:sz w:val="22"/>
          <w:szCs w:val="22"/>
          <w:lang w:eastAsia="nl-NL" w:bidi="ar-SA"/>
        </w:rPr>
        <w:t xml:space="preserve"> </w:t>
      </w:r>
      <w:r w:rsidR="009E595B">
        <w:rPr>
          <w:rFonts w:eastAsia="Times New Roman" w:cs="Arial"/>
          <w:sz w:val="22"/>
          <w:szCs w:val="22"/>
          <w:lang w:eastAsia="nl-NL" w:bidi="ar-SA"/>
        </w:rPr>
        <w:t xml:space="preserve">The total number of reached potential respondents is (off course) unknown. </w:t>
      </w:r>
      <w:r w:rsidR="00545908">
        <w:rPr>
          <w:rFonts w:eastAsia="Times New Roman" w:cs="Arial"/>
          <w:sz w:val="22"/>
          <w:szCs w:val="22"/>
          <w:lang w:eastAsia="nl-NL" w:bidi="ar-SA"/>
        </w:rPr>
        <w:t xml:space="preserve"> Only the response rate of the members of the Physical Distribution Group on the paper questionnaire can be measured, out of fifty-three companies approached nine companies returned the questionnaire, therefore the response rate is </w:t>
      </w:r>
      <w:r w:rsidR="009E595B">
        <w:rPr>
          <w:rFonts w:eastAsia="Times New Roman" w:cs="Arial"/>
          <w:sz w:val="22"/>
          <w:szCs w:val="22"/>
          <w:lang w:eastAsia="nl-NL" w:bidi="ar-SA"/>
        </w:rPr>
        <w:t xml:space="preserve">17%. The responses collected online couldn’t be traced to a certain way of data collecting (through </w:t>
      </w:r>
      <w:r w:rsidR="00352EDB">
        <w:rPr>
          <w:rFonts w:eastAsia="Times New Roman" w:cs="Arial"/>
          <w:sz w:val="22"/>
          <w:szCs w:val="22"/>
          <w:lang w:eastAsia="nl-NL" w:bidi="ar-SA"/>
        </w:rPr>
        <w:t xml:space="preserve">TLN </w:t>
      </w:r>
      <w:r w:rsidR="009E595B">
        <w:rPr>
          <w:rFonts w:eastAsia="Times New Roman" w:cs="Arial"/>
          <w:sz w:val="22"/>
          <w:szCs w:val="22"/>
          <w:lang w:eastAsia="nl-NL" w:bidi="ar-SA"/>
        </w:rPr>
        <w:t xml:space="preserve">website, email, newsletter or LinkedIn). </w:t>
      </w:r>
    </w:p>
    <w:p w:rsidR="00685181" w:rsidRDefault="00685181" w:rsidP="00DC3B10">
      <w:pPr>
        <w:spacing w:line="360" w:lineRule="auto"/>
        <w:jc w:val="both"/>
        <w:textAlignment w:val="top"/>
        <w:rPr>
          <w:rFonts w:eastAsia="Times New Roman" w:cs="Arial"/>
          <w:sz w:val="22"/>
          <w:szCs w:val="22"/>
          <w:lang w:eastAsia="nl-NL" w:bidi="ar-SA"/>
        </w:rPr>
      </w:pPr>
    </w:p>
    <w:p w:rsidR="00A8211B" w:rsidRDefault="00A8211B" w:rsidP="00DC3B10">
      <w:pPr>
        <w:spacing w:line="360" w:lineRule="auto"/>
        <w:jc w:val="both"/>
        <w:textAlignment w:val="top"/>
        <w:rPr>
          <w:rFonts w:eastAsia="Times New Roman" w:cs="Arial"/>
          <w:sz w:val="22"/>
          <w:szCs w:val="22"/>
          <w:lang w:eastAsia="nl-NL" w:bidi="ar-SA"/>
        </w:rPr>
      </w:pPr>
    </w:p>
    <w:p w:rsidR="009E595B" w:rsidRDefault="009E595B" w:rsidP="00DC3B10">
      <w:pPr>
        <w:spacing w:line="360" w:lineRule="auto"/>
        <w:jc w:val="both"/>
        <w:textAlignment w:val="top"/>
        <w:rPr>
          <w:rFonts w:eastAsia="Times New Roman" w:cs="Arial"/>
          <w:sz w:val="22"/>
          <w:szCs w:val="22"/>
          <w:lang w:eastAsia="nl-NL" w:bidi="ar-SA"/>
        </w:rPr>
      </w:pPr>
    </w:p>
    <w:p w:rsidR="00254898" w:rsidRPr="003124FB" w:rsidRDefault="00254898" w:rsidP="00DC3B10">
      <w:pPr>
        <w:spacing w:line="360" w:lineRule="auto"/>
        <w:jc w:val="both"/>
        <w:textAlignment w:val="top"/>
        <w:rPr>
          <w:rFonts w:ascii="Arial" w:eastAsia="Times New Roman" w:hAnsi="Arial" w:cs="Arial"/>
          <w:lang w:eastAsia="nl-NL" w:bidi="ar-SA"/>
        </w:rPr>
      </w:pPr>
    </w:p>
    <w:p w:rsidR="003A4CEB" w:rsidRPr="003124FB" w:rsidRDefault="003A4CEB" w:rsidP="003A4CEB">
      <w:pPr>
        <w:rPr>
          <w:sz w:val="22"/>
          <w:szCs w:val="22"/>
        </w:rPr>
      </w:pPr>
    </w:p>
    <w:p w:rsidR="003A4CEB" w:rsidRPr="000A65D6" w:rsidRDefault="003A4CEB" w:rsidP="003A4CEB">
      <w:pPr>
        <w:pStyle w:val="Kop2"/>
        <w:numPr>
          <w:ilvl w:val="1"/>
          <w:numId w:val="13"/>
        </w:numPr>
        <w:rPr>
          <w:rFonts w:asciiTheme="majorHAnsi" w:hAnsiTheme="majorHAnsi"/>
        </w:rPr>
      </w:pPr>
      <w:bookmarkStart w:id="27" w:name="_Toc300412000"/>
      <w:r w:rsidRPr="000A65D6">
        <w:rPr>
          <w:rFonts w:asciiTheme="majorHAnsi" w:hAnsiTheme="majorHAnsi"/>
        </w:rPr>
        <w:lastRenderedPageBreak/>
        <w:t>Method of data analyses</w:t>
      </w:r>
      <w:bookmarkEnd w:id="27"/>
    </w:p>
    <w:p w:rsidR="004A7983" w:rsidRDefault="00807804" w:rsidP="00352EDB">
      <w:pPr>
        <w:spacing w:line="360" w:lineRule="auto"/>
        <w:jc w:val="both"/>
        <w:rPr>
          <w:sz w:val="22"/>
          <w:szCs w:val="22"/>
        </w:rPr>
      </w:pPr>
      <w:r>
        <w:rPr>
          <w:sz w:val="22"/>
          <w:szCs w:val="22"/>
        </w:rPr>
        <w:t xml:space="preserve">The results of the twenty-seven responses on the questionnaire were imported into SPSS </w:t>
      </w:r>
      <w:r w:rsidR="002752F8">
        <w:rPr>
          <w:sz w:val="22"/>
          <w:szCs w:val="22"/>
        </w:rPr>
        <w:t>(Statistical</w:t>
      </w:r>
      <w:r>
        <w:rPr>
          <w:sz w:val="22"/>
          <w:szCs w:val="22"/>
        </w:rPr>
        <w:t xml:space="preserve"> Package for Social Sciences) to be further analyzed. The questionnaire contains several questions on different statistical measurement levels. The measurement levels used </w:t>
      </w:r>
      <w:r w:rsidR="001A78CF">
        <w:rPr>
          <w:sz w:val="22"/>
          <w:szCs w:val="22"/>
        </w:rPr>
        <w:t xml:space="preserve">for the questions </w:t>
      </w:r>
      <w:r>
        <w:rPr>
          <w:sz w:val="22"/>
          <w:szCs w:val="22"/>
        </w:rPr>
        <w:t>are nominal, ordinal and ratio</w:t>
      </w:r>
      <w:sdt>
        <w:sdtPr>
          <w:rPr>
            <w:sz w:val="22"/>
            <w:szCs w:val="22"/>
          </w:rPr>
          <w:id w:val="15267197"/>
          <w:citation/>
        </w:sdtPr>
        <w:sdtContent>
          <w:r w:rsidR="00BD69D8">
            <w:rPr>
              <w:sz w:val="22"/>
              <w:szCs w:val="22"/>
            </w:rPr>
            <w:fldChar w:fldCharType="begin"/>
          </w:r>
          <w:r w:rsidR="00AD2486">
            <w:rPr>
              <w:sz w:val="22"/>
              <w:szCs w:val="22"/>
            </w:rPr>
            <w:instrText xml:space="preserve"> CITATION Fie09 \l 1033 </w:instrText>
          </w:r>
          <w:r w:rsidR="00BD69D8">
            <w:rPr>
              <w:sz w:val="22"/>
              <w:szCs w:val="22"/>
            </w:rPr>
            <w:fldChar w:fldCharType="separate"/>
          </w:r>
          <w:r w:rsidR="00F26771">
            <w:rPr>
              <w:noProof/>
              <w:sz w:val="22"/>
              <w:szCs w:val="22"/>
            </w:rPr>
            <w:t xml:space="preserve"> </w:t>
          </w:r>
          <w:r w:rsidR="00F26771" w:rsidRPr="00F26771">
            <w:rPr>
              <w:noProof/>
              <w:sz w:val="22"/>
              <w:szCs w:val="22"/>
            </w:rPr>
            <w:t>(Field, 2009)</w:t>
          </w:r>
          <w:r w:rsidR="00BD69D8">
            <w:rPr>
              <w:sz w:val="22"/>
              <w:szCs w:val="22"/>
            </w:rPr>
            <w:fldChar w:fldCharType="end"/>
          </w:r>
        </w:sdtContent>
      </w:sdt>
      <w:r>
        <w:rPr>
          <w:sz w:val="22"/>
          <w:szCs w:val="22"/>
        </w:rPr>
        <w:t xml:space="preserve">. </w:t>
      </w:r>
      <w:r w:rsidR="001A78CF">
        <w:rPr>
          <w:sz w:val="22"/>
          <w:szCs w:val="22"/>
        </w:rPr>
        <w:t>Nominal means that the value that a variable can take only has a ‘name’, there’s no order in these ‘names’. An example of such a question is the question in which the TPL provider is asked which of the four descriptions fits best to his company profile. Ordinal means th</w:t>
      </w:r>
      <w:r w:rsidR="00AD2486">
        <w:rPr>
          <w:sz w:val="22"/>
          <w:szCs w:val="22"/>
        </w:rPr>
        <w:t>at there is order in the variables</w:t>
      </w:r>
      <w:r w:rsidR="001A78CF">
        <w:rPr>
          <w:sz w:val="22"/>
          <w:szCs w:val="22"/>
        </w:rPr>
        <w:t xml:space="preserve">, but the </w:t>
      </w:r>
      <w:r w:rsidR="002752F8">
        <w:rPr>
          <w:sz w:val="22"/>
          <w:szCs w:val="22"/>
        </w:rPr>
        <w:t>difference between variables is</w:t>
      </w:r>
      <w:r w:rsidR="001A78CF">
        <w:rPr>
          <w:sz w:val="22"/>
          <w:szCs w:val="22"/>
        </w:rPr>
        <w:t xml:space="preserve"> not equal. This is the case for the statements that can be answered on a 1 to 5 scale</w:t>
      </w:r>
      <w:r w:rsidR="001665FA">
        <w:rPr>
          <w:sz w:val="22"/>
          <w:szCs w:val="22"/>
        </w:rPr>
        <w:t>,</w:t>
      </w:r>
      <w:r w:rsidR="001A78CF">
        <w:rPr>
          <w:sz w:val="22"/>
          <w:szCs w:val="22"/>
        </w:rPr>
        <w:t xml:space="preserve"> ranging from totally disagree to totally agree</w:t>
      </w:r>
      <w:r w:rsidR="001665FA" w:rsidRPr="001665FA">
        <w:rPr>
          <w:sz w:val="22"/>
          <w:szCs w:val="22"/>
        </w:rPr>
        <w:t xml:space="preserve"> </w:t>
      </w:r>
      <w:r w:rsidR="001665FA">
        <w:rPr>
          <w:sz w:val="22"/>
          <w:szCs w:val="22"/>
        </w:rPr>
        <w:t>(on which 2 is not the double value of 1)</w:t>
      </w:r>
      <w:r w:rsidR="001A78CF">
        <w:rPr>
          <w:sz w:val="22"/>
          <w:szCs w:val="22"/>
        </w:rPr>
        <w:t>.</w:t>
      </w:r>
      <w:r w:rsidR="00AD2486">
        <w:rPr>
          <w:sz w:val="22"/>
          <w:szCs w:val="22"/>
        </w:rPr>
        <w:t xml:space="preserve"> Ratio means that the variables</w:t>
      </w:r>
      <w:r w:rsidR="001665FA">
        <w:rPr>
          <w:sz w:val="22"/>
          <w:szCs w:val="22"/>
        </w:rPr>
        <w:t xml:space="preserve"> obtained always have a zero value (like miles per hour etc.).</w:t>
      </w:r>
      <w:r w:rsidR="001A78CF">
        <w:rPr>
          <w:sz w:val="22"/>
          <w:szCs w:val="22"/>
        </w:rPr>
        <w:t xml:space="preserve"> </w:t>
      </w:r>
      <w:r w:rsidR="001665FA">
        <w:rPr>
          <w:sz w:val="22"/>
          <w:szCs w:val="22"/>
        </w:rPr>
        <w:t xml:space="preserve">A good example of such </w:t>
      </w:r>
      <w:r w:rsidR="00AD2486">
        <w:rPr>
          <w:sz w:val="22"/>
          <w:szCs w:val="22"/>
        </w:rPr>
        <w:t>variable i</w:t>
      </w:r>
      <w:r w:rsidR="001665FA">
        <w:rPr>
          <w:sz w:val="22"/>
          <w:szCs w:val="22"/>
        </w:rPr>
        <w:t xml:space="preserve">s </w:t>
      </w:r>
      <w:r w:rsidR="00CF62C8">
        <w:rPr>
          <w:sz w:val="22"/>
          <w:szCs w:val="22"/>
        </w:rPr>
        <w:t xml:space="preserve">the </w:t>
      </w:r>
      <w:r w:rsidR="001665FA">
        <w:rPr>
          <w:sz w:val="22"/>
          <w:szCs w:val="22"/>
        </w:rPr>
        <w:t xml:space="preserve">question about which percentage of all </w:t>
      </w:r>
      <w:r w:rsidR="00AD2486">
        <w:rPr>
          <w:sz w:val="22"/>
          <w:szCs w:val="22"/>
        </w:rPr>
        <w:t xml:space="preserve">TPL </w:t>
      </w:r>
      <w:r w:rsidR="001665FA">
        <w:rPr>
          <w:sz w:val="22"/>
          <w:szCs w:val="22"/>
        </w:rPr>
        <w:t>contracts contains environmental agreements/targets.</w:t>
      </w:r>
    </w:p>
    <w:p w:rsidR="003A4CEB" w:rsidRDefault="001665FA" w:rsidP="00352EDB">
      <w:pPr>
        <w:spacing w:line="360" w:lineRule="auto"/>
        <w:jc w:val="both"/>
        <w:rPr>
          <w:sz w:val="22"/>
          <w:szCs w:val="22"/>
        </w:rPr>
      </w:pPr>
      <w:r>
        <w:rPr>
          <w:sz w:val="22"/>
          <w:szCs w:val="22"/>
        </w:rPr>
        <w:t xml:space="preserve">Due to the </w:t>
      </w:r>
      <w:r w:rsidR="00CF62C8">
        <w:rPr>
          <w:sz w:val="22"/>
          <w:szCs w:val="22"/>
        </w:rPr>
        <w:t>form and method of questioning applied, statistical analysis is performed using cross tables</w:t>
      </w:r>
      <w:r w:rsidR="00AD2486">
        <w:rPr>
          <w:sz w:val="22"/>
          <w:szCs w:val="22"/>
        </w:rPr>
        <w:t>. R</w:t>
      </w:r>
      <w:r w:rsidR="00CF62C8">
        <w:rPr>
          <w:sz w:val="22"/>
          <w:szCs w:val="22"/>
        </w:rPr>
        <w:t xml:space="preserve">elationships between </w:t>
      </w:r>
      <w:r w:rsidR="004A7983">
        <w:rPr>
          <w:sz w:val="22"/>
          <w:szCs w:val="22"/>
        </w:rPr>
        <w:t>variables</w:t>
      </w:r>
      <w:r w:rsidR="00CF62C8">
        <w:rPr>
          <w:sz w:val="22"/>
          <w:szCs w:val="22"/>
        </w:rPr>
        <w:t xml:space="preserve"> will be tested by cross tables at the lowest measurement level of the two </w:t>
      </w:r>
      <w:r w:rsidR="004A7983">
        <w:rPr>
          <w:sz w:val="22"/>
          <w:szCs w:val="22"/>
        </w:rPr>
        <w:t>variables</w:t>
      </w:r>
      <w:r w:rsidR="00CF62C8">
        <w:rPr>
          <w:sz w:val="22"/>
          <w:szCs w:val="22"/>
        </w:rPr>
        <w:t xml:space="preserve"> involved. This will be further explained below. </w:t>
      </w:r>
      <w:r w:rsidR="00F02950">
        <w:rPr>
          <w:sz w:val="22"/>
          <w:szCs w:val="22"/>
        </w:rPr>
        <w:t>Isolated</w:t>
      </w:r>
      <w:r w:rsidR="00AD2486">
        <w:rPr>
          <w:sz w:val="22"/>
          <w:szCs w:val="22"/>
        </w:rPr>
        <w:t xml:space="preserve"> variables</w:t>
      </w:r>
      <w:r w:rsidR="00CF62C8">
        <w:rPr>
          <w:sz w:val="22"/>
          <w:szCs w:val="22"/>
        </w:rPr>
        <w:t xml:space="preserve"> will be analyzed by interpreting the percentage breakdown and by the use of measures of central tendency. </w:t>
      </w:r>
      <w:r w:rsidR="00F02950">
        <w:rPr>
          <w:sz w:val="22"/>
          <w:szCs w:val="22"/>
        </w:rPr>
        <w:t>These measures of central tendency are better known as the median, mean and mod</w:t>
      </w:r>
      <w:r w:rsidR="004A7983">
        <w:rPr>
          <w:sz w:val="22"/>
          <w:szCs w:val="22"/>
        </w:rPr>
        <w:t>e</w:t>
      </w:r>
      <w:sdt>
        <w:sdtPr>
          <w:rPr>
            <w:sz w:val="22"/>
            <w:szCs w:val="22"/>
          </w:rPr>
          <w:id w:val="15267198"/>
          <w:citation/>
        </w:sdtPr>
        <w:sdtContent>
          <w:r w:rsidR="00BD69D8">
            <w:rPr>
              <w:sz w:val="22"/>
              <w:szCs w:val="22"/>
            </w:rPr>
            <w:fldChar w:fldCharType="begin"/>
          </w:r>
          <w:r w:rsidR="00556F90">
            <w:rPr>
              <w:sz w:val="22"/>
              <w:szCs w:val="22"/>
            </w:rPr>
            <w:instrText xml:space="preserve"> CITATION Fie09 \l 1033 </w:instrText>
          </w:r>
          <w:r w:rsidR="00BD69D8">
            <w:rPr>
              <w:sz w:val="22"/>
              <w:szCs w:val="22"/>
            </w:rPr>
            <w:fldChar w:fldCharType="separate"/>
          </w:r>
          <w:r w:rsidR="00F26771">
            <w:rPr>
              <w:noProof/>
              <w:sz w:val="22"/>
              <w:szCs w:val="22"/>
            </w:rPr>
            <w:t xml:space="preserve"> </w:t>
          </w:r>
          <w:r w:rsidR="00F26771" w:rsidRPr="00F26771">
            <w:rPr>
              <w:noProof/>
              <w:sz w:val="22"/>
              <w:szCs w:val="22"/>
            </w:rPr>
            <w:t>(Field, 2009)</w:t>
          </w:r>
          <w:r w:rsidR="00BD69D8">
            <w:rPr>
              <w:sz w:val="22"/>
              <w:szCs w:val="22"/>
            </w:rPr>
            <w:fldChar w:fldCharType="end"/>
          </w:r>
        </w:sdtContent>
      </w:sdt>
      <w:r w:rsidR="00F02950">
        <w:rPr>
          <w:sz w:val="22"/>
          <w:szCs w:val="22"/>
        </w:rPr>
        <w:t>.</w:t>
      </w:r>
      <w:r w:rsidR="004A7983">
        <w:rPr>
          <w:sz w:val="22"/>
          <w:szCs w:val="22"/>
        </w:rPr>
        <w:t xml:space="preserve"> The mode is the observation with the highest frequency. The Median is the</w:t>
      </w:r>
      <w:r w:rsidR="00F02950">
        <w:rPr>
          <w:sz w:val="22"/>
          <w:szCs w:val="22"/>
        </w:rPr>
        <w:t xml:space="preserve"> </w:t>
      </w:r>
      <w:r w:rsidR="004A7983">
        <w:rPr>
          <w:sz w:val="22"/>
          <w:szCs w:val="22"/>
        </w:rPr>
        <w:t>middle observation after ranking the observations. The median can thus not be found on a nominal measurement</w:t>
      </w:r>
      <w:r w:rsidR="00AD2486">
        <w:rPr>
          <w:sz w:val="22"/>
          <w:szCs w:val="22"/>
        </w:rPr>
        <w:t xml:space="preserve"> level, since the nominal variables</w:t>
      </w:r>
      <w:r w:rsidR="004A7983">
        <w:rPr>
          <w:sz w:val="22"/>
          <w:szCs w:val="22"/>
        </w:rPr>
        <w:t xml:space="preserve"> are not ranked. The mean can only be used for calculating the average value on</w:t>
      </w:r>
      <w:r w:rsidR="00AD2486">
        <w:rPr>
          <w:sz w:val="22"/>
          <w:szCs w:val="22"/>
        </w:rPr>
        <w:t xml:space="preserve"> a</w:t>
      </w:r>
      <w:r w:rsidR="004A7983">
        <w:rPr>
          <w:sz w:val="22"/>
          <w:szCs w:val="22"/>
        </w:rPr>
        <w:t xml:space="preserve"> ratio (or interval) measurement level. </w:t>
      </w:r>
    </w:p>
    <w:p w:rsidR="00254898" w:rsidRDefault="00AD2486" w:rsidP="00352EDB">
      <w:pPr>
        <w:spacing w:line="360" w:lineRule="auto"/>
        <w:jc w:val="both"/>
        <w:rPr>
          <w:sz w:val="22"/>
          <w:szCs w:val="22"/>
        </w:rPr>
      </w:pPr>
      <w:r>
        <w:rPr>
          <w:sz w:val="22"/>
          <w:szCs w:val="22"/>
        </w:rPr>
        <w:t xml:space="preserve">Relationships between variables can be </w:t>
      </w:r>
      <w:r w:rsidR="00556F90">
        <w:rPr>
          <w:sz w:val="22"/>
          <w:szCs w:val="22"/>
        </w:rPr>
        <w:t>symmetric or asymmetric</w:t>
      </w:r>
      <w:sdt>
        <w:sdtPr>
          <w:rPr>
            <w:sz w:val="22"/>
            <w:szCs w:val="22"/>
          </w:rPr>
          <w:id w:val="15267199"/>
          <w:citation/>
        </w:sdtPr>
        <w:sdtContent>
          <w:r w:rsidR="00BD69D8">
            <w:rPr>
              <w:sz w:val="22"/>
              <w:szCs w:val="22"/>
            </w:rPr>
            <w:fldChar w:fldCharType="begin"/>
          </w:r>
          <w:r w:rsidR="00D2647E">
            <w:rPr>
              <w:sz w:val="22"/>
              <w:szCs w:val="22"/>
            </w:rPr>
            <w:instrText xml:space="preserve"> CITATION Fie09 \l 1033 </w:instrText>
          </w:r>
          <w:r w:rsidR="00BD69D8">
            <w:rPr>
              <w:sz w:val="22"/>
              <w:szCs w:val="22"/>
            </w:rPr>
            <w:fldChar w:fldCharType="separate"/>
          </w:r>
          <w:r w:rsidR="00F26771">
            <w:rPr>
              <w:noProof/>
              <w:sz w:val="22"/>
              <w:szCs w:val="22"/>
            </w:rPr>
            <w:t xml:space="preserve"> </w:t>
          </w:r>
          <w:r w:rsidR="00F26771" w:rsidRPr="00F26771">
            <w:rPr>
              <w:noProof/>
              <w:sz w:val="22"/>
              <w:szCs w:val="22"/>
            </w:rPr>
            <w:t>(Field, 2009)</w:t>
          </w:r>
          <w:r w:rsidR="00BD69D8">
            <w:rPr>
              <w:sz w:val="22"/>
              <w:szCs w:val="22"/>
            </w:rPr>
            <w:fldChar w:fldCharType="end"/>
          </w:r>
        </w:sdtContent>
      </w:sdt>
      <w:r w:rsidR="00556F90">
        <w:rPr>
          <w:sz w:val="22"/>
          <w:szCs w:val="22"/>
        </w:rPr>
        <w:t>. Within symmetric relationships between variables there’s no clear difference between a dependent and an independent variable</w:t>
      </w:r>
      <w:r w:rsidR="004879B4">
        <w:rPr>
          <w:sz w:val="22"/>
          <w:szCs w:val="22"/>
        </w:rPr>
        <w:t xml:space="preserve">. It’s about the relationship between two ‘equal’ variables. Within asymmetric relationships between variables there is a difference between </w:t>
      </w:r>
      <w:r w:rsidR="00D2647E">
        <w:rPr>
          <w:sz w:val="22"/>
          <w:szCs w:val="22"/>
        </w:rPr>
        <w:t xml:space="preserve">the </w:t>
      </w:r>
      <w:r w:rsidR="004879B4">
        <w:rPr>
          <w:sz w:val="22"/>
          <w:szCs w:val="22"/>
        </w:rPr>
        <w:t xml:space="preserve">dependent and </w:t>
      </w:r>
      <w:r w:rsidR="00D2647E">
        <w:rPr>
          <w:sz w:val="22"/>
          <w:szCs w:val="22"/>
        </w:rPr>
        <w:t>the</w:t>
      </w:r>
      <w:r w:rsidR="004879B4">
        <w:rPr>
          <w:sz w:val="22"/>
          <w:szCs w:val="22"/>
        </w:rPr>
        <w:t xml:space="preserve"> independent variable</w:t>
      </w:r>
      <w:r w:rsidR="00D2647E">
        <w:rPr>
          <w:sz w:val="22"/>
          <w:szCs w:val="22"/>
        </w:rPr>
        <w:t>.</w:t>
      </w:r>
      <w:r w:rsidR="004879B4">
        <w:rPr>
          <w:sz w:val="22"/>
          <w:szCs w:val="22"/>
        </w:rPr>
        <w:t xml:space="preserve"> </w:t>
      </w:r>
      <w:r w:rsidR="00D2647E">
        <w:rPr>
          <w:sz w:val="22"/>
          <w:szCs w:val="22"/>
        </w:rPr>
        <w:t>It’s about the influence the independent variable has on the dependent variable. When putting all this together, table 16 can be drawn.</w:t>
      </w:r>
    </w:p>
    <w:tbl>
      <w:tblPr>
        <w:tblStyle w:val="Gemiddeldraster3-accent1"/>
        <w:tblW w:w="5000" w:type="pct"/>
        <w:tblLook w:val="04A0"/>
      </w:tblPr>
      <w:tblGrid>
        <w:gridCol w:w="2181"/>
        <w:gridCol w:w="4137"/>
        <w:gridCol w:w="1809"/>
        <w:gridCol w:w="1161"/>
      </w:tblGrid>
      <w:tr w:rsidR="00D2647E" w:rsidTr="0036073A">
        <w:trPr>
          <w:cnfStyle w:val="100000000000"/>
          <w:trHeight w:val="286"/>
        </w:trPr>
        <w:tc>
          <w:tcPr>
            <w:cnfStyle w:val="001000000000"/>
            <w:tcW w:w="1174" w:type="pct"/>
          </w:tcPr>
          <w:p w:rsidR="00D2647E" w:rsidRDefault="00066627" w:rsidP="00066627">
            <w:pPr>
              <w:jc w:val="center"/>
              <w:rPr>
                <w:sz w:val="22"/>
                <w:szCs w:val="22"/>
              </w:rPr>
            </w:pPr>
            <w:r>
              <w:rPr>
                <w:sz w:val="22"/>
                <w:szCs w:val="22"/>
              </w:rPr>
              <w:t>Table 16 Statistical analyses using cross tables</w:t>
            </w:r>
          </w:p>
        </w:tc>
        <w:tc>
          <w:tcPr>
            <w:tcW w:w="2227" w:type="pct"/>
          </w:tcPr>
          <w:p w:rsidR="00D2647E" w:rsidRDefault="00D2647E" w:rsidP="00D2647E">
            <w:pPr>
              <w:spacing w:line="360" w:lineRule="auto"/>
              <w:jc w:val="center"/>
              <w:cnfStyle w:val="100000000000"/>
              <w:rPr>
                <w:sz w:val="22"/>
                <w:szCs w:val="22"/>
              </w:rPr>
            </w:pPr>
            <w:r>
              <w:rPr>
                <w:sz w:val="22"/>
                <w:szCs w:val="22"/>
              </w:rPr>
              <w:t>Nominal</w:t>
            </w:r>
          </w:p>
        </w:tc>
        <w:tc>
          <w:tcPr>
            <w:tcW w:w="974" w:type="pct"/>
          </w:tcPr>
          <w:p w:rsidR="00D2647E" w:rsidRDefault="00D2647E" w:rsidP="00D2647E">
            <w:pPr>
              <w:spacing w:line="360" w:lineRule="auto"/>
              <w:jc w:val="center"/>
              <w:cnfStyle w:val="100000000000"/>
              <w:rPr>
                <w:sz w:val="22"/>
                <w:szCs w:val="22"/>
              </w:rPr>
            </w:pPr>
            <w:r>
              <w:rPr>
                <w:sz w:val="22"/>
                <w:szCs w:val="22"/>
              </w:rPr>
              <w:t>Ordinal</w:t>
            </w:r>
          </w:p>
        </w:tc>
        <w:tc>
          <w:tcPr>
            <w:tcW w:w="625" w:type="pct"/>
          </w:tcPr>
          <w:p w:rsidR="00D2647E" w:rsidRDefault="00D2647E" w:rsidP="00D2647E">
            <w:pPr>
              <w:spacing w:line="360" w:lineRule="auto"/>
              <w:jc w:val="center"/>
              <w:cnfStyle w:val="100000000000"/>
              <w:rPr>
                <w:sz w:val="22"/>
                <w:szCs w:val="22"/>
              </w:rPr>
            </w:pPr>
            <w:r>
              <w:rPr>
                <w:sz w:val="22"/>
                <w:szCs w:val="22"/>
              </w:rPr>
              <w:t>Ratio</w:t>
            </w:r>
          </w:p>
        </w:tc>
      </w:tr>
      <w:tr w:rsidR="00D2647E" w:rsidTr="0036073A">
        <w:trPr>
          <w:cnfStyle w:val="000000100000"/>
          <w:trHeight w:val="297"/>
        </w:trPr>
        <w:tc>
          <w:tcPr>
            <w:cnfStyle w:val="001000000000"/>
            <w:tcW w:w="1174" w:type="pct"/>
          </w:tcPr>
          <w:p w:rsidR="00D2647E" w:rsidRDefault="00D2647E" w:rsidP="00D2647E">
            <w:pPr>
              <w:spacing w:line="360" w:lineRule="auto"/>
              <w:jc w:val="center"/>
              <w:rPr>
                <w:sz w:val="22"/>
                <w:szCs w:val="22"/>
              </w:rPr>
            </w:pPr>
            <w:r>
              <w:rPr>
                <w:sz w:val="22"/>
                <w:szCs w:val="22"/>
              </w:rPr>
              <w:t>Symmetric</w:t>
            </w:r>
          </w:p>
        </w:tc>
        <w:tc>
          <w:tcPr>
            <w:tcW w:w="2227" w:type="pct"/>
          </w:tcPr>
          <w:p w:rsidR="00D2647E" w:rsidRPr="0043733B" w:rsidRDefault="00D2647E" w:rsidP="00D2647E">
            <w:pPr>
              <w:spacing w:line="360" w:lineRule="auto"/>
              <w:jc w:val="center"/>
              <w:cnfStyle w:val="000000100000"/>
              <w:rPr>
                <w:i/>
                <w:color w:val="000000" w:themeColor="text1"/>
                <w:sz w:val="22"/>
                <w:szCs w:val="22"/>
              </w:rPr>
            </w:pPr>
            <w:r w:rsidRPr="0043733B">
              <w:rPr>
                <w:i/>
                <w:color w:val="000000" w:themeColor="text1"/>
                <w:sz w:val="22"/>
                <w:szCs w:val="22"/>
              </w:rPr>
              <w:t>Cramer</w:t>
            </w:r>
            <w:r w:rsidR="00254898" w:rsidRPr="0043733B">
              <w:rPr>
                <w:i/>
                <w:color w:val="000000" w:themeColor="text1"/>
                <w:sz w:val="22"/>
                <w:szCs w:val="22"/>
              </w:rPr>
              <w:t>’</w:t>
            </w:r>
            <w:r w:rsidRPr="0043733B">
              <w:rPr>
                <w:i/>
                <w:color w:val="000000" w:themeColor="text1"/>
                <w:sz w:val="22"/>
                <w:szCs w:val="22"/>
              </w:rPr>
              <w:t>s V</w:t>
            </w:r>
          </w:p>
        </w:tc>
        <w:tc>
          <w:tcPr>
            <w:tcW w:w="974" w:type="pct"/>
          </w:tcPr>
          <w:p w:rsidR="00D2647E" w:rsidRPr="0043733B" w:rsidRDefault="00D2647E" w:rsidP="00D2647E">
            <w:pPr>
              <w:spacing w:line="360" w:lineRule="auto"/>
              <w:jc w:val="center"/>
              <w:cnfStyle w:val="000000100000"/>
              <w:rPr>
                <w:i/>
                <w:color w:val="000000" w:themeColor="text1"/>
                <w:sz w:val="22"/>
                <w:szCs w:val="22"/>
              </w:rPr>
            </w:pPr>
            <w:r w:rsidRPr="0043733B">
              <w:rPr>
                <w:i/>
                <w:color w:val="000000" w:themeColor="text1"/>
                <w:sz w:val="22"/>
                <w:szCs w:val="22"/>
              </w:rPr>
              <w:t>Gamma</w:t>
            </w:r>
          </w:p>
        </w:tc>
        <w:tc>
          <w:tcPr>
            <w:tcW w:w="625" w:type="pct"/>
          </w:tcPr>
          <w:p w:rsidR="00D2647E" w:rsidRPr="0043733B" w:rsidRDefault="00D2647E" w:rsidP="00D2647E">
            <w:pPr>
              <w:spacing w:line="360" w:lineRule="auto"/>
              <w:jc w:val="center"/>
              <w:cnfStyle w:val="000000100000"/>
              <w:rPr>
                <w:i/>
                <w:color w:val="000000" w:themeColor="text1"/>
                <w:sz w:val="22"/>
                <w:szCs w:val="22"/>
              </w:rPr>
            </w:pPr>
            <w:r w:rsidRPr="0043733B">
              <w:rPr>
                <w:i/>
                <w:color w:val="000000" w:themeColor="text1"/>
                <w:sz w:val="22"/>
                <w:szCs w:val="22"/>
              </w:rPr>
              <w:t>R</w:t>
            </w:r>
          </w:p>
        </w:tc>
      </w:tr>
      <w:tr w:rsidR="00D2647E" w:rsidTr="0036073A">
        <w:trPr>
          <w:trHeight w:val="595"/>
        </w:trPr>
        <w:tc>
          <w:tcPr>
            <w:cnfStyle w:val="001000000000"/>
            <w:tcW w:w="1174" w:type="pct"/>
          </w:tcPr>
          <w:p w:rsidR="00D2647E" w:rsidRDefault="00D2647E" w:rsidP="00D2647E">
            <w:pPr>
              <w:spacing w:line="360" w:lineRule="auto"/>
              <w:jc w:val="center"/>
              <w:rPr>
                <w:sz w:val="22"/>
                <w:szCs w:val="22"/>
              </w:rPr>
            </w:pPr>
            <w:r>
              <w:rPr>
                <w:sz w:val="22"/>
                <w:szCs w:val="22"/>
              </w:rPr>
              <w:t>Asymmetric</w:t>
            </w:r>
          </w:p>
        </w:tc>
        <w:tc>
          <w:tcPr>
            <w:tcW w:w="2227" w:type="pct"/>
          </w:tcPr>
          <w:p w:rsidR="00D2647E" w:rsidRPr="0043733B" w:rsidRDefault="00D2647E" w:rsidP="00D2647E">
            <w:pPr>
              <w:spacing w:line="360" w:lineRule="auto"/>
              <w:jc w:val="center"/>
              <w:cnfStyle w:val="000000000000"/>
              <w:rPr>
                <w:i/>
                <w:color w:val="000000" w:themeColor="text1"/>
                <w:sz w:val="22"/>
                <w:szCs w:val="22"/>
              </w:rPr>
            </w:pPr>
            <w:r w:rsidRPr="0043733B">
              <w:rPr>
                <w:i/>
                <w:color w:val="000000" w:themeColor="text1"/>
                <w:sz w:val="22"/>
                <w:szCs w:val="22"/>
              </w:rPr>
              <w:t>Goodman &amp; Kruskal’s tau</w:t>
            </w:r>
          </w:p>
        </w:tc>
        <w:tc>
          <w:tcPr>
            <w:tcW w:w="974" w:type="pct"/>
          </w:tcPr>
          <w:p w:rsidR="00D2647E" w:rsidRPr="0043733B" w:rsidRDefault="00D2647E" w:rsidP="00D2647E">
            <w:pPr>
              <w:spacing w:line="360" w:lineRule="auto"/>
              <w:jc w:val="center"/>
              <w:cnfStyle w:val="000000000000"/>
              <w:rPr>
                <w:i/>
                <w:color w:val="000000" w:themeColor="text1"/>
                <w:sz w:val="22"/>
                <w:szCs w:val="22"/>
              </w:rPr>
            </w:pPr>
            <w:r w:rsidRPr="0043733B">
              <w:rPr>
                <w:i/>
                <w:color w:val="000000" w:themeColor="text1"/>
                <w:sz w:val="22"/>
                <w:szCs w:val="22"/>
              </w:rPr>
              <w:t>Somer’s d</w:t>
            </w:r>
          </w:p>
        </w:tc>
        <w:tc>
          <w:tcPr>
            <w:tcW w:w="625" w:type="pct"/>
          </w:tcPr>
          <w:p w:rsidR="00D2647E" w:rsidRPr="0043733B" w:rsidRDefault="00D2647E" w:rsidP="00D2647E">
            <w:pPr>
              <w:spacing w:line="360" w:lineRule="auto"/>
              <w:jc w:val="center"/>
              <w:cnfStyle w:val="000000000000"/>
              <w:rPr>
                <w:i/>
                <w:color w:val="000000" w:themeColor="text1"/>
                <w:sz w:val="22"/>
                <w:szCs w:val="22"/>
              </w:rPr>
            </w:pPr>
            <w:r w:rsidRPr="0043733B">
              <w:rPr>
                <w:i/>
                <w:color w:val="000000" w:themeColor="text1"/>
                <w:sz w:val="22"/>
                <w:szCs w:val="22"/>
              </w:rPr>
              <w:t>R^2</w:t>
            </w:r>
          </w:p>
        </w:tc>
      </w:tr>
    </w:tbl>
    <w:p w:rsidR="00E80993" w:rsidRPr="00066627" w:rsidRDefault="0043733B" w:rsidP="00066627">
      <w:pPr>
        <w:spacing w:line="360" w:lineRule="auto"/>
        <w:jc w:val="both"/>
        <w:rPr>
          <w:sz w:val="22"/>
          <w:szCs w:val="22"/>
        </w:rPr>
      </w:pPr>
      <w:r>
        <w:rPr>
          <w:rFonts w:eastAsia="Times New Roman" w:cs="Arial"/>
          <w:color w:val="333333"/>
          <w:sz w:val="22"/>
          <w:szCs w:val="22"/>
          <w:lang w:eastAsia="nl-NL" w:bidi="ar-SA"/>
        </w:rPr>
        <w:lastRenderedPageBreak/>
        <w:t>In table 16 can be seen which statistical association</w:t>
      </w:r>
      <w:r w:rsidR="008A7BF9">
        <w:rPr>
          <w:rFonts w:eastAsia="Times New Roman" w:cs="Arial"/>
          <w:color w:val="333333"/>
          <w:sz w:val="22"/>
          <w:szCs w:val="22"/>
          <w:lang w:eastAsia="nl-NL" w:bidi="ar-SA"/>
        </w:rPr>
        <w:t xml:space="preserve"> </w:t>
      </w:r>
      <w:r>
        <w:rPr>
          <w:rFonts w:eastAsia="Times New Roman" w:cs="Arial"/>
          <w:color w:val="333333"/>
          <w:sz w:val="22"/>
          <w:szCs w:val="22"/>
          <w:lang w:eastAsia="nl-NL" w:bidi="ar-SA"/>
        </w:rPr>
        <w:t>measurements can be used at a certain measurement level and suspected relationship between two variables.  As mentioned before</w:t>
      </w:r>
      <w:r w:rsidR="002752F8">
        <w:rPr>
          <w:rFonts w:eastAsia="Times New Roman" w:cs="Arial"/>
          <w:color w:val="333333"/>
          <w:sz w:val="22"/>
          <w:szCs w:val="22"/>
          <w:lang w:eastAsia="nl-NL" w:bidi="ar-SA"/>
        </w:rPr>
        <w:t>, you</w:t>
      </w:r>
      <w:r>
        <w:rPr>
          <w:rFonts w:eastAsia="Times New Roman" w:cs="Arial"/>
          <w:color w:val="333333"/>
          <w:sz w:val="22"/>
          <w:szCs w:val="22"/>
          <w:lang w:eastAsia="nl-NL" w:bidi="ar-SA"/>
        </w:rPr>
        <w:t xml:space="preserve"> always have to assume </w:t>
      </w:r>
      <w:r w:rsidR="008A7BF9">
        <w:rPr>
          <w:rFonts w:eastAsia="Times New Roman" w:cs="Arial"/>
          <w:color w:val="333333"/>
          <w:sz w:val="22"/>
          <w:szCs w:val="22"/>
          <w:lang w:eastAsia="nl-NL" w:bidi="ar-SA"/>
        </w:rPr>
        <w:t>the lowest measurement level of the two variables involved when analyzing the relationships between those variables.  The association measurements Cramer’s V and Goodman &amp; Kruskal’s tau test the difference between two variables: they give an indication of the relationship between two variables on a 0-1 scale, but don’t say anything about the direction of the relationship (positive or negative direction). The association measurements Gamma and Somer’s d</w:t>
      </w:r>
      <w:r w:rsidR="00271270">
        <w:rPr>
          <w:rFonts w:eastAsia="Times New Roman" w:cs="Arial"/>
          <w:color w:val="333333"/>
          <w:sz w:val="22"/>
          <w:szCs w:val="22"/>
          <w:lang w:eastAsia="nl-NL" w:bidi="ar-SA"/>
        </w:rPr>
        <w:t>, R and R^2</w:t>
      </w:r>
      <w:r w:rsidR="008A7BF9">
        <w:rPr>
          <w:rFonts w:eastAsia="Times New Roman" w:cs="Arial"/>
          <w:color w:val="333333"/>
          <w:sz w:val="22"/>
          <w:szCs w:val="22"/>
          <w:lang w:eastAsia="nl-NL" w:bidi="ar-SA"/>
        </w:rPr>
        <w:t xml:space="preserve"> test the coherence/linear relationship between two variables</w:t>
      </w:r>
      <w:sdt>
        <w:sdtPr>
          <w:rPr>
            <w:rFonts w:eastAsia="Times New Roman" w:cs="Arial"/>
            <w:color w:val="333333"/>
            <w:sz w:val="22"/>
            <w:szCs w:val="22"/>
            <w:lang w:eastAsia="nl-NL" w:bidi="ar-SA"/>
          </w:rPr>
          <w:id w:val="15267201"/>
          <w:citation/>
        </w:sdtPr>
        <w:sdtContent>
          <w:r w:rsidR="00BD69D8">
            <w:rPr>
              <w:rFonts w:eastAsia="Times New Roman" w:cs="Arial"/>
              <w:color w:val="333333"/>
              <w:sz w:val="22"/>
              <w:szCs w:val="22"/>
              <w:lang w:eastAsia="nl-NL" w:bidi="ar-SA"/>
            </w:rPr>
            <w:fldChar w:fldCharType="begin"/>
          </w:r>
          <w:r w:rsidR="00E80993">
            <w:rPr>
              <w:rFonts w:eastAsia="Times New Roman" w:cs="Arial"/>
              <w:color w:val="333333"/>
              <w:sz w:val="22"/>
              <w:szCs w:val="22"/>
              <w:lang w:eastAsia="nl-NL" w:bidi="ar-SA"/>
            </w:rPr>
            <w:instrText xml:space="preserve"> CITATION Fie09 \l 1033 </w:instrText>
          </w:r>
          <w:r w:rsidR="00BD69D8">
            <w:rPr>
              <w:rFonts w:eastAsia="Times New Roman" w:cs="Arial"/>
              <w:color w:val="333333"/>
              <w:sz w:val="22"/>
              <w:szCs w:val="22"/>
              <w:lang w:eastAsia="nl-NL" w:bidi="ar-SA"/>
            </w:rPr>
            <w:fldChar w:fldCharType="separate"/>
          </w:r>
          <w:r w:rsidR="00F26771">
            <w:rPr>
              <w:rFonts w:eastAsia="Times New Roman" w:cs="Arial"/>
              <w:noProof/>
              <w:color w:val="333333"/>
              <w:sz w:val="22"/>
              <w:szCs w:val="22"/>
              <w:lang w:eastAsia="nl-NL" w:bidi="ar-SA"/>
            </w:rPr>
            <w:t xml:space="preserve"> </w:t>
          </w:r>
          <w:r w:rsidR="00F26771" w:rsidRPr="00F26771">
            <w:rPr>
              <w:rFonts w:eastAsia="Times New Roman" w:cs="Arial"/>
              <w:noProof/>
              <w:color w:val="333333"/>
              <w:sz w:val="22"/>
              <w:szCs w:val="22"/>
              <w:lang w:eastAsia="nl-NL" w:bidi="ar-SA"/>
            </w:rPr>
            <w:t>(Field, 2009)</w:t>
          </w:r>
          <w:r w:rsidR="00BD69D8">
            <w:rPr>
              <w:rFonts w:eastAsia="Times New Roman" w:cs="Arial"/>
              <w:color w:val="333333"/>
              <w:sz w:val="22"/>
              <w:szCs w:val="22"/>
              <w:lang w:eastAsia="nl-NL" w:bidi="ar-SA"/>
            </w:rPr>
            <w:fldChar w:fldCharType="end"/>
          </w:r>
        </w:sdtContent>
      </w:sdt>
      <w:r w:rsidR="008A7BF9">
        <w:rPr>
          <w:rFonts w:eastAsia="Times New Roman" w:cs="Arial"/>
          <w:color w:val="333333"/>
          <w:sz w:val="22"/>
          <w:szCs w:val="22"/>
          <w:lang w:eastAsia="nl-NL" w:bidi="ar-SA"/>
        </w:rPr>
        <w:t>: they give an indication of the relationship between two variables on</w:t>
      </w:r>
      <w:r w:rsidR="00E80993">
        <w:rPr>
          <w:rFonts w:eastAsia="Times New Roman" w:cs="Arial"/>
          <w:color w:val="333333"/>
          <w:sz w:val="22"/>
          <w:szCs w:val="22"/>
          <w:lang w:eastAsia="nl-NL" w:bidi="ar-SA"/>
        </w:rPr>
        <w:t xml:space="preserve"> a  -1 </w:t>
      </w:r>
      <w:r w:rsidR="008A7BF9">
        <w:rPr>
          <w:rFonts w:eastAsia="Times New Roman" w:cs="Arial"/>
          <w:color w:val="333333"/>
          <w:sz w:val="22"/>
          <w:szCs w:val="22"/>
          <w:lang w:eastAsia="nl-NL" w:bidi="ar-SA"/>
        </w:rPr>
        <w:t xml:space="preserve"> + 1 scale, and thus also say something</w:t>
      </w:r>
      <w:r w:rsidR="00E80993">
        <w:rPr>
          <w:rFonts w:eastAsia="Times New Roman" w:cs="Arial"/>
          <w:color w:val="333333"/>
          <w:sz w:val="22"/>
          <w:szCs w:val="22"/>
          <w:lang w:eastAsia="nl-NL" w:bidi="ar-SA"/>
        </w:rPr>
        <w:t xml:space="preserve"> about the direction of the relationship. This relationship can be negative and thus &lt; 0, or positive and thus &gt;0. Table 17 indicates the strength of a relationship between to variables. Off course, if these relationships are negative, it has to be said say so. </w:t>
      </w:r>
    </w:p>
    <w:tbl>
      <w:tblPr>
        <w:tblStyle w:val="Gemiddeldraster3-accent1"/>
        <w:tblW w:w="0" w:type="auto"/>
        <w:tblLook w:val="04A0"/>
      </w:tblPr>
      <w:tblGrid>
        <w:gridCol w:w="4606"/>
        <w:gridCol w:w="4606"/>
      </w:tblGrid>
      <w:tr w:rsidR="0036073A" w:rsidTr="0036073A">
        <w:trPr>
          <w:cnfStyle w:val="100000000000"/>
        </w:trPr>
        <w:tc>
          <w:tcPr>
            <w:cnfStyle w:val="001000000000"/>
            <w:tcW w:w="4606" w:type="dxa"/>
          </w:tcPr>
          <w:p w:rsidR="0036073A" w:rsidRDefault="0036073A" w:rsidP="00196033">
            <w:pPr>
              <w:jc w:val="right"/>
              <w:textAlignment w:val="top"/>
              <w:rPr>
                <w:rFonts w:eastAsia="Times New Roman" w:cs="Arial"/>
                <w:color w:val="333333"/>
                <w:sz w:val="22"/>
                <w:szCs w:val="22"/>
                <w:lang w:eastAsia="nl-NL" w:bidi="ar-SA"/>
              </w:rPr>
            </w:pPr>
            <w:r>
              <w:rPr>
                <w:rFonts w:eastAsia="Times New Roman" w:cs="Arial"/>
                <w:color w:val="333333"/>
                <w:sz w:val="22"/>
                <w:szCs w:val="22"/>
                <w:lang w:eastAsia="nl-NL" w:bidi="ar-SA"/>
              </w:rPr>
              <w:t>Table 17</w:t>
            </w:r>
          </w:p>
        </w:tc>
        <w:tc>
          <w:tcPr>
            <w:tcW w:w="4606" w:type="dxa"/>
          </w:tcPr>
          <w:p w:rsidR="0036073A" w:rsidRDefault="0036073A" w:rsidP="0043733B">
            <w:pPr>
              <w:spacing w:line="360" w:lineRule="auto"/>
              <w:jc w:val="both"/>
              <w:textAlignment w:val="top"/>
              <w:cnfStyle w:val="100000000000"/>
              <w:rPr>
                <w:rFonts w:eastAsia="Times New Roman" w:cs="Arial"/>
                <w:color w:val="333333"/>
                <w:sz w:val="22"/>
                <w:szCs w:val="22"/>
                <w:lang w:eastAsia="nl-NL" w:bidi="ar-SA"/>
              </w:rPr>
            </w:pPr>
            <w:r>
              <w:rPr>
                <w:rFonts w:eastAsia="Times New Roman" w:cs="Arial"/>
                <w:color w:val="333333"/>
                <w:sz w:val="22"/>
                <w:szCs w:val="22"/>
                <w:lang w:eastAsia="nl-NL" w:bidi="ar-SA"/>
              </w:rPr>
              <w:t>Strength of relationships between variables</w:t>
            </w:r>
          </w:p>
        </w:tc>
      </w:tr>
      <w:tr w:rsidR="00E80993" w:rsidTr="0036073A">
        <w:trPr>
          <w:cnfStyle w:val="000000100000"/>
        </w:trPr>
        <w:tc>
          <w:tcPr>
            <w:cnfStyle w:val="001000000000"/>
            <w:tcW w:w="4606" w:type="dxa"/>
          </w:tcPr>
          <w:p w:rsidR="00E80993" w:rsidRDefault="00E80993" w:rsidP="00196033">
            <w:pPr>
              <w:jc w:val="center"/>
              <w:textAlignment w:val="top"/>
              <w:rPr>
                <w:rFonts w:eastAsia="Times New Roman" w:cs="Arial"/>
                <w:color w:val="333333"/>
                <w:sz w:val="22"/>
                <w:szCs w:val="22"/>
                <w:lang w:eastAsia="nl-NL" w:bidi="ar-SA"/>
              </w:rPr>
            </w:pPr>
            <w:r>
              <w:rPr>
                <w:rFonts w:eastAsia="Times New Roman" w:cs="Arial"/>
                <w:color w:val="333333"/>
                <w:sz w:val="22"/>
                <w:szCs w:val="22"/>
                <w:lang w:eastAsia="nl-NL" w:bidi="ar-SA"/>
              </w:rPr>
              <w:t>0-.10</w:t>
            </w:r>
          </w:p>
        </w:tc>
        <w:tc>
          <w:tcPr>
            <w:tcW w:w="4606" w:type="dxa"/>
          </w:tcPr>
          <w:p w:rsidR="00E80993" w:rsidRDefault="00E80993" w:rsidP="0043733B">
            <w:pPr>
              <w:spacing w:line="360" w:lineRule="auto"/>
              <w:jc w:val="both"/>
              <w:textAlignment w:val="top"/>
              <w:cnfStyle w:val="000000100000"/>
              <w:rPr>
                <w:rFonts w:eastAsia="Times New Roman" w:cs="Arial"/>
                <w:color w:val="333333"/>
                <w:sz w:val="22"/>
                <w:szCs w:val="22"/>
                <w:lang w:eastAsia="nl-NL" w:bidi="ar-SA"/>
              </w:rPr>
            </w:pPr>
            <w:r>
              <w:rPr>
                <w:rFonts w:eastAsia="Times New Roman" w:cs="Arial"/>
                <w:color w:val="333333"/>
                <w:sz w:val="22"/>
                <w:szCs w:val="22"/>
                <w:lang w:eastAsia="nl-NL" w:bidi="ar-SA"/>
              </w:rPr>
              <w:t>Very weak/ not related</w:t>
            </w:r>
          </w:p>
        </w:tc>
      </w:tr>
      <w:tr w:rsidR="00E80993" w:rsidTr="0036073A">
        <w:tc>
          <w:tcPr>
            <w:cnfStyle w:val="001000000000"/>
            <w:tcW w:w="4606" w:type="dxa"/>
          </w:tcPr>
          <w:p w:rsidR="00E80993" w:rsidRDefault="00E80993" w:rsidP="00196033">
            <w:pPr>
              <w:jc w:val="center"/>
              <w:textAlignment w:val="top"/>
              <w:rPr>
                <w:rFonts w:eastAsia="Times New Roman" w:cs="Arial"/>
                <w:color w:val="333333"/>
                <w:sz w:val="22"/>
                <w:szCs w:val="22"/>
                <w:lang w:eastAsia="nl-NL" w:bidi="ar-SA"/>
              </w:rPr>
            </w:pPr>
            <w:r>
              <w:rPr>
                <w:rFonts w:eastAsia="Times New Roman" w:cs="Arial"/>
                <w:color w:val="333333"/>
                <w:sz w:val="22"/>
                <w:szCs w:val="22"/>
                <w:lang w:eastAsia="nl-NL" w:bidi="ar-SA"/>
              </w:rPr>
              <w:t>.11-.30</w:t>
            </w:r>
          </w:p>
        </w:tc>
        <w:tc>
          <w:tcPr>
            <w:tcW w:w="4606" w:type="dxa"/>
          </w:tcPr>
          <w:p w:rsidR="00E80993" w:rsidRDefault="00E80993" w:rsidP="0043733B">
            <w:pPr>
              <w:spacing w:line="360" w:lineRule="auto"/>
              <w:jc w:val="both"/>
              <w:textAlignment w:val="top"/>
              <w:cnfStyle w:val="000000000000"/>
              <w:rPr>
                <w:rFonts w:eastAsia="Times New Roman" w:cs="Arial"/>
                <w:color w:val="333333"/>
                <w:sz w:val="22"/>
                <w:szCs w:val="22"/>
                <w:lang w:eastAsia="nl-NL" w:bidi="ar-SA"/>
              </w:rPr>
            </w:pPr>
            <w:r>
              <w:rPr>
                <w:rFonts w:eastAsia="Times New Roman" w:cs="Arial"/>
                <w:color w:val="333333"/>
                <w:sz w:val="22"/>
                <w:szCs w:val="22"/>
                <w:lang w:eastAsia="nl-NL" w:bidi="ar-SA"/>
              </w:rPr>
              <w:t>Wea</w:t>
            </w:r>
            <w:r w:rsidR="0036073A">
              <w:rPr>
                <w:rFonts w:eastAsia="Times New Roman" w:cs="Arial"/>
                <w:color w:val="333333"/>
                <w:sz w:val="22"/>
                <w:szCs w:val="22"/>
                <w:lang w:eastAsia="nl-NL" w:bidi="ar-SA"/>
              </w:rPr>
              <w:t>kly related</w:t>
            </w:r>
          </w:p>
        </w:tc>
      </w:tr>
      <w:tr w:rsidR="00E80993" w:rsidTr="0036073A">
        <w:trPr>
          <w:cnfStyle w:val="000000100000"/>
        </w:trPr>
        <w:tc>
          <w:tcPr>
            <w:cnfStyle w:val="001000000000"/>
            <w:tcW w:w="4606" w:type="dxa"/>
          </w:tcPr>
          <w:p w:rsidR="00E80993" w:rsidRDefault="00E80993" w:rsidP="00196033">
            <w:pPr>
              <w:jc w:val="center"/>
              <w:textAlignment w:val="top"/>
              <w:rPr>
                <w:rFonts w:eastAsia="Times New Roman" w:cs="Arial"/>
                <w:color w:val="333333"/>
                <w:sz w:val="22"/>
                <w:szCs w:val="22"/>
                <w:lang w:eastAsia="nl-NL" w:bidi="ar-SA"/>
              </w:rPr>
            </w:pPr>
            <w:r>
              <w:rPr>
                <w:rFonts w:eastAsia="Times New Roman" w:cs="Arial"/>
                <w:color w:val="333333"/>
                <w:sz w:val="22"/>
                <w:szCs w:val="22"/>
                <w:lang w:eastAsia="nl-NL" w:bidi="ar-SA"/>
              </w:rPr>
              <w:t>.31-.50</w:t>
            </w:r>
          </w:p>
        </w:tc>
        <w:tc>
          <w:tcPr>
            <w:tcW w:w="4606" w:type="dxa"/>
          </w:tcPr>
          <w:p w:rsidR="00E80993" w:rsidRDefault="0036073A" w:rsidP="0043733B">
            <w:pPr>
              <w:spacing w:line="360" w:lineRule="auto"/>
              <w:jc w:val="both"/>
              <w:textAlignment w:val="top"/>
              <w:cnfStyle w:val="000000100000"/>
              <w:rPr>
                <w:rFonts w:eastAsia="Times New Roman" w:cs="Arial"/>
                <w:color w:val="333333"/>
                <w:sz w:val="22"/>
                <w:szCs w:val="22"/>
                <w:lang w:eastAsia="nl-NL" w:bidi="ar-SA"/>
              </w:rPr>
            </w:pPr>
            <w:r>
              <w:rPr>
                <w:rFonts w:eastAsia="Times New Roman" w:cs="Arial"/>
                <w:color w:val="333333"/>
                <w:sz w:val="22"/>
                <w:szCs w:val="22"/>
                <w:lang w:eastAsia="nl-NL" w:bidi="ar-SA"/>
              </w:rPr>
              <w:t>Reasonable relationship</w:t>
            </w:r>
          </w:p>
        </w:tc>
      </w:tr>
      <w:tr w:rsidR="00E80993" w:rsidTr="0036073A">
        <w:tc>
          <w:tcPr>
            <w:cnfStyle w:val="001000000000"/>
            <w:tcW w:w="4606" w:type="dxa"/>
          </w:tcPr>
          <w:p w:rsidR="00E80993" w:rsidRDefault="00E80993" w:rsidP="00196033">
            <w:pPr>
              <w:jc w:val="center"/>
              <w:textAlignment w:val="top"/>
              <w:rPr>
                <w:rFonts w:eastAsia="Times New Roman" w:cs="Arial"/>
                <w:color w:val="333333"/>
                <w:sz w:val="22"/>
                <w:szCs w:val="22"/>
                <w:lang w:eastAsia="nl-NL" w:bidi="ar-SA"/>
              </w:rPr>
            </w:pPr>
            <w:r>
              <w:rPr>
                <w:rFonts w:eastAsia="Times New Roman" w:cs="Arial"/>
                <w:color w:val="333333"/>
                <w:sz w:val="22"/>
                <w:szCs w:val="22"/>
                <w:lang w:eastAsia="nl-NL" w:bidi="ar-SA"/>
              </w:rPr>
              <w:t>.51-.80</w:t>
            </w:r>
          </w:p>
        </w:tc>
        <w:tc>
          <w:tcPr>
            <w:tcW w:w="4606" w:type="dxa"/>
          </w:tcPr>
          <w:p w:rsidR="00E80993" w:rsidRDefault="0036073A" w:rsidP="0043733B">
            <w:pPr>
              <w:spacing w:line="360" w:lineRule="auto"/>
              <w:jc w:val="both"/>
              <w:textAlignment w:val="top"/>
              <w:cnfStyle w:val="000000000000"/>
              <w:rPr>
                <w:rFonts w:eastAsia="Times New Roman" w:cs="Arial"/>
                <w:color w:val="333333"/>
                <w:sz w:val="22"/>
                <w:szCs w:val="22"/>
                <w:lang w:eastAsia="nl-NL" w:bidi="ar-SA"/>
              </w:rPr>
            </w:pPr>
            <w:r>
              <w:rPr>
                <w:rFonts w:eastAsia="Times New Roman" w:cs="Arial"/>
                <w:color w:val="333333"/>
                <w:sz w:val="22"/>
                <w:szCs w:val="22"/>
                <w:lang w:eastAsia="nl-NL" w:bidi="ar-SA"/>
              </w:rPr>
              <w:t>Strongly related</w:t>
            </w:r>
          </w:p>
        </w:tc>
      </w:tr>
      <w:tr w:rsidR="00E80993" w:rsidTr="0036073A">
        <w:trPr>
          <w:cnfStyle w:val="000000100000"/>
        </w:trPr>
        <w:tc>
          <w:tcPr>
            <w:cnfStyle w:val="001000000000"/>
            <w:tcW w:w="4606" w:type="dxa"/>
          </w:tcPr>
          <w:p w:rsidR="00E80993" w:rsidRDefault="00E80993" w:rsidP="00196033">
            <w:pPr>
              <w:jc w:val="center"/>
              <w:textAlignment w:val="top"/>
              <w:rPr>
                <w:rFonts w:eastAsia="Times New Roman" w:cs="Arial"/>
                <w:color w:val="333333"/>
                <w:sz w:val="22"/>
                <w:szCs w:val="22"/>
                <w:lang w:eastAsia="nl-NL" w:bidi="ar-SA"/>
              </w:rPr>
            </w:pPr>
            <w:r>
              <w:rPr>
                <w:rFonts w:eastAsia="Times New Roman" w:cs="Arial"/>
                <w:color w:val="333333"/>
                <w:sz w:val="22"/>
                <w:szCs w:val="22"/>
                <w:lang w:eastAsia="nl-NL" w:bidi="ar-SA"/>
              </w:rPr>
              <w:t>.81-.99</w:t>
            </w:r>
          </w:p>
        </w:tc>
        <w:tc>
          <w:tcPr>
            <w:tcW w:w="4606" w:type="dxa"/>
          </w:tcPr>
          <w:p w:rsidR="00E80993" w:rsidRDefault="0036073A" w:rsidP="0043733B">
            <w:pPr>
              <w:spacing w:line="360" w:lineRule="auto"/>
              <w:jc w:val="both"/>
              <w:textAlignment w:val="top"/>
              <w:cnfStyle w:val="000000100000"/>
              <w:rPr>
                <w:rFonts w:eastAsia="Times New Roman" w:cs="Arial"/>
                <w:color w:val="333333"/>
                <w:sz w:val="22"/>
                <w:szCs w:val="22"/>
                <w:lang w:eastAsia="nl-NL" w:bidi="ar-SA"/>
              </w:rPr>
            </w:pPr>
            <w:r>
              <w:rPr>
                <w:rFonts w:eastAsia="Times New Roman" w:cs="Arial"/>
                <w:color w:val="333333"/>
                <w:sz w:val="22"/>
                <w:szCs w:val="22"/>
                <w:lang w:eastAsia="nl-NL" w:bidi="ar-SA"/>
              </w:rPr>
              <w:t>Very strong related</w:t>
            </w:r>
          </w:p>
        </w:tc>
      </w:tr>
      <w:tr w:rsidR="00E80993" w:rsidTr="0036073A">
        <w:tc>
          <w:tcPr>
            <w:cnfStyle w:val="001000000000"/>
            <w:tcW w:w="4606" w:type="dxa"/>
          </w:tcPr>
          <w:p w:rsidR="00E80993" w:rsidRDefault="00E80993" w:rsidP="00196033">
            <w:pPr>
              <w:jc w:val="center"/>
              <w:textAlignment w:val="top"/>
              <w:rPr>
                <w:rFonts w:eastAsia="Times New Roman" w:cs="Arial"/>
                <w:color w:val="333333"/>
                <w:sz w:val="22"/>
                <w:szCs w:val="22"/>
                <w:lang w:eastAsia="nl-NL" w:bidi="ar-SA"/>
              </w:rPr>
            </w:pPr>
            <w:r>
              <w:rPr>
                <w:rFonts w:eastAsia="Times New Roman" w:cs="Arial"/>
                <w:color w:val="333333"/>
                <w:sz w:val="22"/>
                <w:szCs w:val="22"/>
                <w:lang w:eastAsia="nl-NL" w:bidi="ar-SA"/>
              </w:rPr>
              <w:t>1.00</w:t>
            </w:r>
          </w:p>
        </w:tc>
        <w:tc>
          <w:tcPr>
            <w:tcW w:w="4606" w:type="dxa"/>
          </w:tcPr>
          <w:p w:rsidR="00E80993" w:rsidRDefault="0036073A" w:rsidP="0043733B">
            <w:pPr>
              <w:spacing w:line="360" w:lineRule="auto"/>
              <w:jc w:val="both"/>
              <w:textAlignment w:val="top"/>
              <w:cnfStyle w:val="000000000000"/>
              <w:rPr>
                <w:rFonts w:eastAsia="Times New Roman" w:cs="Arial"/>
                <w:color w:val="333333"/>
                <w:sz w:val="22"/>
                <w:szCs w:val="22"/>
                <w:lang w:eastAsia="nl-NL" w:bidi="ar-SA"/>
              </w:rPr>
            </w:pPr>
            <w:r>
              <w:rPr>
                <w:rFonts w:eastAsia="Times New Roman" w:cs="Arial"/>
                <w:color w:val="333333"/>
                <w:sz w:val="22"/>
                <w:szCs w:val="22"/>
                <w:lang w:eastAsia="nl-NL" w:bidi="ar-SA"/>
              </w:rPr>
              <w:t>Perfect relationship</w:t>
            </w:r>
          </w:p>
        </w:tc>
      </w:tr>
    </w:tbl>
    <w:p w:rsidR="00556F90" w:rsidRPr="0043733B" w:rsidRDefault="00E80993" w:rsidP="0043733B">
      <w:pPr>
        <w:spacing w:before="0" w:after="0" w:line="360" w:lineRule="auto"/>
        <w:jc w:val="both"/>
        <w:textAlignment w:val="top"/>
        <w:rPr>
          <w:rFonts w:eastAsia="Times New Roman" w:cs="Arial"/>
          <w:color w:val="333333"/>
          <w:sz w:val="22"/>
          <w:szCs w:val="22"/>
          <w:lang w:eastAsia="nl-NL" w:bidi="ar-SA"/>
        </w:rPr>
      </w:pPr>
      <w:r>
        <w:rPr>
          <w:rFonts w:eastAsia="Times New Roman" w:cs="Arial"/>
          <w:color w:val="333333"/>
          <w:sz w:val="22"/>
          <w:szCs w:val="22"/>
          <w:lang w:eastAsia="nl-NL" w:bidi="ar-SA"/>
        </w:rPr>
        <w:t xml:space="preserve"> </w:t>
      </w:r>
    </w:p>
    <w:p w:rsidR="00556F90" w:rsidRPr="008A7BF9" w:rsidRDefault="00556F90" w:rsidP="00352EDB">
      <w:pPr>
        <w:spacing w:line="360" w:lineRule="auto"/>
        <w:jc w:val="both"/>
        <w:rPr>
          <w:sz w:val="22"/>
          <w:szCs w:val="22"/>
        </w:rPr>
      </w:pPr>
    </w:p>
    <w:p w:rsidR="00556F90" w:rsidRDefault="00556F90" w:rsidP="00352EDB">
      <w:pPr>
        <w:spacing w:line="360" w:lineRule="auto"/>
        <w:jc w:val="both"/>
        <w:rPr>
          <w:sz w:val="22"/>
          <w:szCs w:val="22"/>
        </w:rPr>
      </w:pPr>
    </w:p>
    <w:p w:rsidR="0036073A" w:rsidRDefault="0036073A" w:rsidP="00352EDB">
      <w:pPr>
        <w:spacing w:line="360" w:lineRule="auto"/>
        <w:jc w:val="both"/>
        <w:rPr>
          <w:sz w:val="22"/>
          <w:szCs w:val="22"/>
        </w:rPr>
      </w:pPr>
    </w:p>
    <w:p w:rsidR="0036073A" w:rsidRDefault="0036073A" w:rsidP="00352EDB">
      <w:pPr>
        <w:spacing w:line="360" w:lineRule="auto"/>
        <w:jc w:val="both"/>
        <w:rPr>
          <w:sz w:val="22"/>
          <w:szCs w:val="22"/>
        </w:rPr>
      </w:pPr>
    </w:p>
    <w:p w:rsidR="0036073A" w:rsidRDefault="0036073A" w:rsidP="00352EDB">
      <w:pPr>
        <w:spacing w:line="360" w:lineRule="auto"/>
        <w:jc w:val="both"/>
        <w:rPr>
          <w:sz w:val="22"/>
          <w:szCs w:val="22"/>
        </w:rPr>
      </w:pPr>
    </w:p>
    <w:p w:rsidR="0036073A" w:rsidRDefault="0036073A" w:rsidP="00352EDB">
      <w:pPr>
        <w:spacing w:line="360" w:lineRule="auto"/>
        <w:jc w:val="both"/>
        <w:rPr>
          <w:sz w:val="22"/>
          <w:szCs w:val="22"/>
        </w:rPr>
      </w:pPr>
    </w:p>
    <w:p w:rsidR="00556F90" w:rsidRDefault="00556F90" w:rsidP="00352EDB">
      <w:pPr>
        <w:spacing w:line="360" w:lineRule="auto"/>
        <w:jc w:val="both"/>
        <w:rPr>
          <w:sz w:val="22"/>
          <w:szCs w:val="22"/>
        </w:rPr>
      </w:pPr>
    </w:p>
    <w:p w:rsidR="0036073A" w:rsidRDefault="0036073A" w:rsidP="00352EDB">
      <w:pPr>
        <w:spacing w:line="360" w:lineRule="auto"/>
        <w:jc w:val="both"/>
        <w:rPr>
          <w:sz w:val="22"/>
          <w:szCs w:val="22"/>
        </w:rPr>
      </w:pPr>
    </w:p>
    <w:p w:rsidR="00CF62C8" w:rsidRDefault="00CF62C8" w:rsidP="00590513">
      <w:pPr>
        <w:rPr>
          <w:sz w:val="22"/>
          <w:szCs w:val="22"/>
        </w:rPr>
      </w:pPr>
    </w:p>
    <w:p w:rsidR="00590513" w:rsidRPr="009315AD" w:rsidRDefault="00590513" w:rsidP="00590513">
      <w:pPr>
        <w:pStyle w:val="Kop1"/>
        <w:numPr>
          <w:ilvl w:val="0"/>
          <w:numId w:val="13"/>
        </w:numPr>
        <w:rPr>
          <w:rFonts w:asciiTheme="majorHAnsi" w:hAnsiTheme="majorHAnsi"/>
        </w:rPr>
      </w:pPr>
      <w:bookmarkStart w:id="28" w:name="_Toc300412001"/>
      <w:r w:rsidRPr="009315AD">
        <w:rPr>
          <w:rFonts w:asciiTheme="majorHAnsi" w:hAnsiTheme="majorHAnsi"/>
        </w:rPr>
        <w:lastRenderedPageBreak/>
        <w:t>RESULTS AND ANALYSIS</w:t>
      </w:r>
      <w:bookmarkEnd w:id="28"/>
    </w:p>
    <w:p w:rsidR="00F17238" w:rsidRPr="00255FE3" w:rsidRDefault="00045488" w:rsidP="00045488">
      <w:pPr>
        <w:spacing w:line="360" w:lineRule="auto"/>
        <w:jc w:val="both"/>
        <w:rPr>
          <w:sz w:val="22"/>
          <w:szCs w:val="22"/>
        </w:rPr>
      </w:pPr>
      <w:r>
        <w:rPr>
          <w:sz w:val="22"/>
          <w:szCs w:val="22"/>
        </w:rPr>
        <w:t>T</w:t>
      </w:r>
      <w:r w:rsidR="00255FE3" w:rsidRPr="00255FE3">
        <w:rPr>
          <w:sz w:val="22"/>
          <w:szCs w:val="22"/>
        </w:rPr>
        <w:t>he r</w:t>
      </w:r>
      <w:r w:rsidR="00255FE3">
        <w:rPr>
          <w:sz w:val="22"/>
          <w:szCs w:val="22"/>
        </w:rPr>
        <w:t>esults obtained from the questionnaire will be presented</w:t>
      </w:r>
      <w:r>
        <w:rPr>
          <w:sz w:val="22"/>
          <w:szCs w:val="22"/>
        </w:rPr>
        <w:t xml:space="preserve"> in this chapter. For the elaboration of these</w:t>
      </w:r>
      <w:r w:rsidR="00255FE3">
        <w:rPr>
          <w:sz w:val="22"/>
          <w:szCs w:val="22"/>
        </w:rPr>
        <w:t xml:space="preserve"> results</w:t>
      </w:r>
      <w:r>
        <w:rPr>
          <w:sz w:val="22"/>
          <w:szCs w:val="22"/>
        </w:rPr>
        <w:t xml:space="preserve"> I used the same display as used in the literature review section. In this way, the research results can be compared more quickly with the related literature.</w:t>
      </w:r>
    </w:p>
    <w:p w:rsidR="004D0B15" w:rsidRPr="00F94355" w:rsidRDefault="004D0B15" w:rsidP="004D0B15">
      <w:pPr>
        <w:pStyle w:val="Kop2"/>
        <w:numPr>
          <w:ilvl w:val="1"/>
          <w:numId w:val="13"/>
        </w:numPr>
        <w:rPr>
          <w:rFonts w:asciiTheme="majorHAnsi" w:hAnsiTheme="majorHAnsi"/>
          <w:lang w:val="nl-NL"/>
        </w:rPr>
      </w:pPr>
      <w:bookmarkStart w:id="29" w:name="_Toc300412002"/>
      <w:r w:rsidRPr="00F94355">
        <w:rPr>
          <w:rFonts w:asciiTheme="majorHAnsi" w:hAnsiTheme="majorHAnsi"/>
          <w:lang w:val="nl-NL"/>
        </w:rPr>
        <w:t>Characterizing Dutch TPL relationships</w:t>
      </w:r>
      <w:bookmarkEnd w:id="29"/>
    </w:p>
    <w:p w:rsidR="004D0B15" w:rsidRDefault="004D0B15" w:rsidP="00255155">
      <w:pPr>
        <w:spacing w:line="360" w:lineRule="auto"/>
        <w:jc w:val="both"/>
        <w:rPr>
          <w:sz w:val="22"/>
          <w:szCs w:val="22"/>
        </w:rPr>
      </w:pPr>
      <w:r w:rsidRPr="004D0B15">
        <w:rPr>
          <w:sz w:val="22"/>
          <w:szCs w:val="22"/>
        </w:rPr>
        <w:t>Before something meaningful can b</w:t>
      </w:r>
      <w:r>
        <w:rPr>
          <w:sz w:val="22"/>
          <w:szCs w:val="22"/>
        </w:rPr>
        <w:t>e said about customer/provider relationships, we have to know something about who these companies are. Respondents to this survey</w:t>
      </w:r>
      <w:r w:rsidR="00255155">
        <w:rPr>
          <w:sz w:val="22"/>
          <w:szCs w:val="22"/>
        </w:rPr>
        <w:t xml:space="preserve"> where asked about their size in number of personnel and the average size of their customers</w:t>
      </w:r>
      <w:r w:rsidR="0004207E">
        <w:rPr>
          <w:sz w:val="22"/>
          <w:szCs w:val="22"/>
        </w:rPr>
        <w:t xml:space="preserve"> (in number of personnel)</w:t>
      </w:r>
      <w:r w:rsidR="00255155">
        <w:rPr>
          <w:sz w:val="22"/>
          <w:szCs w:val="22"/>
        </w:rPr>
        <w:t xml:space="preserve">.  As can be drawn from figure 18, the median and mode of both parties involved are in the category of 50 to 200 employees. </w:t>
      </w:r>
      <w:r w:rsidR="00810CC2">
        <w:rPr>
          <w:sz w:val="22"/>
          <w:szCs w:val="22"/>
        </w:rPr>
        <w:t xml:space="preserve">It was found that the size of the customer is reasonably positively related to the size of the TPL provider (and vice versa) since the relationships scored a .362 (Gamma). </w:t>
      </w:r>
    </w:p>
    <w:p w:rsidR="00164787" w:rsidRDefault="00BD69D8" w:rsidP="002C6C30">
      <w:pPr>
        <w:spacing w:line="360" w:lineRule="auto"/>
        <w:jc w:val="both"/>
        <w:rPr>
          <w:sz w:val="22"/>
          <w:szCs w:val="22"/>
        </w:rPr>
      </w:pPr>
      <w:r w:rsidRPr="00BD69D8">
        <w:rPr>
          <w:noProof/>
          <w:sz w:val="22"/>
          <w:szCs w:val="22"/>
        </w:rPr>
        <w:pict>
          <v:shape id="_x0000_s1057" type="#_x0000_t202" style="position:absolute;left:0;text-align:left;margin-left:316.15pt;margin-top:171.7pt;width:54.1pt;height:34.4pt;z-index:251695104;mso-width-relative:margin;mso-height-relative:margin" stroked="f">
            <v:textbox>
              <w:txbxContent>
                <w:p w:rsidR="002752F8" w:rsidRPr="00055293" w:rsidRDefault="002752F8">
                  <w:pPr>
                    <w:rPr>
                      <w:color w:val="F79646" w:themeColor="accent6"/>
                      <w:lang w:val="nl-NL"/>
                    </w:rPr>
                  </w:pPr>
                  <w:r w:rsidRPr="00055293">
                    <w:rPr>
                      <w:color w:val="F79646" w:themeColor="accent6"/>
                      <w:lang w:val="nl-NL"/>
                    </w:rPr>
                    <w:t>Figure 18</w:t>
                  </w:r>
                </w:p>
              </w:txbxContent>
            </v:textbox>
          </v:shape>
        </w:pict>
      </w:r>
      <w:r w:rsidR="00255155" w:rsidRPr="00255155">
        <w:rPr>
          <w:noProof/>
          <w:sz w:val="22"/>
          <w:szCs w:val="22"/>
          <w:lang w:val="nl-NL" w:eastAsia="nl-NL" w:bidi="ar-SA"/>
        </w:rPr>
        <w:drawing>
          <wp:inline distT="0" distB="0" distL="0" distR="0">
            <wp:extent cx="4781550" cy="2705100"/>
            <wp:effectExtent l="19050" t="0" r="19050" b="0"/>
            <wp:docPr id="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3F23AF" w:rsidRDefault="0004207E" w:rsidP="002C6C30">
      <w:pPr>
        <w:spacing w:line="360" w:lineRule="auto"/>
        <w:jc w:val="both"/>
        <w:rPr>
          <w:sz w:val="22"/>
          <w:szCs w:val="22"/>
        </w:rPr>
      </w:pPr>
      <w:r>
        <w:rPr>
          <w:sz w:val="22"/>
          <w:szCs w:val="22"/>
        </w:rPr>
        <w:t>When asked about the average duration of contracts (in years) and how this duration developed in recent years, it was found that the average duration of contracts is 2 years (</w:t>
      </w:r>
      <w:r w:rsidR="00682D34">
        <w:rPr>
          <w:sz w:val="22"/>
          <w:szCs w:val="22"/>
        </w:rPr>
        <w:t>m</w:t>
      </w:r>
      <w:r>
        <w:rPr>
          <w:sz w:val="22"/>
          <w:szCs w:val="22"/>
        </w:rPr>
        <w:t>ean = 2</w:t>
      </w:r>
      <w:r w:rsidR="002752F8">
        <w:rPr>
          <w:sz w:val="22"/>
          <w:szCs w:val="22"/>
        </w:rPr>
        <w:t>, 06</w:t>
      </w:r>
      <w:r>
        <w:rPr>
          <w:sz w:val="22"/>
          <w:szCs w:val="22"/>
        </w:rPr>
        <w:t>).</w:t>
      </w:r>
      <w:r w:rsidR="00462A53">
        <w:rPr>
          <w:sz w:val="22"/>
          <w:szCs w:val="22"/>
        </w:rPr>
        <w:t xml:space="preserve"> </w:t>
      </w:r>
      <w:r w:rsidR="00810CC2">
        <w:rPr>
          <w:sz w:val="22"/>
          <w:szCs w:val="22"/>
        </w:rPr>
        <w:t xml:space="preserve">It was found </w:t>
      </w:r>
      <w:r w:rsidR="002752F8">
        <w:rPr>
          <w:sz w:val="22"/>
          <w:szCs w:val="22"/>
        </w:rPr>
        <w:t>that contract</w:t>
      </w:r>
      <w:r w:rsidR="00810CC2">
        <w:rPr>
          <w:sz w:val="22"/>
          <w:szCs w:val="22"/>
        </w:rPr>
        <w:t xml:space="preserve"> duration is only weakly related with whether or not doing client specific investments (Cramers’ V = .190). </w:t>
      </w:r>
      <w:r w:rsidR="00462A53">
        <w:rPr>
          <w:sz w:val="22"/>
          <w:szCs w:val="22"/>
        </w:rPr>
        <w:t>Although I expected contract duration and the management level of the customer by who decisions are made about outsourcing to be related, this</w:t>
      </w:r>
      <w:r w:rsidR="00085D2E">
        <w:rPr>
          <w:sz w:val="22"/>
          <w:szCs w:val="22"/>
        </w:rPr>
        <w:t xml:space="preserve"> was</w:t>
      </w:r>
      <w:r w:rsidR="000F4BFF">
        <w:rPr>
          <w:sz w:val="22"/>
          <w:szCs w:val="22"/>
        </w:rPr>
        <w:t xml:space="preserve"> not the case (Cramer’s V = </w:t>
      </w:r>
      <w:r w:rsidR="00462A53">
        <w:rPr>
          <w:sz w:val="22"/>
          <w:szCs w:val="22"/>
        </w:rPr>
        <w:t>.228).</w:t>
      </w:r>
      <w:r>
        <w:rPr>
          <w:sz w:val="22"/>
          <w:szCs w:val="22"/>
        </w:rPr>
        <w:t xml:space="preserve"> </w:t>
      </w:r>
    </w:p>
    <w:p w:rsidR="008A7F33" w:rsidRDefault="0004207E" w:rsidP="002C6C30">
      <w:pPr>
        <w:spacing w:line="360" w:lineRule="auto"/>
        <w:jc w:val="both"/>
        <w:rPr>
          <w:sz w:val="22"/>
          <w:szCs w:val="22"/>
        </w:rPr>
      </w:pPr>
      <w:r>
        <w:rPr>
          <w:sz w:val="22"/>
          <w:szCs w:val="22"/>
        </w:rPr>
        <w:t>52% of the respondents answered that the average contract duration declined during recent years, 33% answered duration remained constant.</w:t>
      </w:r>
      <w:r w:rsidR="00590360">
        <w:rPr>
          <w:sz w:val="22"/>
          <w:szCs w:val="22"/>
        </w:rPr>
        <w:t xml:space="preserve"> </w:t>
      </w:r>
      <w:r w:rsidR="00085D2E">
        <w:rPr>
          <w:sz w:val="22"/>
          <w:szCs w:val="22"/>
        </w:rPr>
        <w:t xml:space="preserve"> The development of contract durations over the past years is not related to w</w:t>
      </w:r>
      <w:r w:rsidR="00810CC2">
        <w:rPr>
          <w:sz w:val="22"/>
          <w:szCs w:val="22"/>
        </w:rPr>
        <w:t>hether or not client specific investments</w:t>
      </w:r>
      <w:r w:rsidR="00085D2E">
        <w:rPr>
          <w:sz w:val="22"/>
          <w:szCs w:val="22"/>
        </w:rPr>
        <w:t xml:space="preserve"> are made (Goodman and Kruskal Tau = .034). </w:t>
      </w:r>
      <w:r w:rsidR="00C83CE4">
        <w:rPr>
          <w:sz w:val="22"/>
          <w:szCs w:val="22"/>
        </w:rPr>
        <w:t xml:space="preserve">Although 44% of the respondents agreed with the statement that contracts always </w:t>
      </w:r>
      <w:r w:rsidR="00C83CE4">
        <w:rPr>
          <w:sz w:val="22"/>
          <w:szCs w:val="22"/>
        </w:rPr>
        <w:lastRenderedPageBreak/>
        <w:t>contain moments of evaluation, bonus and penalty arrangements and the ability to prematurely terminate contracts with poor functioning, there is no clear agreement on this</w:t>
      </w:r>
      <w:r w:rsidR="00F94355">
        <w:rPr>
          <w:sz w:val="22"/>
          <w:szCs w:val="22"/>
        </w:rPr>
        <w:t>: the median is at 3 (neutral)</w:t>
      </w:r>
      <w:r w:rsidR="00C83CE4">
        <w:rPr>
          <w:sz w:val="22"/>
          <w:szCs w:val="22"/>
        </w:rPr>
        <w:t xml:space="preserve">. </w:t>
      </w:r>
    </w:p>
    <w:p w:rsidR="00691780" w:rsidRDefault="00590360" w:rsidP="002C6C30">
      <w:pPr>
        <w:spacing w:line="360" w:lineRule="auto"/>
        <w:jc w:val="both"/>
        <w:rPr>
          <w:sz w:val="22"/>
          <w:szCs w:val="22"/>
        </w:rPr>
      </w:pPr>
      <w:r>
        <w:rPr>
          <w:sz w:val="22"/>
          <w:szCs w:val="22"/>
        </w:rPr>
        <w:t xml:space="preserve">Decisions regarding outsourcing are mostly discussed with the clients’ strategic management (in 78% of cases). </w:t>
      </w:r>
      <w:r w:rsidR="00875A97">
        <w:rPr>
          <w:sz w:val="22"/>
          <w:szCs w:val="22"/>
        </w:rPr>
        <w:t xml:space="preserve">This is </w:t>
      </w:r>
      <w:r w:rsidR="002752F8">
        <w:rPr>
          <w:sz w:val="22"/>
          <w:szCs w:val="22"/>
        </w:rPr>
        <w:t>a</w:t>
      </w:r>
      <w:r w:rsidR="00875A97">
        <w:rPr>
          <w:sz w:val="22"/>
          <w:szCs w:val="22"/>
        </w:rPr>
        <w:t xml:space="preserve"> surprising result since 63% of the respondents agreed with the statement that customers mainly outsource operational and repetitive activities and to a lesser extend services that are of strategic importance to them.</w:t>
      </w:r>
      <w:r w:rsidR="000124B3">
        <w:rPr>
          <w:sz w:val="22"/>
          <w:szCs w:val="22"/>
        </w:rPr>
        <w:t xml:space="preserve"> </w:t>
      </w:r>
      <w:r w:rsidR="00D633ED">
        <w:rPr>
          <w:sz w:val="22"/>
          <w:szCs w:val="22"/>
        </w:rPr>
        <w:t xml:space="preserve">It doesn’t make any </w:t>
      </w:r>
      <w:r w:rsidR="00D633ED" w:rsidRPr="000820A0">
        <w:rPr>
          <w:sz w:val="22"/>
          <w:szCs w:val="22"/>
        </w:rPr>
        <w:t>difference for the level</w:t>
      </w:r>
      <w:r w:rsidR="000820A0" w:rsidRPr="000820A0">
        <w:rPr>
          <w:sz w:val="22"/>
          <w:szCs w:val="22"/>
        </w:rPr>
        <w:t xml:space="preserve"> of outsourced activities whether or not the TPL providers is asset based or non asset </w:t>
      </w:r>
      <w:r w:rsidR="002752F8" w:rsidRPr="000820A0">
        <w:rPr>
          <w:sz w:val="22"/>
          <w:szCs w:val="22"/>
        </w:rPr>
        <w:t>based (</w:t>
      </w:r>
      <w:r w:rsidR="000820A0" w:rsidRPr="000820A0">
        <w:rPr>
          <w:sz w:val="22"/>
          <w:szCs w:val="22"/>
        </w:rPr>
        <w:t>Goodman</w:t>
      </w:r>
      <w:r w:rsidR="000820A0">
        <w:rPr>
          <w:sz w:val="22"/>
          <w:szCs w:val="22"/>
        </w:rPr>
        <w:t xml:space="preserve"> and </w:t>
      </w:r>
      <w:r w:rsidR="002752F8">
        <w:rPr>
          <w:sz w:val="22"/>
          <w:szCs w:val="22"/>
        </w:rPr>
        <w:t>Kruskal’s</w:t>
      </w:r>
      <w:r w:rsidR="000820A0">
        <w:rPr>
          <w:sz w:val="22"/>
          <w:szCs w:val="22"/>
        </w:rPr>
        <w:t xml:space="preserve"> Tau = .036). </w:t>
      </w:r>
      <w:r w:rsidR="00691780" w:rsidRPr="000820A0">
        <w:rPr>
          <w:sz w:val="22"/>
          <w:szCs w:val="22"/>
        </w:rPr>
        <w:t>Cross</w:t>
      </w:r>
      <w:r w:rsidR="00691780">
        <w:rPr>
          <w:sz w:val="22"/>
          <w:szCs w:val="22"/>
        </w:rPr>
        <w:t xml:space="preserve"> tabulation made clear that 67% of the respondents who stated that decisions regarding outsourcing are mostly discussed with the clients’ strategic management, agreed on the statement mentioned above which shows strategic activities are outsourced less. This makes no sense: why should a customer’s strategic management be involved with a matter not of strategic importance?</w:t>
      </w:r>
    </w:p>
    <w:p w:rsidR="002C6C30" w:rsidRPr="0004207E" w:rsidRDefault="000124B3" w:rsidP="002C6C30">
      <w:pPr>
        <w:spacing w:line="360" w:lineRule="auto"/>
        <w:jc w:val="both"/>
        <w:rPr>
          <w:sz w:val="22"/>
          <w:szCs w:val="22"/>
        </w:rPr>
      </w:pPr>
      <w:r>
        <w:rPr>
          <w:sz w:val="22"/>
          <w:szCs w:val="22"/>
        </w:rPr>
        <w:t xml:space="preserve">I </w:t>
      </w:r>
      <w:r w:rsidR="00462A53">
        <w:rPr>
          <w:sz w:val="22"/>
          <w:szCs w:val="22"/>
        </w:rPr>
        <w:t>expected the decision level on which outsourcing is discussed</w:t>
      </w:r>
      <w:r>
        <w:rPr>
          <w:sz w:val="22"/>
          <w:szCs w:val="22"/>
        </w:rPr>
        <w:t xml:space="preserve"> to be strongly </w:t>
      </w:r>
      <w:r w:rsidR="008A7F33">
        <w:rPr>
          <w:sz w:val="22"/>
          <w:szCs w:val="22"/>
        </w:rPr>
        <w:t>related with</w:t>
      </w:r>
      <w:r w:rsidR="00462A53">
        <w:rPr>
          <w:sz w:val="22"/>
          <w:szCs w:val="22"/>
        </w:rPr>
        <w:t xml:space="preserve"> the customers’ size in number of personnel, but </w:t>
      </w:r>
      <w:r>
        <w:rPr>
          <w:sz w:val="22"/>
          <w:szCs w:val="22"/>
        </w:rPr>
        <w:t xml:space="preserve">this </w:t>
      </w:r>
      <w:r w:rsidR="00462A53">
        <w:rPr>
          <w:sz w:val="22"/>
          <w:szCs w:val="22"/>
        </w:rPr>
        <w:t>wasn’t the case</w:t>
      </w:r>
      <w:r>
        <w:rPr>
          <w:sz w:val="22"/>
          <w:szCs w:val="22"/>
        </w:rPr>
        <w:t xml:space="preserve"> (Goodman and </w:t>
      </w:r>
      <w:r w:rsidR="002752F8">
        <w:rPr>
          <w:sz w:val="22"/>
          <w:szCs w:val="22"/>
        </w:rPr>
        <w:t>Kruskal’s</w:t>
      </w:r>
      <w:r>
        <w:rPr>
          <w:sz w:val="22"/>
          <w:szCs w:val="22"/>
        </w:rPr>
        <w:t xml:space="preserve"> Tau = .300).</w:t>
      </w:r>
      <w:r w:rsidR="00875A97">
        <w:rPr>
          <w:sz w:val="22"/>
          <w:szCs w:val="22"/>
        </w:rPr>
        <w:t xml:space="preserve"> </w:t>
      </w:r>
      <w:r w:rsidR="00590360">
        <w:rPr>
          <w:sz w:val="22"/>
          <w:szCs w:val="22"/>
        </w:rPr>
        <w:t>The reasons customers</w:t>
      </w:r>
      <w:r w:rsidR="00682D34">
        <w:rPr>
          <w:sz w:val="22"/>
          <w:szCs w:val="22"/>
        </w:rPr>
        <w:t xml:space="preserve"> management</w:t>
      </w:r>
      <w:r w:rsidR="00590360">
        <w:rPr>
          <w:sz w:val="22"/>
          <w:szCs w:val="22"/>
        </w:rPr>
        <w:t xml:space="preserve"> give for outsourcing their logistics</w:t>
      </w:r>
      <w:r w:rsidR="00682D34">
        <w:rPr>
          <w:sz w:val="22"/>
          <w:szCs w:val="22"/>
        </w:rPr>
        <w:t xml:space="preserve"> are displayed in </w:t>
      </w:r>
      <w:r w:rsidR="002C6C30">
        <w:rPr>
          <w:sz w:val="22"/>
          <w:szCs w:val="22"/>
        </w:rPr>
        <w:t>table</w:t>
      </w:r>
      <w:r w:rsidR="00682D34">
        <w:rPr>
          <w:sz w:val="22"/>
          <w:szCs w:val="22"/>
        </w:rPr>
        <w:t xml:space="preserve"> 19, which shows the median on a 1 to 5 scale (totally disagree – totally agree)</w:t>
      </w:r>
      <w:r w:rsidR="002C6C30">
        <w:rPr>
          <w:sz w:val="22"/>
          <w:szCs w:val="22"/>
        </w:rPr>
        <w:t>.</w:t>
      </w:r>
    </w:p>
    <w:tbl>
      <w:tblPr>
        <w:tblStyle w:val="Gemiddeldraster3-accent6"/>
        <w:tblW w:w="0" w:type="auto"/>
        <w:tblLook w:val="04A0"/>
      </w:tblPr>
      <w:tblGrid>
        <w:gridCol w:w="6686"/>
        <w:gridCol w:w="746"/>
      </w:tblGrid>
      <w:tr w:rsidR="002C6C30" w:rsidTr="001B5EC4">
        <w:trPr>
          <w:cnfStyle w:val="100000000000"/>
        </w:trPr>
        <w:tc>
          <w:tcPr>
            <w:cnfStyle w:val="001000000000"/>
            <w:tcW w:w="0" w:type="auto"/>
          </w:tcPr>
          <w:p w:rsidR="002C6C30" w:rsidRPr="00196033" w:rsidRDefault="0009779E" w:rsidP="0004207E">
            <w:pPr>
              <w:spacing w:line="360" w:lineRule="auto"/>
              <w:jc w:val="both"/>
              <w:rPr>
                <w:sz w:val="22"/>
                <w:szCs w:val="22"/>
              </w:rPr>
            </w:pPr>
            <w:r>
              <w:rPr>
                <w:sz w:val="22"/>
                <w:szCs w:val="22"/>
              </w:rPr>
              <w:t>Table 19</w:t>
            </w:r>
            <w:r w:rsidR="00E26C27" w:rsidRPr="00196033">
              <w:rPr>
                <w:sz w:val="22"/>
                <w:szCs w:val="22"/>
              </w:rPr>
              <w:t xml:space="preserve"> </w:t>
            </w:r>
            <w:r w:rsidR="002C6C30" w:rsidRPr="00196033">
              <w:rPr>
                <w:sz w:val="22"/>
                <w:szCs w:val="22"/>
              </w:rPr>
              <w:t>Reason for outsourcing</w:t>
            </w:r>
          </w:p>
        </w:tc>
        <w:tc>
          <w:tcPr>
            <w:tcW w:w="0" w:type="auto"/>
          </w:tcPr>
          <w:p w:rsidR="002C6C30" w:rsidRDefault="002C6C30" w:rsidP="002C6C30">
            <w:pPr>
              <w:spacing w:line="360" w:lineRule="auto"/>
              <w:jc w:val="center"/>
              <w:cnfStyle w:val="100000000000"/>
              <w:rPr>
                <w:sz w:val="22"/>
                <w:szCs w:val="22"/>
              </w:rPr>
            </w:pPr>
            <w:r>
              <w:rPr>
                <w:sz w:val="22"/>
                <w:szCs w:val="22"/>
              </w:rPr>
              <w:t>Mean</w:t>
            </w:r>
          </w:p>
        </w:tc>
      </w:tr>
      <w:tr w:rsidR="002C6C30" w:rsidTr="001B5EC4">
        <w:trPr>
          <w:cnfStyle w:val="000000100000"/>
        </w:trPr>
        <w:tc>
          <w:tcPr>
            <w:cnfStyle w:val="001000000000"/>
            <w:tcW w:w="0" w:type="auto"/>
          </w:tcPr>
          <w:p w:rsidR="002C6C30" w:rsidRPr="00196033" w:rsidRDefault="002C6C30" w:rsidP="00196033">
            <w:pPr>
              <w:rPr>
                <w:b w:val="0"/>
                <w:sz w:val="22"/>
                <w:szCs w:val="22"/>
              </w:rPr>
            </w:pPr>
            <w:r w:rsidRPr="00196033">
              <w:rPr>
                <w:b w:val="0"/>
                <w:sz w:val="22"/>
                <w:szCs w:val="22"/>
              </w:rPr>
              <w:t>Overall cost reductions</w:t>
            </w:r>
          </w:p>
        </w:tc>
        <w:tc>
          <w:tcPr>
            <w:tcW w:w="0" w:type="auto"/>
          </w:tcPr>
          <w:p w:rsidR="002C6C30" w:rsidRDefault="002C6C30" w:rsidP="002C6C30">
            <w:pPr>
              <w:spacing w:line="360" w:lineRule="auto"/>
              <w:jc w:val="center"/>
              <w:cnfStyle w:val="000000100000"/>
              <w:rPr>
                <w:sz w:val="22"/>
                <w:szCs w:val="22"/>
              </w:rPr>
            </w:pPr>
            <w:r>
              <w:rPr>
                <w:sz w:val="22"/>
                <w:szCs w:val="22"/>
              </w:rPr>
              <w:t>4</w:t>
            </w:r>
          </w:p>
        </w:tc>
      </w:tr>
      <w:tr w:rsidR="002C6C30" w:rsidTr="001B5EC4">
        <w:tc>
          <w:tcPr>
            <w:cnfStyle w:val="001000000000"/>
            <w:tcW w:w="0" w:type="auto"/>
          </w:tcPr>
          <w:p w:rsidR="002C6C30" w:rsidRPr="00196033" w:rsidRDefault="002C6C30" w:rsidP="00196033">
            <w:pPr>
              <w:rPr>
                <w:b w:val="0"/>
                <w:sz w:val="22"/>
                <w:szCs w:val="22"/>
              </w:rPr>
            </w:pPr>
            <w:r w:rsidRPr="00196033">
              <w:rPr>
                <w:b w:val="0"/>
                <w:sz w:val="22"/>
                <w:szCs w:val="22"/>
              </w:rPr>
              <w:t>Reduce capital investments in assets and personnel</w:t>
            </w:r>
          </w:p>
        </w:tc>
        <w:tc>
          <w:tcPr>
            <w:tcW w:w="0" w:type="auto"/>
          </w:tcPr>
          <w:p w:rsidR="002C6C30" w:rsidRDefault="00E26C27" w:rsidP="002C6C30">
            <w:pPr>
              <w:spacing w:line="360" w:lineRule="auto"/>
              <w:jc w:val="center"/>
              <w:cnfStyle w:val="000000000000"/>
              <w:rPr>
                <w:sz w:val="22"/>
                <w:szCs w:val="22"/>
              </w:rPr>
            </w:pPr>
            <w:r>
              <w:rPr>
                <w:sz w:val="22"/>
                <w:szCs w:val="22"/>
              </w:rPr>
              <w:t>4</w:t>
            </w:r>
          </w:p>
        </w:tc>
      </w:tr>
      <w:tr w:rsidR="002C6C30" w:rsidTr="001B5EC4">
        <w:trPr>
          <w:cnfStyle w:val="000000100000"/>
        </w:trPr>
        <w:tc>
          <w:tcPr>
            <w:cnfStyle w:val="001000000000"/>
            <w:tcW w:w="0" w:type="auto"/>
          </w:tcPr>
          <w:p w:rsidR="002C6C30" w:rsidRPr="00196033" w:rsidRDefault="002C6C30" w:rsidP="00196033">
            <w:pPr>
              <w:rPr>
                <w:b w:val="0"/>
                <w:sz w:val="22"/>
                <w:szCs w:val="22"/>
              </w:rPr>
            </w:pPr>
            <w:r w:rsidRPr="00196033">
              <w:rPr>
                <w:b w:val="0"/>
                <w:sz w:val="22"/>
                <w:szCs w:val="22"/>
              </w:rPr>
              <w:t>Increase business flexibility</w:t>
            </w:r>
          </w:p>
        </w:tc>
        <w:tc>
          <w:tcPr>
            <w:tcW w:w="0" w:type="auto"/>
          </w:tcPr>
          <w:p w:rsidR="002C6C30" w:rsidRDefault="00E26C27" w:rsidP="002C6C30">
            <w:pPr>
              <w:spacing w:line="360" w:lineRule="auto"/>
              <w:jc w:val="center"/>
              <w:cnfStyle w:val="000000100000"/>
              <w:rPr>
                <w:sz w:val="22"/>
                <w:szCs w:val="22"/>
              </w:rPr>
            </w:pPr>
            <w:r>
              <w:rPr>
                <w:sz w:val="22"/>
                <w:szCs w:val="22"/>
              </w:rPr>
              <w:t>4</w:t>
            </w:r>
          </w:p>
        </w:tc>
      </w:tr>
      <w:tr w:rsidR="002C6C30" w:rsidTr="001B5EC4">
        <w:tc>
          <w:tcPr>
            <w:cnfStyle w:val="001000000000"/>
            <w:tcW w:w="0" w:type="auto"/>
          </w:tcPr>
          <w:p w:rsidR="002C6C30" w:rsidRPr="00196033" w:rsidRDefault="00E26C27" w:rsidP="00196033">
            <w:pPr>
              <w:rPr>
                <w:b w:val="0"/>
                <w:sz w:val="22"/>
                <w:szCs w:val="22"/>
              </w:rPr>
            </w:pPr>
            <w:r w:rsidRPr="00196033">
              <w:rPr>
                <w:b w:val="0"/>
                <w:sz w:val="22"/>
                <w:szCs w:val="22"/>
              </w:rPr>
              <w:t>Want  to focus on core activities</w:t>
            </w:r>
          </w:p>
        </w:tc>
        <w:tc>
          <w:tcPr>
            <w:tcW w:w="0" w:type="auto"/>
          </w:tcPr>
          <w:p w:rsidR="002C6C30" w:rsidRDefault="00E26C27" w:rsidP="002C6C30">
            <w:pPr>
              <w:spacing w:line="360" w:lineRule="auto"/>
              <w:jc w:val="center"/>
              <w:cnfStyle w:val="000000000000"/>
              <w:rPr>
                <w:sz w:val="22"/>
                <w:szCs w:val="22"/>
              </w:rPr>
            </w:pPr>
            <w:r>
              <w:rPr>
                <w:sz w:val="22"/>
                <w:szCs w:val="22"/>
              </w:rPr>
              <w:t>4</w:t>
            </w:r>
          </w:p>
        </w:tc>
      </w:tr>
      <w:tr w:rsidR="002C6C30" w:rsidTr="001B5EC4">
        <w:trPr>
          <w:cnfStyle w:val="000000100000"/>
        </w:trPr>
        <w:tc>
          <w:tcPr>
            <w:cnfStyle w:val="001000000000"/>
            <w:tcW w:w="0" w:type="auto"/>
          </w:tcPr>
          <w:p w:rsidR="002C6C30" w:rsidRPr="00196033" w:rsidRDefault="00E26C27" w:rsidP="00196033">
            <w:pPr>
              <w:rPr>
                <w:b w:val="0"/>
                <w:sz w:val="22"/>
                <w:szCs w:val="22"/>
              </w:rPr>
            </w:pPr>
            <w:r w:rsidRPr="00196033">
              <w:rPr>
                <w:b w:val="0"/>
                <w:sz w:val="22"/>
                <w:szCs w:val="22"/>
              </w:rPr>
              <w:t>Improving customer satisfaction by improving the service provided</w:t>
            </w:r>
          </w:p>
        </w:tc>
        <w:tc>
          <w:tcPr>
            <w:tcW w:w="0" w:type="auto"/>
          </w:tcPr>
          <w:p w:rsidR="002C6C30" w:rsidRDefault="00E26C27" w:rsidP="002C6C30">
            <w:pPr>
              <w:spacing w:line="360" w:lineRule="auto"/>
              <w:jc w:val="center"/>
              <w:cnfStyle w:val="000000100000"/>
              <w:rPr>
                <w:sz w:val="22"/>
                <w:szCs w:val="22"/>
              </w:rPr>
            </w:pPr>
            <w:r>
              <w:rPr>
                <w:sz w:val="22"/>
                <w:szCs w:val="22"/>
              </w:rPr>
              <w:t>4</w:t>
            </w:r>
          </w:p>
        </w:tc>
      </w:tr>
      <w:tr w:rsidR="002C6C30" w:rsidTr="001B5EC4">
        <w:tc>
          <w:tcPr>
            <w:cnfStyle w:val="001000000000"/>
            <w:tcW w:w="0" w:type="auto"/>
          </w:tcPr>
          <w:p w:rsidR="002C6C30" w:rsidRPr="00196033" w:rsidRDefault="00E26C27" w:rsidP="00196033">
            <w:pPr>
              <w:rPr>
                <w:b w:val="0"/>
                <w:sz w:val="22"/>
                <w:szCs w:val="22"/>
              </w:rPr>
            </w:pPr>
            <w:r w:rsidRPr="00196033">
              <w:rPr>
                <w:b w:val="0"/>
                <w:sz w:val="22"/>
                <w:szCs w:val="22"/>
              </w:rPr>
              <w:t>Benchmarking in-house logistics costs and effectiveness</w:t>
            </w:r>
          </w:p>
        </w:tc>
        <w:tc>
          <w:tcPr>
            <w:tcW w:w="0" w:type="auto"/>
          </w:tcPr>
          <w:p w:rsidR="002C6C30" w:rsidRDefault="00E26C27" w:rsidP="002C6C30">
            <w:pPr>
              <w:spacing w:line="360" w:lineRule="auto"/>
              <w:jc w:val="center"/>
              <w:cnfStyle w:val="000000000000"/>
              <w:rPr>
                <w:sz w:val="22"/>
                <w:szCs w:val="22"/>
              </w:rPr>
            </w:pPr>
            <w:r>
              <w:rPr>
                <w:sz w:val="22"/>
                <w:szCs w:val="22"/>
              </w:rPr>
              <w:t>3,5</w:t>
            </w:r>
          </w:p>
        </w:tc>
      </w:tr>
      <w:tr w:rsidR="002C6C30" w:rsidTr="001B5EC4">
        <w:trPr>
          <w:cnfStyle w:val="000000100000"/>
        </w:trPr>
        <w:tc>
          <w:tcPr>
            <w:cnfStyle w:val="001000000000"/>
            <w:tcW w:w="0" w:type="auto"/>
          </w:tcPr>
          <w:p w:rsidR="002C6C30" w:rsidRPr="00196033" w:rsidRDefault="00E26C27" w:rsidP="00196033">
            <w:pPr>
              <w:rPr>
                <w:b w:val="0"/>
                <w:sz w:val="22"/>
                <w:szCs w:val="22"/>
              </w:rPr>
            </w:pPr>
            <w:r w:rsidRPr="00196033">
              <w:rPr>
                <w:b w:val="0"/>
                <w:sz w:val="22"/>
                <w:szCs w:val="22"/>
              </w:rPr>
              <w:t>Access to other markets (through an  international distribution network)</w:t>
            </w:r>
          </w:p>
        </w:tc>
        <w:tc>
          <w:tcPr>
            <w:tcW w:w="0" w:type="auto"/>
          </w:tcPr>
          <w:p w:rsidR="002C6C30" w:rsidRDefault="00E26C27" w:rsidP="002C6C30">
            <w:pPr>
              <w:spacing w:line="360" w:lineRule="auto"/>
              <w:jc w:val="center"/>
              <w:cnfStyle w:val="000000100000"/>
              <w:rPr>
                <w:sz w:val="22"/>
                <w:szCs w:val="22"/>
              </w:rPr>
            </w:pPr>
            <w:r>
              <w:rPr>
                <w:sz w:val="22"/>
                <w:szCs w:val="22"/>
              </w:rPr>
              <w:t>3</w:t>
            </w:r>
          </w:p>
        </w:tc>
      </w:tr>
    </w:tbl>
    <w:p w:rsidR="008A7F33" w:rsidRDefault="00196033" w:rsidP="001B5EC4">
      <w:pPr>
        <w:spacing w:line="360" w:lineRule="auto"/>
        <w:jc w:val="both"/>
        <w:rPr>
          <w:sz w:val="22"/>
          <w:szCs w:val="22"/>
        </w:rPr>
      </w:pPr>
      <w:r>
        <w:rPr>
          <w:sz w:val="22"/>
          <w:szCs w:val="22"/>
        </w:rPr>
        <w:t>The average number of TPL providers used by a single customer is 3</w:t>
      </w:r>
      <w:r w:rsidR="002752F8">
        <w:rPr>
          <w:sz w:val="22"/>
          <w:szCs w:val="22"/>
        </w:rPr>
        <w:t>, 25</w:t>
      </w:r>
      <w:r>
        <w:rPr>
          <w:sz w:val="22"/>
          <w:szCs w:val="22"/>
        </w:rPr>
        <w:t xml:space="preserve"> (mean), although most respondents (about 32%) answered that, on average, 2 TPL providers were used by their customers.  Another 27% of all respondents said they were the only TPL provider for their customers.</w:t>
      </w:r>
      <w:r w:rsidR="000124B3">
        <w:rPr>
          <w:sz w:val="22"/>
          <w:szCs w:val="22"/>
        </w:rPr>
        <w:t xml:space="preserve"> It’s interesting to see that the average number of TPL providers used by a single customer is reasonabl</w:t>
      </w:r>
      <w:r w:rsidR="007D0F6A">
        <w:rPr>
          <w:sz w:val="22"/>
          <w:szCs w:val="22"/>
        </w:rPr>
        <w:t>y</w:t>
      </w:r>
      <w:r w:rsidR="000124B3">
        <w:rPr>
          <w:sz w:val="22"/>
          <w:szCs w:val="22"/>
        </w:rPr>
        <w:t xml:space="preserve"> negatively related to the average size of the customers in number of personnel (</w:t>
      </w:r>
      <w:r w:rsidR="002752F8">
        <w:rPr>
          <w:sz w:val="22"/>
          <w:szCs w:val="22"/>
        </w:rPr>
        <w:t>Somers’d</w:t>
      </w:r>
      <w:r w:rsidR="000124B3">
        <w:rPr>
          <w:sz w:val="22"/>
          <w:szCs w:val="22"/>
        </w:rPr>
        <w:t xml:space="preserve"> = -.444)</w:t>
      </w:r>
      <w:r w:rsidR="008A7F33">
        <w:rPr>
          <w:sz w:val="22"/>
          <w:szCs w:val="22"/>
        </w:rPr>
        <w:t xml:space="preserve">: the bigger the client, the less TPL providers they will use. </w:t>
      </w:r>
      <w:r w:rsidR="000F4BFF">
        <w:rPr>
          <w:sz w:val="22"/>
          <w:szCs w:val="22"/>
        </w:rPr>
        <w:t xml:space="preserve">No relationship was found between the </w:t>
      </w:r>
      <w:r w:rsidR="000F4BFF">
        <w:rPr>
          <w:sz w:val="22"/>
          <w:szCs w:val="22"/>
        </w:rPr>
        <w:lastRenderedPageBreak/>
        <w:t>number of TPL providers used by the client and the size of the TPL provider in number of personnel (Somers’s = -.098)</w:t>
      </w:r>
    </w:p>
    <w:p w:rsidR="004D0B15" w:rsidRDefault="001B5EC4" w:rsidP="001B5EC4">
      <w:pPr>
        <w:spacing w:line="360" w:lineRule="auto"/>
        <w:jc w:val="both"/>
        <w:rPr>
          <w:sz w:val="22"/>
          <w:szCs w:val="22"/>
        </w:rPr>
      </w:pPr>
      <w:r>
        <w:rPr>
          <w:sz w:val="22"/>
          <w:szCs w:val="22"/>
        </w:rPr>
        <w:t>Before customers can use the service of TPL providers, they have to be accepted as customer by the TPL provider. 96% of all respondents assesses and/or selects potential customers before accepting.  The most important issues in selecting customers are displayed in table 20, which shows the median on a 1 to 5 scale (totally disagree – totally agree).</w:t>
      </w:r>
      <w:r w:rsidR="00F26771" w:rsidRPr="00F26771">
        <w:rPr>
          <w:sz w:val="22"/>
          <w:szCs w:val="22"/>
        </w:rPr>
        <w:t xml:space="preserve"> </w:t>
      </w:r>
      <w:r w:rsidR="00F26771">
        <w:rPr>
          <w:sz w:val="22"/>
          <w:szCs w:val="22"/>
        </w:rPr>
        <w:t xml:space="preserve">References from existing customers seem to be an important way of acquiring new customers. 63% of all respondents agreed with this statement, another 26% of all respondents totally agreed with this.  </w:t>
      </w:r>
    </w:p>
    <w:tbl>
      <w:tblPr>
        <w:tblStyle w:val="Gemiddeldraster3-accent6"/>
        <w:tblW w:w="0" w:type="auto"/>
        <w:tblLook w:val="04A0"/>
      </w:tblPr>
      <w:tblGrid>
        <w:gridCol w:w="6370"/>
        <w:gridCol w:w="746"/>
      </w:tblGrid>
      <w:tr w:rsidR="00B56910" w:rsidTr="00164787">
        <w:trPr>
          <w:cnfStyle w:val="100000000000"/>
        </w:trPr>
        <w:tc>
          <w:tcPr>
            <w:cnfStyle w:val="001000000000"/>
            <w:tcW w:w="0" w:type="auto"/>
          </w:tcPr>
          <w:p w:rsidR="00B56910" w:rsidRPr="00196033" w:rsidRDefault="00B56910" w:rsidP="00164787">
            <w:pPr>
              <w:spacing w:line="360" w:lineRule="auto"/>
              <w:jc w:val="both"/>
              <w:rPr>
                <w:sz w:val="22"/>
                <w:szCs w:val="22"/>
              </w:rPr>
            </w:pPr>
            <w:r w:rsidRPr="00196033">
              <w:rPr>
                <w:sz w:val="22"/>
                <w:szCs w:val="22"/>
              </w:rPr>
              <w:t xml:space="preserve">Table </w:t>
            </w:r>
            <w:r>
              <w:rPr>
                <w:sz w:val="22"/>
                <w:szCs w:val="22"/>
              </w:rPr>
              <w:t>20</w:t>
            </w:r>
            <w:r w:rsidRPr="00196033">
              <w:rPr>
                <w:sz w:val="22"/>
                <w:szCs w:val="22"/>
              </w:rPr>
              <w:t xml:space="preserve"> </w:t>
            </w:r>
            <w:r>
              <w:rPr>
                <w:sz w:val="22"/>
                <w:szCs w:val="22"/>
              </w:rPr>
              <w:t>Selecting customers</w:t>
            </w:r>
          </w:p>
        </w:tc>
        <w:tc>
          <w:tcPr>
            <w:tcW w:w="0" w:type="auto"/>
          </w:tcPr>
          <w:p w:rsidR="00B56910" w:rsidRDefault="00B56910" w:rsidP="00164787">
            <w:pPr>
              <w:spacing w:line="360" w:lineRule="auto"/>
              <w:jc w:val="center"/>
              <w:cnfStyle w:val="100000000000"/>
              <w:rPr>
                <w:sz w:val="22"/>
                <w:szCs w:val="22"/>
              </w:rPr>
            </w:pPr>
            <w:r>
              <w:rPr>
                <w:sz w:val="22"/>
                <w:szCs w:val="22"/>
              </w:rPr>
              <w:t>Mean</w:t>
            </w:r>
          </w:p>
        </w:tc>
      </w:tr>
      <w:tr w:rsidR="00B56910" w:rsidTr="00164787">
        <w:trPr>
          <w:cnfStyle w:val="000000100000"/>
        </w:trPr>
        <w:tc>
          <w:tcPr>
            <w:cnfStyle w:val="001000000000"/>
            <w:tcW w:w="0" w:type="auto"/>
          </w:tcPr>
          <w:p w:rsidR="00B56910" w:rsidRPr="00196033" w:rsidRDefault="00B56910" w:rsidP="00164787">
            <w:pPr>
              <w:rPr>
                <w:b w:val="0"/>
                <w:sz w:val="22"/>
                <w:szCs w:val="22"/>
              </w:rPr>
            </w:pPr>
            <w:r>
              <w:rPr>
                <w:b w:val="0"/>
                <w:sz w:val="22"/>
                <w:szCs w:val="22"/>
              </w:rPr>
              <w:t>A good match with our industry focus</w:t>
            </w:r>
          </w:p>
        </w:tc>
        <w:tc>
          <w:tcPr>
            <w:tcW w:w="0" w:type="auto"/>
          </w:tcPr>
          <w:p w:rsidR="00B56910" w:rsidRDefault="00B56910" w:rsidP="00164787">
            <w:pPr>
              <w:spacing w:line="360" w:lineRule="auto"/>
              <w:jc w:val="center"/>
              <w:cnfStyle w:val="000000100000"/>
              <w:rPr>
                <w:sz w:val="22"/>
                <w:szCs w:val="22"/>
              </w:rPr>
            </w:pPr>
            <w:r>
              <w:rPr>
                <w:sz w:val="22"/>
                <w:szCs w:val="22"/>
              </w:rPr>
              <w:t>4</w:t>
            </w:r>
          </w:p>
        </w:tc>
      </w:tr>
      <w:tr w:rsidR="00B56910" w:rsidTr="00164787">
        <w:tc>
          <w:tcPr>
            <w:cnfStyle w:val="001000000000"/>
            <w:tcW w:w="0" w:type="auto"/>
          </w:tcPr>
          <w:p w:rsidR="00B56910" w:rsidRPr="00196033" w:rsidRDefault="00164787" w:rsidP="00164787">
            <w:pPr>
              <w:rPr>
                <w:b w:val="0"/>
                <w:sz w:val="22"/>
                <w:szCs w:val="22"/>
              </w:rPr>
            </w:pPr>
            <w:r>
              <w:rPr>
                <w:b w:val="0"/>
                <w:sz w:val="22"/>
                <w:szCs w:val="22"/>
              </w:rPr>
              <w:t>The desire the build a relationship that revolves around cooperation</w:t>
            </w:r>
          </w:p>
        </w:tc>
        <w:tc>
          <w:tcPr>
            <w:tcW w:w="0" w:type="auto"/>
          </w:tcPr>
          <w:p w:rsidR="00B56910" w:rsidRDefault="00B56910" w:rsidP="00164787">
            <w:pPr>
              <w:spacing w:line="360" w:lineRule="auto"/>
              <w:jc w:val="center"/>
              <w:cnfStyle w:val="000000000000"/>
              <w:rPr>
                <w:sz w:val="22"/>
                <w:szCs w:val="22"/>
              </w:rPr>
            </w:pPr>
            <w:r>
              <w:rPr>
                <w:sz w:val="22"/>
                <w:szCs w:val="22"/>
              </w:rPr>
              <w:t>4</w:t>
            </w:r>
          </w:p>
        </w:tc>
      </w:tr>
      <w:tr w:rsidR="00B56910" w:rsidTr="00164787">
        <w:trPr>
          <w:cnfStyle w:val="000000100000"/>
        </w:trPr>
        <w:tc>
          <w:tcPr>
            <w:cnfStyle w:val="001000000000"/>
            <w:tcW w:w="0" w:type="auto"/>
          </w:tcPr>
          <w:p w:rsidR="00B56910" w:rsidRPr="00196033" w:rsidRDefault="00164787" w:rsidP="00164787">
            <w:pPr>
              <w:rPr>
                <w:b w:val="0"/>
                <w:sz w:val="22"/>
                <w:szCs w:val="22"/>
              </w:rPr>
            </w:pPr>
            <w:r>
              <w:rPr>
                <w:b w:val="0"/>
                <w:sz w:val="22"/>
                <w:szCs w:val="22"/>
              </w:rPr>
              <w:t>The intention to establish a long term relationship</w:t>
            </w:r>
          </w:p>
        </w:tc>
        <w:tc>
          <w:tcPr>
            <w:tcW w:w="0" w:type="auto"/>
          </w:tcPr>
          <w:p w:rsidR="00B56910" w:rsidRDefault="00B56910" w:rsidP="00164787">
            <w:pPr>
              <w:spacing w:line="360" w:lineRule="auto"/>
              <w:jc w:val="center"/>
              <w:cnfStyle w:val="000000100000"/>
              <w:rPr>
                <w:sz w:val="22"/>
                <w:szCs w:val="22"/>
              </w:rPr>
            </w:pPr>
            <w:r>
              <w:rPr>
                <w:sz w:val="22"/>
                <w:szCs w:val="22"/>
              </w:rPr>
              <w:t>4</w:t>
            </w:r>
          </w:p>
        </w:tc>
      </w:tr>
      <w:tr w:rsidR="00B56910" w:rsidTr="00164787">
        <w:tc>
          <w:tcPr>
            <w:cnfStyle w:val="001000000000"/>
            <w:tcW w:w="0" w:type="auto"/>
          </w:tcPr>
          <w:p w:rsidR="00B56910" w:rsidRPr="00196033" w:rsidRDefault="00164787" w:rsidP="00164787">
            <w:pPr>
              <w:rPr>
                <w:b w:val="0"/>
                <w:sz w:val="22"/>
                <w:szCs w:val="22"/>
              </w:rPr>
            </w:pPr>
            <w:r>
              <w:rPr>
                <w:b w:val="0"/>
                <w:sz w:val="22"/>
                <w:szCs w:val="22"/>
              </w:rPr>
              <w:t>The willingness of the customer to let us achieve a reasonable return</w:t>
            </w:r>
          </w:p>
        </w:tc>
        <w:tc>
          <w:tcPr>
            <w:tcW w:w="0" w:type="auto"/>
          </w:tcPr>
          <w:p w:rsidR="00B56910" w:rsidRDefault="00B56910" w:rsidP="00164787">
            <w:pPr>
              <w:spacing w:line="360" w:lineRule="auto"/>
              <w:jc w:val="center"/>
              <w:cnfStyle w:val="000000000000"/>
              <w:rPr>
                <w:sz w:val="22"/>
                <w:szCs w:val="22"/>
              </w:rPr>
            </w:pPr>
            <w:r>
              <w:rPr>
                <w:sz w:val="22"/>
                <w:szCs w:val="22"/>
              </w:rPr>
              <w:t>4</w:t>
            </w:r>
          </w:p>
        </w:tc>
      </w:tr>
      <w:tr w:rsidR="00B56910" w:rsidTr="00164787">
        <w:trPr>
          <w:cnfStyle w:val="000000100000"/>
        </w:trPr>
        <w:tc>
          <w:tcPr>
            <w:cnfStyle w:val="001000000000"/>
            <w:tcW w:w="0" w:type="auto"/>
          </w:tcPr>
          <w:p w:rsidR="00B56910" w:rsidRPr="00196033" w:rsidRDefault="00164787" w:rsidP="00164787">
            <w:pPr>
              <w:rPr>
                <w:b w:val="0"/>
                <w:sz w:val="22"/>
                <w:szCs w:val="22"/>
              </w:rPr>
            </w:pPr>
            <w:r>
              <w:rPr>
                <w:b w:val="0"/>
                <w:sz w:val="22"/>
                <w:szCs w:val="22"/>
              </w:rPr>
              <w:t>The size of the customer and its logistics network</w:t>
            </w:r>
          </w:p>
        </w:tc>
        <w:tc>
          <w:tcPr>
            <w:tcW w:w="0" w:type="auto"/>
          </w:tcPr>
          <w:p w:rsidR="00B56910" w:rsidRDefault="00B56910" w:rsidP="00164787">
            <w:pPr>
              <w:spacing w:line="360" w:lineRule="auto"/>
              <w:jc w:val="center"/>
              <w:cnfStyle w:val="000000100000"/>
              <w:rPr>
                <w:sz w:val="22"/>
                <w:szCs w:val="22"/>
              </w:rPr>
            </w:pPr>
            <w:r>
              <w:rPr>
                <w:sz w:val="22"/>
                <w:szCs w:val="22"/>
              </w:rPr>
              <w:t>4</w:t>
            </w:r>
          </w:p>
        </w:tc>
      </w:tr>
      <w:tr w:rsidR="00B56910" w:rsidTr="00164787">
        <w:tc>
          <w:tcPr>
            <w:cnfStyle w:val="001000000000"/>
            <w:tcW w:w="0" w:type="auto"/>
          </w:tcPr>
          <w:p w:rsidR="00B56910" w:rsidRPr="00196033" w:rsidRDefault="00164787" w:rsidP="00164787">
            <w:pPr>
              <w:rPr>
                <w:b w:val="0"/>
                <w:sz w:val="22"/>
                <w:szCs w:val="22"/>
              </w:rPr>
            </w:pPr>
            <w:r>
              <w:rPr>
                <w:b w:val="0"/>
                <w:sz w:val="22"/>
                <w:szCs w:val="22"/>
              </w:rPr>
              <w:t>The financial stability of the customer</w:t>
            </w:r>
          </w:p>
        </w:tc>
        <w:tc>
          <w:tcPr>
            <w:tcW w:w="0" w:type="auto"/>
          </w:tcPr>
          <w:p w:rsidR="00B56910" w:rsidRDefault="00164787" w:rsidP="00164787">
            <w:pPr>
              <w:spacing w:line="360" w:lineRule="auto"/>
              <w:jc w:val="center"/>
              <w:cnfStyle w:val="000000000000"/>
              <w:rPr>
                <w:sz w:val="22"/>
                <w:szCs w:val="22"/>
              </w:rPr>
            </w:pPr>
            <w:r>
              <w:rPr>
                <w:sz w:val="22"/>
                <w:szCs w:val="22"/>
              </w:rPr>
              <w:t>4</w:t>
            </w:r>
          </w:p>
        </w:tc>
      </w:tr>
      <w:tr w:rsidR="00B56910" w:rsidTr="00164787">
        <w:trPr>
          <w:cnfStyle w:val="000000100000"/>
        </w:trPr>
        <w:tc>
          <w:tcPr>
            <w:cnfStyle w:val="001000000000"/>
            <w:tcW w:w="0" w:type="auto"/>
          </w:tcPr>
          <w:p w:rsidR="00B56910" w:rsidRPr="00196033" w:rsidRDefault="00B56910" w:rsidP="00164787">
            <w:pPr>
              <w:rPr>
                <w:b w:val="0"/>
                <w:sz w:val="22"/>
                <w:szCs w:val="22"/>
              </w:rPr>
            </w:pPr>
            <w:r>
              <w:rPr>
                <w:b w:val="0"/>
                <w:sz w:val="22"/>
                <w:szCs w:val="22"/>
              </w:rPr>
              <w:t>The growth potential of the customer</w:t>
            </w:r>
          </w:p>
        </w:tc>
        <w:tc>
          <w:tcPr>
            <w:tcW w:w="0" w:type="auto"/>
          </w:tcPr>
          <w:p w:rsidR="00B56910" w:rsidRDefault="00B56910" w:rsidP="00164787">
            <w:pPr>
              <w:spacing w:line="360" w:lineRule="auto"/>
              <w:jc w:val="center"/>
              <w:cnfStyle w:val="000000100000"/>
              <w:rPr>
                <w:sz w:val="22"/>
                <w:szCs w:val="22"/>
              </w:rPr>
            </w:pPr>
            <w:r>
              <w:rPr>
                <w:sz w:val="22"/>
                <w:szCs w:val="22"/>
              </w:rPr>
              <w:t>3</w:t>
            </w:r>
          </w:p>
        </w:tc>
      </w:tr>
    </w:tbl>
    <w:p w:rsidR="00F26771" w:rsidRDefault="00F26771" w:rsidP="001B5EC4">
      <w:pPr>
        <w:spacing w:line="360" w:lineRule="auto"/>
        <w:jc w:val="both"/>
        <w:rPr>
          <w:sz w:val="22"/>
          <w:szCs w:val="22"/>
        </w:rPr>
      </w:pPr>
    </w:p>
    <w:p w:rsidR="00164787" w:rsidRPr="00F94355" w:rsidRDefault="00F94355" w:rsidP="00563A9A">
      <w:pPr>
        <w:pStyle w:val="Kop2"/>
        <w:numPr>
          <w:ilvl w:val="1"/>
          <w:numId w:val="13"/>
        </w:numPr>
        <w:rPr>
          <w:rFonts w:asciiTheme="majorHAnsi" w:hAnsiTheme="majorHAnsi"/>
        </w:rPr>
      </w:pPr>
      <w:bookmarkStart w:id="30" w:name="_Toc300412003"/>
      <w:r w:rsidRPr="00F94355">
        <w:rPr>
          <w:rFonts w:asciiTheme="majorHAnsi" w:hAnsiTheme="majorHAnsi"/>
        </w:rPr>
        <w:t>The georgraphic service area of Dutch TPL providers</w:t>
      </w:r>
      <w:bookmarkEnd w:id="30"/>
    </w:p>
    <w:p w:rsidR="000820A0" w:rsidRDefault="00F94355" w:rsidP="001B5EC4">
      <w:pPr>
        <w:spacing w:line="360" w:lineRule="auto"/>
        <w:jc w:val="both"/>
        <w:rPr>
          <w:sz w:val="22"/>
          <w:szCs w:val="22"/>
        </w:rPr>
      </w:pPr>
      <w:r>
        <w:rPr>
          <w:sz w:val="22"/>
          <w:szCs w:val="22"/>
        </w:rPr>
        <w:t>When asked about</w:t>
      </w:r>
      <w:r w:rsidR="0052448C">
        <w:rPr>
          <w:sz w:val="22"/>
          <w:szCs w:val="22"/>
        </w:rPr>
        <w:t xml:space="preserve"> where they earned the largest part of their turnover, respondents answered according to figure 21.</w:t>
      </w:r>
      <w:r w:rsidR="000820A0">
        <w:rPr>
          <w:sz w:val="22"/>
          <w:szCs w:val="22"/>
        </w:rPr>
        <w:t xml:space="preserve"> The origin of the majority of turnover is reasonably related with the size of the TPL provider in number of personnel (Cramers’ V= .484).</w:t>
      </w:r>
      <w:r w:rsidR="002E5EF8">
        <w:rPr>
          <w:sz w:val="22"/>
          <w:szCs w:val="22"/>
        </w:rPr>
        <w:t xml:space="preserve"> For example, 60% of the providers in the 201-500 workforce class get their turnover for the majority from the Benelux and 50% of TPL providers with a workforce &gt;1000 get the majority of their turnover from outside Europe. </w:t>
      </w:r>
    </w:p>
    <w:p w:rsidR="001B5EC4" w:rsidRDefault="0052448C" w:rsidP="001B5EC4">
      <w:pPr>
        <w:spacing w:line="360" w:lineRule="auto"/>
        <w:jc w:val="both"/>
        <w:rPr>
          <w:sz w:val="22"/>
          <w:szCs w:val="22"/>
        </w:rPr>
      </w:pPr>
      <w:r>
        <w:rPr>
          <w:sz w:val="22"/>
          <w:szCs w:val="22"/>
        </w:rPr>
        <w:t xml:space="preserve"> </w:t>
      </w:r>
      <w:r w:rsidR="00AC2E2E">
        <w:rPr>
          <w:sz w:val="22"/>
          <w:szCs w:val="22"/>
        </w:rPr>
        <w:t xml:space="preserve">Although it’s clear that the Netherlands is an important origin of turnover and </w:t>
      </w:r>
      <w:r w:rsidR="000820A0">
        <w:rPr>
          <w:sz w:val="22"/>
          <w:szCs w:val="22"/>
        </w:rPr>
        <w:t xml:space="preserve">given </w:t>
      </w:r>
      <w:r w:rsidR="00AC2E2E">
        <w:rPr>
          <w:sz w:val="22"/>
          <w:szCs w:val="22"/>
        </w:rPr>
        <w:t xml:space="preserve">only 11% of all respondents get the largest part of their revenue from outside Europe, I wondered whether Dutch TPL providers have a global service area. 44% of the respondents don’t have a global service area. Of the respondents who do have global coverage, 62% achieves this by </w:t>
      </w:r>
      <w:r w:rsidR="00DC2BAA">
        <w:rPr>
          <w:sz w:val="22"/>
          <w:szCs w:val="22"/>
        </w:rPr>
        <w:t xml:space="preserve">having strategic alliances with several other TPL companies abroad. 11% of all respondents </w:t>
      </w:r>
      <w:r w:rsidR="002752F8">
        <w:rPr>
          <w:sz w:val="22"/>
          <w:szCs w:val="22"/>
        </w:rPr>
        <w:t>have</w:t>
      </w:r>
      <w:r w:rsidR="00DC2BAA">
        <w:rPr>
          <w:sz w:val="22"/>
          <w:szCs w:val="22"/>
        </w:rPr>
        <w:t xml:space="preserve"> its own international distribution network and 7% uses the networks of companies like DHL, TNT, FEDEX and UPS.</w:t>
      </w:r>
    </w:p>
    <w:p w:rsidR="0052448C" w:rsidRDefault="00BD69D8" w:rsidP="00465B28">
      <w:pPr>
        <w:spacing w:line="360" w:lineRule="auto"/>
        <w:rPr>
          <w:sz w:val="22"/>
          <w:szCs w:val="22"/>
        </w:rPr>
      </w:pPr>
      <w:r>
        <w:rPr>
          <w:noProof/>
          <w:sz w:val="22"/>
          <w:szCs w:val="22"/>
          <w:lang w:val="nl-NL"/>
        </w:rPr>
        <w:lastRenderedPageBreak/>
        <w:pict>
          <v:shape id="_x0000_s1060" type="#_x0000_t202" style="position:absolute;margin-left:299.7pt;margin-top:171.4pt;width:53.7pt;height:36.75pt;z-index:251697152;mso-width-relative:margin;mso-height-relative:margin" stroked="f">
            <v:textbox>
              <w:txbxContent>
                <w:p w:rsidR="002752F8" w:rsidRPr="00055293" w:rsidRDefault="002752F8">
                  <w:pPr>
                    <w:rPr>
                      <w:color w:val="F79646" w:themeColor="accent6"/>
                      <w:lang w:val="nl-NL"/>
                    </w:rPr>
                  </w:pPr>
                  <w:r w:rsidRPr="00055293">
                    <w:rPr>
                      <w:color w:val="F79646" w:themeColor="accent6"/>
                      <w:lang w:val="nl-NL"/>
                    </w:rPr>
                    <w:t>Figure 21</w:t>
                  </w:r>
                </w:p>
              </w:txbxContent>
            </v:textbox>
          </v:shape>
        </w:pict>
      </w:r>
      <w:r w:rsidR="0052448C" w:rsidRPr="0052448C">
        <w:rPr>
          <w:noProof/>
          <w:sz w:val="22"/>
          <w:szCs w:val="22"/>
          <w:lang w:val="nl-NL" w:eastAsia="nl-NL" w:bidi="ar-SA"/>
        </w:rPr>
        <w:drawing>
          <wp:inline distT="0" distB="0" distL="0" distR="0">
            <wp:extent cx="4572000" cy="2743200"/>
            <wp:effectExtent l="19050" t="0" r="19050" b="0"/>
            <wp:docPr id="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1B5EC4" w:rsidRDefault="00DA561E" w:rsidP="001B5EC4">
      <w:pPr>
        <w:spacing w:line="360" w:lineRule="auto"/>
        <w:jc w:val="both"/>
        <w:rPr>
          <w:sz w:val="22"/>
          <w:szCs w:val="22"/>
        </w:rPr>
      </w:pPr>
      <w:r>
        <w:rPr>
          <w:sz w:val="22"/>
          <w:szCs w:val="22"/>
        </w:rPr>
        <w:t>But this situation is likely to change in the upcoming years, sinc</w:t>
      </w:r>
      <w:r w:rsidR="002E385C">
        <w:rPr>
          <w:sz w:val="22"/>
          <w:szCs w:val="22"/>
        </w:rPr>
        <w:t>e most companies have set them</w:t>
      </w:r>
      <w:r>
        <w:rPr>
          <w:sz w:val="22"/>
          <w:szCs w:val="22"/>
        </w:rPr>
        <w:t>selves the target to further internationalize in the future (median and mode are in the ‘agree’ clas</w:t>
      </w:r>
      <w:r w:rsidR="00AD7AA3">
        <w:rPr>
          <w:sz w:val="22"/>
          <w:szCs w:val="22"/>
        </w:rPr>
        <w:t xml:space="preserve">s). 41% agreed with this statement, even 22% of all respondents totally agreed with the statement about further internationalization. </w:t>
      </w:r>
      <w:r w:rsidR="002E5EF8">
        <w:rPr>
          <w:sz w:val="22"/>
          <w:szCs w:val="22"/>
        </w:rPr>
        <w:t xml:space="preserve"> The wish to further internationalize is weakly related</w:t>
      </w:r>
      <w:r w:rsidR="00DB43BA">
        <w:rPr>
          <w:sz w:val="22"/>
          <w:szCs w:val="22"/>
        </w:rPr>
        <w:t xml:space="preserve"> to the size of the TPL provider (</w:t>
      </w:r>
      <w:r w:rsidR="002752F8">
        <w:rPr>
          <w:sz w:val="22"/>
          <w:szCs w:val="22"/>
        </w:rPr>
        <w:t>Somers’d</w:t>
      </w:r>
      <w:r w:rsidR="00DB43BA">
        <w:rPr>
          <w:sz w:val="22"/>
          <w:szCs w:val="22"/>
        </w:rPr>
        <w:t xml:space="preserve"> = .275).</w:t>
      </w:r>
    </w:p>
    <w:p w:rsidR="00AD7AA3" w:rsidRDefault="00F34D26" w:rsidP="001B5EC4">
      <w:pPr>
        <w:spacing w:line="360" w:lineRule="auto"/>
        <w:jc w:val="both"/>
        <w:rPr>
          <w:sz w:val="22"/>
          <w:szCs w:val="22"/>
        </w:rPr>
      </w:pPr>
      <w:r>
        <w:rPr>
          <w:sz w:val="22"/>
          <w:szCs w:val="22"/>
        </w:rPr>
        <w:t xml:space="preserve">Taking into account the answers on the above mentioned question about further internalization and having </w:t>
      </w:r>
      <w:r w:rsidR="002752F8">
        <w:rPr>
          <w:sz w:val="22"/>
          <w:szCs w:val="22"/>
        </w:rPr>
        <w:t>a</w:t>
      </w:r>
      <w:r>
        <w:rPr>
          <w:sz w:val="22"/>
          <w:szCs w:val="22"/>
        </w:rPr>
        <w:t xml:space="preserve"> global network, it’s not surprising that almost 82% of all respondents sees the development </w:t>
      </w:r>
      <w:r w:rsidR="00DB43BA">
        <w:rPr>
          <w:sz w:val="22"/>
          <w:szCs w:val="22"/>
        </w:rPr>
        <w:t xml:space="preserve">of </w:t>
      </w:r>
      <w:r>
        <w:rPr>
          <w:sz w:val="22"/>
          <w:szCs w:val="22"/>
        </w:rPr>
        <w:t xml:space="preserve">near shoring as an opportunity. </w:t>
      </w:r>
      <w:r w:rsidR="00DB43BA">
        <w:rPr>
          <w:sz w:val="22"/>
          <w:szCs w:val="22"/>
        </w:rPr>
        <w:t>Although I expected</w:t>
      </w:r>
      <w:r w:rsidR="004704EE">
        <w:rPr>
          <w:sz w:val="22"/>
          <w:szCs w:val="22"/>
        </w:rPr>
        <w:t xml:space="preserve"> that the opinion on near shoring to be dependent on the origin of turnover, this was not the case (Goodman and </w:t>
      </w:r>
      <w:r w:rsidR="002752F8">
        <w:rPr>
          <w:sz w:val="22"/>
          <w:szCs w:val="22"/>
        </w:rPr>
        <w:t>Kruskal’s</w:t>
      </w:r>
      <w:r w:rsidR="004704EE">
        <w:rPr>
          <w:sz w:val="22"/>
          <w:szCs w:val="22"/>
        </w:rPr>
        <w:t xml:space="preserve"> Tau = .081). </w:t>
      </w:r>
      <w:r w:rsidR="008B7C95">
        <w:rPr>
          <w:sz w:val="22"/>
          <w:szCs w:val="22"/>
        </w:rPr>
        <w:t xml:space="preserve">I expected the operators working outside Europe to see near shoring as a threat, but 67% actually sees near shoring as an opportunity. 75% of the respondents who see near shoring as a threat get the majority of their turnover from the Netherlands. </w:t>
      </w:r>
      <w:r w:rsidR="00B615DC">
        <w:rPr>
          <w:sz w:val="22"/>
          <w:szCs w:val="22"/>
        </w:rPr>
        <w:t>However, t</w:t>
      </w:r>
      <w:r w:rsidR="00BD11C9">
        <w:rPr>
          <w:sz w:val="22"/>
          <w:szCs w:val="22"/>
        </w:rPr>
        <w:t>he origin of the majority of turnover and the wish to further internationalize in the future are strongly related (Cramers’ V =.534)</w:t>
      </w:r>
      <w:r w:rsidR="00B73908">
        <w:rPr>
          <w:sz w:val="22"/>
          <w:szCs w:val="22"/>
        </w:rPr>
        <w:t>: Holland</w:t>
      </w:r>
      <w:r w:rsidR="00B615DC">
        <w:rPr>
          <w:sz w:val="22"/>
          <w:szCs w:val="22"/>
        </w:rPr>
        <w:t xml:space="preserve"> and Benelux covering providers</w:t>
      </w:r>
      <w:r w:rsidR="00B73908">
        <w:rPr>
          <w:sz w:val="22"/>
          <w:szCs w:val="22"/>
        </w:rPr>
        <w:t xml:space="preserve"> are</w:t>
      </w:r>
      <w:r w:rsidR="00B615DC">
        <w:rPr>
          <w:sz w:val="22"/>
          <w:szCs w:val="22"/>
        </w:rPr>
        <w:t xml:space="preserve"> being les in favor of internationalizing opposed to TPL providers already servicing total Europe.</w:t>
      </w:r>
      <w:r w:rsidR="00B73908">
        <w:rPr>
          <w:sz w:val="22"/>
          <w:szCs w:val="22"/>
        </w:rPr>
        <w:t xml:space="preserve"> </w:t>
      </w:r>
      <w:r w:rsidR="008B7C95">
        <w:rPr>
          <w:sz w:val="22"/>
          <w:szCs w:val="22"/>
        </w:rPr>
        <w:t>Concluding,</w:t>
      </w:r>
      <w:r w:rsidR="00B73908">
        <w:rPr>
          <w:sz w:val="22"/>
          <w:szCs w:val="22"/>
        </w:rPr>
        <w:t xml:space="preserve"> carefully interpreting results,</w:t>
      </w:r>
      <w:r w:rsidR="008B7C95">
        <w:rPr>
          <w:sz w:val="22"/>
          <w:szCs w:val="22"/>
        </w:rPr>
        <w:t xml:space="preserve"> </w:t>
      </w:r>
      <w:r>
        <w:rPr>
          <w:sz w:val="22"/>
          <w:szCs w:val="22"/>
        </w:rPr>
        <w:t>I think it is safe to conclude that most Dutch TPL providers are aiming at further internationalization inside Europe.</w:t>
      </w:r>
    </w:p>
    <w:p w:rsidR="00B73908" w:rsidRPr="00F26771" w:rsidRDefault="00B73908" w:rsidP="001B5EC4">
      <w:pPr>
        <w:spacing w:line="360" w:lineRule="auto"/>
        <w:jc w:val="both"/>
        <w:rPr>
          <w:sz w:val="22"/>
          <w:szCs w:val="22"/>
        </w:rPr>
      </w:pPr>
    </w:p>
    <w:p w:rsidR="00B73908" w:rsidRPr="00F26771" w:rsidRDefault="00B73908" w:rsidP="001B5EC4">
      <w:pPr>
        <w:spacing w:line="360" w:lineRule="auto"/>
        <w:jc w:val="both"/>
        <w:rPr>
          <w:sz w:val="22"/>
          <w:szCs w:val="22"/>
        </w:rPr>
      </w:pPr>
    </w:p>
    <w:p w:rsidR="00B73908" w:rsidRPr="00F26771" w:rsidRDefault="00B73908" w:rsidP="001B5EC4">
      <w:pPr>
        <w:spacing w:line="360" w:lineRule="auto"/>
        <w:jc w:val="both"/>
        <w:rPr>
          <w:sz w:val="22"/>
          <w:szCs w:val="22"/>
        </w:rPr>
      </w:pPr>
    </w:p>
    <w:p w:rsidR="00B73908" w:rsidRPr="00F26771" w:rsidRDefault="00B73908" w:rsidP="001B5EC4">
      <w:pPr>
        <w:spacing w:line="360" w:lineRule="auto"/>
        <w:jc w:val="both"/>
        <w:rPr>
          <w:sz w:val="22"/>
          <w:szCs w:val="22"/>
        </w:rPr>
      </w:pPr>
    </w:p>
    <w:p w:rsidR="00F34D26" w:rsidRPr="00563A9A" w:rsidRDefault="00A468B1" w:rsidP="00563A9A">
      <w:pPr>
        <w:pStyle w:val="Kop2"/>
        <w:numPr>
          <w:ilvl w:val="1"/>
          <w:numId w:val="13"/>
        </w:numPr>
        <w:rPr>
          <w:rFonts w:asciiTheme="majorHAnsi" w:hAnsiTheme="majorHAnsi"/>
        </w:rPr>
      </w:pPr>
      <w:bookmarkStart w:id="31" w:name="_Toc300412004"/>
      <w:r w:rsidRPr="00563A9A">
        <w:rPr>
          <w:rFonts w:asciiTheme="majorHAnsi" w:hAnsiTheme="majorHAnsi"/>
        </w:rPr>
        <w:lastRenderedPageBreak/>
        <w:t>Dutch TPL providers’ capabilities and the role of path dependency</w:t>
      </w:r>
      <w:bookmarkEnd w:id="31"/>
    </w:p>
    <w:p w:rsidR="00563A9A" w:rsidRDefault="00563A9A" w:rsidP="00563A9A">
      <w:pPr>
        <w:spacing w:line="360" w:lineRule="auto"/>
        <w:jc w:val="both"/>
        <w:rPr>
          <w:sz w:val="22"/>
          <w:szCs w:val="22"/>
        </w:rPr>
      </w:pPr>
      <w:r>
        <w:rPr>
          <w:sz w:val="22"/>
          <w:szCs w:val="22"/>
        </w:rPr>
        <w:t>Path dependency. The history of a company is important, given that investment made in the past may limit or shape its future. The path followed in the past will thus be followed in the future. Says theory</w:t>
      </w:r>
      <w:r w:rsidR="00301B90">
        <w:rPr>
          <w:sz w:val="22"/>
          <w:szCs w:val="22"/>
        </w:rPr>
        <w:t xml:space="preserve">. </w:t>
      </w:r>
      <w:r w:rsidR="001A6B33">
        <w:rPr>
          <w:sz w:val="22"/>
          <w:szCs w:val="22"/>
        </w:rPr>
        <w:t xml:space="preserve">The statement ‘our </w:t>
      </w:r>
      <w:r w:rsidR="00040C7F">
        <w:rPr>
          <w:sz w:val="22"/>
          <w:szCs w:val="22"/>
        </w:rPr>
        <w:t xml:space="preserve">first </w:t>
      </w:r>
      <w:r w:rsidR="001A6B33">
        <w:rPr>
          <w:sz w:val="22"/>
          <w:szCs w:val="22"/>
        </w:rPr>
        <w:t xml:space="preserve">customer has determined our current business and customer </w:t>
      </w:r>
      <w:r w:rsidR="002752F8">
        <w:rPr>
          <w:sz w:val="22"/>
          <w:szCs w:val="22"/>
        </w:rPr>
        <w:t>focus’ yielded</w:t>
      </w:r>
      <w:r w:rsidR="001A6B33">
        <w:rPr>
          <w:sz w:val="22"/>
          <w:szCs w:val="22"/>
        </w:rPr>
        <w:t xml:space="preserve"> a mixed response (median = 3). Scale 1 to 4 all got around 25% of the votes, so nothing considerable can be said about this</w:t>
      </w:r>
      <w:r w:rsidR="00301B90">
        <w:rPr>
          <w:sz w:val="22"/>
          <w:szCs w:val="22"/>
        </w:rPr>
        <w:t>. However, respondents agreed with the statement that their capabilities and competencies are mainly shaped by customer relationships from the past (</w:t>
      </w:r>
      <w:r w:rsidR="002752F8">
        <w:rPr>
          <w:sz w:val="22"/>
          <w:szCs w:val="22"/>
        </w:rPr>
        <w:t>median =</w:t>
      </w:r>
      <w:r w:rsidR="00301B90">
        <w:rPr>
          <w:sz w:val="22"/>
          <w:szCs w:val="22"/>
        </w:rPr>
        <w:t xml:space="preserve"> 4).  Almost 75% of all respondents disagree</w:t>
      </w:r>
      <w:r w:rsidR="00C378B2">
        <w:rPr>
          <w:sz w:val="22"/>
          <w:szCs w:val="22"/>
        </w:rPr>
        <w:t>, of which 26% even totally disagreed,</w:t>
      </w:r>
      <w:r w:rsidR="00301B90">
        <w:rPr>
          <w:sz w:val="22"/>
          <w:szCs w:val="22"/>
        </w:rPr>
        <w:t xml:space="preserve"> with the statement that their current customer base limits them in selection and development of future customer relationships. </w:t>
      </w:r>
      <w:r w:rsidR="00C378B2">
        <w:rPr>
          <w:sz w:val="22"/>
          <w:szCs w:val="22"/>
        </w:rPr>
        <w:t xml:space="preserve"> Although TPL providers are not limited by their current customer base, the extent to which a potential customer is a good match with their current customer base and industry focus </w:t>
      </w:r>
      <w:r w:rsidR="00BD29D3">
        <w:rPr>
          <w:sz w:val="22"/>
          <w:szCs w:val="22"/>
        </w:rPr>
        <w:t xml:space="preserve">is important.  This match and TPL providers </w:t>
      </w:r>
      <w:r w:rsidR="00C378B2">
        <w:rPr>
          <w:sz w:val="22"/>
          <w:szCs w:val="22"/>
        </w:rPr>
        <w:t xml:space="preserve">goals for strategic positioning and capacity development </w:t>
      </w:r>
      <w:r w:rsidR="00BD29D3">
        <w:rPr>
          <w:sz w:val="22"/>
          <w:szCs w:val="22"/>
        </w:rPr>
        <w:t xml:space="preserve">was found important by 70% of the respondents (of which 22% even totally agreed with the statement involved). </w:t>
      </w:r>
      <w:r w:rsidR="00A56D71">
        <w:rPr>
          <w:sz w:val="22"/>
          <w:szCs w:val="22"/>
        </w:rPr>
        <w:t xml:space="preserve">To come up with </w:t>
      </w:r>
      <w:r w:rsidR="002752F8">
        <w:rPr>
          <w:sz w:val="22"/>
          <w:szCs w:val="22"/>
        </w:rPr>
        <w:t>a</w:t>
      </w:r>
      <w:r w:rsidR="00A56D71">
        <w:rPr>
          <w:sz w:val="22"/>
          <w:szCs w:val="22"/>
        </w:rPr>
        <w:t xml:space="preserve"> </w:t>
      </w:r>
      <w:r w:rsidR="00040C7F">
        <w:rPr>
          <w:sz w:val="22"/>
          <w:szCs w:val="22"/>
        </w:rPr>
        <w:t xml:space="preserve">concluding answer on the question whether or not path dependency is being recognized by Dutch TPL providers as an important phenomenon, factor analysis was performed. But no relationship between the variables was found. Summarizing, current business is not shaped by a first customer, and current business is definitely not limiting future customer relationships. However, capabilities and competencies are </w:t>
      </w:r>
      <w:r w:rsidR="00843C82">
        <w:rPr>
          <w:sz w:val="22"/>
          <w:szCs w:val="22"/>
        </w:rPr>
        <w:t>shaped by customer relationships from the past and TPL providers do take into account how a potential new client is expected to fit in their industry focus and how such a customer helps in developing the providers’ capacities.</w:t>
      </w:r>
      <w:r w:rsidR="00067C15">
        <w:rPr>
          <w:sz w:val="22"/>
          <w:szCs w:val="22"/>
        </w:rPr>
        <w:t xml:space="preserve"> </w:t>
      </w:r>
      <w:r w:rsidR="00843C82">
        <w:rPr>
          <w:sz w:val="22"/>
          <w:szCs w:val="22"/>
        </w:rPr>
        <w:t xml:space="preserve">Dutch TPL providers’ only see the path dependency phenomenon as an asset that helps them in further expanding their business successfully. The other side of the coin is not being observed or taking seriously. In my opinion, the only way in which path dependency can be seen as an asset </w:t>
      </w:r>
      <w:r w:rsidR="00067C15">
        <w:rPr>
          <w:sz w:val="22"/>
          <w:szCs w:val="22"/>
        </w:rPr>
        <w:t xml:space="preserve">for the future </w:t>
      </w:r>
      <w:r w:rsidR="00843C82">
        <w:rPr>
          <w:sz w:val="22"/>
          <w:szCs w:val="22"/>
        </w:rPr>
        <w:t>is by acknowledging that</w:t>
      </w:r>
      <w:r w:rsidR="00067C15">
        <w:rPr>
          <w:sz w:val="22"/>
          <w:szCs w:val="22"/>
        </w:rPr>
        <w:t xml:space="preserve"> path dependency can also hold limitations for the further development of the company involved.</w:t>
      </w:r>
    </w:p>
    <w:p w:rsidR="00B73908" w:rsidRDefault="00B73908" w:rsidP="00563A9A">
      <w:pPr>
        <w:spacing w:line="360" w:lineRule="auto"/>
        <w:jc w:val="both"/>
        <w:rPr>
          <w:sz w:val="22"/>
          <w:szCs w:val="22"/>
        </w:rPr>
      </w:pPr>
    </w:p>
    <w:p w:rsidR="00B73908" w:rsidRDefault="00B73908" w:rsidP="00563A9A">
      <w:pPr>
        <w:spacing w:line="360" w:lineRule="auto"/>
        <w:jc w:val="both"/>
        <w:rPr>
          <w:sz w:val="22"/>
          <w:szCs w:val="22"/>
        </w:rPr>
      </w:pPr>
    </w:p>
    <w:p w:rsidR="00B73908" w:rsidRDefault="00B73908" w:rsidP="00563A9A">
      <w:pPr>
        <w:spacing w:line="360" w:lineRule="auto"/>
        <w:jc w:val="both"/>
        <w:rPr>
          <w:sz w:val="22"/>
          <w:szCs w:val="22"/>
        </w:rPr>
      </w:pPr>
    </w:p>
    <w:p w:rsidR="00B73908" w:rsidRDefault="00B73908" w:rsidP="00563A9A">
      <w:pPr>
        <w:spacing w:line="360" w:lineRule="auto"/>
        <w:jc w:val="both"/>
        <w:rPr>
          <w:sz w:val="22"/>
          <w:szCs w:val="22"/>
        </w:rPr>
      </w:pPr>
    </w:p>
    <w:p w:rsidR="00B73908" w:rsidRDefault="00B73908" w:rsidP="00563A9A">
      <w:pPr>
        <w:spacing w:line="360" w:lineRule="auto"/>
        <w:jc w:val="both"/>
        <w:rPr>
          <w:sz w:val="22"/>
          <w:szCs w:val="22"/>
        </w:rPr>
      </w:pPr>
    </w:p>
    <w:p w:rsidR="00067C15" w:rsidRPr="00FF04E2" w:rsidRDefault="006A3585" w:rsidP="00067C15">
      <w:pPr>
        <w:pStyle w:val="Kop2"/>
        <w:numPr>
          <w:ilvl w:val="1"/>
          <w:numId w:val="13"/>
        </w:numPr>
        <w:rPr>
          <w:rFonts w:asciiTheme="majorHAnsi" w:hAnsiTheme="majorHAnsi"/>
        </w:rPr>
      </w:pPr>
      <w:bookmarkStart w:id="32" w:name="_Toc300412005"/>
      <w:r w:rsidRPr="00FF04E2">
        <w:rPr>
          <w:rFonts w:asciiTheme="majorHAnsi" w:hAnsiTheme="majorHAnsi"/>
        </w:rPr>
        <w:lastRenderedPageBreak/>
        <w:t>Client</w:t>
      </w:r>
      <w:r w:rsidR="00067C15" w:rsidRPr="00FF04E2">
        <w:rPr>
          <w:rFonts w:asciiTheme="majorHAnsi" w:hAnsiTheme="majorHAnsi"/>
        </w:rPr>
        <w:t xml:space="preserve"> specific investments made by Dutch TPL providers</w:t>
      </w:r>
      <w:bookmarkEnd w:id="32"/>
    </w:p>
    <w:p w:rsidR="00C378B2" w:rsidRDefault="0065785A" w:rsidP="00563A9A">
      <w:pPr>
        <w:spacing w:line="360" w:lineRule="auto"/>
        <w:jc w:val="both"/>
        <w:rPr>
          <w:sz w:val="22"/>
          <w:szCs w:val="22"/>
        </w:rPr>
      </w:pPr>
      <w:r>
        <w:rPr>
          <w:sz w:val="22"/>
          <w:szCs w:val="22"/>
        </w:rPr>
        <w:t>Before talking about client specific investments</w:t>
      </w:r>
      <w:r w:rsidR="006A3585">
        <w:rPr>
          <w:sz w:val="22"/>
          <w:szCs w:val="22"/>
        </w:rPr>
        <w:t xml:space="preserve">, it should be clear how the majority of TPL providers’ investments </w:t>
      </w:r>
      <w:r w:rsidR="002752F8">
        <w:rPr>
          <w:sz w:val="22"/>
          <w:szCs w:val="22"/>
        </w:rPr>
        <w:t>are</w:t>
      </w:r>
      <w:r w:rsidR="006A3585">
        <w:rPr>
          <w:sz w:val="22"/>
          <w:szCs w:val="22"/>
        </w:rPr>
        <w:t xml:space="preserve"> done. Figure 22 points out that the majority of investments </w:t>
      </w:r>
      <w:r w:rsidR="00644721">
        <w:rPr>
          <w:sz w:val="22"/>
          <w:szCs w:val="22"/>
        </w:rPr>
        <w:t xml:space="preserve">made </w:t>
      </w:r>
      <w:r w:rsidR="006A3585">
        <w:rPr>
          <w:sz w:val="22"/>
          <w:szCs w:val="22"/>
        </w:rPr>
        <w:t xml:space="preserve">by TPL providers </w:t>
      </w:r>
      <w:r w:rsidR="002752F8">
        <w:rPr>
          <w:sz w:val="22"/>
          <w:szCs w:val="22"/>
        </w:rPr>
        <w:t>are</w:t>
      </w:r>
      <w:r w:rsidR="006A3585">
        <w:rPr>
          <w:sz w:val="22"/>
          <w:szCs w:val="22"/>
        </w:rPr>
        <w:t xml:space="preserve"> suitable for serving multiple clients.</w:t>
      </w:r>
    </w:p>
    <w:p w:rsidR="00644721" w:rsidRDefault="00BD69D8" w:rsidP="00563A9A">
      <w:pPr>
        <w:spacing w:line="360" w:lineRule="auto"/>
        <w:jc w:val="both"/>
        <w:rPr>
          <w:sz w:val="22"/>
          <w:szCs w:val="22"/>
        </w:rPr>
      </w:pPr>
      <w:r w:rsidRPr="00BD69D8">
        <w:rPr>
          <w:noProof/>
          <w:sz w:val="22"/>
          <w:szCs w:val="22"/>
        </w:rPr>
        <w:pict>
          <v:shape id="_x0000_s1061" type="#_x0000_t202" style="position:absolute;left:0;text-align:left;margin-left:13.95pt;margin-top:168.4pt;width:59.7pt;height:39pt;z-index:251699200;mso-width-relative:margin;mso-height-relative:margin" stroked="f">
            <v:textbox>
              <w:txbxContent>
                <w:p w:rsidR="002752F8" w:rsidRPr="00F26771" w:rsidRDefault="002752F8">
                  <w:pPr>
                    <w:rPr>
                      <w:color w:val="F79646" w:themeColor="accent6"/>
                      <w:lang w:val="nl-NL"/>
                    </w:rPr>
                  </w:pPr>
                  <w:r w:rsidRPr="00F26771">
                    <w:rPr>
                      <w:color w:val="F79646" w:themeColor="accent6"/>
                      <w:lang w:val="nl-NL"/>
                    </w:rPr>
                    <w:t>Figure 22</w:t>
                  </w:r>
                </w:p>
              </w:txbxContent>
            </v:textbox>
          </v:shape>
        </w:pict>
      </w:r>
      <w:r w:rsidR="00644721" w:rsidRPr="00644721">
        <w:rPr>
          <w:noProof/>
          <w:sz w:val="22"/>
          <w:szCs w:val="22"/>
          <w:lang w:val="nl-NL" w:eastAsia="nl-NL" w:bidi="ar-SA"/>
        </w:rPr>
        <w:drawing>
          <wp:inline distT="0" distB="0" distL="0" distR="0">
            <wp:extent cx="4572000" cy="2743200"/>
            <wp:effectExtent l="19050" t="0" r="19050" b="0"/>
            <wp:docPr id="17"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CC44F2" w:rsidRDefault="00CC44F2" w:rsidP="00563A9A">
      <w:pPr>
        <w:spacing w:line="360" w:lineRule="auto"/>
        <w:jc w:val="both"/>
        <w:rPr>
          <w:sz w:val="22"/>
          <w:szCs w:val="22"/>
        </w:rPr>
      </w:pPr>
      <w:r>
        <w:rPr>
          <w:sz w:val="22"/>
          <w:szCs w:val="22"/>
        </w:rPr>
        <w:t>It was expected that the amount of client specific investments made would be negatively related with the size of the customer: the bigger the customer, the more client specific to be made. This turned out to be true, although the variables are weakly</w:t>
      </w:r>
      <w:r w:rsidR="00A4051B">
        <w:rPr>
          <w:sz w:val="22"/>
          <w:szCs w:val="22"/>
        </w:rPr>
        <w:t xml:space="preserve"> negatively</w:t>
      </w:r>
      <w:r>
        <w:rPr>
          <w:sz w:val="22"/>
          <w:szCs w:val="22"/>
        </w:rPr>
        <w:t xml:space="preserve"> related (</w:t>
      </w:r>
      <w:r w:rsidR="002752F8">
        <w:rPr>
          <w:sz w:val="22"/>
          <w:szCs w:val="22"/>
        </w:rPr>
        <w:t>Somers’d</w:t>
      </w:r>
      <w:r>
        <w:rPr>
          <w:sz w:val="22"/>
          <w:szCs w:val="22"/>
        </w:rPr>
        <w:t xml:space="preserve"> = -.158). </w:t>
      </w:r>
    </w:p>
    <w:p w:rsidR="00A21F6D" w:rsidRDefault="00455389" w:rsidP="00563A9A">
      <w:pPr>
        <w:spacing w:line="360" w:lineRule="auto"/>
        <w:jc w:val="both"/>
        <w:rPr>
          <w:sz w:val="22"/>
          <w:szCs w:val="22"/>
        </w:rPr>
      </w:pPr>
      <w:r>
        <w:rPr>
          <w:sz w:val="22"/>
          <w:szCs w:val="22"/>
        </w:rPr>
        <w:t>Although figure 22 might insinuate that almost no client specific investments are made, this is not the case.</w:t>
      </w:r>
      <w:r w:rsidR="00CC44F2" w:rsidRPr="00CC44F2">
        <w:rPr>
          <w:sz w:val="22"/>
          <w:szCs w:val="22"/>
        </w:rPr>
        <w:t xml:space="preserve"> </w:t>
      </w:r>
      <w:r w:rsidR="002752F8">
        <w:rPr>
          <w:sz w:val="22"/>
          <w:szCs w:val="22"/>
        </w:rPr>
        <w:t xml:space="preserve">This figure just shows that most investments that are made are suitable for serving multiple clients. </w:t>
      </w:r>
      <w:r>
        <w:rPr>
          <w:sz w:val="22"/>
          <w:szCs w:val="22"/>
        </w:rPr>
        <w:t>As a matter of fact, 74% of all respondents answered that they do make client specific investments</w:t>
      </w:r>
      <w:r w:rsidR="006B363B">
        <w:rPr>
          <w:sz w:val="22"/>
          <w:szCs w:val="22"/>
        </w:rPr>
        <w:t xml:space="preserve">: </w:t>
      </w:r>
      <w:r>
        <w:rPr>
          <w:sz w:val="22"/>
          <w:szCs w:val="22"/>
        </w:rPr>
        <w:t xml:space="preserve">investments to serve only one customer. </w:t>
      </w:r>
      <w:r w:rsidR="00A21F6D">
        <w:rPr>
          <w:sz w:val="22"/>
          <w:szCs w:val="22"/>
        </w:rPr>
        <w:t xml:space="preserve">Whether client specific investments are made isn’t depending on the size of the TPL provider (Goodman and </w:t>
      </w:r>
      <w:r w:rsidR="002752F8">
        <w:rPr>
          <w:sz w:val="22"/>
          <w:szCs w:val="22"/>
        </w:rPr>
        <w:t>Kruskal’s</w:t>
      </w:r>
      <w:r w:rsidR="00A21F6D">
        <w:rPr>
          <w:sz w:val="22"/>
          <w:szCs w:val="22"/>
        </w:rPr>
        <w:t xml:space="preserve"> Tau =.134).</w:t>
      </w:r>
      <w:r w:rsidR="00130ECA">
        <w:rPr>
          <w:sz w:val="22"/>
          <w:szCs w:val="22"/>
        </w:rPr>
        <w:t xml:space="preserve"> Doing client specific investments is also not depending on the base (asset or non asset based) of the TPL provider (Goodman and </w:t>
      </w:r>
      <w:r w:rsidR="002752F8">
        <w:rPr>
          <w:sz w:val="22"/>
          <w:szCs w:val="22"/>
        </w:rPr>
        <w:t>Kruskal’s</w:t>
      </w:r>
      <w:r w:rsidR="00130ECA">
        <w:rPr>
          <w:sz w:val="22"/>
          <w:szCs w:val="22"/>
        </w:rPr>
        <w:t xml:space="preserve"> Tau = .079). </w:t>
      </w:r>
      <w:r w:rsidR="00A21F6D">
        <w:rPr>
          <w:sz w:val="22"/>
          <w:szCs w:val="22"/>
        </w:rPr>
        <w:t xml:space="preserve">Besides that, the answer on the statement about the depth of a TPL provider - customer relationships and the fact that this will lower the number of customers which can be served has no explanatory power on the decision to do client specific investments (Goodman and </w:t>
      </w:r>
      <w:r w:rsidR="002752F8">
        <w:rPr>
          <w:sz w:val="22"/>
          <w:szCs w:val="22"/>
        </w:rPr>
        <w:t>Kruskal’s</w:t>
      </w:r>
      <w:r w:rsidR="00A21F6D">
        <w:rPr>
          <w:sz w:val="22"/>
          <w:szCs w:val="22"/>
        </w:rPr>
        <w:t xml:space="preserve"> Tau = .047). Apparently, being able to serve less clients isn’t scarring providers which intend to do client specific investments.</w:t>
      </w:r>
    </w:p>
    <w:p w:rsidR="00130ECA" w:rsidRDefault="00143BFF" w:rsidP="00563A9A">
      <w:pPr>
        <w:spacing w:line="360" w:lineRule="auto"/>
        <w:jc w:val="both"/>
        <w:rPr>
          <w:sz w:val="22"/>
          <w:szCs w:val="22"/>
        </w:rPr>
      </w:pPr>
      <w:r>
        <w:rPr>
          <w:sz w:val="22"/>
          <w:szCs w:val="22"/>
        </w:rPr>
        <w:t>The average percentage of client specific investments made</w:t>
      </w:r>
      <w:r w:rsidR="00A4051B">
        <w:rPr>
          <w:sz w:val="22"/>
          <w:szCs w:val="22"/>
        </w:rPr>
        <w:t xml:space="preserve"> (relative to total investments)</w:t>
      </w:r>
      <w:r>
        <w:rPr>
          <w:sz w:val="22"/>
          <w:szCs w:val="22"/>
        </w:rPr>
        <w:t xml:space="preserve"> over the last five years is 27% (mean = 27</w:t>
      </w:r>
      <w:r w:rsidR="002752F8">
        <w:rPr>
          <w:sz w:val="22"/>
          <w:szCs w:val="22"/>
        </w:rPr>
        <w:t>, 26</w:t>
      </w:r>
      <w:r>
        <w:rPr>
          <w:sz w:val="22"/>
          <w:szCs w:val="22"/>
        </w:rPr>
        <w:t xml:space="preserve">). </w:t>
      </w:r>
      <w:r w:rsidR="00D67F24">
        <w:rPr>
          <w:sz w:val="22"/>
          <w:szCs w:val="22"/>
        </w:rPr>
        <w:t xml:space="preserve">When asked the question which client specific investments they made, 67% answered investment were made in assets such as rolling stock, real estate, storage </w:t>
      </w:r>
      <w:r w:rsidR="00D67F24">
        <w:rPr>
          <w:sz w:val="22"/>
          <w:szCs w:val="22"/>
        </w:rPr>
        <w:lastRenderedPageBreak/>
        <w:t>facility etc. 63% of all respondents also invested in IT system and/or IT links. 41% of all respondents making client specific investments did this by investing in staff and</w:t>
      </w:r>
      <w:r w:rsidR="00465B28">
        <w:rPr>
          <w:sz w:val="22"/>
          <w:szCs w:val="22"/>
        </w:rPr>
        <w:t xml:space="preserve"> </w:t>
      </w:r>
      <w:r w:rsidR="00D67F24">
        <w:rPr>
          <w:sz w:val="22"/>
          <w:szCs w:val="22"/>
        </w:rPr>
        <w:t>their training. However, the biggest client specific investments are being made in assets and IT systems and/or IT links: both mentioned by 45% of the respondents as being the</w:t>
      </w:r>
      <w:r w:rsidR="00465B28">
        <w:rPr>
          <w:sz w:val="22"/>
          <w:szCs w:val="22"/>
        </w:rPr>
        <w:t xml:space="preserve"> category they invested the biggest amount of money in. </w:t>
      </w:r>
    </w:p>
    <w:p w:rsidR="00644721" w:rsidRDefault="00465B28" w:rsidP="00563A9A">
      <w:pPr>
        <w:spacing w:line="360" w:lineRule="auto"/>
        <w:jc w:val="both"/>
        <w:rPr>
          <w:sz w:val="22"/>
          <w:szCs w:val="22"/>
        </w:rPr>
      </w:pPr>
      <w:r>
        <w:rPr>
          <w:sz w:val="22"/>
          <w:szCs w:val="22"/>
        </w:rPr>
        <w:t>Talking a</w:t>
      </w:r>
      <w:r w:rsidR="00C66E6B">
        <w:rPr>
          <w:sz w:val="22"/>
          <w:szCs w:val="22"/>
        </w:rPr>
        <w:t xml:space="preserve">bout financing investments, figure 23 makes </w:t>
      </w:r>
      <w:r>
        <w:rPr>
          <w:sz w:val="22"/>
          <w:szCs w:val="22"/>
        </w:rPr>
        <w:t>clear that client specific investments are mainly financed by the TPL provider:  &gt; 50% of the total investment.</w:t>
      </w:r>
    </w:p>
    <w:p w:rsidR="006B363B" w:rsidRDefault="00BD69D8" w:rsidP="00563A9A">
      <w:pPr>
        <w:spacing w:line="360" w:lineRule="auto"/>
        <w:jc w:val="both"/>
        <w:rPr>
          <w:sz w:val="22"/>
          <w:szCs w:val="22"/>
        </w:rPr>
      </w:pPr>
      <w:r w:rsidRPr="00BD69D8">
        <w:rPr>
          <w:noProof/>
          <w:sz w:val="22"/>
          <w:szCs w:val="22"/>
        </w:rPr>
        <w:pict>
          <v:shape id="_x0000_s1062" type="#_x0000_t202" style="position:absolute;left:0;text-align:left;margin-left:8.9pt;margin-top:31.4pt;width:54.8pt;height:37.4pt;z-index:251701248;mso-width-relative:margin;mso-height-relative:margin" stroked="f">
            <v:textbox>
              <w:txbxContent>
                <w:p w:rsidR="002752F8" w:rsidRPr="00F26771" w:rsidRDefault="002752F8">
                  <w:pPr>
                    <w:rPr>
                      <w:color w:val="F79646" w:themeColor="accent6"/>
                      <w:lang w:val="nl-NL"/>
                    </w:rPr>
                  </w:pPr>
                  <w:r w:rsidRPr="00F26771">
                    <w:rPr>
                      <w:color w:val="F79646" w:themeColor="accent6"/>
                      <w:lang w:val="nl-NL"/>
                    </w:rPr>
                    <w:t>Figure 23</w:t>
                  </w:r>
                </w:p>
              </w:txbxContent>
            </v:textbox>
          </v:shape>
        </w:pict>
      </w:r>
      <w:r w:rsidR="00C66E6B" w:rsidRPr="00C66E6B">
        <w:rPr>
          <w:noProof/>
          <w:sz w:val="22"/>
          <w:szCs w:val="22"/>
          <w:lang w:val="nl-NL" w:eastAsia="nl-NL" w:bidi="ar-SA"/>
        </w:rPr>
        <w:drawing>
          <wp:inline distT="0" distB="0" distL="0" distR="0">
            <wp:extent cx="4572000" cy="2743200"/>
            <wp:effectExtent l="19050" t="0" r="19050" b="0"/>
            <wp:docPr id="19"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C66E6B" w:rsidRDefault="00782460" w:rsidP="00563A9A">
      <w:pPr>
        <w:spacing w:line="360" w:lineRule="auto"/>
        <w:jc w:val="both"/>
        <w:rPr>
          <w:sz w:val="22"/>
          <w:szCs w:val="22"/>
        </w:rPr>
      </w:pPr>
      <w:r>
        <w:rPr>
          <w:sz w:val="22"/>
          <w:szCs w:val="22"/>
        </w:rPr>
        <w:t xml:space="preserve">When we look at the reasons for making client specific investments, it’s striking to see how important it is for TPL providers to be of more strategic importance for their customers. Also the wish to distinguish themselves from competition is an important reason for making client specific investments. From these two reasons </w:t>
      </w:r>
      <w:r w:rsidR="002752F8">
        <w:rPr>
          <w:sz w:val="22"/>
          <w:szCs w:val="22"/>
        </w:rPr>
        <w:t>it’s</w:t>
      </w:r>
      <w:r>
        <w:rPr>
          <w:sz w:val="22"/>
          <w:szCs w:val="22"/>
        </w:rPr>
        <w:t xml:space="preserve"> very obvious that TPL providers really try and want to</w:t>
      </w:r>
      <w:r w:rsidR="0057301F">
        <w:rPr>
          <w:sz w:val="22"/>
          <w:szCs w:val="22"/>
        </w:rPr>
        <w:t xml:space="preserve"> be more than a commodity service. </w:t>
      </w:r>
    </w:p>
    <w:tbl>
      <w:tblPr>
        <w:tblStyle w:val="Gemiddeldraster3-accent6"/>
        <w:tblW w:w="0" w:type="auto"/>
        <w:tblLook w:val="04A0"/>
      </w:tblPr>
      <w:tblGrid>
        <w:gridCol w:w="6414"/>
        <w:gridCol w:w="746"/>
      </w:tblGrid>
      <w:tr w:rsidR="0059483F" w:rsidTr="00550C67">
        <w:trPr>
          <w:cnfStyle w:val="100000000000"/>
        </w:trPr>
        <w:tc>
          <w:tcPr>
            <w:cnfStyle w:val="001000000000"/>
            <w:tcW w:w="0" w:type="auto"/>
          </w:tcPr>
          <w:p w:rsidR="0059483F" w:rsidRPr="00196033" w:rsidRDefault="0059483F" w:rsidP="00550C67">
            <w:pPr>
              <w:spacing w:line="360" w:lineRule="auto"/>
              <w:jc w:val="both"/>
              <w:rPr>
                <w:sz w:val="22"/>
                <w:szCs w:val="22"/>
              </w:rPr>
            </w:pPr>
            <w:r>
              <w:rPr>
                <w:sz w:val="22"/>
                <w:szCs w:val="22"/>
              </w:rPr>
              <w:t>Table 24</w:t>
            </w:r>
            <w:r w:rsidRPr="00196033">
              <w:rPr>
                <w:sz w:val="22"/>
                <w:szCs w:val="22"/>
              </w:rPr>
              <w:t xml:space="preserve"> </w:t>
            </w:r>
            <w:r>
              <w:rPr>
                <w:sz w:val="22"/>
                <w:szCs w:val="22"/>
              </w:rPr>
              <w:t>Reasons for making client specific investments</w:t>
            </w:r>
          </w:p>
        </w:tc>
        <w:tc>
          <w:tcPr>
            <w:tcW w:w="0" w:type="auto"/>
          </w:tcPr>
          <w:p w:rsidR="0059483F" w:rsidRDefault="0059483F" w:rsidP="00550C67">
            <w:pPr>
              <w:spacing w:line="360" w:lineRule="auto"/>
              <w:jc w:val="center"/>
              <w:cnfStyle w:val="100000000000"/>
              <w:rPr>
                <w:sz w:val="22"/>
                <w:szCs w:val="22"/>
              </w:rPr>
            </w:pPr>
            <w:r>
              <w:rPr>
                <w:sz w:val="22"/>
                <w:szCs w:val="22"/>
              </w:rPr>
              <w:t>Mean</w:t>
            </w:r>
          </w:p>
        </w:tc>
      </w:tr>
      <w:tr w:rsidR="0059483F" w:rsidTr="00550C67">
        <w:trPr>
          <w:cnfStyle w:val="000000100000"/>
        </w:trPr>
        <w:tc>
          <w:tcPr>
            <w:cnfStyle w:val="001000000000"/>
            <w:tcW w:w="0" w:type="auto"/>
          </w:tcPr>
          <w:p w:rsidR="0059483F" w:rsidRPr="00196033" w:rsidRDefault="0059483F" w:rsidP="00550C67">
            <w:pPr>
              <w:rPr>
                <w:b w:val="0"/>
                <w:sz w:val="22"/>
                <w:szCs w:val="22"/>
              </w:rPr>
            </w:pPr>
            <w:r>
              <w:rPr>
                <w:b w:val="0"/>
                <w:sz w:val="22"/>
                <w:szCs w:val="22"/>
              </w:rPr>
              <w:t>To be of more strategic importance to the customer</w:t>
            </w:r>
          </w:p>
        </w:tc>
        <w:tc>
          <w:tcPr>
            <w:tcW w:w="0" w:type="auto"/>
          </w:tcPr>
          <w:p w:rsidR="0059483F" w:rsidRDefault="0059483F" w:rsidP="00550C67">
            <w:pPr>
              <w:spacing w:line="360" w:lineRule="auto"/>
              <w:jc w:val="center"/>
              <w:cnfStyle w:val="000000100000"/>
              <w:rPr>
                <w:sz w:val="22"/>
                <w:szCs w:val="22"/>
              </w:rPr>
            </w:pPr>
            <w:r>
              <w:rPr>
                <w:sz w:val="22"/>
                <w:szCs w:val="22"/>
              </w:rPr>
              <w:t>4,5</w:t>
            </w:r>
          </w:p>
        </w:tc>
      </w:tr>
      <w:tr w:rsidR="0059483F" w:rsidTr="00550C67">
        <w:tc>
          <w:tcPr>
            <w:cnfStyle w:val="001000000000"/>
            <w:tcW w:w="0" w:type="auto"/>
          </w:tcPr>
          <w:p w:rsidR="0059483F" w:rsidRPr="00196033" w:rsidRDefault="0059483F" w:rsidP="00550C67">
            <w:pPr>
              <w:rPr>
                <w:b w:val="0"/>
                <w:sz w:val="22"/>
                <w:szCs w:val="22"/>
              </w:rPr>
            </w:pPr>
            <w:r>
              <w:rPr>
                <w:b w:val="0"/>
                <w:sz w:val="22"/>
                <w:szCs w:val="22"/>
              </w:rPr>
              <w:t>The wish to distinguish themselves from their competitors</w:t>
            </w:r>
          </w:p>
        </w:tc>
        <w:tc>
          <w:tcPr>
            <w:tcW w:w="0" w:type="auto"/>
          </w:tcPr>
          <w:p w:rsidR="0059483F" w:rsidRDefault="0059483F" w:rsidP="00550C67">
            <w:pPr>
              <w:spacing w:line="360" w:lineRule="auto"/>
              <w:jc w:val="center"/>
              <w:cnfStyle w:val="000000000000"/>
              <w:rPr>
                <w:sz w:val="22"/>
                <w:szCs w:val="22"/>
              </w:rPr>
            </w:pPr>
            <w:r>
              <w:rPr>
                <w:sz w:val="22"/>
                <w:szCs w:val="22"/>
              </w:rPr>
              <w:t>4</w:t>
            </w:r>
          </w:p>
        </w:tc>
      </w:tr>
      <w:tr w:rsidR="0059483F" w:rsidTr="00550C67">
        <w:trPr>
          <w:cnfStyle w:val="000000100000"/>
        </w:trPr>
        <w:tc>
          <w:tcPr>
            <w:cnfStyle w:val="001000000000"/>
            <w:tcW w:w="0" w:type="auto"/>
          </w:tcPr>
          <w:p w:rsidR="0059483F" w:rsidRPr="00196033" w:rsidRDefault="0059483F" w:rsidP="00550C67">
            <w:pPr>
              <w:rPr>
                <w:b w:val="0"/>
                <w:sz w:val="22"/>
                <w:szCs w:val="22"/>
              </w:rPr>
            </w:pPr>
            <w:r>
              <w:rPr>
                <w:b w:val="0"/>
                <w:sz w:val="22"/>
                <w:szCs w:val="22"/>
              </w:rPr>
              <w:t xml:space="preserve"> They are being forced by their competitors </w:t>
            </w:r>
          </w:p>
        </w:tc>
        <w:tc>
          <w:tcPr>
            <w:tcW w:w="0" w:type="auto"/>
          </w:tcPr>
          <w:p w:rsidR="0059483F" w:rsidRDefault="0059483F" w:rsidP="00550C67">
            <w:pPr>
              <w:spacing w:line="360" w:lineRule="auto"/>
              <w:jc w:val="center"/>
              <w:cnfStyle w:val="000000100000"/>
              <w:rPr>
                <w:sz w:val="22"/>
                <w:szCs w:val="22"/>
              </w:rPr>
            </w:pPr>
            <w:r>
              <w:rPr>
                <w:sz w:val="22"/>
                <w:szCs w:val="22"/>
              </w:rPr>
              <w:t>3</w:t>
            </w:r>
          </w:p>
        </w:tc>
      </w:tr>
      <w:tr w:rsidR="0059483F" w:rsidTr="00550C67">
        <w:tc>
          <w:tcPr>
            <w:cnfStyle w:val="001000000000"/>
            <w:tcW w:w="0" w:type="auto"/>
          </w:tcPr>
          <w:p w:rsidR="0059483F" w:rsidRPr="00196033" w:rsidRDefault="0059483F" w:rsidP="00550C67">
            <w:pPr>
              <w:rPr>
                <w:b w:val="0"/>
                <w:sz w:val="22"/>
                <w:szCs w:val="22"/>
              </w:rPr>
            </w:pPr>
            <w:r>
              <w:rPr>
                <w:b w:val="0"/>
                <w:sz w:val="22"/>
                <w:szCs w:val="22"/>
              </w:rPr>
              <w:t>The higher profit margins</w:t>
            </w:r>
          </w:p>
        </w:tc>
        <w:tc>
          <w:tcPr>
            <w:tcW w:w="0" w:type="auto"/>
          </w:tcPr>
          <w:p w:rsidR="0059483F" w:rsidRDefault="0059483F" w:rsidP="00550C67">
            <w:pPr>
              <w:spacing w:line="360" w:lineRule="auto"/>
              <w:jc w:val="center"/>
              <w:cnfStyle w:val="000000000000"/>
              <w:rPr>
                <w:sz w:val="22"/>
                <w:szCs w:val="22"/>
              </w:rPr>
            </w:pPr>
            <w:r>
              <w:rPr>
                <w:sz w:val="22"/>
                <w:szCs w:val="22"/>
              </w:rPr>
              <w:t>3</w:t>
            </w:r>
          </w:p>
        </w:tc>
      </w:tr>
      <w:tr w:rsidR="0059483F" w:rsidTr="00550C67">
        <w:trPr>
          <w:cnfStyle w:val="000000100000"/>
        </w:trPr>
        <w:tc>
          <w:tcPr>
            <w:cnfStyle w:val="001000000000"/>
            <w:tcW w:w="0" w:type="auto"/>
          </w:tcPr>
          <w:p w:rsidR="0059483F" w:rsidRPr="00196033" w:rsidRDefault="0059483F" w:rsidP="00550C67">
            <w:pPr>
              <w:rPr>
                <w:b w:val="0"/>
                <w:sz w:val="22"/>
                <w:szCs w:val="22"/>
              </w:rPr>
            </w:pPr>
            <w:r>
              <w:rPr>
                <w:b w:val="0"/>
                <w:sz w:val="22"/>
                <w:szCs w:val="22"/>
              </w:rPr>
              <w:t>The economic crisis resulted in fewer financing options for customers</w:t>
            </w:r>
          </w:p>
        </w:tc>
        <w:tc>
          <w:tcPr>
            <w:tcW w:w="0" w:type="auto"/>
          </w:tcPr>
          <w:p w:rsidR="0059483F" w:rsidRDefault="0059483F" w:rsidP="00550C67">
            <w:pPr>
              <w:spacing w:line="360" w:lineRule="auto"/>
              <w:jc w:val="center"/>
              <w:cnfStyle w:val="000000100000"/>
              <w:rPr>
                <w:sz w:val="22"/>
                <w:szCs w:val="22"/>
              </w:rPr>
            </w:pPr>
            <w:r>
              <w:rPr>
                <w:sz w:val="22"/>
                <w:szCs w:val="22"/>
              </w:rPr>
              <w:t>3</w:t>
            </w:r>
          </w:p>
        </w:tc>
      </w:tr>
    </w:tbl>
    <w:p w:rsidR="0059483F" w:rsidRDefault="0059483F" w:rsidP="00563A9A">
      <w:pPr>
        <w:spacing w:line="360" w:lineRule="auto"/>
        <w:jc w:val="both"/>
        <w:rPr>
          <w:sz w:val="22"/>
          <w:szCs w:val="22"/>
        </w:rPr>
      </w:pPr>
    </w:p>
    <w:p w:rsidR="0059483F" w:rsidRDefault="0059483F" w:rsidP="00563A9A">
      <w:pPr>
        <w:spacing w:line="360" w:lineRule="auto"/>
        <w:jc w:val="both"/>
        <w:rPr>
          <w:sz w:val="22"/>
          <w:szCs w:val="22"/>
        </w:rPr>
      </w:pPr>
    </w:p>
    <w:p w:rsidR="006A3585" w:rsidRPr="0059483F" w:rsidRDefault="00FF04E2" w:rsidP="0059483F">
      <w:pPr>
        <w:pStyle w:val="Kop2"/>
        <w:numPr>
          <w:ilvl w:val="1"/>
          <w:numId w:val="13"/>
        </w:numPr>
        <w:rPr>
          <w:rFonts w:asciiTheme="majorHAnsi" w:hAnsiTheme="majorHAnsi"/>
        </w:rPr>
      </w:pPr>
      <w:bookmarkStart w:id="33" w:name="_Toc300412006"/>
      <w:r w:rsidRPr="0059483F">
        <w:rPr>
          <w:rFonts w:asciiTheme="majorHAnsi" w:hAnsiTheme="majorHAnsi"/>
        </w:rPr>
        <w:lastRenderedPageBreak/>
        <w:t>Th</w:t>
      </w:r>
      <w:r w:rsidR="00130ECA" w:rsidRPr="0059483F">
        <w:rPr>
          <w:rFonts w:asciiTheme="majorHAnsi" w:hAnsiTheme="majorHAnsi"/>
        </w:rPr>
        <w:t>e</w:t>
      </w:r>
      <w:r w:rsidRPr="0059483F">
        <w:rPr>
          <w:rFonts w:asciiTheme="majorHAnsi" w:hAnsiTheme="majorHAnsi"/>
        </w:rPr>
        <w:t xml:space="preserve"> strategic positioning of Dutch TPL providers</w:t>
      </w:r>
      <w:bookmarkEnd w:id="33"/>
    </w:p>
    <w:p w:rsidR="003911A0" w:rsidRDefault="001C00AA" w:rsidP="001B5EC4">
      <w:pPr>
        <w:spacing w:line="360" w:lineRule="auto"/>
        <w:jc w:val="both"/>
        <w:rPr>
          <w:sz w:val="22"/>
          <w:szCs w:val="22"/>
        </w:rPr>
      </w:pPr>
      <w:r>
        <w:rPr>
          <w:sz w:val="22"/>
          <w:szCs w:val="22"/>
        </w:rPr>
        <w:t>Much has been written about the strategic positioning of TPL providers. Import</w:t>
      </w:r>
      <w:r w:rsidR="00894806">
        <w:rPr>
          <w:sz w:val="22"/>
          <w:szCs w:val="22"/>
        </w:rPr>
        <w:t>ant</w:t>
      </w:r>
      <w:r>
        <w:rPr>
          <w:sz w:val="22"/>
          <w:szCs w:val="22"/>
        </w:rPr>
        <w:t xml:space="preserve"> aspects in </w:t>
      </w:r>
      <w:r w:rsidR="002752F8">
        <w:rPr>
          <w:sz w:val="22"/>
          <w:szCs w:val="22"/>
        </w:rPr>
        <w:t>these classifications</w:t>
      </w:r>
      <w:r>
        <w:rPr>
          <w:sz w:val="22"/>
          <w:szCs w:val="22"/>
        </w:rPr>
        <w:t xml:space="preserve"> are whether or not providers aim at serving as many clients as possible or that they aim at close and stronger customer relationships serving less customers a</w:t>
      </w:r>
      <w:r w:rsidR="0002659B">
        <w:rPr>
          <w:sz w:val="22"/>
          <w:szCs w:val="22"/>
        </w:rPr>
        <w:t xml:space="preserve"> much more dedicated service. </w:t>
      </w:r>
      <w:r>
        <w:rPr>
          <w:sz w:val="22"/>
          <w:szCs w:val="22"/>
        </w:rPr>
        <w:t xml:space="preserve">Closely related to this </w:t>
      </w:r>
      <w:r w:rsidR="00894806">
        <w:rPr>
          <w:sz w:val="22"/>
          <w:szCs w:val="22"/>
        </w:rPr>
        <w:t xml:space="preserve">subject is the question what is the foundation under Dutch TPL providers. The questionnaire made very clear that Dutch TPL providers are mainly asset based. 80% of all respondents </w:t>
      </w:r>
      <w:r w:rsidR="002752F8">
        <w:rPr>
          <w:sz w:val="22"/>
          <w:szCs w:val="22"/>
        </w:rPr>
        <w:t>consider</w:t>
      </w:r>
      <w:r w:rsidR="00894806">
        <w:rPr>
          <w:sz w:val="22"/>
          <w:szCs w:val="22"/>
        </w:rPr>
        <w:t xml:space="preserve"> themselves as being asset based: TPL providers owning and operating their own transport fleet, storage etc. Just 20% of the respondents </w:t>
      </w:r>
      <w:r w:rsidR="002752F8">
        <w:rPr>
          <w:sz w:val="22"/>
          <w:szCs w:val="22"/>
        </w:rPr>
        <w:t>consider</w:t>
      </w:r>
      <w:r w:rsidR="00894806">
        <w:rPr>
          <w:sz w:val="22"/>
          <w:szCs w:val="22"/>
        </w:rPr>
        <w:t xml:space="preserve"> themselves to be</w:t>
      </w:r>
      <w:r w:rsidR="0002659B">
        <w:rPr>
          <w:sz w:val="22"/>
          <w:szCs w:val="22"/>
        </w:rPr>
        <w:t xml:space="preserve"> </w:t>
      </w:r>
      <w:r w:rsidR="002752F8">
        <w:rPr>
          <w:sz w:val="22"/>
          <w:szCs w:val="22"/>
        </w:rPr>
        <w:t>a</w:t>
      </w:r>
      <w:r w:rsidR="00894806">
        <w:rPr>
          <w:sz w:val="22"/>
          <w:szCs w:val="22"/>
        </w:rPr>
        <w:t xml:space="preserve"> non-asset based</w:t>
      </w:r>
      <w:r w:rsidR="0002659B">
        <w:rPr>
          <w:sz w:val="22"/>
          <w:szCs w:val="22"/>
        </w:rPr>
        <w:t xml:space="preserve"> TPL provider</w:t>
      </w:r>
      <w:r w:rsidR="00894806">
        <w:rPr>
          <w:sz w:val="22"/>
          <w:szCs w:val="22"/>
        </w:rPr>
        <w:t xml:space="preserve">: </w:t>
      </w:r>
      <w:r w:rsidR="0002659B">
        <w:rPr>
          <w:sz w:val="22"/>
          <w:szCs w:val="22"/>
        </w:rPr>
        <w:t xml:space="preserve">firms which foundation consists of knowledge and skills, outsourcing physical activities like transport and storage. This breakdown might be explained by the fact that most non-asset based logistics companies </w:t>
      </w:r>
      <w:r w:rsidR="0094247C">
        <w:rPr>
          <w:sz w:val="22"/>
          <w:szCs w:val="22"/>
        </w:rPr>
        <w:t xml:space="preserve">are likely to </w:t>
      </w:r>
      <w:r w:rsidR="0002659B">
        <w:rPr>
          <w:sz w:val="22"/>
          <w:szCs w:val="22"/>
        </w:rPr>
        <w:t xml:space="preserve">consider themselves to be 4PL providers instead of TPL providers. </w:t>
      </w:r>
      <w:r w:rsidR="00DF72BC">
        <w:rPr>
          <w:sz w:val="22"/>
          <w:szCs w:val="22"/>
        </w:rPr>
        <w:t xml:space="preserve">The foundation under TPL providers is </w:t>
      </w:r>
      <w:r w:rsidR="00490D01">
        <w:rPr>
          <w:sz w:val="22"/>
          <w:szCs w:val="22"/>
        </w:rPr>
        <w:t>reasonably related</w:t>
      </w:r>
      <w:r w:rsidR="00DF72BC">
        <w:rPr>
          <w:sz w:val="22"/>
          <w:szCs w:val="22"/>
        </w:rPr>
        <w:t xml:space="preserve"> with their size (</w:t>
      </w:r>
      <w:r w:rsidR="00490D01">
        <w:rPr>
          <w:sz w:val="22"/>
          <w:szCs w:val="22"/>
        </w:rPr>
        <w:t xml:space="preserve">Goodman </w:t>
      </w:r>
      <w:r w:rsidR="002752F8">
        <w:rPr>
          <w:sz w:val="22"/>
          <w:szCs w:val="22"/>
        </w:rPr>
        <w:t>and</w:t>
      </w:r>
      <w:r w:rsidR="00490D01">
        <w:rPr>
          <w:sz w:val="22"/>
          <w:szCs w:val="22"/>
        </w:rPr>
        <w:t xml:space="preserve"> </w:t>
      </w:r>
      <w:r w:rsidR="002752F8">
        <w:rPr>
          <w:sz w:val="22"/>
          <w:szCs w:val="22"/>
        </w:rPr>
        <w:t>Kruskal’s</w:t>
      </w:r>
      <w:r w:rsidR="00490D01">
        <w:rPr>
          <w:sz w:val="22"/>
          <w:szCs w:val="22"/>
        </w:rPr>
        <w:t xml:space="preserve"> Tau</w:t>
      </w:r>
      <w:r w:rsidR="00DF72BC">
        <w:rPr>
          <w:sz w:val="22"/>
          <w:szCs w:val="22"/>
        </w:rPr>
        <w:t xml:space="preserve"> = .</w:t>
      </w:r>
      <w:r w:rsidR="002828E3">
        <w:rPr>
          <w:sz w:val="22"/>
          <w:szCs w:val="22"/>
        </w:rPr>
        <w:t xml:space="preserve">446). It was found that </w:t>
      </w:r>
      <w:r w:rsidR="00490D01">
        <w:rPr>
          <w:sz w:val="22"/>
          <w:szCs w:val="22"/>
        </w:rPr>
        <w:t xml:space="preserve">the larger the TPL provider the more likely it is to be a non asset TPL provider. </w:t>
      </w:r>
    </w:p>
    <w:p w:rsidR="00AD7AA3" w:rsidRDefault="0006658F" w:rsidP="001B5EC4">
      <w:pPr>
        <w:spacing w:line="360" w:lineRule="auto"/>
        <w:jc w:val="both"/>
        <w:rPr>
          <w:sz w:val="22"/>
          <w:szCs w:val="22"/>
        </w:rPr>
      </w:pPr>
      <w:r>
        <w:rPr>
          <w:sz w:val="22"/>
          <w:szCs w:val="22"/>
        </w:rPr>
        <w:t>Let’s go back to the strategic positioning. The position of TPL providers is often described by their general problem solving capabilities on the one hand and their ability to adapt to the customer on the other</w:t>
      </w:r>
      <w:r w:rsidR="0016180B">
        <w:rPr>
          <w:sz w:val="22"/>
          <w:szCs w:val="22"/>
        </w:rPr>
        <w:t xml:space="preserve">. Divided into two dimensions, there are service providers and solution providers. Service providers focus on providing standard services, which can be complex, but that are equal available for each customer. Solution providers take over the entire logistics process of its customer. This forces the solution provider to adapt to specific customer requirements.  This makes solution providers serving </w:t>
      </w:r>
      <w:r w:rsidR="002752F8">
        <w:rPr>
          <w:sz w:val="22"/>
          <w:szCs w:val="22"/>
        </w:rPr>
        <w:t>fewer</w:t>
      </w:r>
      <w:r w:rsidR="0016180B">
        <w:rPr>
          <w:sz w:val="22"/>
          <w:szCs w:val="22"/>
        </w:rPr>
        <w:t xml:space="preserve"> clients and become more dependent on the client. </w:t>
      </w:r>
      <w:r w:rsidR="002752F8">
        <w:rPr>
          <w:sz w:val="22"/>
          <w:szCs w:val="22"/>
        </w:rPr>
        <w:t xml:space="preserve">The percentage breakdown shows that 78% of the respondents consider themselves to be a solution provider.  </w:t>
      </w:r>
      <w:r w:rsidR="0016180B">
        <w:rPr>
          <w:sz w:val="22"/>
          <w:szCs w:val="22"/>
        </w:rPr>
        <w:t xml:space="preserve">This might be explained by the fact that being </w:t>
      </w:r>
      <w:r w:rsidR="002752F8">
        <w:rPr>
          <w:sz w:val="22"/>
          <w:szCs w:val="22"/>
        </w:rPr>
        <w:t>solution providers</w:t>
      </w:r>
      <w:r w:rsidR="0016180B">
        <w:rPr>
          <w:sz w:val="22"/>
          <w:szCs w:val="22"/>
        </w:rPr>
        <w:t xml:space="preserve"> enables providers to be of more strategic importance to their customers, thereby increasing the profit margins involved.</w:t>
      </w:r>
      <w:r w:rsidR="00E5519D">
        <w:rPr>
          <w:sz w:val="22"/>
          <w:szCs w:val="22"/>
        </w:rPr>
        <w:t xml:space="preserve">  Although it seemed obvious to me, there is no consensus among the respondents about the fact that the depth of the customer relationship and the degree of adaption to the customer have a negative impact on the number of customers that can be operated (and vice versa), resulting in </w:t>
      </w:r>
      <w:r w:rsidR="002752F8">
        <w:rPr>
          <w:sz w:val="22"/>
          <w:szCs w:val="22"/>
        </w:rPr>
        <w:t>a</w:t>
      </w:r>
      <w:r w:rsidR="00E5519D">
        <w:rPr>
          <w:sz w:val="22"/>
          <w:szCs w:val="22"/>
        </w:rPr>
        <w:t xml:space="preserve"> median of 3 </w:t>
      </w:r>
      <w:r w:rsidR="002752F8">
        <w:rPr>
          <w:sz w:val="22"/>
          <w:szCs w:val="22"/>
        </w:rPr>
        <w:t>(on</w:t>
      </w:r>
      <w:r w:rsidR="00E5519D">
        <w:rPr>
          <w:sz w:val="22"/>
          <w:szCs w:val="22"/>
        </w:rPr>
        <w:t xml:space="preserve"> a zero to five scale). </w:t>
      </w:r>
    </w:p>
    <w:p w:rsidR="00D02127" w:rsidRDefault="00896069" w:rsidP="001B5EC4">
      <w:pPr>
        <w:spacing w:line="360" w:lineRule="auto"/>
        <w:jc w:val="both"/>
        <w:rPr>
          <w:noProof/>
          <w:sz w:val="22"/>
          <w:szCs w:val="22"/>
        </w:rPr>
      </w:pPr>
      <w:r>
        <w:rPr>
          <w:sz w:val="22"/>
          <w:szCs w:val="22"/>
        </w:rPr>
        <w:t>In chapter 2.8 the division</w:t>
      </w:r>
      <w:r w:rsidR="00CC4577" w:rsidRPr="00CC4577">
        <w:rPr>
          <w:sz w:val="22"/>
          <w:szCs w:val="22"/>
        </w:rPr>
        <w:t xml:space="preserve"> </w:t>
      </w:r>
      <w:r w:rsidR="00CC4577">
        <w:rPr>
          <w:sz w:val="22"/>
          <w:szCs w:val="22"/>
        </w:rPr>
        <w:t xml:space="preserve">by </w:t>
      </w:r>
      <w:r w:rsidR="00CC4577">
        <w:rPr>
          <w:noProof/>
          <w:sz w:val="22"/>
          <w:szCs w:val="22"/>
        </w:rPr>
        <w:t>Hertz &amp; Alfredsson (</w:t>
      </w:r>
      <w:r w:rsidR="00CC4577" w:rsidRPr="00896069">
        <w:rPr>
          <w:noProof/>
          <w:sz w:val="22"/>
          <w:szCs w:val="22"/>
        </w:rPr>
        <w:t>2003)</w:t>
      </w:r>
      <w:r>
        <w:rPr>
          <w:sz w:val="22"/>
          <w:szCs w:val="22"/>
        </w:rPr>
        <w:t xml:space="preserve"> of TPL providers into four classes </w:t>
      </w:r>
      <w:r>
        <w:rPr>
          <w:noProof/>
          <w:sz w:val="22"/>
          <w:szCs w:val="22"/>
        </w:rPr>
        <w:t xml:space="preserve">is </w:t>
      </w:r>
      <w:r w:rsidR="00CC4577">
        <w:rPr>
          <w:noProof/>
          <w:sz w:val="22"/>
          <w:szCs w:val="22"/>
        </w:rPr>
        <w:t>described. Figure 25 shows the current and future (the respondents goal</w:t>
      </w:r>
      <w:r w:rsidR="00322DB9">
        <w:rPr>
          <w:noProof/>
          <w:sz w:val="22"/>
          <w:szCs w:val="22"/>
        </w:rPr>
        <w:t>s</w:t>
      </w:r>
      <w:r w:rsidR="00CC4577">
        <w:rPr>
          <w:noProof/>
          <w:sz w:val="22"/>
          <w:szCs w:val="22"/>
        </w:rPr>
        <w:t xml:space="preserve">) </w:t>
      </w:r>
      <w:r w:rsidR="00DB1678">
        <w:rPr>
          <w:noProof/>
          <w:sz w:val="22"/>
          <w:szCs w:val="22"/>
        </w:rPr>
        <w:t>strategic positioning</w:t>
      </w:r>
      <w:r w:rsidR="00CC4577">
        <w:rPr>
          <w:noProof/>
          <w:sz w:val="22"/>
          <w:szCs w:val="22"/>
        </w:rPr>
        <w:t xml:space="preserve"> of DutchTPL providers. </w:t>
      </w:r>
    </w:p>
    <w:p w:rsidR="00483518" w:rsidRDefault="00BD69D8" w:rsidP="001B5EC4">
      <w:pPr>
        <w:spacing w:line="360" w:lineRule="auto"/>
        <w:jc w:val="both"/>
        <w:rPr>
          <w:noProof/>
          <w:sz w:val="22"/>
          <w:szCs w:val="22"/>
        </w:rPr>
      </w:pPr>
      <w:r w:rsidRPr="00BD69D8">
        <w:rPr>
          <w:noProof/>
          <w:sz w:val="22"/>
          <w:szCs w:val="22"/>
        </w:rPr>
        <w:lastRenderedPageBreak/>
        <w:pict>
          <v:shape id="_x0000_s1064" type="#_x0000_t202" style="position:absolute;left:0;text-align:left;margin-left:345.7pt;margin-top:205.9pt;width:60.7pt;height:36.75pt;z-index:251703296;mso-width-relative:margin;mso-height-relative:margin" stroked="f">
            <v:textbox>
              <w:txbxContent>
                <w:p w:rsidR="002752F8" w:rsidRPr="00F26771" w:rsidRDefault="002752F8">
                  <w:pPr>
                    <w:rPr>
                      <w:color w:val="F79646" w:themeColor="accent6"/>
                      <w:lang w:val="nl-NL"/>
                    </w:rPr>
                  </w:pPr>
                  <w:r w:rsidRPr="00F26771">
                    <w:rPr>
                      <w:color w:val="F79646" w:themeColor="accent6"/>
                      <w:lang w:val="nl-NL"/>
                    </w:rPr>
                    <w:t>Figure 25</w:t>
                  </w:r>
                </w:p>
              </w:txbxContent>
            </v:textbox>
          </v:shape>
        </w:pict>
      </w:r>
      <w:r w:rsidR="00DB1678" w:rsidRPr="00DB1678">
        <w:rPr>
          <w:noProof/>
          <w:sz w:val="22"/>
          <w:szCs w:val="22"/>
          <w:lang w:val="nl-NL" w:eastAsia="nl-NL" w:bidi="ar-SA"/>
        </w:rPr>
        <w:drawing>
          <wp:inline distT="0" distB="0" distL="0" distR="0">
            <wp:extent cx="5267325" cy="3228975"/>
            <wp:effectExtent l="19050" t="0" r="9525" b="0"/>
            <wp:docPr id="23"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333ACF" w:rsidRDefault="00DB1678" w:rsidP="001B5EC4">
      <w:pPr>
        <w:spacing w:line="360" w:lineRule="auto"/>
        <w:jc w:val="both"/>
        <w:rPr>
          <w:noProof/>
          <w:sz w:val="22"/>
          <w:szCs w:val="22"/>
        </w:rPr>
      </w:pPr>
      <w:r>
        <w:rPr>
          <w:noProof/>
          <w:sz w:val="22"/>
          <w:szCs w:val="22"/>
        </w:rPr>
        <w:t xml:space="preserve">As figure 25 clearly shows, although the standard TPL is currently the biggest class, respondents are trying to become more dedicated service providers. This would also better reflect the fact that most TPL providers </w:t>
      </w:r>
      <w:r w:rsidR="00735A89">
        <w:rPr>
          <w:noProof/>
          <w:sz w:val="22"/>
          <w:szCs w:val="22"/>
        </w:rPr>
        <w:t xml:space="preserve">already </w:t>
      </w:r>
      <w:r>
        <w:rPr>
          <w:noProof/>
          <w:sz w:val="22"/>
          <w:szCs w:val="22"/>
        </w:rPr>
        <w:t>see themselves as solution providers: an image</w:t>
      </w:r>
      <w:r w:rsidR="00322DB9">
        <w:rPr>
          <w:noProof/>
          <w:sz w:val="22"/>
          <w:szCs w:val="22"/>
        </w:rPr>
        <w:t xml:space="preserve"> clearly not consistent with the current classification by Hertz &amp; Alfredsson (</w:t>
      </w:r>
      <w:r w:rsidR="00322DB9" w:rsidRPr="00896069">
        <w:rPr>
          <w:noProof/>
          <w:sz w:val="22"/>
          <w:szCs w:val="22"/>
        </w:rPr>
        <w:t>2003)</w:t>
      </w:r>
      <w:r w:rsidR="00322DB9">
        <w:rPr>
          <w:noProof/>
          <w:sz w:val="22"/>
          <w:szCs w:val="22"/>
        </w:rPr>
        <w:t>.</w:t>
      </w:r>
      <w:r w:rsidR="002828E3">
        <w:rPr>
          <w:noProof/>
          <w:sz w:val="22"/>
          <w:szCs w:val="22"/>
        </w:rPr>
        <w:t xml:space="preserve"> Respondents who describe themselves as standard TPL providers and service developers should also described themselves as service providers. But this is not always the case, </w:t>
      </w:r>
      <w:r w:rsidR="00735A89">
        <w:rPr>
          <w:noProof/>
          <w:sz w:val="22"/>
          <w:szCs w:val="22"/>
        </w:rPr>
        <w:t xml:space="preserve">since </w:t>
      </w:r>
      <w:r w:rsidR="002828E3">
        <w:rPr>
          <w:noProof/>
          <w:sz w:val="22"/>
          <w:szCs w:val="22"/>
        </w:rPr>
        <w:t>62% of standard TPL providers and 83% of services developers</w:t>
      </w:r>
      <w:r w:rsidR="00735A89">
        <w:rPr>
          <w:noProof/>
          <w:sz w:val="22"/>
          <w:szCs w:val="22"/>
        </w:rPr>
        <w:t xml:space="preserve"> also described themselves as solution providers. All respondents who described themselve as customer adapter or customer developer said they were solution providers. I found a strong relationship between the basis of the company (asset or non asset based) and the classification of TPL providers by Hertz &amp; Alfredsson ( Cramer’s V = .520). For example, all standard TPL providers </w:t>
      </w:r>
      <w:r w:rsidR="00B902E3">
        <w:rPr>
          <w:noProof/>
          <w:sz w:val="22"/>
          <w:szCs w:val="22"/>
        </w:rPr>
        <w:t>are</w:t>
      </w:r>
      <w:r w:rsidR="00735A89">
        <w:rPr>
          <w:noProof/>
          <w:sz w:val="22"/>
          <w:szCs w:val="22"/>
        </w:rPr>
        <w:t xml:space="preserve"> asset based TPL operators. </w:t>
      </w:r>
      <w:r w:rsidR="00333ACF">
        <w:rPr>
          <w:noProof/>
          <w:sz w:val="22"/>
          <w:szCs w:val="22"/>
        </w:rPr>
        <w:t>Another interesting aspect to investigate is whether or not a TPL providers’ size in number of employees has an influence on the classification of TPL providers by Hertz and Alfredsson (2003). It seems that the mentioned classification is not related to the size of TPL providers (Goodman and Kruskal Tau = .062).</w:t>
      </w:r>
    </w:p>
    <w:p w:rsidR="00333ACF" w:rsidRDefault="00333ACF">
      <w:pPr>
        <w:rPr>
          <w:noProof/>
          <w:sz w:val="22"/>
          <w:szCs w:val="22"/>
        </w:rPr>
      </w:pPr>
      <w:r>
        <w:rPr>
          <w:noProof/>
          <w:sz w:val="22"/>
          <w:szCs w:val="22"/>
        </w:rPr>
        <w:br w:type="page"/>
      </w:r>
    </w:p>
    <w:p w:rsidR="00333ACF" w:rsidRDefault="00333ACF" w:rsidP="001B5EC4">
      <w:pPr>
        <w:spacing w:line="360" w:lineRule="auto"/>
        <w:jc w:val="both"/>
        <w:rPr>
          <w:noProof/>
          <w:sz w:val="22"/>
          <w:szCs w:val="22"/>
        </w:rPr>
      </w:pPr>
      <w:r>
        <w:rPr>
          <w:noProof/>
          <w:sz w:val="22"/>
          <w:szCs w:val="22"/>
        </w:rPr>
        <w:lastRenderedPageBreak/>
        <w:t xml:space="preserve">Table 26 shows </w:t>
      </w:r>
      <w:r w:rsidR="00BF0923">
        <w:rPr>
          <w:noProof/>
          <w:sz w:val="22"/>
          <w:szCs w:val="22"/>
        </w:rPr>
        <w:t xml:space="preserve">how </w:t>
      </w:r>
      <w:r>
        <w:rPr>
          <w:noProof/>
          <w:sz w:val="22"/>
          <w:szCs w:val="22"/>
        </w:rPr>
        <w:t>TPL providers want to develop themselves with respect to strategic positioning</w:t>
      </w:r>
      <w:r w:rsidR="00BF0923">
        <w:rPr>
          <w:noProof/>
          <w:sz w:val="22"/>
          <w:szCs w:val="22"/>
        </w:rPr>
        <w:t xml:space="preserve">. As can be seen from table 26, for example, 39% of all TPL providers who currently describe themselves as being a standard TPL provider have to goal to stay this way in the future.  </w:t>
      </w:r>
      <w:r w:rsidR="006452BC">
        <w:rPr>
          <w:noProof/>
          <w:sz w:val="22"/>
          <w:szCs w:val="22"/>
        </w:rPr>
        <w:t xml:space="preserve">A striking and unexpected result is that 40% of current customer adapters wants to become a service developer in the future. Another striking result is the fact that all customer developers want to remain so.  I guess being a customer developer is pretty rewarding. In general, it is the trend to </w:t>
      </w:r>
      <w:r w:rsidR="00556419">
        <w:rPr>
          <w:noProof/>
          <w:sz w:val="22"/>
          <w:szCs w:val="22"/>
        </w:rPr>
        <w:t xml:space="preserve">wanting to </w:t>
      </w:r>
      <w:r w:rsidR="006452BC">
        <w:rPr>
          <w:noProof/>
          <w:sz w:val="22"/>
          <w:szCs w:val="22"/>
        </w:rPr>
        <w:t xml:space="preserve">become a more dedicated service provider: thereby probably aiming at becoming of more strategic importance for the customer and taking benefit of this situation. </w:t>
      </w:r>
    </w:p>
    <w:tbl>
      <w:tblPr>
        <w:tblStyle w:val="Gemiddeldraster3-accent6"/>
        <w:tblW w:w="0" w:type="auto"/>
        <w:tblLook w:val="04A0"/>
      </w:tblPr>
      <w:tblGrid>
        <w:gridCol w:w="2792"/>
        <w:gridCol w:w="1516"/>
        <w:gridCol w:w="1395"/>
        <w:gridCol w:w="1389"/>
        <w:gridCol w:w="1488"/>
        <w:gridCol w:w="708"/>
      </w:tblGrid>
      <w:tr w:rsidR="00BF0923" w:rsidTr="003F23AF">
        <w:trPr>
          <w:cnfStyle w:val="100000000000"/>
        </w:trPr>
        <w:tc>
          <w:tcPr>
            <w:cnfStyle w:val="001000000000"/>
            <w:tcW w:w="0" w:type="auto"/>
            <w:gridSpan w:val="6"/>
          </w:tcPr>
          <w:p w:rsidR="00BF0923" w:rsidRPr="00BF0923" w:rsidRDefault="00BF0923" w:rsidP="00BF0923">
            <w:pPr>
              <w:spacing w:line="360" w:lineRule="auto"/>
              <w:jc w:val="right"/>
              <w:rPr>
                <w:b w:val="0"/>
                <w:i/>
                <w:noProof/>
                <w:sz w:val="22"/>
                <w:szCs w:val="22"/>
              </w:rPr>
            </w:pPr>
            <w:r w:rsidRPr="00BF0923">
              <w:rPr>
                <w:b w:val="0"/>
                <w:i/>
                <w:noProof/>
                <w:sz w:val="22"/>
                <w:szCs w:val="22"/>
              </w:rPr>
              <w:t>Future situation</w:t>
            </w:r>
          </w:p>
        </w:tc>
      </w:tr>
      <w:tr w:rsidR="006452BC" w:rsidTr="00BF0923">
        <w:trPr>
          <w:cnfStyle w:val="000000100000"/>
        </w:trPr>
        <w:tc>
          <w:tcPr>
            <w:cnfStyle w:val="001000000000"/>
            <w:tcW w:w="0" w:type="auto"/>
          </w:tcPr>
          <w:p w:rsidR="00BF0923" w:rsidRPr="00BF0923" w:rsidRDefault="00BF0923" w:rsidP="006452BC">
            <w:pPr>
              <w:spacing w:line="360" w:lineRule="auto"/>
              <w:rPr>
                <w:noProof/>
                <w:sz w:val="22"/>
                <w:szCs w:val="22"/>
              </w:rPr>
            </w:pPr>
            <w:r w:rsidRPr="00BF0923">
              <w:rPr>
                <w:noProof/>
                <w:sz w:val="22"/>
                <w:szCs w:val="22"/>
              </w:rPr>
              <w:t>Table 26</w:t>
            </w:r>
            <w:r w:rsidR="006452BC">
              <w:rPr>
                <w:noProof/>
                <w:sz w:val="22"/>
                <w:szCs w:val="22"/>
              </w:rPr>
              <w:t xml:space="preserve"> </w:t>
            </w:r>
            <w:r w:rsidRPr="006452BC">
              <w:rPr>
                <w:noProof/>
              </w:rPr>
              <w:t>The path to follow in terms of strategic</w:t>
            </w:r>
            <w:r w:rsidR="006452BC">
              <w:rPr>
                <w:noProof/>
              </w:rPr>
              <w:t xml:space="preserve"> </w:t>
            </w:r>
            <w:r w:rsidRPr="006452BC">
              <w:rPr>
                <w:noProof/>
              </w:rPr>
              <w:t>positioning</w:t>
            </w:r>
          </w:p>
        </w:tc>
        <w:tc>
          <w:tcPr>
            <w:tcW w:w="0" w:type="auto"/>
          </w:tcPr>
          <w:p w:rsidR="00BF0923" w:rsidRDefault="00BF0923" w:rsidP="00BF0923">
            <w:pPr>
              <w:spacing w:line="360" w:lineRule="auto"/>
              <w:jc w:val="center"/>
              <w:cnfStyle w:val="000000100000"/>
              <w:rPr>
                <w:noProof/>
                <w:sz w:val="22"/>
                <w:szCs w:val="22"/>
              </w:rPr>
            </w:pPr>
            <w:r>
              <w:rPr>
                <w:noProof/>
                <w:sz w:val="22"/>
                <w:szCs w:val="22"/>
              </w:rPr>
              <w:t>Standard TPL  provider</w:t>
            </w:r>
          </w:p>
        </w:tc>
        <w:tc>
          <w:tcPr>
            <w:tcW w:w="0" w:type="auto"/>
          </w:tcPr>
          <w:p w:rsidR="00BF0923" w:rsidRDefault="00BF0923" w:rsidP="00BF0923">
            <w:pPr>
              <w:spacing w:line="360" w:lineRule="auto"/>
              <w:jc w:val="center"/>
              <w:cnfStyle w:val="000000100000"/>
              <w:rPr>
                <w:noProof/>
                <w:sz w:val="22"/>
                <w:szCs w:val="22"/>
              </w:rPr>
            </w:pPr>
            <w:r>
              <w:rPr>
                <w:noProof/>
                <w:sz w:val="22"/>
                <w:szCs w:val="22"/>
              </w:rPr>
              <w:t>Service developer</w:t>
            </w:r>
          </w:p>
        </w:tc>
        <w:tc>
          <w:tcPr>
            <w:tcW w:w="0" w:type="auto"/>
          </w:tcPr>
          <w:p w:rsidR="00BF0923" w:rsidRDefault="00BF0923" w:rsidP="00BF0923">
            <w:pPr>
              <w:spacing w:line="360" w:lineRule="auto"/>
              <w:jc w:val="center"/>
              <w:cnfStyle w:val="000000100000"/>
              <w:rPr>
                <w:noProof/>
                <w:sz w:val="22"/>
                <w:szCs w:val="22"/>
              </w:rPr>
            </w:pPr>
            <w:r>
              <w:rPr>
                <w:noProof/>
                <w:sz w:val="22"/>
                <w:szCs w:val="22"/>
              </w:rPr>
              <w:t>Customer adapter</w:t>
            </w:r>
          </w:p>
        </w:tc>
        <w:tc>
          <w:tcPr>
            <w:tcW w:w="0" w:type="auto"/>
          </w:tcPr>
          <w:p w:rsidR="00BF0923" w:rsidRDefault="00BF0923" w:rsidP="00BF0923">
            <w:pPr>
              <w:spacing w:line="360" w:lineRule="auto"/>
              <w:jc w:val="center"/>
              <w:cnfStyle w:val="000000100000"/>
              <w:rPr>
                <w:noProof/>
                <w:sz w:val="22"/>
                <w:szCs w:val="22"/>
              </w:rPr>
            </w:pPr>
            <w:r>
              <w:rPr>
                <w:noProof/>
                <w:sz w:val="22"/>
                <w:szCs w:val="22"/>
              </w:rPr>
              <w:t>Customer developer</w:t>
            </w:r>
          </w:p>
        </w:tc>
        <w:tc>
          <w:tcPr>
            <w:tcW w:w="0" w:type="auto"/>
          </w:tcPr>
          <w:p w:rsidR="00BF0923" w:rsidRDefault="00BF0923" w:rsidP="00BF0923">
            <w:pPr>
              <w:spacing w:line="360" w:lineRule="auto"/>
              <w:jc w:val="center"/>
              <w:cnfStyle w:val="000000100000"/>
              <w:rPr>
                <w:noProof/>
                <w:sz w:val="22"/>
                <w:szCs w:val="22"/>
              </w:rPr>
            </w:pPr>
            <w:r>
              <w:rPr>
                <w:noProof/>
                <w:sz w:val="22"/>
                <w:szCs w:val="22"/>
              </w:rPr>
              <w:t>Total</w:t>
            </w:r>
          </w:p>
        </w:tc>
      </w:tr>
      <w:tr w:rsidR="006452BC" w:rsidTr="00BF0923">
        <w:tc>
          <w:tcPr>
            <w:cnfStyle w:val="001000000000"/>
            <w:tcW w:w="0" w:type="auto"/>
          </w:tcPr>
          <w:p w:rsidR="00BF0923" w:rsidRDefault="00BF0923" w:rsidP="00BF0923">
            <w:pPr>
              <w:spacing w:line="360" w:lineRule="auto"/>
              <w:jc w:val="center"/>
              <w:rPr>
                <w:noProof/>
                <w:sz w:val="22"/>
                <w:szCs w:val="22"/>
              </w:rPr>
            </w:pPr>
            <w:r>
              <w:rPr>
                <w:noProof/>
                <w:sz w:val="22"/>
                <w:szCs w:val="22"/>
              </w:rPr>
              <w:t>Standard TPL  provider</w:t>
            </w:r>
          </w:p>
        </w:tc>
        <w:tc>
          <w:tcPr>
            <w:tcW w:w="0" w:type="auto"/>
          </w:tcPr>
          <w:p w:rsidR="00BF0923" w:rsidRDefault="00BF0923" w:rsidP="00BF0923">
            <w:pPr>
              <w:spacing w:line="360" w:lineRule="auto"/>
              <w:jc w:val="center"/>
              <w:cnfStyle w:val="000000000000"/>
              <w:rPr>
                <w:noProof/>
                <w:sz w:val="22"/>
                <w:szCs w:val="22"/>
              </w:rPr>
            </w:pPr>
            <w:r>
              <w:rPr>
                <w:noProof/>
                <w:sz w:val="22"/>
                <w:szCs w:val="22"/>
              </w:rPr>
              <w:t>39%</w:t>
            </w:r>
          </w:p>
        </w:tc>
        <w:tc>
          <w:tcPr>
            <w:tcW w:w="0" w:type="auto"/>
          </w:tcPr>
          <w:p w:rsidR="00BF0923" w:rsidRDefault="00BF0923" w:rsidP="00BF0923">
            <w:pPr>
              <w:spacing w:line="360" w:lineRule="auto"/>
              <w:jc w:val="center"/>
              <w:cnfStyle w:val="000000000000"/>
              <w:rPr>
                <w:noProof/>
                <w:sz w:val="22"/>
                <w:szCs w:val="22"/>
              </w:rPr>
            </w:pPr>
            <w:r>
              <w:rPr>
                <w:noProof/>
                <w:sz w:val="22"/>
                <w:szCs w:val="22"/>
              </w:rPr>
              <w:t>23%</w:t>
            </w:r>
          </w:p>
        </w:tc>
        <w:tc>
          <w:tcPr>
            <w:tcW w:w="0" w:type="auto"/>
          </w:tcPr>
          <w:p w:rsidR="00BF0923" w:rsidRDefault="00BF0923" w:rsidP="00BF0923">
            <w:pPr>
              <w:spacing w:line="360" w:lineRule="auto"/>
              <w:jc w:val="center"/>
              <w:cnfStyle w:val="000000000000"/>
              <w:rPr>
                <w:noProof/>
                <w:sz w:val="22"/>
                <w:szCs w:val="22"/>
              </w:rPr>
            </w:pPr>
            <w:r>
              <w:rPr>
                <w:noProof/>
                <w:sz w:val="22"/>
                <w:szCs w:val="22"/>
              </w:rPr>
              <w:t>15%</w:t>
            </w:r>
          </w:p>
        </w:tc>
        <w:tc>
          <w:tcPr>
            <w:tcW w:w="0" w:type="auto"/>
          </w:tcPr>
          <w:p w:rsidR="00BF0923" w:rsidRDefault="00BF0923" w:rsidP="00BF0923">
            <w:pPr>
              <w:spacing w:line="360" w:lineRule="auto"/>
              <w:jc w:val="center"/>
              <w:cnfStyle w:val="000000000000"/>
              <w:rPr>
                <w:noProof/>
                <w:sz w:val="22"/>
                <w:szCs w:val="22"/>
              </w:rPr>
            </w:pPr>
            <w:r>
              <w:rPr>
                <w:noProof/>
                <w:sz w:val="22"/>
                <w:szCs w:val="22"/>
              </w:rPr>
              <w:t>23%</w:t>
            </w:r>
          </w:p>
        </w:tc>
        <w:tc>
          <w:tcPr>
            <w:tcW w:w="0" w:type="auto"/>
          </w:tcPr>
          <w:p w:rsidR="00BF0923" w:rsidRDefault="00BF0923" w:rsidP="00BF0923">
            <w:pPr>
              <w:spacing w:line="360" w:lineRule="auto"/>
              <w:jc w:val="center"/>
              <w:cnfStyle w:val="000000000000"/>
              <w:rPr>
                <w:noProof/>
                <w:sz w:val="22"/>
                <w:szCs w:val="22"/>
              </w:rPr>
            </w:pPr>
            <w:r>
              <w:rPr>
                <w:noProof/>
                <w:sz w:val="22"/>
                <w:szCs w:val="22"/>
              </w:rPr>
              <w:t>100%</w:t>
            </w:r>
          </w:p>
        </w:tc>
      </w:tr>
      <w:tr w:rsidR="006452BC" w:rsidTr="00BF0923">
        <w:trPr>
          <w:cnfStyle w:val="000000100000"/>
        </w:trPr>
        <w:tc>
          <w:tcPr>
            <w:cnfStyle w:val="001000000000"/>
            <w:tcW w:w="0" w:type="auto"/>
          </w:tcPr>
          <w:p w:rsidR="00BF0923" w:rsidRDefault="00BF0923" w:rsidP="00BF0923">
            <w:pPr>
              <w:spacing w:line="360" w:lineRule="auto"/>
              <w:jc w:val="center"/>
              <w:rPr>
                <w:noProof/>
                <w:sz w:val="22"/>
                <w:szCs w:val="22"/>
              </w:rPr>
            </w:pPr>
            <w:r>
              <w:rPr>
                <w:noProof/>
                <w:sz w:val="22"/>
                <w:szCs w:val="22"/>
              </w:rPr>
              <w:t>Service developer</w:t>
            </w:r>
          </w:p>
        </w:tc>
        <w:tc>
          <w:tcPr>
            <w:tcW w:w="0" w:type="auto"/>
          </w:tcPr>
          <w:p w:rsidR="00BF0923" w:rsidRDefault="00BF0923" w:rsidP="00BF0923">
            <w:pPr>
              <w:spacing w:line="360" w:lineRule="auto"/>
              <w:jc w:val="center"/>
              <w:cnfStyle w:val="000000100000"/>
              <w:rPr>
                <w:noProof/>
                <w:sz w:val="22"/>
                <w:szCs w:val="22"/>
              </w:rPr>
            </w:pPr>
            <w:r>
              <w:rPr>
                <w:noProof/>
                <w:sz w:val="22"/>
                <w:szCs w:val="22"/>
              </w:rPr>
              <w:t>-</w:t>
            </w:r>
          </w:p>
        </w:tc>
        <w:tc>
          <w:tcPr>
            <w:tcW w:w="0" w:type="auto"/>
          </w:tcPr>
          <w:p w:rsidR="00BF0923" w:rsidRDefault="00BF0923" w:rsidP="00BF0923">
            <w:pPr>
              <w:spacing w:line="360" w:lineRule="auto"/>
              <w:jc w:val="center"/>
              <w:cnfStyle w:val="000000100000"/>
              <w:rPr>
                <w:noProof/>
                <w:sz w:val="22"/>
                <w:szCs w:val="22"/>
              </w:rPr>
            </w:pPr>
            <w:r>
              <w:rPr>
                <w:noProof/>
                <w:sz w:val="22"/>
                <w:szCs w:val="22"/>
              </w:rPr>
              <w:t>33%</w:t>
            </w:r>
          </w:p>
        </w:tc>
        <w:tc>
          <w:tcPr>
            <w:tcW w:w="0" w:type="auto"/>
          </w:tcPr>
          <w:p w:rsidR="00BF0923" w:rsidRDefault="00BF0923" w:rsidP="00BF0923">
            <w:pPr>
              <w:spacing w:line="360" w:lineRule="auto"/>
              <w:jc w:val="center"/>
              <w:cnfStyle w:val="000000100000"/>
              <w:rPr>
                <w:noProof/>
                <w:sz w:val="22"/>
                <w:szCs w:val="22"/>
              </w:rPr>
            </w:pPr>
            <w:r>
              <w:rPr>
                <w:noProof/>
                <w:sz w:val="22"/>
                <w:szCs w:val="22"/>
              </w:rPr>
              <w:t>50%</w:t>
            </w:r>
          </w:p>
        </w:tc>
        <w:tc>
          <w:tcPr>
            <w:tcW w:w="0" w:type="auto"/>
          </w:tcPr>
          <w:p w:rsidR="00BF0923" w:rsidRDefault="00BF0923" w:rsidP="00BF0923">
            <w:pPr>
              <w:spacing w:line="360" w:lineRule="auto"/>
              <w:jc w:val="center"/>
              <w:cnfStyle w:val="000000100000"/>
              <w:rPr>
                <w:noProof/>
                <w:sz w:val="22"/>
                <w:szCs w:val="22"/>
              </w:rPr>
            </w:pPr>
            <w:r>
              <w:rPr>
                <w:noProof/>
                <w:sz w:val="22"/>
                <w:szCs w:val="22"/>
              </w:rPr>
              <w:t>17%</w:t>
            </w:r>
          </w:p>
        </w:tc>
        <w:tc>
          <w:tcPr>
            <w:tcW w:w="0" w:type="auto"/>
          </w:tcPr>
          <w:p w:rsidR="00BF0923" w:rsidRDefault="00BF0923" w:rsidP="00BF0923">
            <w:pPr>
              <w:spacing w:line="360" w:lineRule="auto"/>
              <w:jc w:val="center"/>
              <w:cnfStyle w:val="000000100000"/>
              <w:rPr>
                <w:noProof/>
                <w:sz w:val="22"/>
                <w:szCs w:val="22"/>
              </w:rPr>
            </w:pPr>
            <w:r>
              <w:rPr>
                <w:noProof/>
                <w:sz w:val="22"/>
                <w:szCs w:val="22"/>
              </w:rPr>
              <w:t>100%</w:t>
            </w:r>
          </w:p>
        </w:tc>
      </w:tr>
      <w:tr w:rsidR="006452BC" w:rsidTr="00BF0923">
        <w:tc>
          <w:tcPr>
            <w:cnfStyle w:val="001000000000"/>
            <w:tcW w:w="0" w:type="auto"/>
          </w:tcPr>
          <w:p w:rsidR="00BF0923" w:rsidRDefault="00BF0923" w:rsidP="00BF0923">
            <w:pPr>
              <w:spacing w:line="360" w:lineRule="auto"/>
              <w:jc w:val="center"/>
              <w:rPr>
                <w:noProof/>
                <w:sz w:val="22"/>
                <w:szCs w:val="22"/>
              </w:rPr>
            </w:pPr>
            <w:r>
              <w:rPr>
                <w:noProof/>
                <w:sz w:val="22"/>
                <w:szCs w:val="22"/>
              </w:rPr>
              <w:t>Customer adapter</w:t>
            </w:r>
          </w:p>
        </w:tc>
        <w:tc>
          <w:tcPr>
            <w:tcW w:w="0" w:type="auto"/>
          </w:tcPr>
          <w:p w:rsidR="00BF0923" w:rsidRDefault="00BF0923" w:rsidP="00BF0923">
            <w:pPr>
              <w:spacing w:line="360" w:lineRule="auto"/>
              <w:jc w:val="center"/>
              <w:cnfStyle w:val="000000000000"/>
              <w:rPr>
                <w:noProof/>
                <w:sz w:val="22"/>
                <w:szCs w:val="22"/>
              </w:rPr>
            </w:pPr>
            <w:r>
              <w:rPr>
                <w:noProof/>
                <w:sz w:val="22"/>
                <w:szCs w:val="22"/>
              </w:rPr>
              <w:t>-</w:t>
            </w:r>
          </w:p>
        </w:tc>
        <w:tc>
          <w:tcPr>
            <w:tcW w:w="0" w:type="auto"/>
          </w:tcPr>
          <w:p w:rsidR="00BF0923" w:rsidRDefault="00BF0923" w:rsidP="00BF0923">
            <w:pPr>
              <w:spacing w:line="360" w:lineRule="auto"/>
              <w:jc w:val="center"/>
              <w:cnfStyle w:val="000000000000"/>
              <w:rPr>
                <w:noProof/>
                <w:sz w:val="22"/>
                <w:szCs w:val="22"/>
              </w:rPr>
            </w:pPr>
            <w:r>
              <w:rPr>
                <w:noProof/>
                <w:sz w:val="22"/>
                <w:szCs w:val="22"/>
              </w:rPr>
              <w:t>40%</w:t>
            </w:r>
          </w:p>
        </w:tc>
        <w:tc>
          <w:tcPr>
            <w:tcW w:w="0" w:type="auto"/>
          </w:tcPr>
          <w:p w:rsidR="00BF0923" w:rsidRDefault="00BF0923" w:rsidP="00BF0923">
            <w:pPr>
              <w:spacing w:line="360" w:lineRule="auto"/>
              <w:jc w:val="center"/>
              <w:cnfStyle w:val="000000000000"/>
              <w:rPr>
                <w:noProof/>
                <w:sz w:val="22"/>
                <w:szCs w:val="22"/>
              </w:rPr>
            </w:pPr>
            <w:r>
              <w:rPr>
                <w:noProof/>
                <w:sz w:val="22"/>
                <w:szCs w:val="22"/>
              </w:rPr>
              <w:t>40%</w:t>
            </w:r>
          </w:p>
        </w:tc>
        <w:tc>
          <w:tcPr>
            <w:tcW w:w="0" w:type="auto"/>
          </w:tcPr>
          <w:p w:rsidR="00BF0923" w:rsidRDefault="00BF0923" w:rsidP="00BF0923">
            <w:pPr>
              <w:spacing w:line="360" w:lineRule="auto"/>
              <w:jc w:val="center"/>
              <w:cnfStyle w:val="000000000000"/>
              <w:rPr>
                <w:noProof/>
                <w:sz w:val="22"/>
                <w:szCs w:val="22"/>
              </w:rPr>
            </w:pPr>
            <w:r>
              <w:rPr>
                <w:noProof/>
                <w:sz w:val="22"/>
                <w:szCs w:val="22"/>
              </w:rPr>
              <w:t>20%</w:t>
            </w:r>
          </w:p>
        </w:tc>
        <w:tc>
          <w:tcPr>
            <w:tcW w:w="0" w:type="auto"/>
          </w:tcPr>
          <w:p w:rsidR="00BF0923" w:rsidRDefault="00BF0923" w:rsidP="00BF0923">
            <w:pPr>
              <w:spacing w:line="360" w:lineRule="auto"/>
              <w:jc w:val="center"/>
              <w:cnfStyle w:val="000000000000"/>
              <w:rPr>
                <w:noProof/>
                <w:sz w:val="22"/>
                <w:szCs w:val="22"/>
              </w:rPr>
            </w:pPr>
            <w:r>
              <w:rPr>
                <w:noProof/>
                <w:sz w:val="22"/>
                <w:szCs w:val="22"/>
              </w:rPr>
              <w:t>100%</w:t>
            </w:r>
          </w:p>
        </w:tc>
      </w:tr>
      <w:tr w:rsidR="006452BC" w:rsidTr="00BF0923">
        <w:trPr>
          <w:cnfStyle w:val="000000100000"/>
        </w:trPr>
        <w:tc>
          <w:tcPr>
            <w:cnfStyle w:val="001000000000"/>
            <w:tcW w:w="0" w:type="auto"/>
          </w:tcPr>
          <w:p w:rsidR="00BF0923" w:rsidRDefault="00BF0923" w:rsidP="00BF0923">
            <w:pPr>
              <w:spacing w:line="360" w:lineRule="auto"/>
              <w:jc w:val="center"/>
              <w:rPr>
                <w:noProof/>
                <w:sz w:val="22"/>
                <w:szCs w:val="22"/>
              </w:rPr>
            </w:pPr>
            <w:r>
              <w:rPr>
                <w:noProof/>
                <w:sz w:val="22"/>
                <w:szCs w:val="22"/>
              </w:rPr>
              <w:t>Customer developer</w:t>
            </w:r>
          </w:p>
        </w:tc>
        <w:tc>
          <w:tcPr>
            <w:tcW w:w="0" w:type="auto"/>
          </w:tcPr>
          <w:p w:rsidR="00BF0923" w:rsidRDefault="00BF0923" w:rsidP="00BF0923">
            <w:pPr>
              <w:spacing w:line="360" w:lineRule="auto"/>
              <w:jc w:val="center"/>
              <w:cnfStyle w:val="000000100000"/>
              <w:rPr>
                <w:noProof/>
                <w:sz w:val="22"/>
                <w:szCs w:val="22"/>
              </w:rPr>
            </w:pPr>
            <w:r>
              <w:rPr>
                <w:noProof/>
                <w:sz w:val="22"/>
                <w:szCs w:val="22"/>
              </w:rPr>
              <w:t>-</w:t>
            </w:r>
          </w:p>
        </w:tc>
        <w:tc>
          <w:tcPr>
            <w:tcW w:w="0" w:type="auto"/>
          </w:tcPr>
          <w:p w:rsidR="00BF0923" w:rsidRDefault="00BF0923" w:rsidP="00BF0923">
            <w:pPr>
              <w:spacing w:line="360" w:lineRule="auto"/>
              <w:jc w:val="center"/>
              <w:cnfStyle w:val="000000100000"/>
              <w:rPr>
                <w:noProof/>
                <w:sz w:val="22"/>
                <w:szCs w:val="22"/>
              </w:rPr>
            </w:pPr>
            <w:r>
              <w:rPr>
                <w:noProof/>
                <w:sz w:val="22"/>
                <w:szCs w:val="22"/>
              </w:rPr>
              <w:t>-</w:t>
            </w:r>
          </w:p>
        </w:tc>
        <w:tc>
          <w:tcPr>
            <w:tcW w:w="0" w:type="auto"/>
          </w:tcPr>
          <w:p w:rsidR="00BF0923" w:rsidRDefault="00BF0923" w:rsidP="00BF0923">
            <w:pPr>
              <w:spacing w:line="360" w:lineRule="auto"/>
              <w:jc w:val="center"/>
              <w:cnfStyle w:val="000000100000"/>
              <w:rPr>
                <w:noProof/>
                <w:sz w:val="22"/>
                <w:szCs w:val="22"/>
              </w:rPr>
            </w:pPr>
            <w:r>
              <w:rPr>
                <w:noProof/>
                <w:sz w:val="22"/>
                <w:szCs w:val="22"/>
              </w:rPr>
              <w:t>-</w:t>
            </w:r>
          </w:p>
        </w:tc>
        <w:tc>
          <w:tcPr>
            <w:tcW w:w="0" w:type="auto"/>
          </w:tcPr>
          <w:p w:rsidR="00BF0923" w:rsidRDefault="00BF0923" w:rsidP="00BF0923">
            <w:pPr>
              <w:spacing w:line="360" w:lineRule="auto"/>
              <w:jc w:val="center"/>
              <w:cnfStyle w:val="000000100000"/>
              <w:rPr>
                <w:noProof/>
                <w:sz w:val="22"/>
                <w:szCs w:val="22"/>
              </w:rPr>
            </w:pPr>
            <w:r>
              <w:rPr>
                <w:noProof/>
                <w:sz w:val="22"/>
                <w:szCs w:val="22"/>
              </w:rPr>
              <w:t>100%</w:t>
            </w:r>
          </w:p>
        </w:tc>
        <w:tc>
          <w:tcPr>
            <w:tcW w:w="0" w:type="auto"/>
          </w:tcPr>
          <w:p w:rsidR="00BF0923" w:rsidRDefault="00BF0923" w:rsidP="00BF0923">
            <w:pPr>
              <w:spacing w:line="360" w:lineRule="auto"/>
              <w:jc w:val="center"/>
              <w:cnfStyle w:val="000000100000"/>
              <w:rPr>
                <w:noProof/>
                <w:sz w:val="22"/>
                <w:szCs w:val="22"/>
              </w:rPr>
            </w:pPr>
            <w:r>
              <w:rPr>
                <w:noProof/>
                <w:sz w:val="22"/>
                <w:szCs w:val="22"/>
              </w:rPr>
              <w:t>100%</w:t>
            </w:r>
          </w:p>
        </w:tc>
      </w:tr>
      <w:tr w:rsidR="00BF0923" w:rsidTr="003F23AF">
        <w:tc>
          <w:tcPr>
            <w:cnfStyle w:val="001000000000"/>
            <w:tcW w:w="0" w:type="auto"/>
            <w:gridSpan w:val="6"/>
          </w:tcPr>
          <w:p w:rsidR="00BF0923" w:rsidRPr="00BF0923" w:rsidRDefault="00BF0923" w:rsidP="001B5EC4">
            <w:pPr>
              <w:spacing w:line="360" w:lineRule="auto"/>
              <w:jc w:val="both"/>
              <w:rPr>
                <w:b w:val="0"/>
                <w:i/>
                <w:noProof/>
                <w:sz w:val="22"/>
                <w:szCs w:val="22"/>
              </w:rPr>
            </w:pPr>
            <w:r w:rsidRPr="00BF0923">
              <w:rPr>
                <w:b w:val="0"/>
                <w:i/>
                <w:noProof/>
                <w:sz w:val="22"/>
                <w:szCs w:val="22"/>
              </w:rPr>
              <w:t>Current situation</w:t>
            </w:r>
          </w:p>
        </w:tc>
      </w:tr>
    </w:tbl>
    <w:p w:rsidR="00B902E3" w:rsidRDefault="00B902E3" w:rsidP="001B5EC4">
      <w:pPr>
        <w:spacing w:line="360" w:lineRule="auto"/>
        <w:jc w:val="both"/>
        <w:rPr>
          <w:noProof/>
          <w:sz w:val="22"/>
          <w:szCs w:val="22"/>
        </w:rPr>
      </w:pPr>
    </w:p>
    <w:p w:rsidR="003911A0" w:rsidRDefault="003911A0" w:rsidP="00BF0923">
      <w:pPr>
        <w:spacing w:line="360" w:lineRule="auto"/>
        <w:jc w:val="right"/>
        <w:rPr>
          <w:noProof/>
          <w:sz w:val="22"/>
          <w:szCs w:val="22"/>
        </w:rPr>
      </w:pPr>
    </w:p>
    <w:p w:rsidR="003911A0" w:rsidRDefault="003911A0" w:rsidP="001B5EC4">
      <w:pPr>
        <w:spacing w:line="360" w:lineRule="auto"/>
        <w:jc w:val="both"/>
        <w:rPr>
          <w:noProof/>
          <w:sz w:val="22"/>
          <w:szCs w:val="22"/>
        </w:rPr>
      </w:pPr>
    </w:p>
    <w:p w:rsidR="003911A0" w:rsidRDefault="003911A0" w:rsidP="001B5EC4">
      <w:pPr>
        <w:spacing w:line="360" w:lineRule="auto"/>
        <w:jc w:val="both"/>
        <w:rPr>
          <w:noProof/>
          <w:sz w:val="22"/>
          <w:szCs w:val="22"/>
        </w:rPr>
      </w:pPr>
    </w:p>
    <w:p w:rsidR="003911A0" w:rsidRDefault="003911A0" w:rsidP="001B5EC4">
      <w:pPr>
        <w:spacing w:line="360" w:lineRule="auto"/>
        <w:jc w:val="both"/>
        <w:rPr>
          <w:noProof/>
          <w:sz w:val="22"/>
          <w:szCs w:val="22"/>
        </w:rPr>
      </w:pPr>
    </w:p>
    <w:p w:rsidR="003911A0" w:rsidRDefault="003911A0" w:rsidP="001B5EC4">
      <w:pPr>
        <w:spacing w:line="360" w:lineRule="auto"/>
        <w:jc w:val="both"/>
        <w:rPr>
          <w:noProof/>
          <w:sz w:val="22"/>
          <w:szCs w:val="22"/>
        </w:rPr>
      </w:pPr>
    </w:p>
    <w:p w:rsidR="003911A0" w:rsidRDefault="003911A0" w:rsidP="001B5EC4">
      <w:pPr>
        <w:spacing w:line="360" w:lineRule="auto"/>
        <w:jc w:val="both"/>
        <w:rPr>
          <w:noProof/>
          <w:sz w:val="22"/>
          <w:szCs w:val="22"/>
        </w:rPr>
      </w:pPr>
    </w:p>
    <w:p w:rsidR="003911A0" w:rsidRDefault="003911A0" w:rsidP="001B5EC4">
      <w:pPr>
        <w:spacing w:line="360" w:lineRule="auto"/>
        <w:jc w:val="both"/>
        <w:rPr>
          <w:noProof/>
          <w:sz w:val="22"/>
          <w:szCs w:val="22"/>
        </w:rPr>
      </w:pPr>
    </w:p>
    <w:p w:rsidR="003911A0" w:rsidRDefault="003911A0" w:rsidP="001B5EC4">
      <w:pPr>
        <w:spacing w:line="360" w:lineRule="auto"/>
        <w:jc w:val="both"/>
        <w:rPr>
          <w:noProof/>
          <w:sz w:val="22"/>
          <w:szCs w:val="22"/>
        </w:rPr>
      </w:pPr>
    </w:p>
    <w:p w:rsidR="003911A0" w:rsidRDefault="003911A0" w:rsidP="001B5EC4">
      <w:pPr>
        <w:spacing w:line="360" w:lineRule="auto"/>
        <w:jc w:val="both"/>
        <w:rPr>
          <w:noProof/>
          <w:sz w:val="22"/>
          <w:szCs w:val="22"/>
        </w:rPr>
      </w:pPr>
    </w:p>
    <w:p w:rsidR="003911A0" w:rsidRDefault="007547D9" w:rsidP="007547D9">
      <w:pPr>
        <w:rPr>
          <w:noProof/>
          <w:sz w:val="22"/>
          <w:szCs w:val="22"/>
        </w:rPr>
      </w:pPr>
      <w:r>
        <w:rPr>
          <w:noProof/>
          <w:sz w:val="22"/>
          <w:szCs w:val="22"/>
        </w:rPr>
        <w:br w:type="page"/>
      </w:r>
    </w:p>
    <w:p w:rsidR="00873EB4" w:rsidRPr="00873EB4" w:rsidRDefault="00483518" w:rsidP="00483518">
      <w:pPr>
        <w:pStyle w:val="Kop2"/>
        <w:numPr>
          <w:ilvl w:val="1"/>
          <w:numId w:val="13"/>
        </w:numPr>
        <w:rPr>
          <w:rFonts w:asciiTheme="majorHAnsi" w:hAnsiTheme="majorHAnsi"/>
        </w:rPr>
      </w:pPr>
      <w:bookmarkStart w:id="34" w:name="_Toc300412007"/>
      <w:r w:rsidRPr="000A65D6">
        <w:rPr>
          <w:rFonts w:asciiTheme="majorHAnsi" w:hAnsiTheme="majorHAnsi"/>
        </w:rPr>
        <w:lastRenderedPageBreak/>
        <w:t>Environmental awareness in the Dutch TPL industry</w:t>
      </w:r>
      <w:bookmarkEnd w:id="34"/>
    </w:p>
    <w:p w:rsidR="00E066FD" w:rsidRPr="00E066FD" w:rsidRDefault="00873EB4" w:rsidP="00873EB4">
      <w:pPr>
        <w:spacing w:line="360" w:lineRule="auto"/>
        <w:jc w:val="both"/>
        <w:rPr>
          <w:sz w:val="22"/>
          <w:szCs w:val="22"/>
        </w:rPr>
      </w:pPr>
      <w:r w:rsidRPr="00E066FD">
        <w:rPr>
          <w:sz w:val="22"/>
          <w:szCs w:val="22"/>
        </w:rPr>
        <w:t xml:space="preserve">While this paper is about TPL providers’ relationship with their customers, there aim to become of more strategic importance for their customers and the diversification of offered services and thus a changing role in the supply chain, environmental awareness in the Dutch TPL industry seems to be a stand-alone section of the paper. At first, this was true. But while developing the questionnaire I was noticed by my supervisor that I had to keep in mind my research question and the way </w:t>
      </w:r>
      <w:r w:rsidR="00D0655D">
        <w:rPr>
          <w:sz w:val="22"/>
          <w:szCs w:val="22"/>
        </w:rPr>
        <w:t xml:space="preserve">this </w:t>
      </w:r>
      <w:r w:rsidRPr="00E066FD">
        <w:rPr>
          <w:sz w:val="22"/>
          <w:szCs w:val="22"/>
        </w:rPr>
        <w:t>sub question support</w:t>
      </w:r>
      <w:r w:rsidR="00D0655D">
        <w:rPr>
          <w:sz w:val="22"/>
          <w:szCs w:val="22"/>
        </w:rPr>
        <w:t>s</w:t>
      </w:r>
      <w:r w:rsidRPr="00E066FD">
        <w:rPr>
          <w:sz w:val="22"/>
          <w:szCs w:val="22"/>
        </w:rPr>
        <w:t xml:space="preserve"> it. The reason for not deleting this chapter is the following: offering environmental services is also a way of diversifying services, attracting and retaining (stronger) customer relationships and</w:t>
      </w:r>
      <w:r w:rsidR="00E066FD" w:rsidRPr="00E066FD">
        <w:rPr>
          <w:sz w:val="22"/>
          <w:szCs w:val="22"/>
        </w:rPr>
        <w:t xml:space="preserve"> thus making your service less commoditized. </w:t>
      </w:r>
      <w:r w:rsidRPr="00E066FD">
        <w:rPr>
          <w:sz w:val="22"/>
          <w:szCs w:val="22"/>
        </w:rPr>
        <w:t xml:space="preserve"> </w:t>
      </w:r>
    </w:p>
    <w:p w:rsidR="00483518" w:rsidRPr="00E066FD" w:rsidRDefault="00E066FD" w:rsidP="00873EB4">
      <w:pPr>
        <w:spacing w:line="360" w:lineRule="auto"/>
        <w:jc w:val="both"/>
        <w:rPr>
          <w:sz w:val="22"/>
          <w:szCs w:val="22"/>
        </w:rPr>
      </w:pPr>
      <w:r w:rsidRPr="00E066FD">
        <w:rPr>
          <w:sz w:val="22"/>
          <w:szCs w:val="22"/>
        </w:rPr>
        <w:t>When the respondents were asked about the importance of environmental and durable</w:t>
      </w:r>
      <w:r>
        <w:rPr>
          <w:sz w:val="22"/>
          <w:szCs w:val="22"/>
        </w:rPr>
        <w:t xml:space="preserve"> issues when entering into new contracts or for the transfer of current contracts, 44% of all providers agreed with this being important (median = 3). The average percentage of contract</w:t>
      </w:r>
      <w:r w:rsidR="007D0F6A">
        <w:rPr>
          <w:sz w:val="22"/>
          <w:szCs w:val="22"/>
        </w:rPr>
        <w:t>s</w:t>
      </w:r>
      <w:r>
        <w:rPr>
          <w:sz w:val="22"/>
          <w:szCs w:val="22"/>
        </w:rPr>
        <w:t xml:space="preserve"> containing environmental friendly and durable agreements is 24% (mode = 10%). This is </w:t>
      </w:r>
      <w:r w:rsidR="00341B92">
        <w:rPr>
          <w:sz w:val="22"/>
          <w:szCs w:val="22"/>
        </w:rPr>
        <w:t>considerably higher</w:t>
      </w:r>
      <w:r>
        <w:rPr>
          <w:sz w:val="22"/>
          <w:szCs w:val="22"/>
        </w:rPr>
        <w:t xml:space="preserve"> than I expected. </w:t>
      </w:r>
      <w:r w:rsidR="007D0F6A">
        <w:rPr>
          <w:sz w:val="22"/>
          <w:szCs w:val="22"/>
        </w:rPr>
        <w:t>The average percentage of contracts containing environmental friendly and durable agreements is reasonably positively relation to the size of the customer in number of personnel (</w:t>
      </w:r>
      <w:r w:rsidR="002752F8">
        <w:rPr>
          <w:sz w:val="22"/>
          <w:szCs w:val="22"/>
        </w:rPr>
        <w:t>Somers’d</w:t>
      </w:r>
      <w:r w:rsidR="007D0F6A">
        <w:rPr>
          <w:sz w:val="22"/>
          <w:szCs w:val="22"/>
        </w:rPr>
        <w:t xml:space="preserve"> = .313). So it seems that bigger clients put more emphasize on </w:t>
      </w:r>
      <w:r w:rsidR="004C1942">
        <w:rPr>
          <w:sz w:val="22"/>
          <w:szCs w:val="22"/>
        </w:rPr>
        <w:t xml:space="preserve">doing </w:t>
      </w:r>
      <w:r w:rsidR="007D0F6A">
        <w:rPr>
          <w:sz w:val="22"/>
          <w:szCs w:val="22"/>
        </w:rPr>
        <w:t>environmental friendly</w:t>
      </w:r>
      <w:r w:rsidR="004C1942">
        <w:rPr>
          <w:sz w:val="22"/>
          <w:szCs w:val="22"/>
        </w:rPr>
        <w:t xml:space="preserve"> business. Besides that, the average percentage of contracts containing environmental friendly and durable agreements is strongly positively related to statement about </w:t>
      </w:r>
      <w:r w:rsidR="004C1942" w:rsidRPr="00E066FD">
        <w:rPr>
          <w:sz w:val="22"/>
          <w:szCs w:val="22"/>
        </w:rPr>
        <w:t>the importance of environmental and durable</w:t>
      </w:r>
      <w:r w:rsidR="004C1942">
        <w:rPr>
          <w:sz w:val="22"/>
          <w:szCs w:val="22"/>
        </w:rPr>
        <w:t xml:space="preserve"> issues when entering into new contracts or for the transfer of current contracts (Somers’ d = .646). This statement is thus not an empty slogan, but actual reality. </w:t>
      </w:r>
      <w:r>
        <w:rPr>
          <w:sz w:val="22"/>
          <w:szCs w:val="22"/>
        </w:rPr>
        <w:t>It can thus be concluded that</w:t>
      </w:r>
      <w:r w:rsidR="00341B92">
        <w:rPr>
          <w:sz w:val="22"/>
          <w:szCs w:val="22"/>
        </w:rPr>
        <w:t xml:space="preserve"> many</w:t>
      </w:r>
      <w:r>
        <w:rPr>
          <w:sz w:val="22"/>
          <w:szCs w:val="22"/>
        </w:rPr>
        <w:t xml:space="preserve"> Dutch TPL providers are environmental aware and that this attitude</w:t>
      </w:r>
      <w:r w:rsidR="00341B92">
        <w:rPr>
          <w:sz w:val="22"/>
          <w:szCs w:val="22"/>
        </w:rPr>
        <w:t xml:space="preserve"> also is beneficial to them from a business point of view.</w:t>
      </w:r>
      <w:r w:rsidR="00361203" w:rsidRPr="00E066FD">
        <w:rPr>
          <w:sz w:val="22"/>
          <w:szCs w:val="22"/>
        </w:rPr>
        <w:br w:type="page"/>
      </w:r>
    </w:p>
    <w:p w:rsidR="0006658F" w:rsidRPr="000A65D6" w:rsidRDefault="00D02127" w:rsidP="00D02127">
      <w:pPr>
        <w:pStyle w:val="Kop2"/>
        <w:numPr>
          <w:ilvl w:val="1"/>
          <w:numId w:val="13"/>
        </w:numPr>
        <w:rPr>
          <w:rFonts w:asciiTheme="majorHAnsi" w:hAnsiTheme="majorHAnsi"/>
        </w:rPr>
      </w:pPr>
      <w:bookmarkStart w:id="35" w:name="_Toc300412008"/>
      <w:r w:rsidRPr="000A65D6">
        <w:rPr>
          <w:rFonts w:asciiTheme="majorHAnsi" w:hAnsiTheme="majorHAnsi"/>
        </w:rPr>
        <w:lastRenderedPageBreak/>
        <w:t>Value added logistics offered by Dutch TPL providers</w:t>
      </w:r>
      <w:bookmarkEnd w:id="35"/>
    </w:p>
    <w:p w:rsidR="006A1350" w:rsidRDefault="006A1350" w:rsidP="00D005A1">
      <w:pPr>
        <w:spacing w:line="360" w:lineRule="auto"/>
        <w:jc w:val="both"/>
        <w:rPr>
          <w:rFonts w:cs="AdvPS405B6"/>
          <w:noProof/>
          <w:sz w:val="22"/>
          <w:szCs w:val="22"/>
          <w:lang w:bidi="ar-SA"/>
        </w:rPr>
      </w:pPr>
      <w:r w:rsidRPr="00122885">
        <w:rPr>
          <w:sz w:val="22"/>
          <w:szCs w:val="22"/>
        </w:rPr>
        <w:t>According to Berglund et al. (1999)</w:t>
      </w:r>
      <w:r>
        <w:rPr>
          <w:sz w:val="22"/>
          <w:szCs w:val="22"/>
        </w:rPr>
        <w:t>,</w:t>
      </w:r>
      <w:r w:rsidRPr="00122885">
        <w:rPr>
          <w:sz w:val="22"/>
          <w:szCs w:val="22"/>
        </w:rPr>
        <w:t xml:space="preserve"> </w:t>
      </w:r>
      <w:r w:rsidRPr="00122885">
        <w:rPr>
          <w:i/>
          <w:sz w:val="22"/>
          <w:szCs w:val="22"/>
        </w:rPr>
        <w:t xml:space="preserve">‘’the challenge that providers face is to provide their customers with services that add more value to their customers’ business than that the customers would be able to achieve themselves’’ </w:t>
      </w:r>
      <w:r w:rsidRPr="00122885">
        <w:rPr>
          <w:sz w:val="22"/>
          <w:szCs w:val="22"/>
        </w:rPr>
        <w:t>(p. 65)</w:t>
      </w:r>
      <w:r>
        <w:rPr>
          <w:sz w:val="22"/>
          <w:szCs w:val="22"/>
        </w:rPr>
        <w:t>.</w:t>
      </w:r>
      <w:r>
        <w:t xml:space="preserve"> </w:t>
      </w:r>
      <w:r>
        <w:rPr>
          <w:rFonts w:cs="Times-Roman"/>
          <w:sz w:val="22"/>
          <w:szCs w:val="22"/>
          <w:lang w:bidi="ar-SA"/>
        </w:rPr>
        <w:t>Nevertheless, there seems to be weak demand for such services, since most clie</w:t>
      </w:r>
      <w:r w:rsidR="00C53EC3">
        <w:rPr>
          <w:rFonts w:cs="Times-Roman"/>
          <w:sz w:val="22"/>
          <w:szCs w:val="22"/>
          <w:lang w:bidi="ar-SA"/>
        </w:rPr>
        <w:t>nts perceive such activities as</w:t>
      </w:r>
      <w:r>
        <w:rPr>
          <w:rFonts w:cs="Times-Roman"/>
          <w:sz w:val="22"/>
          <w:szCs w:val="22"/>
          <w:lang w:bidi="ar-SA"/>
        </w:rPr>
        <w:t xml:space="preserve"> too important to outsource </w:t>
      </w:r>
      <w:r w:rsidRPr="004102FF">
        <w:rPr>
          <w:rFonts w:cs="AdvPS405B6"/>
          <w:noProof/>
          <w:sz w:val="22"/>
          <w:szCs w:val="22"/>
          <w:lang w:bidi="ar-SA"/>
        </w:rPr>
        <w:t xml:space="preserve">(van </w:t>
      </w:r>
      <w:r w:rsidR="00D005A1" w:rsidRPr="004102FF">
        <w:rPr>
          <w:rFonts w:cs="AdvPS405B6"/>
          <w:noProof/>
          <w:sz w:val="22"/>
          <w:szCs w:val="22"/>
          <w:lang w:bidi="ar-SA"/>
        </w:rPr>
        <w:t>Hoek &amp; Dierdonck, 2000;</w:t>
      </w:r>
      <w:r w:rsidR="00D005A1" w:rsidRPr="00E747A8">
        <w:rPr>
          <w:rFonts w:cs="AdvPS405B6"/>
          <w:noProof/>
          <w:sz w:val="22"/>
          <w:szCs w:val="22"/>
          <w:lang w:bidi="ar-SA"/>
        </w:rPr>
        <w:t xml:space="preserve"> </w:t>
      </w:r>
      <w:r w:rsidR="00D005A1">
        <w:rPr>
          <w:rFonts w:cs="AdvPS405B6"/>
          <w:noProof/>
          <w:sz w:val="22"/>
          <w:szCs w:val="22"/>
          <w:lang w:bidi="ar-SA"/>
        </w:rPr>
        <w:t>Langley &amp; Capgemini, 2010;</w:t>
      </w:r>
      <w:r w:rsidR="00D005A1" w:rsidRPr="004102FF">
        <w:rPr>
          <w:rFonts w:cs="AdvPS405B6"/>
          <w:noProof/>
          <w:sz w:val="22"/>
          <w:szCs w:val="22"/>
          <w:lang w:bidi="ar-SA"/>
        </w:rPr>
        <w:t xml:space="preserve"> Lieb &amp; Bentz, 2005; Lieb &amp; Kendrick, 2003)</w:t>
      </w:r>
      <w:r w:rsidR="00D005A1">
        <w:rPr>
          <w:rFonts w:cs="AdvPS405B6"/>
          <w:noProof/>
          <w:sz w:val="22"/>
          <w:szCs w:val="22"/>
          <w:lang w:bidi="ar-SA"/>
        </w:rPr>
        <w:t>. O</w:t>
      </w:r>
      <w:r>
        <w:rPr>
          <w:rFonts w:cs="AdvPS405B6"/>
          <w:noProof/>
          <w:sz w:val="22"/>
          <w:szCs w:val="22"/>
          <w:lang w:bidi="ar-SA"/>
        </w:rPr>
        <w:t>n average, 54% of shippers’ total expenditures on logistics was spend on transportation. Warehousing costs represented 40%,  leaving just 6% for other value added logistics</w:t>
      </w:r>
      <w:sdt>
        <w:sdtPr>
          <w:rPr>
            <w:rFonts w:cs="AdvPS405B6"/>
            <w:noProof/>
            <w:sz w:val="22"/>
            <w:szCs w:val="22"/>
            <w:lang w:bidi="ar-SA"/>
          </w:rPr>
          <w:id w:val="4741666"/>
          <w:citation/>
        </w:sdtPr>
        <w:sdtContent>
          <w:r w:rsidR="00BD69D8">
            <w:rPr>
              <w:rFonts w:cs="AdvPS405B6"/>
              <w:noProof/>
              <w:sz w:val="22"/>
              <w:szCs w:val="22"/>
              <w:lang w:bidi="ar-SA"/>
            </w:rPr>
            <w:fldChar w:fldCharType="begin"/>
          </w:r>
          <w:r>
            <w:rPr>
              <w:rFonts w:cs="AdvPS405B6"/>
              <w:noProof/>
              <w:sz w:val="22"/>
              <w:szCs w:val="22"/>
              <w:lang w:bidi="ar-SA"/>
            </w:rPr>
            <w:instrText xml:space="preserve"> CITATION Lan10 \l 1033 </w:instrText>
          </w:r>
          <w:r w:rsidR="00BD69D8">
            <w:rPr>
              <w:rFonts w:cs="AdvPS405B6"/>
              <w:noProof/>
              <w:sz w:val="22"/>
              <w:szCs w:val="22"/>
              <w:lang w:bidi="ar-SA"/>
            </w:rPr>
            <w:fldChar w:fldCharType="separate"/>
          </w:r>
          <w:r w:rsidR="00F26771">
            <w:rPr>
              <w:rFonts w:cs="AdvPS405B6"/>
              <w:noProof/>
              <w:sz w:val="22"/>
              <w:szCs w:val="22"/>
              <w:lang w:bidi="ar-SA"/>
            </w:rPr>
            <w:t xml:space="preserve"> </w:t>
          </w:r>
          <w:r w:rsidR="00F26771" w:rsidRPr="00F26771">
            <w:rPr>
              <w:rFonts w:cs="AdvPS405B6"/>
              <w:noProof/>
              <w:sz w:val="22"/>
              <w:szCs w:val="22"/>
              <w:lang w:bidi="ar-SA"/>
            </w:rPr>
            <w:t>(Langley &amp; Capgemini, 2010)</w:t>
          </w:r>
          <w:r w:rsidR="00BD69D8">
            <w:rPr>
              <w:rFonts w:cs="AdvPS405B6"/>
              <w:noProof/>
              <w:sz w:val="22"/>
              <w:szCs w:val="22"/>
              <w:lang w:bidi="ar-SA"/>
            </w:rPr>
            <w:fldChar w:fldCharType="end"/>
          </w:r>
        </w:sdtContent>
      </w:sdt>
      <w:r>
        <w:rPr>
          <w:rFonts w:cs="AdvPS405B6"/>
          <w:noProof/>
          <w:sz w:val="22"/>
          <w:szCs w:val="22"/>
          <w:lang w:bidi="ar-SA"/>
        </w:rPr>
        <w:t xml:space="preserve">. </w:t>
      </w:r>
    </w:p>
    <w:p w:rsidR="00927DDF" w:rsidRDefault="00915C55" w:rsidP="001B5EC4">
      <w:pPr>
        <w:spacing w:line="360" w:lineRule="auto"/>
        <w:jc w:val="both"/>
        <w:rPr>
          <w:sz w:val="22"/>
          <w:szCs w:val="22"/>
        </w:rPr>
      </w:pPr>
      <w:r w:rsidRPr="00915C55">
        <w:rPr>
          <w:sz w:val="22"/>
          <w:szCs w:val="22"/>
        </w:rPr>
        <w:t xml:space="preserve">How far are Dutch TPL providers in offering value added services? </w:t>
      </w:r>
      <w:r w:rsidR="007547D9">
        <w:rPr>
          <w:sz w:val="22"/>
          <w:szCs w:val="22"/>
        </w:rPr>
        <w:t>Figure 27</w:t>
      </w:r>
      <w:r>
        <w:rPr>
          <w:sz w:val="22"/>
          <w:szCs w:val="22"/>
        </w:rPr>
        <w:t xml:space="preserve"> gives an overview of which activities one can think of when thinking about value added services. </w:t>
      </w:r>
      <w:r w:rsidR="00A57228">
        <w:rPr>
          <w:sz w:val="22"/>
          <w:szCs w:val="22"/>
        </w:rPr>
        <w:t>Off course, transport and warehousing are not meant when talking about value added logistics, but are including in figure 26 for comparison purposes.</w:t>
      </w:r>
    </w:p>
    <w:p w:rsidR="00927DDF" w:rsidRDefault="00BD69D8">
      <w:pPr>
        <w:rPr>
          <w:sz w:val="22"/>
          <w:szCs w:val="22"/>
        </w:rPr>
      </w:pPr>
      <w:r w:rsidRPr="00BD69D8">
        <w:rPr>
          <w:noProof/>
          <w:sz w:val="22"/>
          <w:szCs w:val="22"/>
        </w:rPr>
        <w:pict>
          <v:shape id="_x0000_s1065" type="#_x0000_t202" style="position:absolute;margin-left:393.1pt;margin-top:330.25pt;width:64.95pt;height:41.25pt;z-index:251705344;mso-height-percent:200;mso-height-percent:200;mso-width-relative:margin;mso-height-relative:margin" stroked="f">
            <v:textbox style="mso-fit-shape-to-text:t">
              <w:txbxContent>
                <w:p w:rsidR="002752F8" w:rsidRPr="00F26771" w:rsidRDefault="002752F8">
                  <w:pPr>
                    <w:rPr>
                      <w:color w:val="F79646" w:themeColor="accent6"/>
                      <w:lang w:val="nl-NL"/>
                    </w:rPr>
                  </w:pPr>
                  <w:r w:rsidRPr="00F26771">
                    <w:rPr>
                      <w:color w:val="F79646" w:themeColor="accent6"/>
                      <w:lang w:val="nl-NL"/>
                    </w:rPr>
                    <w:t>Figure 27</w:t>
                  </w:r>
                </w:p>
              </w:txbxContent>
            </v:textbox>
          </v:shape>
        </w:pict>
      </w:r>
      <w:r w:rsidR="00927DDF" w:rsidRPr="00927DDF">
        <w:rPr>
          <w:noProof/>
          <w:sz w:val="22"/>
          <w:szCs w:val="22"/>
          <w:lang w:val="nl-NL" w:eastAsia="nl-NL" w:bidi="ar-SA"/>
        </w:rPr>
        <w:drawing>
          <wp:inline distT="0" distB="0" distL="0" distR="0">
            <wp:extent cx="5899150" cy="4787900"/>
            <wp:effectExtent l="19050" t="0" r="25400" b="0"/>
            <wp:docPr id="2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802FA5" w:rsidRDefault="00802FA5" w:rsidP="00937E55">
      <w:pPr>
        <w:spacing w:line="360" w:lineRule="auto"/>
        <w:jc w:val="both"/>
        <w:rPr>
          <w:sz w:val="22"/>
          <w:szCs w:val="22"/>
        </w:rPr>
      </w:pPr>
      <w:r>
        <w:rPr>
          <w:sz w:val="22"/>
          <w:szCs w:val="22"/>
        </w:rPr>
        <w:t xml:space="preserve">When you take a look at the value added services offered by Dutch TPL providers, you will notice it’s a large spectrum of services of which some services are not related to traditional logistics. For </w:t>
      </w:r>
      <w:r>
        <w:rPr>
          <w:sz w:val="22"/>
          <w:szCs w:val="22"/>
        </w:rPr>
        <w:lastRenderedPageBreak/>
        <w:t>example, the testing and repairing of products,</w:t>
      </w:r>
      <w:r w:rsidR="00937E55">
        <w:rPr>
          <w:sz w:val="22"/>
          <w:szCs w:val="22"/>
        </w:rPr>
        <w:t xml:space="preserve"> quality control,</w:t>
      </w:r>
      <w:r>
        <w:rPr>
          <w:sz w:val="22"/>
          <w:szCs w:val="22"/>
        </w:rPr>
        <w:t xml:space="preserve"> product configuration and final assembly might</w:t>
      </w:r>
      <w:r w:rsidR="00937E55">
        <w:rPr>
          <w:sz w:val="22"/>
          <w:szCs w:val="22"/>
        </w:rPr>
        <w:t xml:space="preserve"> ask for specialist knowledge and skills. That’s why respondents were asked if they hired industrial subcontractors for performing those services. It turned out that exactly 50% of the TPL providers </w:t>
      </w:r>
      <w:r w:rsidR="002752F8">
        <w:rPr>
          <w:sz w:val="22"/>
          <w:szCs w:val="22"/>
        </w:rPr>
        <w:t>use</w:t>
      </w:r>
      <w:r w:rsidR="00937E55">
        <w:rPr>
          <w:sz w:val="22"/>
          <w:szCs w:val="22"/>
        </w:rPr>
        <w:t xml:space="preserve"> industrial subcontractors, while the other 50% </w:t>
      </w:r>
      <w:r w:rsidR="003C61A4">
        <w:rPr>
          <w:sz w:val="22"/>
          <w:szCs w:val="22"/>
        </w:rPr>
        <w:t>doesn</w:t>
      </w:r>
      <w:r w:rsidR="00937E55">
        <w:rPr>
          <w:sz w:val="22"/>
          <w:szCs w:val="22"/>
        </w:rPr>
        <w:t>’t.</w:t>
      </w:r>
      <w:r w:rsidR="00514237">
        <w:rPr>
          <w:sz w:val="22"/>
          <w:szCs w:val="22"/>
        </w:rPr>
        <w:t xml:space="preserve"> The decision whether or not to make use of subcontractors has a reasonably positively relation to firm size (Goodman and </w:t>
      </w:r>
      <w:r w:rsidR="002752F8">
        <w:rPr>
          <w:sz w:val="22"/>
          <w:szCs w:val="22"/>
        </w:rPr>
        <w:t>Kruskal’s</w:t>
      </w:r>
      <w:r w:rsidR="00514237">
        <w:rPr>
          <w:sz w:val="22"/>
          <w:szCs w:val="22"/>
        </w:rPr>
        <w:t xml:space="preserve"> Tau = .316). The smaller the TPL provider, the more industrial subcontractors are hired to perform certain value adding logistics. </w:t>
      </w:r>
      <w:r w:rsidR="00BB3965">
        <w:rPr>
          <w:sz w:val="22"/>
          <w:szCs w:val="22"/>
        </w:rPr>
        <w:t>T</w:t>
      </w:r>
      <w:r w:rsidR="00514237">
        <w:rPr>
          <w:sz w:val="22"/>
          <w:szCs w:val="22"/>
        </w:rPr>
        <w:t xml:space="preserve">he TPL providers having more than 1000 employees </w:t>
      </w:r>
      <w:r w:rsidR="00FC1096">
        <w:rPr>
          <w:sz w:val="22"/>
          <w:szCs w:val="22"/>
        </w:rPr>
        <w:t>are the exception since all respondents from this category use industrial subcontractors. Concluding,</w:t>
      </w:r>
      <w:r w:rsidR="00937E55">
        <w:rPr>
          <w:sz w:val="22"/>
          <w:szCs w:val="22"/>
        </w:rPr>
        <w:t xml:space="preserve"> TPL providers outsourcing services that were outsourced to them is well established.</w:t>
      </w:r>
    </w:p>
    <w:p w:rsidR="00D02127" w:rsidRDefault="000A65D6" w:rsidP="001B5EC4">
      <w:pPr>
        <w:spacing w:line="360" w:lineRule="auto"/>
        <w:jc w:val="both"/>
        <w:rPr>
          <w:sz w:val="22"/>
          <w:szCs w:val="22"/>
        </w:rPr>
      </w:pPr>
      <w:r>
        <w:rPr>
          <w:sz w:val="22"/>
          <w:szCs w:val="22"/>
        </w:rPr>
        <w:t>But how important are these value added services for</w:t>
      </w:r>
      <w:r w:rsidR="0089727C">
        <w:rPr>
          <w:sz w:val="22"/>
          <w:szCs w:val="22"/>
        </w:rPr>
        <w:t xml:space="preserve"> TPL providers when you look at their turnover breakdown? The respondents were asked what percentage of their turnover was derived from services other than transportation and storage/inventory management. On average, </w:t>
      </w:r>
      <w:r w:rsidR="00802FA5">
        <w:rPr>
          <w:sz w:val="22"/>
          <w:szCs w:val="22"/>
        </w:rPr>
        <w:t>19% of all turnover is derived from value added logistics (mean = 18</w:t>
      </w:r>
      <w:r w:rsidR="002752F8">
        <w:rPr>
          <w:sz w:val="22"/>
          <w:szCs w:val="22"/>
        </w:rPr>
        <w:t>, 7</w:t>
      </w:r>
      <w:r w:rsidR="00802FA5">
        <w:rPr>
          <w:sz w:val="22"/>
          <w:szCs w:val="22"/>
        </w:rPr>
        <w:t xml:space="preserve"> %, mode = 10 %).</w:t>
      </w:r>
    </w:p>
    <w:p w:rsidR="00C63571" w:rsidRDefault="00C63571" w:rsidP="001B5EC4">
      <w:pPr>
        <w:spacing w:line="360" w:lineRule="auto"/>
        <w:jc w:val="both"/>
        <w:rPr>
          <w:sz w:val="22"/>
          <w:szCs w:val="22"/>
        </w:rPr>
      </w:pPr>
    </w:p>
    <w:p w:rsidR="00D02127" w:rsidRPr="00D02DF4" w:rsidRDefault="00D02127" w:rsidP="00D02127">
      <w:pPr>
        <w:pStyle w:val="Kop2"/>
        <w:numPr>
          <w:ilvl w:val="1"/>
          <w:numId w:val="13"/>
        </w:numPr>
        <w:rPr>
          <w:rFonts w:asciiTheme="majorHAnsi" w:hAnsiTheme="majorHAnsi"/>
        </w:rPr>
      </w:pPr>
      <w:bookmarkStart w:id="36" w:name="_Toc300412009"/>
      <w:r w:rsidRPr="00D02DF4">
        <w:rPr>
          <w:rFonts w:asciiTheme="majorHAnsi" w:hAnsiTheme="majorHAnsi"/>
        </w:rPr>
        <w:t>Dutch TPL providers capturing the supply chain</w:t>
      </w:r>
      <w:bookmarkEnd w:id="36"/>
    </w:p>
    <w:p w:rsidR="003C61A4" w:rsidRDefault="003C61A4" w:rsidP="00B71D9B">
      <w:pPr>
        <w:spacing w:line="360" w:lineRule="auto"/>
        <w:jc w:val="both"/>
        <w:rPr>
          <w:sz w:val="22"/>
          <w:szCs w:val="22"/>
        </w:rPr>
      </w:pPr>
      <w:r w:rsidRPr="00E313A3">
        <w:rPr>
          <w:sz w:val="22"/>
          <w:szCs w:val="22"/>
        </w:rPr>
        <w:t>According to van Hoek (2000) ‘’</w:t>
      </w:r>
      <w:r w:rsidRPr="00E313A3">
        <w:rPr>
          <w:i/>
          <w:sz w:val="22"/>
          <w:szCs w:val="22"/>
        </w:rPr>
        <w:t xml:space="preserve">it can then be expected that manufacturing will increasingly involve the contribution of TPLs for specific customizing initiatives, assuming that the supply chain is integrated further and further, across functions and companies’’ </w:t>
      </w:r>
      <w:r w:rsidRPr="00E313A3">
        <w:rPr>
          <w:sz w:val="22"/>
          <w:szCs w:val="22"/>
        </w:rPr>
        <w:t>(p. 386).</w:t>
      </w:r>
      <w:r w:rsidR="00B71D9B">
        <w:rPr>
          <w:sz w:val="22"/>
          <w:szCs w:val="22"/>
        </w:rPr>
        <w:t xml:space="preserve"> </w:t>
      </w:r>
      <w:r w:rsidR="00B71D9B" w:rsidRPr="00E313A3">
        <w:rPr>
          <w:sz w:val="22"/>
          <w:szCs w:val="22"/>
        </w:rPr>
        <w:t>TPL providers started offering</w:t>
      </w:r>
      <w:r w:rsidR="00B71D9B">
        <w:rPr>
          <w:sz w:val="22"/>
          <w:szCs w:val="22"/>
        </w:rPr>
        <w:t xml:space="preserve"> such</w:t>
      </w:r>
      <w:r w:rsidR="003D2DBE">
        <w:rPr>
          <w:sz w:val="22"/>
          <w:szCs w:val="22"/>
        </w:rPr>
        <w:t xml:space="preserve"> and other</w:t>
      </w:r>
      <w:r w:rsidR="00B71D9B" w:rsidRPr="00E313A3">
        <w:rPr>
          <w:sz w:val="22"/>
          <w:szCs w:val="22"/>
        </w:rPr>
        <w:t xml:space="preserve"> customization services, since this part of the supply chain has higher value-added activities and thus yields higher margins in comparison to distribution and storage</w:t>
      </w:r>
      <w:r w:rsidR="00B71D9B">
        <w:rPr>
          <w:sz w:val="22"/>
          <w:szCs w:val="22"/>
        </w:rPr>
        <w:t xml:space="preserve"> (van Hoek, 2000).</w:t>
      </w:r>
      <w:r w:rsidR="00B71D9B">
        <w:t xml:space="preserve"> </w:t>
      </w:r>
      <w:r w:rsidR="00B71D9B">
        <w:rPr>
          <w:sz w:val="22"/>
          <w:szCs w:val="22"/>
        </w:rPr>
        <w:t>T</w:t>
      </w:r>
      <w:r w:rsidR="00E313A3">
        <w:rPr>
          <w:sz w:val="22"/>
          <w:szCs w:val="22"/>
        </w:rPr>
        <w:t>he</w:t>
      </w:r>
      <w:r w:rsidRPr="00E313A3">
        <w:rPr>
          <w:sz w:val="22"/>
          <w:szCs w:val="22"/>
        </w:rPr>
        <w:t xml:space="preserve"> ‘typical’ supply chain format is changing.</w:t>
      </w:r>
      <w:r w:rsidR="00E313A3" w:rsidRPr="00E313A3">
        <w:rPr>
          <w:sz w:val="22"/>
          <w:szCs w:val="22"/>
        </w:rPr>
        <w:t xml:space="preserve"> M</w:t>
      </w:r>
      <w:r w:rsidRPr="00E313A3">
        <w:rPr>
          <w:sz w:val="22"/>
          <w:szCs w:val="22"/>
        </w:rPr>
        <w:t>anufacturing doesn’t just take place at the manufacturer, but also further downstream the supply chain, enabling the TPL provider to try and capture this business</w:t>
      </w:r>
      <w:r w:rsidR="00B71D9B">
        <w:rPr>
          <w:sz w:val="22"/>
          <w:szCs w:val="22"/>
        </w:rPr>
        <w:t>. But does all this holds for Dutch TPL providers? Five statements</w:t>
      </w:r>
      <w:r w:rsidR="00D211B5">
        <w:rPr>
          <w:sz w:val="22"/>
          <w:szCs w:val="22"/>
        </w:rPr>
        <w:t xml:space="preserve"> (which could be answered on a 1 to 5 scale)</w:t>
      </w:r>
      <w:r w:rsidR="00B71D9B">
        <w:rPr>
          <w:sz w:val="22"/>
          <w:szCs w:val="22"/>
        </w:rPr>
        <w:t xml:space="preserve"> </w:t>
      </w:r>
      <w:r w:rsidR="00D211B5">
        <w:rPr>
          <w:sz w:val="22"/>
          <w:szCs w:val="22"/>
        </w:rPr>
        <w:t xml:space="preserve">concerning TPL providers’ efforts to obtain a </w:t>
      </w:r>
      <w:r w:rsidR="00550C67">
        <w:rPr>
          <w:sz w:val="22"/>
          <w:szCs w:val="22"/>
        </w:rPr>
        <w:t>larger part of the supply chain should provide the answer.</w:t>
      </w:r>
    </w:p>
    <w:p w:rsidR="003D2DBE" w:rsidRDefault="003D2DBE" w:rsidP="00B71D9B">
      <w:pPr>
        <w:spacing w:line="360" w:lineRule="auto"/>
        <w:jc w:val="both"/>
        <w:rPr>
          <w:sz w:val="22"/>
          <w:szCs w:val="22"/>
        </w:rPr>
      </w:pPr>
      <w:r>
        <w:rPr>
          <w:sz w:val="22"/>
          <w:szCs w:val="22"/>
        </w:rPr>
        <w:t xml:space="preserve">TPL providers will increasingly focus on services like production and the assembly of goods, if the supply chain further integrates and trends like mass customization and postponing product finalization will persevere. Or so was the statement. Dutch TPL providers don’t know whether this is true, resulting in </w:t>
      </w:r>
      <w:r w:rsidR="002752F8">
        <w:rPr>
          <w:sz w:val="22"/>
          <w:szCs w:val="22"/>
        </w:rPr>
        <w:t>a</w:t>
      </w:r>
      <w:r>
        <w:rPr>
          <w:sz w:val="22"/>
          <w:szCs w:val="22"/>
        </w:rPr>
        <w:t xml:space="preserve"> median score of 3. </w:t>
      </w:r>
      <w:r w:rsidR="003F6599">
        <w:rPr>
          <w:sz w:val="22"/>
          <w:szCs w:val="22"/>
        </w:rPr>
        <w:t>The same score holds for the statement that TPL providers provide customized services and postponement of product finalization</w:t>
      </w:r>
      <w:r w:rsidR="00442CA8">
        <w:rPr>
          <w:sz w:val="22"/>
          <w:szCs w:val="22"/>
        </w:rPr>
        <w:t xml:space="preserve"> because in this part of the supply chain higher profits can be obtained in comparison to the margins involved with storage, transport and distribution (median = 3). Although 40% agreed with the statement, 44% of the </w:t>
      </w:r>
      <w:r w:rsidR="00442CA8">
        <w:rPr>
          <w:sz w:val="22"/>
          <w:szCs w:val="22"/>
        </w:rPr>
        <w:lastRenderedPageBreak/>
        <w:t xml:space="preserve">respondents answered neutral. </w:t>
      </w:r>
      <w:r w:rsidR="006728F1">
        <w:rPr>
          <w:sz w:val="22"/>
          <w:szCs w:val="22"/>
        </w:rPr>
        <w:t xml:space="preserve">About both statements can be said that they are not related to the basis of the company: asset and non asset based companies have no real different ideas about it (respectively, Goodman and </w:t>
      </w:r>
      <w:r w:rsidR="002752F8">
        <w:rPr>
          <w:sz w:val="22"/>
          <w:szCs w:val="22"/>
        </w:rPr>
        <w:t>Kruskal’s</w:t>
      </w:r>
      <w:r w:rsidR="006728F1">
        <w:rPr>
          <w:sz w:val="22"/>
          <w:szCs w:val="22"/>
        </w:rPr>
        <w:t xml:space="preserve"> Tau = .075 and .027).</w:t>
      </w:r>
    </w:p>
    <w:p w:rsidR="006A685E" w:rsidRDefault="00442CA8" w:rsidP="00B71D9B">
      <w:pPr>
        <w:spacing w:line="360" w:lineRule="auto"/>
        <w:jc w:val="both"/>
        <w:rPr>
          <w:sz w:val="22"/>
          <w:szCs w:val="22"/>
        </w:rPr>
      </w:pPr>
      <w:r>
        <w:rPr>
          <w:sz w:val="22"/>
          <w:szCs w:val="22"/>
        </w:rPr>
        <w:t xml:space="preserve">Having discussed the more physical side of the supply chain and the changes involved for TPL providers to expand their business, focusing more on supply chain management is another way of getting hold of a larger part of the supply chain, thereby diversifying the </w:t>
      </w:r>
      <w:r w:rsidR="002752F8">
        <w:rPr>
          <w:sz w:val="22"/>
          <w:szCs w:val="22"/>
        </w:rPr>
        <w:t>providers’</w:t>
      </w:r>
      <w:r>
        <w:rPr>
          <w:sz w:val="22"/>
          <w:szCs w:val="22"/>
        </w:rPr>
        <w:t xml:space="preserve"> service offerings. </w:t>
      </w:r>
      <w:r w:rsidR="002D4FC5">
        <w:rPr>
          <w:sz w:val="22"/>
          <w:szCs w:val="22"/>
        </w:rPr>
        <w:t>Expanding their services related to supply chain management is seen as one of the major growth opportunities by the respondents.</w:t>
      </w:r>
      <w:r w:rsidR="006A685E" w:rsidRPr="006A685E">
        <w:rPr>
          <w:sz w:val="22"/>
          <w:szCs w:val="22"/>
        </w:rPr>
        <w:t xml:space="preserve"> </w:t>
      </w:r>
      <w:r w:rsidR="006A685E">
        <w:rPr>
          <w:sz w:val="22"/>
          <w:szCs w:val="22"/>
        </w:rPr>
        <w:t xml:space="preserve">44% of all respondents </w:t>
      </w:r>
      <w:r w:rsidR="006B4980">
        <w:rPr>
          <w:sz w:val="22"/>
          <w:szCs w:val="22"/>
        </w:rPr>
        <w:t>agree</w:t>
      </w:r>
      <w:r w:rsidR="006A685E">
        <w:rPr>
          <w:sz w:val="22"/>
          <w:szCs w:val="22"/>
        </w:rPr>
        <w:t xml:space="preserve"> with the statement and even 28% totally agrees with it. Respondents opinion on this expansion isn’t related to the basis of their company (asset or non asset; Goodman and </w:t>
      </w:r>
      <w:r w:rsidR="006B4980">
        <w:rPr>
          <w:sz w:val="22"/>
          <w:szCs w:val="22"/>
        </w:rPr>
        <w:t>Kruskal’s</w:t>
      </w:r>
      <w:r w:rsidR="006A685E">
        <w:rPr>
          <w:sz w:val="22"/>
          <w:szCs w:val="22"/>
        </w:rPr>
        <w:t xml:space="preserve"> Tau =.032).</w:t>
      </w:r>
    </w:p>
    <w:p w:rsidR="006A685E" w:rsidRDefault="002D4FC5" w:rsidP="00B71D9B">
      <w:pPr>
        <w:spacing w:line="360" w:lineRule="auto"/>
        <w:jc w:val="both"/>
        <w:rPr>
          <w:sz w:val="22"/>
          <w:szCs w:val="22"/>
        </w:rPr>
      </w:pPr>
      <w:r>
        <w:rPr>
          <w:sz w:val="22"/>
          <w:szCs w:val="22"/>
        </w:rPr>
        <w:t xml:space="preserve"> </w:t>
      </w:r>
      <w:r w:rsidR="006A685E">
        <w:rPr>
          <w:sz w:val="22"/>
          <w:szCs w:val="22"/>
        </w:rPr>
        <w:t>C</w:t>
      </w:r>
      <w:r>
        <w:rPr>
          <w:sz w:val="22"/>
          <w:szCs w:val="22"/>
        </w:rPr>
        <w:t>oncluding from this that</w:t>
      </w:r>
      <w:r w:rsidR="006801ED">
        <w:rPr>
          <w:sz w:val="22"/>
          <w:szCs w:val="22"/>
        </w:rPr>
        <w:t xml:space="preserve"> TPL providers want to develop themselves into 4PL provide</w:t>
      </w:r>
      <w:r w:rsidR="006A685E">
        <w:rPr>
          <w:sz w:val="22"/>
          <w:szCs w:val="22"/>
        </w:rPr>
        <w:t>r</w:t>
      </w:r>
      <w:r w:rsidR="006801ED">
        <w:rPr>
          <w:sz w:val="22"/>
          <w:szCs w:val="22"/>
        </w:rPr>
        <w:t>s would be wrong, since this sta</w:t>
      </w:r>
      <w:r w:rsidR="00550C67">
        <w:rPr>
          <w:sz w:val="22"/>
          <w:szCs w:val="22"/>
        </w:rPr>
        <w:t xml:space="preserve">tement scored a 3 (median). </w:t>
      </w:r>
      <w:r w:rsidR="00C63571">
        <w:rPr>
          <w:noProof/>
          <w:sz w:val="22"/>
          <w:szCs w:val="22"/>
        </w:rPr>
        <w:t>Again focussing at the classification by Hertz and Alfredsson, I wonder whether the respondents who said they want to become customer developers in the future, also answered this statement about developping themselves into a 4PL provider accordingly: the description of the customer developer almost matches that of the 4PL provider. Surprisingly, this isn’t the case. Of all respondent wanting to become a customer developer in the future</w:t>
      </w:r>
      <w:r w:rsidR="00255FE3">
        <w:rPr>
          <w:noProof/>
          <w:sz w:val="22"/>
          <w:szCs w:val="22"/>
        </w:rPr>
        <w:t>, only 25% agreed and 12,5% totally agreed with the statement about 4Pl providers. The only way this can be explained  is by concluding that for most respondent the meaning of the term 4PL is a bit vague.</w:t>
      </w:r>
      <w:r w:rsidR="00255FE3">
        <w:rPr>
          <w:sz w:val="22"/>
          <w:szCs w:val="22"/>
        </w:rPr>
        <w:t xml:space="preserve"> </w:t>
      </w:r>
      <w:r w:rsidR="00550C67">
        <w:rPr>
          <w:sz w:val="22"/>
          <w:szCs w:val="22"/>
        </w:rPr>
        <w:t xml:space="preserve">I </w:t>
      </w:r>
      <w:r w:rsidR="006A685E">
        <w:rPr>
          <w:sz w:val="22"/>
          <w:szCs w:val="22"/>
        </w:rPr>
        <w:t>expected</w:t>
      </w:r>
      <w:r w:rsidR="00255FE3">
        <w:rPr>
          <w:sz w:val="22"/>
          <w:szCs w:val="22"/>
        </w:rPr>
        <w:t xml:space="preserve"> the</w:t>
      </w:r>
      <w:r w:rsidR="00550C67">
        <w:rPr>
          <w:sz w:val="22"/>
          <w:szCs w:val="22"/>
        </w:rPr>
        <w:t xml:space="preserve"> score</w:t>
      </w:r>
      <w:r w:rsidR="00255FE3">
        <w:rPr>
          <w:sz w:val="22"/>
          <w:szCs w:val="22"/>
        </w:rPr>
        <w:t xml:space="preserve"> on the 4Pl statement</w:t>
      </w:r>
      <w:r w:rsidR="00550C67">
        <w:rPr>
          <w:sz w:val="22"/>
          <w:szCs w:val="22"/>
        </w:rPr>
        <w:t xml:space="preserve"> to be </w:t>
      </w:r>
      <w:r w:rsidR="006801ED">
        <w:rPr>
          <w:sz w:val="22"/>
          <w:szCs w:val="22"/>
        </w:rPr>
        <w:t xml:space="preserve">related to the fact that most respondents of this survey are asset based and that there is an debate going about the impossibility for asset based TPL providers to become 4PL providers ( due to conflicting interest etc. as mentioned earlier on in this thesis). </w:t>
      </w:r>
      <w:r w:rsidR="00255FE3">
        <w:rPr>
          <w:sz w:val="22"/>
          <w:szCs w:val="22"/>
        </w:rPr>
        <w:t xml:space="preserve">This expectation is </w:t>
      </w:r>
      <w:r w:rsidR="006A685E">
        <w:rPr>
          <w:sz w:val="22"/>
          <w:szCs w:val="22"/>
        </w:rPr>
        <w:t xml:space="preserve">actually true since the desire to develop into a 4PL provider is reasonably related with the basis of the TPL provider. </w:t>
      </w:r>
      <w:r w:rsidR="00E34C98">
        <w:rPr>
          <w:sz w:val="22"/>
          <w:szCs w:val="22"/>
        </w:rPr>
        <w:t>Unsurprisingly, n</w:t>
      </w:r>
      <w:r w:rsidR="006A685E">
        <w:rPr>
          <w:sz w:val="22"/>
          <w:szCs w:val="22"/>
        </w:rPr>
        <w:t xml:space="preserve">on asset based </w:t>
      </w:r>
      <w:r w:rsidR="00E34C98">
        <w:rPr>
          <w:sz w:val="22"/>
          <w:szCs w:val="22"/>
        </w:rPr>
        <w:t>TPL providers have a stronger desire to become 4PL providers as their asset based counterparts</w:t>
      </w:r>
      <w:r w:rsidR="00135EA9">
        <w:rPr>
          <w:sz w:val="22"/>
          <w:szCs w:val="22"/>
        </w:rPr>
        <w:t xml:space="preserve"> (Goodman and </w:t>
      </w:r>
      <w:r w:rsidR="006B4980">
        <w:rPr>
          <w:sz w:val="22"/>
          <w:szCs w:val="22"/>
        </w:rPr>
        <w:t>Kruskal’s</w:t>
      </w:r>
      <w:r w:rsidR="00135EA9">
        <w:rPr>
          <w:sz w:val="22"/>
          <w:szCs w:val="22"/>
        </w:rPr>
        <w:t xml:space="preserve"> Tau =</w:t>
      </w:r>
      <w:r w:rsidR="00E34C98">
        <w:rPr>
          <w:sz w:val="22"/>
          <w:szCs w:val="22"/>
        </w:rPr>
        <w:t>.</w:t>
      </w:r>
      <w:r w:rsidR="00135EA9">
        <w:rPr>
          <w:sz w:val="22"/>
          <w:szCs w:val="22"/>
        </w:rPr>
        <w:t xml:space="preserve">406). </w:t>
      </w:r>
    </w:p>
    <w:p w:rsidR="00442CA8" w:rsidRDefault="006801ED" w:rsidP="00B71D9B">
      <w:pPr>
        <w:spacing w:line="360" w:lineRule="auto"/>
        <w:jc w:val="both"/>
        <w:rPr>
          <w:sz w:val="22"/>
          <w:szCs w:val="22"/>
        </w:rPr>
      </w:pPr>
      <w:r>
        <w:rPr>
          <w:sz w:val="22"/>
          <w:szCs w:val="22"/>
        </w:rPr>
        <w:t>Although the majority of the respondents sees offering supply chain management as a major opportunity for them, most (totally) agree with the statement that customers are to focused on short term price levels and lowering costs of logistics, thereby making it difficult to provide effe</w:t>
      </w:r>
      <w:r w:rsidR="0019177B">
        <w:rPr>
          <w:sz w:val="22"/>
          <w:szCs w:val="22"/>
        </w:rPr>
        <w:t>ctive supply chain management (</w:t>
      </w:r>
      <w:r>
        <w:rPr>
          <w:sz w:val="22"/>
          <w:szCs w:val="22"/>
        </w:rPr>
        <w:t xml:space="preserve">a service for which should be paid for). This problem must be solved: the mindset of the customer towards supply chain management must be changed (as concluded earlier by </w:t>
      </w:r>
      <w:r w:rsidR="00CD7325">
        <w:rPr>
          <w:noProof/>
          <w:sz w:val="22"/>
          <w:szCs w:val="22"/>
        </w:rPr>
        <w:t xml:space="preserve">BLMC, </w:t>
      </w:r>
      <w:r w:rsidR="00CD7325" w:rsidRPr="00CD7325">
        <w:rPr>
          <w:noProof/>
          <w:sz w:val="22"/>
          <w:szCs w:val="22"/>
        </w:rPr>
        <w:t>2011)</w:t>
      </w:r>
      <w:r w:rsidR="00CD7325">
        <w:rPr>
          <w:noProof/>
          <w:sz w:val="22"/>
          <w:szCs w:val="22"/>
        </w:rPr>
        <w:t>.</w:t>
      </w:r>
    </w:p>
    <w:p w:rsidR="004D0B15" w:rsidRPr="00782460" w:rsidRDefault="004D0B15" w:rsidP="001B5EC4">
      <w:pPr>
        <w:spacing w:line="360" w:lineRule="auto"/>
        <w:jc w:val="both"/>
      </w:pPr>
    </w:p>
    <w:p w:rsidR="00590513" w:rsidRPr="00D02DF4" w:rsidRDefault="00590513" w:rsidP="00590513">
      <w:pPr>
        <w:pStyle w:val="Kop1"/>
        <w:numPr>
          <w:ilvl w:val="0"/>
          <w:numId w:val="13"/>
        </w:numPr>
        <w:rPr>
          <w:rFonts w:asciiTheme="majorHAnsi" w:hAnsiTheme="majorHAnsi"/>
        </w:rPr>
      </w:pPr>
      <w:bookmarkStart w:id="37" w:name="_Toc300412010"/>
      <w:r w:rsidRPr="00D02DF4">
        <w:rPr>
          <w:rFonts w:asciiTheme="majorHAnsi" w:hAnsiTheme="majorHAnsi"/>
        </w:rPr>
        <w:lastRenderedPageBreak/>
        <w:t>DISCUSSION AND CONCLUSIONS</w:t>
      </w:r>
      <w:bookmarkEnd w:id="37"/>
    </w:p>
    <w:p w:rsidR="00590513" w:rsidRPr="00FA0BDF" w:rsidRDefault="00FA0BDF" w:rsidP="00FA0BDF">
      <w:pPr>
        <w:spacing w:line="360" w:lineRule="auto"/>
        <w:jc w:val="both"/>
        <w:rPr>
          <w:sz w:val="22"/>
          <w:szCs w:val="22"/>
        </w:rPr>
      </w:pPr>
      <w:r w:rsidRPr="00FA0BDF">
        <w:rPr>
          <w:sz w:val="22"/>
          <w:szCs w:val="22"/>
        </w:rPr>
        <w:t>This chapter discusses the m</w:t>
      </w:r>
      <w:r>
        <w:rPr>
          <w:sz w:val="22"/>
          <w:szCs w:val="22"/>
        </w:rPr>
        <w:t xml:space="preserve">ain findings gained from this research, before discussing the limitations involved with the study. </w:t>
      </w:r>
      <w:r w:rsidR="0035391C">
        <w:rPr>
          <w:sz w:val="22"/>
          <w:szCs w:val="22"/>
        </w:rPr>
        <w:t xml:space="preserve">After that, opportunities for future research are examined. </w:t>
      </w:r>
    </w:p>
    <w:p w:rsidR="00FA0BDF" w:rsidRPr="00D02DF4" w:rsidRDefault="00590513" w:rsidP="00FA0BDF">
      <w:pPr>
        <w:pStyle w:val="Kop2"/>
        <w:numPr>
          <w:ilvl w:val="1"/>
          <w:numId w:val="13"/>
        </w:numPr>
        <w:rPr>
          <w:rFonts w:asciiTheme="majorHAnsi" w:hAnsiTheme="majorHAnsi"/>
        </w:rPr>
      </w:pPr>
      <w:bookmarkStart w:id="38" w:name="_Toc300412011"/>
      <w:r w:rsidRPr="00D02DF4">
        <w:rPr>
          <w:rFonts w:asciiTheme="majorHAnsi" w:hAnsiTheme="majorHAnsi"/>
        </w:rPr>
        <w:t>Main findings</w:t>
      </w:r>
      <w:bookmarkEnd w:id="38"/>
    </w:p>
    <w:p w:rsidR="00FA0BDF" w:rsidRPr="00FA0BDF" w:rsidRDefault="00FA0BDF" w:rsidP="00FA0BDF">
      <w:pPr>
        <w:spacing w:after="0"/>
      </w:pPr>
    </w:p>
    <w:tbl>
      <w:tblPr>
        <w:tblStyle w:val="Lichtearcering-accent6"/>
        <w:tblW w:w="0" w:type="auto"/>
        <w:tblLook w:val="04A0"/>
      </w:tblPr>
      <w:tblGrid>
        <w:gridCol w:w="9212"/>
      </w:tblGrid>
      <w:tr w:rsidR="00FA0BDF" w:rsidTr="00FA0BDF">
        <w:trPr>
          <w:cnfStyle w:val="100000000000"/>
        </w:trPr>
        <w:tc>
          <w:tcPr>
            <w:cnfStyle w:val="001000000000"/>
            <w:tcW w:w="9212" w:type="dxa"/>
            <w:vAlign w:val="center"/>
          </w:tcPr>
          <w:p w:rsidR="00FA0BDF" w:rsidRPr="00FA0BDF" w:rsidRDefault="00FA0BDF" w:rsidP="00FA0BDF">
            <w:pPr>
              <w:spacing w:line="360" w:lineRule="auto"/>
              <w:jc w:val="center"/>
              <w:rPr>
                <w:i/>
                <w:sz w:val="22"/>
                <w:szCs w:val="22"/>
              </w:rPr>
            </w:pPr>
            <w:r>
              <w:rPr>
                <w:i/>
                <w:sz w:val="22"/>
                <w:szCs w:val="22"/>
              </w:rPr>
              <w:t>‘’</w:t>
            </w:r>
            <w:r w:rsidRPr="00010A40">
              <w:rPr>
                <w:i/>
                <w:sz w:val="22"/>
                <w:szCs w:val="22"/>
              </w:rPr>
              <w:t>How do third party logistics providers in the Netherlands develop their business?”</w:t>
            </w:r>
          </w:p>
        </w:tc>
      </w:tr>
    </w:tbl>
    <w:p w:rsidR="00FA0BDF" w:rsidRDefault="00FA0BDF" w:rsidP="00FA0BDF">
      <w:pPr>
        <w:spacing w:line="360" w:lineRule="auto"/>
        <w:jc w:val="both"/>
        <w:rPr>
          <w:sz w:val="22"/>
          <w:szCs w:val="22"/>
        </w:rPr>
      </w:pPr>
      <w:r>
        <w:rPr>
          <w:sz w:val="22"/>
          <w:szCs w:val="22"/>
        </w:rPr>
        <w:t>In essence, this study is about TPL providers’ relationship with their customers and the development and strengthening of these relationships. Following from this, this research is about Dutch TPL providers expanding their services into less traditional logistics activities and further diversifying the services offered: TPL providers creating new (international) business for themselves.</w:t>
      </w:r>
    </w:p>
    <w:p w:rsidR="00FA0BDF" w:rsidRDefault="00FA0BDF" w:rsidP="00FA0BDF">
      <w:pPr>
        <w:spacing w:line="360" w:lineRule="auto"/>
        <w:jc w:val="both"/>
        <w:rPr>
          <w:sz w:val="22"/>
          <w:szCs w:val="22"/>
        </w:rPr>
      </w:pPr>
      <w:r>
        <w:rPr>
          <w:sz w:val="22"/>
          <w:szCs w:val="22"/>
        </w:rPr>
        <w:t>Dutch TPL relationships are best characterized by highlighting a few insights. Nearly all TPL providers select their customers on the prospect of a long-term relationship.</w:t>
      </w:r>
      <w:r w:rsidRPr="00FA2754">
        <w:rPr>
          <w:sz w:val="22"/>
          <w:szCs w:val="22"/>
        </w:rPr>
        <w:t xml:space="preserve"> </w:t>
      </w:r>
      <w:r>
        <w:rPr>
          <w:sz w:val="22"/>
          <w:szCs w:val="22"/>
        </w:rPr>
        <w:t>Although current business is not believed to limit future customer relationships, capabilities and competencies are thought to be shaped by customer relationships from the past and TPL providers do take into account how a potential new client is expected to fit in their industry focus and how servicing such a customer helps in developing the providers’ capacities. It is therefore remarkable that just 15% of all respondents state that the average contract period of two years increased in recent years.  That TPL providers become of more strategic importance for their customers is demonstrated by the fact that most customers’ decisions regarding outsourcing activities to TPL providers are taken by strategic management. However, most respondents agreed with the statement that customers mainly outsource operational and repetitive activities and to a lesser extend services that are of strategic importance to them.</w:t>
      </w:r>
    </w:p>
    <w:p w:rsidR="00FA0BDF" w:rsidRDefault="00FA0BDF" w:rsidP="00FA0BDF">
      <w:pPr>
        <w:spacing w:line="360" w:lineRule="auto"/>
        <w:jc w:val="both"/>
        <w:rPr>
          <w:sz w:val="22"/>
          <w:szCs w:val="22"/>
        </w:rPr>
      </w:pPr>
      <w:r>
        <w:rPr>
          <w:sz w:val="22"/>
          <w:szCs w:val="22"/>
        </w:rPr>
        <w:t xml:space="preserve">Although almost 40% of all respondents get the majority of turnover from within national borders, this situation is likely to change since the majority of TPL providers wants to further internationalize in the upcoming years. Developments in the field of near shoring are likely to further trigger this intention. Given the fact that the vast majority of Dutch TPL providers </w:t>
      </w:r>
      <w:r w:rsidR="006B4980">
        <w:rPr>
          <w:sz w:val="22"/>
          <w:szCs w:val="22"/>
        </w:rPr>
        <w:t>have</w:t>
      </w:r>
      <w:r>
        <w:rPr>
          <w:sz w:val="22"/>
          <w:szCs w:val="22"/>
        </w:rPr>
        <w:t xml:space="preserve"> no global focus, it’s safe to say further internationalization will presumably take place inside Europe.</w:t>
      </w:r>
    </w:p>
    <w:p w:rsidR="00FA0BDF" w:rsidRDefault="00FA0BDF" w:rsidP="00FA0BDF">
      <w:pPr>
        <w:spacing w:line="360" w:lineRule="auto"/>
        <w:jc w:val="both"/>
        <w:rPr>
          <w:sz w:val="22"/>
          <w:szCs w:val="22"/>
        </w:rPr>
      </w:pPr>
      <w:r>
        <w:rPr>
          <w:sz w:val="22"/>
          <w:szCs w:val="22"/>
        </w:rPr>
        <w:t xml:space="preserve">An acknowledged </w:t>
      </w:r>
      <w:r w:rsidRPr="00E066FD">
        <w:rPr>
          <w:sz w:val="22"/>
          <w:szCs w:val="22"/>
        </w:rPr>
        <w:t xml:space="preserve">way of diversifying services, attracting and retaining (stronger) customer relationships and thus making </w:t>
      </w:r>
      <w:r>
        <w:rPr>
          <w:sz w:val="22"/>
          <w:szCs w:val="22"/>
        </w:rPr>
        <w:t>your service less commoditized is by</w:t>
      </w:r>
      <w:r w:rsidRPr="00E066FD">
        <w:rPr>
          <w:sz w:val="22"/>
          <w:szCs w:val="22"/>
        </w:rPr>
        <w:t xml:space="preserve"> </w:t>
      </w:r>
      <w:r>
        <w:rPr>
          <w:sz w:val="22"/>
          <w:szCs w:val="22"/>
        </w:rPr>
        <w:t>being an e</w:t>
      </w:r>
      <w:r w:rsidRPr="00E066FD">
        <w:rPr>
          <w:sz w:val="22"/>
          <w:szCs w:val="22"/>
        </w:rPr>
        <w:t>nvironmental</w:t>
      </w:r>
      <w:r>
        <w:rPr>
          <w:sz w:val="22"/>
          <w:szCs w:val="22"/>
        </w:rPr>
        <w:t xml:space="preserve">ly aware TPL provider. But becoming of more strategic importance can also be achieved by doing client specific investments, as is done by three-quarter of the respondents. Though the majority of </w:t>
      </w:r>
      <w:r>
        <w:rPr>
          <w:sz w:val="22"/>
          <w:szCs w:val="22"/>
        </w:rPr>
        <w:lastRenderedPageBreak/>
        <w:t xml:space="preserve">investments made by TPL providers </w:t>
      </w:r>
      <w:r w:rsidR="006B4980">
        <w:rPr>
          <w:sz w:val="22"/>
          <w:szCs w:val="22"/>
        </w:rPr>
        <w:t>are</w:t>
      </w:r>
      <w:r>
        <w:rPr>
          <w:sz w:val="22"/>
          <w:szCs w:val="22"/>
        </w:rPr>
        <w:t xml:space="preserve"> suitable for servicing multiple clients, about a quarter of total investments recently done by TPL </w:t>
      </w:r>
      <w:r w:rsidR="006B4980">
        <w:rPr>
          <w:sz w:val="22"/>
          <w:szCs w:val="22"/>
        </w:rPr>
        <w:t>providers are</w:t>
      </w:r>
      <w:r>
        <w:rPr>
          <w:sz w:val="22"/>
          <w:szCs w:val="22"/>
        </w:rPr>
        <w:t xml:space="preserve"> spent on client specific investments. </w:t>
      </w:r>
      <w:r w:rsidR="006B4980">
        <w:rPr>
          <w:sz w:val="22"/>
          <w:szCs w:val="22"/>
        </w:rPr>
        <w:t xml:space="preserve">Although these investments are often funded by both customers and TPL provider, 50% of all client specific investments are mainly funded by the TPL provider. </w:t>
      </w:r>
      <w:r>
        <w:rPr>
          <w:sz w:val="22"/>
          <w:szCs w:val="22"/>
        </w:rPr>
        <w:t xml:space="preserve">Another 25% of all client specific investments </w:t>
      </w:r>
      <w:r w:rsidR="006B4980">
        <w:rPr>
          <w:sz w:val="22"/>
          <w:szCs w:val="22"/>
        </w:rPr>
        <w:t>are</w:t>
      </w:r>
      <w:r>
        <w:rPr>
          <w:sz w:val="22"/>
          <w:szCs w:val="22"/>
        </w:rPr>
        <w:t xml:space="preserve"> completely funded by the TPL provider. This proves how important it is for TPL providers to be of more strategic importance for their customers. Besides that, the wish to distinguish themselves from competition is also an important reason for making client specific investments.</w:t>
      </w:r>
    </w:p>
    <w:p w:rsidR="00FA0BDF" w:rsidRDefault="00FA0BDF" w:rsidP="00FA0BDF">
      <w:pPr>
        <w:spacing w:line="360" w:lineRule="auto"/>
        <w:jc w:val="both"/>
        <w:rPr>
          <w:sz w:val="22"/>
          <w:szCs w:val="22"/>
        </w:rPr>
      </w:pPr>
      <w:r>
        <w:rPr>
          <w:sz w:val="22"/>
          <w:szCs w:val="22"/>
        </w:rPr>
        <w:t xml:space="preserve">Dutch TPL providers have committed themselves to provide </w:t>
      </w:r>
      <w:r w:rsidRPr="001202ED">
        <w:rPr>
          <w:sz w:val="22"/>
          <w:szCs w:val="22"/>
        </w:rPr>
        <w:t>their customers with services that add more value to their customers’ business than that the customers would be able to achieve themselves</w:t>
      </w:r>
      <w:r>
        <w:rPr>
          <w:sz w:val="22"/>
          <w:szCs w:val="22"/>
        </w:rPr>
        <w:t xml:space="preserve">. The value added services offered by Dutch TPL providers contain a large spectrum of services, of which some services are not related to traditional logistics. On average, one fifth of all turnover is derived from value added logistics, thereby TPL providers prove they can develop new business for themselves. But there is more proof </w:t>
      </w:r>
      <w:r w:rsidR="006B4980">
        <w:rPr>
          <w:sz w:val="22"/>
          <w:szCs w:val="22"/>
        </w:rPr>
        <w:t>that the</w:t>
      </w:r>
      <w:r w:rsidRPr="00E313A3">
        <w:rPr>
          <w:sz w:val="22"/>
          <w:szCs w:val="22"/>
        </w:rPr>
        <w:t xml:space="preserve"> ‘typical’ supply chain format is changing.</w:t>
      </w:r>
      <w:r>
        <w:rPr>
          <w:sz w:val="22"/>
          <w:szCs w:val="22"/>
        </w:rPr>
        <w:t xml:space="preserve"> From literature we found that m</w:t>
      </w:r>
      <w:r w:rsidRPr="00E313A3">
        <w:rPr>
          <w:sz w:val="22"/>
          <w:szCs w:val="22"/>
        </w:rPr>
        <w:t>anufacturing doesn’t just take place at the manufacturer, but also further downstream the supply chain, enabling the TPL provider to try and capture this business</w:t>
      </w:r>
      <w:r>
        <w:rPr>
          <w:sz w:val="22"/>
          <w:szCs w:val="22"/>
        </w:rPr>
        <w:t>. Having said this, Dutch TPL providers are inconclusive whether this is reality for them.</w:t>
      </w:r>
      <w:r>
        <w:t xml:space="preserve"> </w:t>
      </w:r>
      <w:r>
        <w:rPr>
          <w:sz w:val="22"/>
          <w:szCs w:val="22"/>
        </w:rPr>
        <w:t xml:space="preserve">Having discussed the more physical side of the supply chain and the changes involved for TPL providers to expand their business, focusing more on supply chain management is another way of getting hold of a larger part of the supply chain, thereby diversifying the </w:t>
      </w:r>
      <w:r w:rsidR="006B4980">
        <w:rPr>
          <w:sz w:val="22"/>
          <w:szCs w:val="22"/>
        </w:rPr>
        <w:t>providers’</w:t>
      </w:r>
      <w:r>
        <w:rPr>
          <w:sz w:val="22"/>
          <w:szCs w:val="22"/>
        </w:rPr>
        <w:t xml:space="preserve"> service offerings. Although the majority of TPL providers sees offering supply chain management as a major opportunity for them, most notice </w:t>
      </w:r>
      <w:r w:rsidR="00F61EA4">
        <w:rPr>
          <w:sz w:val="22"/>
          <w:szCs w:val="22"/>
        </w:rPr>
        <w:t xml:space="preserve">that </w:t>
      </w:r>
      <w:r>
        <w:rPr>
          <w:sz w:val="22"/>
          <w:szCs w:val="22"/>
        </w:rPr>
        <w:t>customers are to</w:t>
      </w:r>
      <w:r w:rsidR="00F61EA4">
        <w:rPr>
          <w:sz w:val="22"/>
          <w:szCs w:val="22"/>
        </w:rPr>
        <w:t>o</w:t>
      </w:r>
      <w:r>
        <w:rPr>
          <w:sz w:val="22"/>
          <w:szCs w:val="22"/>
        </w:rPr>
        <w:t xml:space="preserve"> focused on short term price levels and lowering costs of logistics: for further developing this business the mindset of the customer towards supply chain management must be changed.</w:t>
      </w:r>
    </w:p>
    <w:p w:rsidR="00FA0BDF" w:rsidRDefault="00FA0BDF" w:rsidP="00FA0BDF">
      <w:pPr>
        <w:spacing w:line="360" w:lineRule="auto"/>
        <w:jc w:val="both"/>
        <w:rPr>
          <w:noProof/>
          <w:sz w:val="22"/>
          <w:szCs w:val="22"/>
        </w:rPr>
      </w:pPr>
      <w:r w:rsidRPr="00D35030">
        <w:rPr>
          <w:sz w:val="22"/>
          <w:szCs w:val="22"/>
        </w:rPr>
        <w:t xml:space="preserve">To end up with strategic positioning, </w:t>
      </w:r>
      <w:r w:rsidR="006B4980" w:rsidRPr="00D35030">
        <w:rPr>
          <w:sz w:val="22"/>
          <w:szCs w:val="22"/>
        </w:rPr>
        <w:t>it</w:t>
      </w:r>
      <w:r w:rsidRPr="00D35030">
        <w:rPr>
          <w:sz w:val="22"/>
          <w:szCs w:val="22"/>
        </w:rPr>
        <w:t xml:space="preserve"> should be known that the </w:t>
      </w:r>
      <w:r>
        <w:rPr>
          <w:sz w:val="22"/>
          <w:szCs w:val="22"/>
        </w:rPr>
        <w:t xml:space="preserve">strategic </w:t>
      </w:r>
      <w:r w:rsidRPr="00D35030">
        <w:rPr>
          <w:sz w:val="22"/>
          <w:szCs w:val="22"/>
        </w:rPr>
        <w:t>po</w:t>
      </w:r>
      <w:r>
        <w:rPr>
          <w:sz w:val="22"/>
          <w:szCs w:val="22"/>
        </w:rPr>
        <w:t>sitioning of TPL providers is mostly</w:t>
      </w:r>
      <w:r w:rsidRPr="00D35030">
        <w:rPr>
          <w:sz w:val="22"/>
          <w:szCs w:val="22"/>
        </w:rPr>
        <w:t xml:space="preserve"> described by their general problem solving capabilities on the one hand and their ability to adapt to the customer on the other.</w:t>
      </w:r>
      <w:r>
        <w:rPr>
          <w:sz w:val="22"/>
          <w:szCs w:val="22"/>
        </w:rPr>
        <w:t xml:space="preserve"> Although, in the current situation, most TPL providers are focused on </w:t>
      </w:r>
      <w:r w:rsidRPr="00D35030">
        <w:rPr>
          <w:sz w:val="22"/>
          <w:szCs w:val="22"/>
        </w:rPr>
        <w:t>their general</w:t>
      </w:r>
      <w:r>
        <w:rPr>
          <w:sz w:val="22"/>
          <w:szCs w:val="22"/>
        </w:rPr>
        <w:t xml:space="preserve"> problem solving capabilities, </w:t>
      </w:r>
      <w:r>
        <w:rPr>
          <w:noProof/>
          <w:sz w:val="22"/>
          <w:szCs w:val="22"/>
        </w:rPr>
        <w:t>it is the trend to wanting to become a more dedicated service provider: thereby probably aiming at becoming of more strategic importance for the customer and taking benefit from this situation.</w:t>
      </w:r>
    </w:p>
    <w:p w:rsidR="00590513" w:rsidRPr="00FA0BDF" w:rsidRDefault="00FA0BDF" w:rsidP="00590513">
      <w:pPr>
        <w:rPr>
          <w:noProof/>
          <w:sz w:val="22"/>
          <w:szCs w:val="22"/>
        </w:rPr>
      </w:pPr>
      <w:r>
        <w:rPr>
          <w:noProof/>
          <w:sz w:val="22"/>
          <w:szCs w:val="22"/>
        </w:rPr>
        <w:br w:type="page"/>
      </w:r>
    </w:p>
    <w:p w:rsidR="00590513" w:rsidRPr="009315AD" w:rsidRDefault="00590513" w:rsidP="00590513">
      <w:pPr>
        <w:pStyle w:val="Kop2"/>
        <w:numPr>
          <w:ilvl w:val="1"/>
          <w:numId w:val="13"/>
        </w:numPr>
        <w:rPr>
          <w:rFonts w:asciiTheme="majorHAnsi" w:hAnsiTheme="majorHAnsi"/>
        </w:rPr>
      </w:pPr>
      <w:bookmarkStart w:id="39" w:name="_Toc300412012"/>
      <w:r w:rsidRPr="009315AD">
        <w:rPr>
          <w:rFonts w:asciiTheme="majorHAnsi" w:hAnsiTheme="majorHAnsi"/>
        </w:rPr>
        <w:lastRenderedPageBreak/>
        <w:t>Limitations</w:t>
      </w:r>
      <w:bookmarkEnd w:id="39"/>
    </w:p>
    <w:p w:rsidR="00D02DF4" w:rsidRDefault="00D02DF4" w:rsidP="00D02DF4">
      <w:pPr>
        <w:spacing w:line="360" w:lineRule="auto"/>
        <w:jc w:val="both"/>
        <w:rPr>
          <w:sz w:val="22"/>
          <w:szCs w:val="22"/>
        </w:rPr>
      </w:pPr>
      <w:r>
        <w:rPr>
          <w:sz w:val="22"/>
          <w:szCs w:val="22"/>
        </w:rPr>
        <w:t>The most important limitation of this research is having limitations with respect to the generality of the findings. This research uses the answers of twenty-seven Dutch TPL providers to analyze certain subjects related to the main research question. But the answer I got may have been different if there were more respondents. The resear</w:t>
      </w:r>
      <w:r w:rsidR="009A0BA9">
        <w:rPr>
          <w:sz w:val="22"/>
          <w:szCs w:val="22"/>
        </w:rPr>
        <w:t>ch results might also be skewed</w:t>
      </w:r>
      <w:r>
        <w:rPr>
          <w:sz w:val="22"/>
          <w:szCs w:val="22"/>
        </w:rPr>
        <w:t xml:space="preserve"> by the characteristics of the respondents. In this case, most respondents are </w:t>
      </w:r>
      <w:r w:rsidR="00304080">
        <w:rPr>
          <w:sz w:val="22"/>
          <w:szCs w:val="22"/>
        </w:rPr>
        <w:t>sized between 50 and 200 employees. This could bias the results of this study. Summarizing, t</w:t>
      </w:r>
      <w:r>
        <w:rPr>
          <w:sz w:val="22"/>
          <w:szCs w:val="22"/>
        </w:rPr>
        <w:t xml:space="preserve">he behavior of the respondents to this study might be different from the behavior of </w:t>
      </w:r>
      <w:r w:rsidR="00304080">
        <w:rPr>
          <w:sz w:val="22"/>
          <w:szCs w:val="22"/>
        </w:rPr>
        <w:t xml:space="preserve">the total </w:t>
      </w:r>
      <w:r>
        <w:rPr>
          <w:sz w:val="22"/>
          <w:szCs w:val="22"/>
        </w:rPr>
        <w:t>Dutch TPL providers</w:t>
      </w:r>
      <w:r w:rsidR="00304080">
        <w:rPr>
          <w:sz w:val="22"/>
          <w:szCs w:val="22"/>
        </w:rPr>
        <w:t xml:space="preserve"> </w:t>
      </w:r>
      <w:r w:rsidR="006B4980">
        <w:rPr>
          <w:sz w:val="22"/>
          <w:szCs w:val="22"/>
        </w:rPr>
        <w:t>industry.</w:t>
      </w:r>
    </w:p>
    <w:p w:rsidR="00D02DF4" w:rsidRDefault="00304080" w:rsidP="00593FEE">
      <w:pPr>
        <w:spacing w:line="360" w:lineRule="auto"/>
        <w:jc w:val="both"/>
        <w:rPr>
          <w:sz w:val="22"/>
          <w:szCs w:val="22"/>
        </w:rPr>
      </w:pPr>
      <w:r>
        <w:rPr>
          <w:sz w:val="22"/>
          <w:szCs w:val="22"/>
        </w:rPr>
        <w:t xml:space="preserve">By making use of cross tabulation and </w:t>
      </w:r>
      <w:r w:rsidRPr="00304080">
        <w:rPr>
          <w:sz w:val="22"/>
          <w:szCs w:val="22"/>
        </w:rPr>
        <w:t xml:space="preserve">corresponding </w:t>
      </w:r>
      <w:r w:rsidRPr="00304080">
        <w:rPr>
          <w:rFonts w:eastAsia="Times New Roman" w:cs="Arial"/>
          <w:sz w:val="22"/>
          <w:szCs w:val="22"/>
          <w:lang w:eastAsia="nl-NL" w:bidi="ar-SA"/>
        </w:rPr>
        <w:t>statistical association measurements</w:t>
      </w:r>
      <w:r>
        <w:rPr>
          <w:rFonts w:eastAsia="Times New Roman" w:cs="Arial"/>
          <w:sz w:val="22"/>
          <w:szCs w:val="22"/>
          <w:lang w:eastAsia="nl-NL" w:bidi="ar-SA"/>
        </w:rPr>
        <w:t xml:space="preserve">, </w:t>
      </w:r>
      <w:r w:rsidRPr="00304080">
        <w:rPr>
          <w:rFonts w:eastAsia="Times New Roman" w:cs="Arial"/>
          <w:sz w:val="22"/>
          <w:szCs w:val="22"/>
          <w:lang w:eastAsia="nl-NL" w:bidi="ar-SA"/>
        </w:rPr>
        <w:t>suspected rela</w:t>
      </w:r>
      <w:r>
        <w:rPr>
          <w:rFonts w:eastAsia="Times New Roman" w:cs="Arial"/>
          <w:sz w:val="22"/>
          <w:szCs w:val="22"/>
          <w:lang w:eastAsia="nl-NL" w:bidi="ar-SA"/>
        </w:rPr>
        <w:t xml:space="preserve">tionship between two </w:t>
      </w:r>
      <w:r w:rsidR="006B4980">
        <w:rPr>
          <w:rFonts w:eastAsia="Times New Roman" w:cs="Arial"/>
          <w:sz w:val="22"/>
          <w:szCs w:val="22"/>
          <w:lang w:eastAsia="nl-NL" w:bidi="ar-SA"/>
        </w:rPr>
        <w:t>variables</w:t>
      </w:r>
      <w:r w:rsidR="006B4980" w:rsidRPr="00304080">
        <w:rPr>
          <w:rFonts w:eastAsia="Times New Roman" w:cs="Arial"/>
          <w:sz w:val="22"/>
          <w:szCs w:val="22"/>
          <w:lang w:eastAsia="nl-NL" w:bidi="ar-SA"/>
        </w:rPr>
        <w:t xml:space="preserve"> </w:t>
      </w:r>
      <w:r w:rsidR="006B4980">
        <w:rPr>
          <w:rFonts w:eastAsia="Times New Roman" w:cs="Arial"/>
          <w:sz w:val="22"/>
          <w:szCs w:val="22"/>
          <w:lang w:eastAsia="nl-NL" w:bidi="ar-SA"/>
        </w:rPr>
        <w:t>can</w:t>
      </w:r>
      <w:r>
        <w:rPr>
          <w:rFonts w:eastAsia="Times New Roman" w:cs="Arial"/>
          <w:sz w:val="22"/>
          <w:szCs w:val="22"/>
          <w:lang w:eastAsia="nl-NL" w:bidi="ar-SA"/>
        </w:rPr>
        <w:t xml:space="preserve"> be checked at a certain measurement level.</w:t>
      </w:r>
      <w:r w:rsidRPr="00304080">
        <w:rPr>
          <w:rFonts w:eastAsia="Times New Roman" w:cs="Arial"/>
          <w:sz w:val="22"/>
          <w:szCs w:val="22"/>
          <w:lang w:eastAsia="nl-NL" w:bidi="ar-SA"/>
        </w:rPr>
        <w:t xml:space="preserve"> </w:t>
      </w:r>
      <w:r>
        <w:rPr>
          <w:rFonts w:eastAsia="Times New Roman" w:cs="Arial"/>
          <w:sz w:val="22"/>
          <w:szCs w:val="22"/>
          <w:lang w:eastAsia="nl-NL" w:bidi="ar-SA"/>
        </w:rPr>
        <w:t>By this searching for correlation</w:t>
      </w:r>
      <w:r w:rsidR="00E45E19">
        <w:rPr>
          <w:rFonts w:eastAsia="Times New Roman" w:cs="Arial"/>
          <w:sz w:val="22"/>
          <w:szCs w:val="22"/>
          <w:lang w:eastAsia="nl-NL" w:bidi="ar-SA"/>
        </w:rPr>
        <w:t xml:space="preserve"> I can find a relationship between two variables with much explanatory power. However, two variables may appear to be associated when in reality </w:t>
      </w:r>
      <w:r w:rsidR="006B4980">
        <w:rPr>
          <w:rFonts w:eastAsia="Times New Roman" w:cs="Arial"/>
          <w:sz w:val="22"/>
          <w:szCs w:val="22"/>
          <w:lang w:eastAsia="nl-NL" w:bidi="ar-SA"/>
        </w:rPr>
        <w:t>an</w:t>
      </w:r>
      <w:r w:rsidR="00E45E19">
        <w:rPr>
          <w:rFonts w:eastAsia="Times New Roman" w:cs="Arial"/>
          <w:sz w:val="22"/>
          <w:szCs w:val="22"/>
          <w:lang w:eastAsia="nl-NL" w:bidi="ar-SA"/>
        </w:rPr>
        <w:t xml:space="preserve"> unknown third variable could be responsible for this apparent relation. </w:t>
      </w:r>
      <w:r w:rsidR="00E45E19">
        <w:rPr>
          <w:sz w:val="22"/>
          <w:szCs w:val="22"/>
        </w:rPr>
        <w:t>Isolated variables were analyzed by interpreting their percentage breakdown and by the use of measures of central tendency. These measures of central tendency are better known as the median, mean and mode</w:t>
      </w:r>
      <w:sdt>
        <w:sdtPr>
          <w:rPr>
            <w:sz w:val="22"/>
            <w:szCs w:val="22"/>
          </w:rPr>
          <w:id w:val="6555285"/>
          <w:citation/>
        </w:sdtPr>
        <w:sdtContent>
          <w:r w:rsidR="00BD69D8">
            <w:rPr>
              <w:sz w:val="22"/>
              <w:szCs w:val="22"/>
            </w:rPr>
            <w:fldChar w:fldCharType="begin"/>
          </w:r>
          <w:r w:rsidR="00E45E19">
            <w:rPr>
              <w:sz w:val="22"/>
              <w:szCs w:val="22"/>
            </w:rPr>
            <w:instrText xml:space="preserve"> CITATION Fie09 \l 1033 </w:instrText>
          </w:r>
          <w:r w:rsidR="00BD69D8">
            <w:rPr>
              <w:sz w:val="22"/>
              <w:szCs w:val="22"/>
            </w:rPr>
            <w:fldChar w:fldCharType="separate"/>
          </w:r>
          <w:r w:rsidR="00F26771">
            <w:rPr>
              <w:noProof/>
              <w:sz w:val="22"/>
              <w:szCs w:val="22"/>
            </w:rPr>
            <w:t xml:space="preserve"> </w:t>
          </w:r>
          <w:r w:rsidR="00F26771" w:rsidRPr="00F26771">
            <w:rPr>
              <w:noProof/>
              <w:sz w:val="22"/>
              <w:szCs w:val="22"/>
            </w:rPr>
            <w:t>(Field, 2009)</w:t>
          </w:r>
          <w:r w:rsidR="00BD69D8">
            <w:rPr>
              <w:sz w:val="22"/>
              <w:szCs w:val="22"/>
            </w:rPr>
            <w:fldChar w:fldCharType="end"/>
          </w:r>
        </w:sdtContent>
      </w:sdt>
      <w:r w:rsidR="00E45E19">
        <w:rPr>
          <w:sz w:val="22"/>
          <w:szCs w:val="22"/>
        </w:rPr>
        <w:t>. Especially the percentage breakdowns of some variables and the mean have a bigger standard deviation when the number of observations</w:t>
      </w:r>
      <w:r w:rsidR="00593FEE">
        <w:rPr>
          <w:sz w:val="22"/>
          <w:szCs w:val="22"/>
        </w:rPr>
        <w:t xml:space="preserve"> used</w:t>
      </w:r>
      <w:r w:rsidR="00E45E19">
        <w:rPr>
          <w:sz w:val="22"/>
          <w:szCs w:val="22"/>
        </w:rPr>
        <w:t xml:space="preserve"> is limited</w:t>
      </w:r>
      <w:r w:rsidR="00593FEE">
        <w:rPr>
          <w:sz w:val="22"/>
          <w:szCs w:val="22"/>
        </w:rPr>
        <w:t xml:space="preserve">. This problem mostly occurred when I was interested in the score on a certain variable </w:t>
      </w:r>
      <w:r w:rsidR="006B4980">
        <w:rPr>
          <w:sz w:val="22"/>
          <w:szCs w:val="22"/>
        </w:rPr>
        <w:t>for a</w:t>
      </w:r>
      <w:r w:rsidR="00593FEE">
        <w:rPr>
          <w:sz w:val="22"/>
          <w:szCs w:val="22"/>
        </w:rPr>
        <w:t xml:space="preserve"> certain group of respondents. </w:t>
      </w:r>
    </w:p>
    <w:p w:rsidR="00D02DF4" w:rsidRDefault="00593FEE" w:rsidP="007A490D">
      <w:pPr>
        <w:spacing w:line="360" w:lineRule="auto"/>
        <w:jc w:val="both"/>
        <w:rPr>
          <w:sz w:val="22"/>
          <w:szCs w:val="22"/>
        </w:rPr>
      </w:pPr>
      <w:r>
        <w:rPr>
          <w:sz w:val="22"/>
          <w:szCs w:val="22"/>
        </w:rPr>
        <w:t>As mentioned in the chapter on results of this research, I found some inconsistencies when measuring the relationship between certain variables. Sometimes I expected respondent A to totally agree on, for example</w:t>
      </w:r>
      <w:r w:rsidR="006B4980">
        <w:rPr>
          <w:sz w:val="22"/>
          <w:szCs w:val="22"/>
        </w:rPr>
        <w:t>, statements</w:t>
      </w:r>
      <w:r>
        <w:rPr>
          <w:sz w:val="22"/>
          <w:szCs w:val="22"/>
        </w:rPr>
        <w:t xml:space="preserve"> 29 and 42.</w:t>
      </w:r>
      <w:r w:rsidR="0093226B">
        <w:rPr>
          <w:sz w:val="22"/>
          <w:szCs w:val="22"/>
        </w:rPr>
        <w:t xml:space="preserve"> As</w:t>
      </w:r>
      <w:r>
        <w:rPr>
          <w:sz w:val="22"/>
          <w:szCs w:val="22"/>
        </w:rPr>
        <w:t xml:space="preserve"> I already mentioned</w:t>
      </w:r>
      <w:r w:rsidR="0093226B">
        <w:rPr>
          <w:sz w:val="22"/>
          <w:szCs w:val="22"/>
        </w:rPr>
        <w:t>,</w:t>
      </w:r>
      <w:r>
        <w:rPr>
          <w:sz w:val="22"/>
          <w:szCs w:val="22"/>
        </w:rPr>
        <w:t xml:space="preserve"> sometimes these inconsistent answering of the respondents couldn’t be explained by me</w:t>
      </w:r>
      <w:r w:rsidR="0065733B">
        <w:rPr>
          <w:sz w:val="22"/>
          <w:szCs w:val="22"/>
        </w:rPr>
        <w:t>. It’s not true that this automati</w:t>
      </w:r>
      <w:r w:rsidR="009A0BA9">
        <w:rPr>
          <w:sz w:val="22"/>
          <w:szCs w:val="22"/>
        </w:rPr>
        <w:t xml:space="preserve">cally is explained by the way how </w:t>
      </w:r>
      <w:r w:rsidR="0065733B">
        <w:rPr>
          <w:sz w:val="22"/>
          <w:szCs w:val="22"/>
        </w:rPr>
        <w:t>the question</w:t>
      </w:r>
      <w:r w:rsidR="00CE2D36">
        <w:rPr>
          <w:sz w:val="22"/>
          <w:szCs w:val="22"/>
        </w:rPr>
        <w:t xml:space="preserve"> and included terminology</w:t>
      </w:r>
      <w:r w:rsidR="0065733B">
        <w:rPr>
          <w:sz w:val="22"/>
          <w:szCs w:val="22"/>
        </w:rPr>
        <w:t xml:space="preserve"> was fo</w:t>
      </w:r>
      <w:r w:rsidR="009A0BA9">
        <w:rPr>
          <w:sz w:val="22"/>
          <w:szCs w:val="22"/>
        </w:rPr>
        <w:t>rmulated/asked/described, but this could be the ca</w:t>
      </w:r>
      <w:r w:rsidR="0065733B">
        <w:rPr>
          <w:sz w:val="22"/>
          <w:szCs w:val="22"/>
        </w:rPr>
        <w:t xml:space="preserve">se. Another explanation might </w:t>
      </w:r>
      <w:r w:rsidR="006B4980">
        <w:rPr>
          <w:sz w:val="22"/>
          <w:szCs w:val="22"/>
        </w:rPr>
        <w:t>be the</w:t>
      </w:r>
      <w:r w:rsidR="0065733B">
        <w:rPr>
          <w:sz w:val="22"/>
          <w:szCs w:val="22"/>
        </w:rPr>
        <w:t xml:space="preserve"> respondent not paying full attention to the questionnaire, which might be explained by the fact that the questionnaire was a bit long. </w:t>
      </w:r>
      <w:r w:rsidR="0093226B">
        <w:rPr>
          <w:sz w:val="22"/>
          <w:szCs w:val="22"/>
        </w:rPr>
        <w:t xml:space="preserve"> If I were to this research again, I also would change the scale on which the statements could be answered from 1-5 to 1-10. This would improve the showed opinion of the respondent about the statements by making this opinion more accurate and ‘considered’. Besides that, a 1 to 10 scale could </w:t>
      </w:r>
      <w:r w:rsidR="007A490D">
        <w:rPr>
          <w:sz w:val="22"/>
          <w:szCs w:val="22"/>
        </w:rPr>
        <w:t xml:space="preserve">be analyzed on </w:t>
      </w:r>
      <w:r w:rsidR="006B4980">
        <w:rPr>
          <w:sz w:val="22"/>
          <w:szCs w:val="22"/>
        </w:rPr>
        <w:t>an</w:t>
      </w:r>
      <w:r w:rsidR="007A490D">
        <w:rPr>
          <w:sz w:val="22"/>
          <w:szCs w:val="22"/>
        </w:rPr>
        <w:t xml:space="preserve"> ordinal level which enables to say something about the direction of relationships between two variables. Lastly, the research was limited by time due to the fact that after starting with this research, at the beginning of may 2011, I wanted to graduate in the academic year 2010-2011. </w:t>
      </w:r>
    </w:p>
    <w:p w:rsidR="007A490D" w:rsidRPr="007A490D" w:rsidRDefault="007A490D" w:rsidP="007A490D">
      <w:pPr>
        <w:spacing w:line="360" w:lineRule="auto"/>
        <w:jc w:val="both"/>
        <w:rPr>
          <w:sz w:val="22"/>
          <w:szCs w:val="22"/>
        </w:rPr>
      </w:pPr>
    </w:p>
    <w:p w:rsidR="00590513" w:rsidRPr="009315AD" w:rsidRDefault="00590513" w:rsidP="00590513">
      <w:pPr>
        <w:pStyle w:val="Kop2"/>
        <w:numPr>
          <w:ilvl w:val="1"/>
          <w:numId w:val="13"/>
        </w:numPr>
        <w:rPr>
          <w:rFonts w:asciiTheme="majorHAnsi" w:hAnsiTheme="majorHAnsi"/>
        </w:rPr>
      </w:pPr>
      <w:bookmarkStart w:id="40" w:name="_Toc300412013"/>
      <w:r w:rsidRPr="009315AD">
        <w:rPr>
          <w:rFonts w:asciiTheme="majorHAnsi" w:hAnsiTheme="majorHAnsi"/>
        </w:rPr>
        <w:lastRenderedPageBreak/>
        <w:t>future research</w:t>
      </w:r>
      <w:bookmarkEnd w:id="40"/>
    </w:p>
    <w:p w:rsidR="00B04D42" w:rsidRDefault="00B04D42" w:rsidP="00B40AAC">
      <w:pPr>
        <w:spacing w:line="360" w:lineRule="auto"/>
        <w:jc w:val="both"/>
        <w:rPr>
          <w:sz w:val="22"/>
          <w:szCs w:val="22"/>
        </w:rPr>
      </w:pPr>
      <w:r>
        <w:rPr>
          <w:sz w:val="22"/>
          <w:szCs w:val="22"/>
        </w:rPr>
        <w:t>This thesis describes how TPL providers in the Netherlands develop their business. It is like a picture taken on the current situation regarding this subject.  This research coul</w:t>
      </w:r>
      <w:r w:rsidR="00B40AAC">
        <w:rPr>
          <w:sz w:val="22"/>
          <w:szCs w:val="22"/>
        </w:rPr>
        <w:t xml:space="preserve">d be conducted annually, therefore it would be possible to closely monitor and identify certain trends in the development of the </w:t>
      </w:r>
      <w:r w:rsidR="000A1922">
        <w:rPr>
          <w:sz w:val="22"/>
          <w:szCs w:val="22"/>
        </w:rPr>
        <w:t>TPL providers’</w:t>
      </w:r>
      <w:r w:rsidR="00B40AAC">
        <w:rPr>
          <w:sz w:val="22"/>
          <w:szCs w:val="22"/>
        </w:rPr>
        <w:t xml:space="preserve"> industry</w:t>
      </w:r>
      <w:r w:rsidR="008218C3">
        <w:rPr>
          <w:sz w:val="22"/>
          <w:szCs w:val="22"/>
        </w:rPr>
        <w:t xml:space="preserve"> in the Netherlands</w:t>
      </w:r>
      <w:r w:rsidR="00B40AAC">
        <w:rPr>
          <w:sz w:val="22"/>
          <w:szCs w:val="22"/>
        </w:rPr>
        <w:t>.</w:t>
      </w:r>
      <w:r w:rsidR="008218C3">
        <w:rPr>
          <w:sz w:val="22"/>
          <w:szCs w:val="22"/>
        </w:rPr>
        <w:t xml:space="preserve"> </w:t>
      </w:r>
      <w:r w:rsidR="00F73045">
        <w:rPr>
          <w:sz w:val="22"/>
          <w:szCs w:val="22"/>
        </w:rPr>
        <w:t>The here conducted study could also be applied to different countries. The strategic development of TPL providers is described for the United States</w:t>
      </w:r>
      <w:r w:rsidR="00834587">
        <w:rPr>
          <w:sz w:val="22"/>
          <w:szCs w:val="22"/>
        </w:rPr>
        <w:t>, the European Union as a whole</w:t>
      </w:r>
      <w:r w:rsidR="00F73045">
        <w:rPr>
          <w:sz w:val="22"/>
          <w:szCs w:val="22"/>
        </w:rPr>
        <w:t xml:space="preserve"> and the Scandinavian countries</w:t>
      </w:r>
      <w:r w:rsidR="00CE2D36">
        <w:rPr>
          <w:sz w:val="22"/>
          <w:szCs w:val="22"/>
        </w:rPr>
        <w:t xml:space="preserve"> (most students on</w:t>
      </w:r>
      <w:r w:rsidR="008B5293">
        <w:rPr>
          <w:sz w:val="22"/>
          <w:szCs w:val="22"/>
        </w:rPr>
        <w:t xml:space="preserve"> this subject are Scandinavian)</w:t>
      </w:r>
      <w:r w:rsidR="00F73045">
        <w:rPr>
          <w:sz w:val="22"/>
          <w:szCs w:val="22"/>
        </w:rPr>
        <w:t>,</w:t>
      </w:r>
      <w:r w:rsidR="00C324BF">
        <w:rPr>
          <w:sz w:val="22"/>
          <w:szCs w:val="22"/>
        </w:rPr>
        <w:t xml:space="preserve"> but that’s about it: </w:t>
      </w:r>
      <w:r w:rsidR="00F73045">
        <w:rPr>
          <w:sz w:val="22"/>
          <w:szCs w:val="22"/>
        </w:rPr>
        <w:t>enough c</w:t>
      </w:r>
      <w:r w:rsidR="00C324BF">
        <w:rPr>
          <w:sz w:val="22"/>
          <w:szCs w:val="22"/>
        </w:rPr>
        <w:t>ountries are still left to study</w:t>
      </w:r>
      <w:r w:rsidR="00F73045">
        <w:rPr>
          <w:sz w:val="22"/>
          <w:szCs w:val="22"/>
        </w:rPr>
        <w:t>.</w:t>
      </w:r>
    </w:p>
    <w:p w:rsidR="00251632" w:rsidRDefault="00DE7168" w:rsidP="00B40AAC">
      <w:pPr>
        <w:spacing w:line="360" w:lineRule="auto"/>
        <w:jc w:val="both"/>
        <w:rPr>
          <w:sz w:val="22"/>
          <w:szCs w:val="22"/>
        </w:rPr>
      </w:pPr>
      <w:r>
        <w:rPr>
          <w:sz w:val="22"/>
          <w:szCs w:val="22"/>
        </w:rPr>
        <w:t>This</w:t>
      </w:r>
      <w:r w:rsidR="00B04D42">
        <w:rPr>
          <w:sz w:val="22"/>
          <w:szCs w:val="22"/>
        </w:rPr>
        <w:t xml:space="preserve"> study could provide more in-dep</w:t>
      </w:r>
      <w:r>
        <w:rPr>
          <w:sz w:val="22"/>
          <w:szCs w:val="22"/>
        </w:rPr>
        <w:t xml:space="preserve">th information when the subject was studied by conducting case studies. </w:t>
      </w:r>
      <w:r w:rsidR="008218C3">
        <w:rPr>
          <w:sz w:val="22"/>
          <w:szCs w:val="22"/>
        </w:rPr>
        <w:t xml:space="preserve">The cases studied could be large or small TPL providers, or both, depending on </w:t>
      </w:r>
      <w:r w:rsidR="000A1922">
        <w:rPr>
          <w:sz w:val="22"/>
          <w:szCs w:val="22"/>
        </w:rPr>
        <w:t>which kind</w:t>
      </w:r>
      <w:r w:rsidR="008218C3">
        <w:rPr>
          <w:sz w:val="22"/>
          <w:szCs w:val="22"/>
        </w:rPr>
        <w:t xml:space="preserve"> of TPL providers’ business development is the most interesting for the researcher. Another way of monitoring the development </w:t>
      </w:r>
      <w:r w:rsidR="00C9475E">
        <w:rPr>
          <w:sz w:val="22"/>
          <w:szCs w:val="22"/>
        </w:rPr>
        <w:t xml:space="preserve">of the TPL business could be by </w:t>
      </w:r>
      <w:r w:rsidR="008218C3">
        <w:rPr>
          <w:sz w:val="22"/>
          <w:szCs w:val="22"/>
        </w:rPr>
        <w:t xml:space="preserve">interviewing TPL providers’ (strategic) management. </w:t>
      </w:r>
      <w:r>
        <w:rPr>
          <w:sz w:val="22"/>
          <w:szCs w:val="22"/>
        </w:rPr>
        <w:t>For example, the survey instrument u</w:t>
      </w:r>
      <w:r w:rsidR="00B04D42">
        <w:rPr>
          <w:sz w:val="22"/>
          <w:szCs w:val="22"/>
        </w:rPr>
        <w:t xml:space="preserve">sed by Mr. Lieb, interviewing the CEOs of </w:t>
      </w:r>
      <w:r w:rsidR="006B4980">
        <w:rPr>
          <w:sz w:val="22"/>
          <w:szCs w:val="22"/>
        </w:rPr>
        <w:t>North</w:t>
      </w:r>
      <w:r w:rsidR="00B04D42">
        <w:rPr>
          <w:sz w:val="22"/>
          <w:szCs w:val="22"/>
        </w:rPr>
        <w:t xml:space="preserve"> America’s largest TPL providers might also be conducted in the Netherlands. </w:t>
      </w:r>
      <w:r w:rsidR="00751C05">
        <w:rPr>
          <w:sz w:val="22"/>
          <w:szCs w:val="22"/>
        </w:rPr>
        <w:t xml:space="preserve">As is the case with </w:t>
      </w:r>
      <w:r w:rsidR="000A1922">
        <w:rPr>
          <w:sz w:val="22"/>
          <w:szCs w:val="22"/>
        </w:rPr>
        <w:t>the research</w:t>
      </w:r>
      <w:r w:rsidR="00751C05">
        <w:rPr>
          <w:sz w:val="22"/>
          <w:szCs w:val="22"/>
        </w:rPr>
        <w:t xml:space="preserve"> of Mr. Lieb, this study could be conducted annually/periodic.</w:t>
      </w:r>
      <w:r w:rsidR="00251632" w:rsidRPr="00251632">
        <w:rPr>
          <w:sz w:val="22"/>
          <w:szCs w:val="22"/>
        </w:rPr>
        <w:t xml:space="preserve"> </w:t>
      </w:r>
    </w:p>
    <w:p w:rsidR="00183C99" w:rsidRPr="00A86233" w:rsidRDefault="00251632" w:rsidP="00B40AAC">
      <w:pPr>
        <w:spacing w:line="360" w:lineRule="auto"/>
        <w:jc w:val="both"/>
        <w:rPr>
          <w:rFonts w:cs="AdvPS405B6"/>
        </w:rPr>
      </w:pPr>
      <w:r>
        <w:rPr>
          <w:sz w:val="22"/>
          <w:szCs w:val="22"/>
        </w:rPr>
        <w:t>As mentioned before, according to Rahman (2011) very little attention has</w:t>
      </w:r>
      <w:r w:rsidRPr="00251632">
        <w:rPr>
          <w:rFonts w:cs="Times-Roman"/>
          <w:sz w:val="22"/>
          <w:szCs w:val="22"/>
        </w:rPr>
        <w:t xml:space="preserve"> </w:t>
      </w:r>
      <w:r w:rsidRPr="006D2978">
        <w:rPr>
          <w:rFonts w:cs="Times-Roman"/>
          <w:sz w:val="22"/>
          <w:szCs w:val="22"/>
        </w:rPr>
        <w:t xml:space="preserve">paid </w:t>
      </w:r>
      <w:r>
        <w:rPr>
          <w:rFonts w:cs="Times-Roman"/>
          <w:sz w:val="22"/>
          <w:szCs w:val="22"/>
        </w:rPr>
        <w:t xml:space="preserve">been paid </w:t>
      </w:r>
      <w:r w:rsidRPr="006D2978">
        <w:rPr>
          <w:rFonts w:cs="Times-Roman"/>
          <w:sz w:val="22"/>
          <w:szCs w:val="22"/>
        </w:rPr>
        <w:t>to studies simultaneously examining users’ and providers’ perspectives</w:t>
      </w:r>
      <w:r>
        <w:rPr>
          <w:sz w:val="22"/>
          <w:szCs w:val="22"/>
        </w:rPr>
        <w:t xml:space="preserve">. </w:t>
      </w:r>
      <w:r w:rsidR="00751C05">
        <w:rPr>
          <w:sz w:val="22"/>
          <w:szCs w:val="22"/>
        </w:rPr>
        <w:t xml:space="preserve"> </w:t>
      </w:r>
      <w:r w:rsidR="00A86233" w:rsidRPr="00A86233">
        <w:rPr>
          <w:sz w:val="22"/>
          <w:szCs w:val="22"/>
        </w:rPr>
        <w:t>It could also be interesting to compare the self-im</w:t>
      </w:r>
      <w:r w:rsidR="00A86233">
        <w:rPr>
          <w:sz w:val="22"/>
          <w:szCs w:val="22"/>
        </w:rPr>
        <w:t>age of the TPL providers with the perception of customers and other related groups.</w:t>
      </w:r>
      <w:r>
        <w:rPr>
          <w:sz w:val="22"/>
          <w:szCs w:val="22"/>
        </w:rPr>
        <w:t xml:space="preserve"> </w:t>
      </w:r>
      <w:r w:rsidR="00A86233" w:rsidRPr="00A86233">
        <w:rPr>
          <w:sz w:val="22"/>
          <w:szCs w:val="22"/>
        </w:rPr>
        <w:t xml:space="preserve">If inconsistencies would </w:t>
      </w:r>
      <w:r w:rsidR="00A86233">
        <w:rPr>
          <w:sz w:val="22"/>
          <w:szCs w:val="22"/>
        </w:rPr>
        <w:t>be observed</w:t>
      </w:r>
      <w:r w:rsidR="00A86233" w:rsidRPr="00A86233">
        <w:rPr>
          <w:sz w:val="22"/>
          <w:szCs w:val="22"/>
        </w:rPr>
        <w:t>, qualitative interviews should aim to f</w:t>
      </w:r>
      <w:r w:rsidR="00A86233">
        <w:rPr>
          <w:sz w:val="22"/>
          <w:szCs w:val="22"/>
        </w:rPr>
        <w:t>ind out how and why these different perceptions can exist.</w:t>
      </w:r>
    </w:p>
    <w:p w:rsidR="00243588" w:rsidRPr="00E46BBB" w:rsidRDefault="009E1AB3" w:rsidP="008941B1">
      <w:pPr>
        <w:spacing w:line="360" w:lineRule="auto"/>
        <w:jc w:val="both"/>
        <w:rPr>
          <w:rFonts w:eastAsia="Times New Roman" w:cs="Arial"/>
          <w:sz w:val="22"/>
          <w:szCs w:val="22"/>
          <w:lang w:eastAsia="nl-NL"/>
        </w:rPr>
      </w:pPr>
      <w:r w:rsidRPr="009E1AB3">
        <w:rPr>
          <w:rFonts w:eastAsia="Times New Roman" w:cs="Arial"/>
          <w:sz w:val="22"/>
          <w:szCs w:val="22"/>
          <w:lang w:eastAsia="nl-NL"/>
        </w:rPr>
        <w:t xml:space="preserve">When focusing more on the </w:t>
      </w:r>
      <w:r>
        <w:rPr>
          <w:rFonts w:eastAsia="Times New Roman" w:cs="Arial"/>
          <w:sz w:val="22"/>
          <w:szCs w:val="22"/>
          <w:lang w:eastAsia="nl-NL"/>
        </w:rPr>
        <w:t xml:space="preserve">results of this research, </w:t>
      </w:r>
      <w:r w:rsidR="00CE2D36">
        <w:rPr>
          <w:rFonts w:eastAsia="Times New Roman" w:cs="Arial"/>
          <w:sz w:val="22"/>
          <w:szCs w:val="22"/>
          <w:lang w:eastAsia="nl-NL"/>
        </w:rPr>
        <w:t xml:space="preserve">I find it really interesting that 80% of all respondents see near shoring as an opportunity for them. </w:t>
      </w:r>
      <w:r w:rsidR="00CE2D36" w:rsidRPr="00CE2D36">
        <w:rPr>
          <w:rFonts w:eastAsia="Times New Roman" w:cs="Arial"/>
          <w:sz w:val="22"/>
          <w:szCs w:val="22"/>
          <w:lang w:eastAsia="nl-NL"/>
        </w:rPr>
        <w:t>I would like to know why this is the c</w:t>
      </w:r>
      <w:r w:rsidR="00CE2D36">
        <w:rPr>
          <w:rFonts w:eastAsia="Times New Roman" w:cs="Arial"/>
          <w:sz w:val="22"/>
          <w:szCs w:val="22"/>
          <w:lang w:eastAsia="nl-NL"/>
        </w:rPr>
        <w:t xml:space="preserve">ase and whether TPL providers actually respond to this development. </w:t>
      </w:r>
      <w:r w:rsidR="00CE2D36" w:rsidRPr="00CE2D36">
        <w:rPr>
          <w:rFonts w:eastAsia="Times New Roman" w:cs="Arial"/>
          <w:sz w:val="22"/>
          <w:szCs w:val="22"/>
          <w:lang w:eastAsia="nl-NL"/>
        </w:rPr>
        <w:t>By</w:t>
      </w:r>
      <w:r w:rsidR="00CE2D36">
        <w:rPr>
          <w:rFonts w:eastAsia="Times New Roman" w:cs="Arial"/>
          <w:sz w:val="22"/>
          <w:szCs w:val="22"/>
          <w:lang w:eastAsia="nl-NL"/>
        </w:rPr>
        <w:t xml:space="preserve"> extension</w:t>
      </w:r>
      <w:r w:rsidR="00CE2D36" w:rsidRPr="00CE2D36">
        <w:rPr>
          <w:rFonts w:eastAsia="Times New Roman" w:cs="Arial"/>
          <w:sz w:val="22"/>
          <w:szCs w:val="22"/>
          <w:lang w:eastAsia="nl-NL"/>
        </w:rPr>
        <w:t xml:space="preserve">, </w:t>
      </w:r>
      <w:r w:rsidR="006B4980" w:rsidRPr="00CE2D36">
        <w:rPr>
          <w:rFonts w:eastAsia="Times New Roman" w:cs="Arial"/>
          <w:sz w:val="22"/>
          <w:szCs w:val="22"/>
          <w:lang w:eastAsia="nl-NL"/>
        </w:rPr>
        <w:t>it</w:t>
      </w:r>
      <w:r w:rsidR="00CE2D36" w:rsidRPr="00CE2D36">
        <w:rPr>
          <w:rFonts w:eastAsia="Times New Roman" w:cs="Arial"/>
          <w:sz w:val="22"/>
          <w:szCs w:val="22"/>
          <w:lang w:eastAsia="nl-NL"/>
        </w:rPr>
        <w:t xml:space="preserve"> is interesting </w:t>
      </w:r>
      <w:r w:rsidR="00CE2D36">
        <w:rPr>
          <w:rFonts w:eastAsia="Times New Roman" w:cs="Arial"/>
          <w:sz w:val="22"/>
          <w:szCs w:val="22"/>
          <w:lang w:eastAsia="nl-NL"/>
        </w:rPr>
        <w:t xml:space="preserve">to learn more about the magnitude of near shoring and the </w:t>
      </w:r>
      <w:r w:rsidR="0005209B">
        <w:rPr>
          <w:rFonts w:eastAsia="Times New Roman" w:cs="Arial"/>
          <w:sz w:val="22"/>
          <w:szCs w:val="22"/>
          <w:lang w:eastAsia="nl-NL"/>
        </w:rPr>
        <w:t xml:space="preserve">consequences for global transport. </w:t>
      </w:r>
      <w:r w:rsidR="0005209B" w:rsidRPr="0005209B">
        <w:rPr>
          <w:rFonts w:eastAsia="Times New Roman" w:cs="Arial"/>
          <w:sz w:val="22"/>
          <w:szCs w:val="22"/>
          <w:lang w:eastAsia="nl-NL"/>
        </w:rPr>
        <w:t xml:space="preserve">Another interesting subject could be to further investigate how </w:t>
      </w:r>
      <w:r w:rsidR="0005209B">
        <w:rPr>
          <w:rFonts w:eastAsia="Times New Roman" w:cs="Arial"/>
          <w:sz w:val="22"/>
          <w:szCs w:val="22"/>
          <w:lang w:eastAsia="nl-NL"/>
        </w:rPr>
        <w:t xml:space="preserve">TPL providers give shape to their commitment/intention to do environmentally friendly business. Last but not least, since I considered doing this study myself before starting this </w:t>
      </w:r>
      <w:r w:rsidR="006B4980">
        <w:rPr>
          <w:rFonts w:eastAsia="Times New Roman" w:cs="Arial"/>
          <w:sz w:val="22"/>
          <w:szCs w:val="22"/>
          <w:lang w:eastAsia="nl-NL"/>
        </w:rPr>
        <w:t>research; it</w:t>
      </w:r>
      <w:r w:rsidR="0005209B">
        <w:rPr>
          <w:rFonts w:eastAsia="Times New Roman" w:cs="Arial"/>
          <w:sz w:val="22"/>
          <w:szCs w:val="22"/>
          <w:lang w:eastAsia="nl-NL"/>
        </w:rPr>
        <w:t xml:space="preserve"> might be interesting to examine the 4PL industry in the Netherlands and/or studying how Dutch 4PL providers develop their business. </w:t>
      </w:r>
    </w:p>
    <w:p w:rsidR="00243588" w:rsidRPr="0005209B" w:rsidRDefault="00243588" w:rsidP="008941B1">
      <w:pPr>
        <w:spacing w:line="360" w:lineRule="auto"/>
        <w:jc w:val="both"/>
        <w:rPr>
          <w:rFonts w:eastAsia="Times New Roman" w:cs="Arial"/>
          <w:color w:val="000000"/>
          <w:lang w:eastAsia="nl-NL"/>
        </w:rPr>
      </w:pPr>
    </w:p>
    <w:p w:rsidR="00243588" w:rsidRDefault="00243588" w:rsidP="00A86233">
      <w:pPr>
        <w:rPr>
          <w:rFonts w:eastAsia="Times New Roman" w:cs="Arial"/>
          <w:color w:val="000000"/>
          <w:lang w:eastAsia="nl-NL"/>
        </w:rPr>
      </w:pPr>
    </w:p>
    <w:p w:rsidR="00E46BBB" w:rsidRPr="0005209B" w:rsidRDefault="00E46BBB" w:rsidP="00A86233">
      <w:pPr>
        <w:rPr>
          <w:rFonts w:eastAsia="Times New Roman" w:cs="Arial"/>
          <w:color w:val="000000"/>
          <w:lang w:eastAsia="nl-NL"/>
        </w:rPr>
      </w:pPr>
    </w:p>
    <w:sdt>
      <w:sdtPr>
        <w:rPr>
          <w:b w:val="0"/>
          <w:bCs w:val="0"/>
          <w:caps w:val="0"/>
          <w:color w:val="auto"/>
          <w:spacing w:val="0"/>
          <w:sz w:val="20"/>
          <w:szCs w:val="20"/>
        </w:rPr>
        <w:id w:val="7277331"/>
        <w:docPartObj>
          <w:docPartGallery w:val="Bibliographies"/>
          <w:docPartUnique/>
        </w:docPartObj>
      </w:sdtPr>
      <w:sdtContent>
        <w:bookmarkStart w:id="41" w:name="_Toc300412014" w:displacedByCustomXml="prev"/>
        <w:p w:rsidR="008F1407" w:rsidRDefault="008F1407">
          <w:pPr>
            <w:pStyle w:val="Kop1"/>
          </w:pPr>
          <w:r w:rsidRPr="009315AD">
            <w:rPr>
              <w:rFonts w:asciiTheme="majorHAnsi" w:hAnsiTheme="majorHAnsi"/>
            </w:rPr>
            <w:t>REFERENCES</w:t>
          </w:r>
          <w:bookmarkEnd w:id="41"/>
        </w:p>
        <w:sdt>
          <w:sdtPr>
            <w:id w:val="111145805"/>
            <w:bibliography/>
          </w:sdtPr>
          <w:sdtContent>
            <w:p w:rsidR="00F26771" w:rsidRDefault="00BD69D8" w:rsidP="00F26771">
              <w:pPr>
                <w:pStyle w:val="Bibliografie"/>
                <w:rPr>
                  <w:noProof/>
                </w:rPr>
              </w:pPr>
              <w:r>
                <w:fldChar w:fldCharType="begin"/>
              </w:r>
              <w:r w:rsidR="008F1407">
                <w:instrText xml:space="preserve"> BIBLIOGRAPHY </w:instrText>
              </w:r>
              <w:r>
                <w:fldChar w:fldCharType="separate"/>
              </w:r>
              <w:r w:rsidR="00F26771">
                <w:rPr>
                  <w:noProof/>
                </w:rPr>
                <w:t xml:space="preserve">Andersson, D. (1995). Logistics alliances and structural change. </w:t>
              </w:r>
              <w:r w:rsidR="00F26771">
                <w:rPr>
                  <w:i/>
                  <w:iCs/>
                  <w:noProof/>
                </w:rPr>
                <w:t>Linkoping Studies in Science and Technology</w:t>
              </w:r>
              <w:r w:rsidR="00F26771">
                <w:rPr>
                  <w:noProof/>
                </w:rPr>
                <w:t xml:space="preserve"> , Thesis no. 470.</w:t>
              </w:r>
            </w:p>
            <w:p w:rsidR="00F26771" w:rsidRDefault="00F26771" w:rsidP="00F26771">
              <w:pPr>
                <w:pStyle w:val="Bibliografie"/>
                <w:rPr>
                  <w:noProof/>
                </w:rPr>
              </w:pPr>
              <w:r>
                <w:rPr>
                  <w:noProof/>
                </w:rPr>
                <w:t xml:space="preserve">Andersson, D. (1997). Third party logistics- outsourcing logistics in partnership. </w:t>
              </w:r>
              <w:r>
                <w:rPr>
                  <w:i/>
                  <w:iCs/>
                  <w:noProof/>
                </w:rPr>
                <w:t>Linkoping Studies in Management and Economics</w:t>
              </w:r>
              <w:r>
                <w:rPr>
                  <w:noProof/>
                </w:rPr>
                <w:t xml:space="preserve"> (34), 191-213.</w:t>
              </w:r>
            </w:p>
            <w:p w:rsidR="00F26771" w:rsidRDefault="00F26771" w:rsidP="00F26771">
              <w:pPr>
                <w:pStyle w:val="Bibliografie"/>
                <w:rPr>
                  <w:noProof/>
                </w:rPr>
              </w:pPr>
              <w:r>
                <w:rPr>
                  <w:noProof/>
                </w:rPr>
                <w:t xml:space="preserve">Bardy, E. J., &amp; Tracy, M. (1991). ''Transportation outsourcing: a survey of users practices"". </w:t>
              </w:r>
              <w:r>
                <w:rPr>
                  <w:i/>
                  <w:iCs/>
                  <w:noProof/>
                </w:rPr>
                <w:t>International journal of physical distribution &amp; logistics management</w:t>
              </w:r>
              <w:r>
                <w:rPr>
                  <w:noProof/>
                </w:rPr>
                <w:t xml:space="preserve"> </w:t>
              </w:r>
              <w:r>
                <w:rPr>
                  <w:i/>
                  <w:iCs/>
                  <w:noProof/>
                </w:rPr>
                <w:t>, 21</w:t>
              </w:r>
              <w:r>
                <w:rPr>
                  <w:noProof/>
                </w:rPr>
                <w:t xml:space="preserve"> (3), 15-21.</w:t>
              </w:r>
            </w:p>
            <w:p w:rsidR="00F26771" w:rsidRDefault="00F26771" w:rsidP="00F26771">
              <w:pPr>
                <w:pStyle w:val="Bibliografie"/>
                <w:rPr>
                  <w:noProof/>
                </w:rPr>
              </w:pPr>
              <w:r>
                <w:rPr>
                  <w:noProof/>
                </w:rPr>
                <w:t xml:space="preserve">Bask, A. H. (2001). Relationships among TPL providers and members of supply chains - A strategic perspective. </w:t>
              </w:r>
              <w:r>
                <w:rPr>
                  <w:i/>
                  <w:iCs/>
                  <w:noProof/>
                </w:rPr>
                <w:t>Journal of business &amp; industrial marketing</w:t>
              </w:r>
              <w:r>
                <w:rPr>
                  <w:noProof/>
                </w:rPr>
                <w:t xml:space="preserve"> </w:t>
              </w:r>
              <w:r>
                <w:rPr>
                  <w:i/>
                  <w:iCs/>
                  <w:noProof/>
                </w:rPr>
                <w:t>, 16</w:t>
              </w:r>
              <w:r>
                <w:rPr>
                  <w:noProof/>
                </w:rPr>
                <w:t xml:space="preserve"> (6), 470-486.</w:t>
              </w:r>
            </w:p>
            <w:p w:rsidR="00F26771" w:rsidRDefault="00F26771" w:rsidP="00F26771">
              <w:pPr>
                <w:pStyle w:val="Bibliografie"/>
                <w:rPr>
                  <w:noProof/>
                </w:rPr>
              </w:pPr>
              <w:r>
                <w:rPr>
                  <w:noProof/>
                </w:rPr>
                <w:t xml:space="preserve">Berglund, M., van Laarhoven, P., Sharman, G., &amp; Wandel, S. (1999). Third-party logistics: is there a future? </w:t>
              </w:r>
              <w:r>
                <w:rPr>
                  <w:i/>
                  <w:iCs/>
                  <w:noProof/>
                </w:rPr>
                <w:t>The international journal of logistics management</w:t>
              </w:r>
              <w:r>
                <w:rPr>
                  <w:noProof/>
                </w:rPr>
                <w:t xml:space="preserve"> </w:t>
              </w:r>
              <w:r>
                <w:rPr>
                  <w:i/>
                  <w:iCs/>
                  <w:noProof/>
                </w:rPr>
                <w:t>, 10</w:t>
              </w:r>
              <w:r>
                <w:rPr>
                  <w:noProof/>
                </w:rPr>
                <w:t xml:space="preserve"> (1), 59-70.</w:t>
              </w:r>
            </w:p>
            <w:p w:rsidR="00F26771" w:rsidRDefault="00F26771" w:rsidP="00F26771">
              <w:pPr>
                <w:pStyle w:val="Bibliografie"/>
                <w:rPr>
                  <w:noProof/>
                </w:rPr>
              </w:pPr>
              <w:r>
                <w:rPr>
                  <w:noProof/>
                </w:rPr>
                <w:t xml:space="preserve">Bhatnager, R., &amp; Viswanathan, S. (2000). ''Re-engineering global supply chains: alliances between manufactoring and global logistics service providers. </w:t>
              </w:r>
              <w:r>
                <w:rPr>
                  <w:i/>
                  <w:iCs/>
                  <w:noProof/>
                </w:rPr>
                <w:t>International journal of physical distribution &amp; logistics management</w:t>
              </w:r>
              <w:r>
                <w:rPr>
                  <w:noProof/>
                </w:rPr>
                <w:t xml:space="preserve"> </w:t>
              </w:r>
              <w:r>
                <w:rPr>
                  <w:i/>
                  <w:iCs/>
                  <w:noProof/>
                </w:rPr>
                <w:t>, 30</w:t>
              </w:r>
              <w:r>
                <w:rPr>
                  <w:noProof/>
                </w:rPr>
                <w:t xml:space="preserve"> (1), 13-34.</w:t>
              </w:r>
            </w:p>
            <w:p w:rsidR="00F26771" w:rsidRDefault="00F26771" w:rsidP="00F26771">
              <w:pPr>
                <w:pStyle w:val="Bibliografie"/>
                <w:rPr>
                  <w:noProof/>
                </w:rPr>
              </w:pPr>
              <w:r>
                <w:rPr>
                  <w:noProof/>
                </w:rPr>
                <w:t xml:space="preserve">BLMC. (2011). </w:t>
              </w:r>
              <w:r>
                <w:rPr>
                  <w:i/>
                  <w:iCs/>
                  <w:noProof/>
                </w:rPr>
                <w:t>Nationale Supply chain monitor 2011 (in Dutch).</w:t>
              </w:r>
              <w:r>
                <w:rPr>
                  <w:noProof/>
                </w:rPr>
                <w:t xml:space="preserve"> Meppel: BLMC.</w:t>
              </w:r>
            </w:p>
            <w:p w:rsidR="00F26771" w:rsidRDefault="00F26771" w:rsidP="00F26771">
              <w:pPr>
                <w:pStyle w:val="Bibliografie"/>
                <w:rPr>
                  <w:noProof/>
                </w:rPr>
              </w:pPr>
              <w:r>
                <w:rPr>
                  <w:noProof/>
                </w:rPr>
                <w:t xml:space="preserve">Boone, C. A., Craighead, C. W., &amp; Hanna, J. B. (2007). Postponement: an evolving supply chain concept. </w:t>
              </w:r>
              <w:r>
                <w:rPr>
                  <w:i/>
                  <w:iCs/>
                  <w:noProof/>
                </w:rPr>
                <w:t>International Journal of Physical Dsitribution &amp; Logistics Management</w:t>
              </w:r>
              <w:r>
                <w:rPr>
                  <w:noProof/>
                </w:rPr>
                <w:t xml:space="preserve"> </w:t>
              </w:r>
              <w:r>
                <w:rPr>
                  <w:i/>
                  <w:iCs/>
                  <w:noProof/>
                </w:rPr>
                <w:t>, 37</w:t>
              </w:r>
              <w:r>
                <w:rPr>
                  <w:noProof/>
                </w:rPr>
                <w:t xml:space="preserve"> (8), 594-611.</w:t>
              </w:r>
            </w:p>
            <w:p w:rsidR="00F26771" w:rsidRDefault="00F26771" w:rsidP="00F26771">
              <w:pPr>
                <w:pStyle w:val="Bibliografie"/>
                <w:rPr>
                  <w:noProof/>
                </w:rPr>
              </w:pPr>
              <w:r>
                <w:rPr>
                  <w:noProof/>
                </w:rPr>
                <w:t xml:space="preserve">Bowersox, D. J., &amp; Closs, D. J. (1996). </w:t>
              </w:r>
              <w:r>
                <w:rPr>
                  <w:i/>
                  <w:iCs/>
                  <w:noProof/>
                </w:rPr>
                <w:t>Logistics management, the integrated supply chain process.</w:t>
              </w:r>
              <w:r>
                <w:rPr>
                  <w:noProof/>
                </w:rPr>
                <w:t xml:space="preserve"> New York: Macmillan Publishing Company.</w:t>
              </w:r>
            </w:p>
            <w:p w:rsidR="00F26771" w:rsidRDefault="00F26771" w:rsidP="00F26771">
              <w:pPr>
                <w:pStyle w:val="Bibliografie"/>
                <w:rPr>
                  <w:noProof/>
                </w:rPr>
              </w:pPr>
              <w:r>
                <w:rPr>
                  <w:noProof/>
                </w:rPr>
                <w:t xml:space="preserve">Bowersox, D. J., Daugherty, P. J., DroEge, C. L., Rogers, D. S., &amp; Wardlow, D. L. (1989). </w:t>
              </w:r>
              <w:r>
                <w:rPr>
                  <w:i/>
                  <w:iCs/>
                  <w:noProof/>
                </w:rPr>
                <w:t>Leading edge logistics: Competitive positioning for the 1990s.</w:t>
              </w:r>
              <w:r>
                <w:rPr>
                  <w:noProof/>
                </w:rPr>
                <w:t xml:space="preserve"> Oak Brook: Council of logistics management.</w:t>
              </w:r>
            </w:p>
            <w:p w:rsidR="00F26771" w:rsidRDefault="00F26771" w:rsidP="00F26771">
              <w:pPr>
                <w:pStyle w:val="Bibliografie"/>
                <w:rPr>
                  <w:noProof/>
                </w:rPr>
              </w:pPr>
              <w:r>
                <w:rPr>
                  <w:noProof/>
                </w:rPr>
                <w:t xml:space="preserve">Boyson, S., Corsi, T. M., Dresner, M. E., &amp; Harrington, L. H. (1999). </w:t>
              </w:r>
              <w:r>
                <w:rPr>
                  <w:i/>
                  <w:iCs/>
                  <w:noProof/>
                </w:rPr>
                <w:t>Logistics and the Extended Enterprise, Benchmarks and Best Pratices for the Manufacturing Professional.</w:t>
              </w:r>
              <w:r>
                <w:rPr>
                  <w:noProof/>
                </w:rPr>
                <w:t xml:space="preserve"> New York: John Wiley and Sons inc.</w:t>
              </w:r>
            </w:p>
            <w:p w:rsidR="00F26771" w:rsidRDefault="00F26771" w:rsidP="00F26771">
              <w:pPr>
                <w:pStyle w:val="Bibliografie"/>
                <w:rPr>
                  <w:noProof/>
                </w:rPr>
              </w:pPr>
              <w:r>
                <w:rPr>
                  <w:noProof/>
                </w:rPr>
                <w:t xml:space="preserve">Burnson, P. (2010, November 24). </w:t>
              </w:r>
              <w:r>
                <w:rPr>
                  <w:i/>
                  <w:iCs/>
                  <w:noProof/>
                </w:rPr>
                <w:t>Near-sourcing gains traction in supply chain.</w:t>
              </w:r>
              <w:r>
                <w:rPr>
                  <w:noProof/>
                </w:rPr>
                <w:t xml:space="preserve"> Retrieved may 31, 2011, from Supplychain management review: http://www.scmr.com/article/near-sourcing_gains_traction_in_supply_chain/</w:t>
              </w:r>
            </w:p>
            <w:p w:rsidR="00F26771" w:rsidRDefault="00F26771" w:rsidP="00F26771">
              <w:pPr>
                <w:pStyle w:val="Bibliografie"/>
                <w:rPr>
                  <w:noProof/>
                </w:rPr>
              </w:pPr>
              <w:r>
                <w:rPr>
                  <w:noProof/>
                </w:rPr>
                <w:t xml:space="preserve">Carbone, V., &amp; Stone, M. A. (2005). Growth and relational strategies used by the european logistics service providers: rationale and outcomes. </w:t>
              </w:r>
              <w:r>
                <w:rPr>
                  <w:i/>
                  <w:iCs/>
                  <w:noProof/>
                </w:rPr>
                <w:t>Transportation research part E</w:t>
              </w:r>
              <w:r>
                <w:rPr>
                  <w:noProof/>
                </w:rPr>
                <w:t xml:space="preserve"> </w:t>
              </w:r>
              <w:r>
                <w:rPr>
                  <w:i/>
                  <w:iCs/>
                  <w:noProof/>
                </w:rPr>
                <w:t>, 41</w:t>
              </w:r>
              <w:r>
                <w:rPr>
                  <w:noProof/>
                </w:rPr>
                <w:t>, 495-510.</w:t>
              </w:r>
            </w:p>
            <w:p w:rsidR="00F26771" w:rsidRDefault="00F26771" w:rsidP="00F26771">
              <w:pPr>
                <w:pStyle w:val="Bibliografie"/>
                <w:rPr>
                  <w:noProof/>
                </w:rPr>
              </w:pPr>
              <w:r>
                <w:rPr>
                  <w:noProof/>
                </w:rPr>
                <w:t xml:space="preserve">Chiou, J. S., Wu, L. Y., &amp; Hsu, J. (2002). The adoption of form postponement strategy in a global logistics system: the case of Taiwanese information technology industry. </w:t>
              </w:r>
              <w:r>
                <w:rPr>
                  <w:i/>
                  <w:iCs/>
                  <w:noProof/>
                </w:rPr>
                <w:t>Journal of business logistics</w:t>
              </w:r>
              <w:r>
                <w:rPr>
                  <w:noProof/>
                </w:rPr>
                <w:t xml:space="preserve"> </w:t>
              </w:r>
              <w:r>
                <w:rPr>
                  <w:i/>
                  <w:iCs/>
                  <w:noProof/>
                </w:rPr>
                <w:t>, 23</w:t>
              </w:r>
              <w:r>
                <w:rPr>
                  <w:noProof/>
                </w:rPr>
                <w:t xml:space="preserve"> (1), 107-124.</w:t>
              </w:r>
            </w:p>
            <w:p w:rsidR="00F26771" w:rsidRDefault="00F26771" w:rsidP="00F26771">
              <w:pPr>
                <w:pStyle w:val="Bibliografie"/>
                <w:rPr>
                  <w:noProof/>
                </w:rPr>
              </w:pPr>
              <w:r>
                <w:rPr>
                  <w:noProof/>
                </w:rPr>
                <w:t xml:space="preserve">Cooper, M. C., Lambert, D. M., &amp; Pagh, J. D. (1997). Supply chain management: more than a new name for logistics. </w:t>
              </w:r>
              <w:r>
                <w:rPr>
                  <w:i/>
                  <w:iCs/>
                  <w:noProof/>
                </w:rPr>
                <w:t>The international journal of logistics management</w:t>
              </w:r>
              <w:r>
                <w:rPr>
                  <w:noProof/>
                </w:rPr>
                <w:t xml:space="preserve"> </w:t>
              </w:r>
              <w:r>
                <w:rPr>
                  <w:i/>
                  <w:iCs/>
                  <w:noProof/>
                </w:rPr>
                <w:t>, 8</w:t>
              </w:r>
              <w:r>
                <w:rPr>
                  <w:noProof/>
                </w:rPr>
                <w:t xml:space="preserve"> (1), 1-14.</w:t>
              </w:r>
            </w:p>
            <w:p w:rsidR="00F26771" w:rsidRDefault="00F26771" w:rsidP="00F26771">
              <w:pPr>
                <w:pStyle w:val="Bibliografie"/>
                <w:rPr>
                  <w:noProof/>
                </w:rPr>
              </w:pPr>
              <w:r>
                <w:rPr>
                  <w:noProof/>
                </w:rPr>
                <w:t xml:space="preserve">Dosi, G., Nelson, R. R., &amp; Winter, S. G. (2000). Introduction: the nature and dynamics of organisational capabilities. In G. Dosi, R. R. Nelson, &amp; S. G. Winter, </w:t>
              </w:r>
              <w:r>
                <w:rPr>
                  <w:i/>
                  <w:iCs/>
                  <w:noProof/>
                </w:rPr>
                <w:t>The nature and Dynamics of Organisational Capabilities</w:t>
              </w:r>
              <w:r>
                <w:rPr>
                  <w:noProof/>
                </w:rPr>
                <w:t xml:space="preserve"> (pp. 1-18). Oxford: Oxford University Press.</w:t>
              </w:r>
            </w:p>
            <w:p w:rsidR="00F26771" w:rsidRDefault="00F26771" w:rsidP="00F26771">
              <w:pPr>
                <w:pStyle w:val="Bibliografie"/>
                <w:rPr>
                  <w:noProof/>
                </w:rPr>
              </w:pPr>
              <w:r>
                <w:rPr>
                  <w:noProof/>
                </w:rPr>
                <w:t xml:space="preserve">Doz, Y. L., &amp; Hamel, G. (1998). </w:t>
              </w:r>
              <w:r>
                <w:rPr>
                  <w:i/>
                  <w:iCs/>
                  <w:noProof/>
                </w:rPr>
                <w:t>Alliance advantage: the art of creating value trough partnering.</w:t>
              </w:r>
              <w:r>
                <w:rPr>
                  <w:noProof/>
                </w:rPr>
                <w:t xml:space="preserve"> Boston: Harvard Business School Press.</w:t>
              </w:r>
            </w:p>
            <w:p w:rsidR="00F26771" w:rsidRDefault="00F26771" w:rsidP="00F26771">
              <w:pPr>
                <w:pStyle w:val="Bibliografie"/>
                <w:rPr>
                  <w:noProof/>
                </w:rPr>
              </w:pPr>
              <w:r>
                <w:rPr>
                  <w:noProof/>
                </w:rPr>
                <w:lastRenderedPageBreak/>
                <w:t xml:space="preserve">Ellram, L. M., &amp; Cooper, M. C. (1990). Supply chain management, partnerships and the shipper-third party relationship. </w:t>
              </w:r>
              <w:r>
                <w:rPr>
                  <w:i/>
                  <w:iCs/>
                  <w:noProof/>
                </w:rPr>
                <w:t>International journal of logistics management</w:t>
              </w:r>
              <w:r>
                <w:rPr>
                  <w:noProof/>
                </w:rPr>
                <w:t xml:space="preserve"> </w:t>
              </w:r>
              <w:r>
                <w:rPr>
                  <w:i/>
                  <w:iCs/>
                  <w:noProof/>
                </w:rPr>
                <w:t>, 1</w:t>
              </w:r>
              <w:r>
                <w:rPr>
                  <w:noProof/>
                </w:rPr>
                <w:t xml:space="preserve"> (2), 1-10.</w:t>
              </w:r>
            </w:p>
            <w:p w:rsidR="00F26771" w:rsidRDefault="00F26771" w:rsidP="00F26771">
              <w:pPr>
                <w:pStyle w:val="Bibliografie"/>
                <w:rPr>
                  <w:noProof/>
                </w:rPr>
              </w:pPr>
              <w:r>
                <w:rPr>
                  <w:noProof/>
                </w:rPr>
                <w:t xml:space="preserve">European Commision. (2011). </w:t>
              </w:r>
              <w:r>
                <w:rPr>
                  <w:i/>
                  <w:iCs/>
                  <w:noProof/>
                </w:rPr>
                <w:t>Roadmap to a single European Transport Area - Towards a competitive and resource efficient transport system</w:t>
              </w:r>
              <w:r>
                <w:rPr>
                  <w:noProof/>
                </w:rPr>
                <w:t>. Retrieved June 6, 2011, from europa.eu: http://ec.europa.eu/transport/strategies/2011_white_paper_en.htm</w:t>
              </w:r>
            </w:p>
            <w:p w:rsidR="00F26771" w:rsidRDefault="00F26771" w:rsidP="00F26771">
              <w:pPr>
                <w:pStyle w:val="Bibliografie"/>
                <w:rPr>
                  <w:noProof/>
                </w:rPr>
              </w:pPr>
              <w:r>
                <w:rPr>
                  <w:noProof/>
                </w:rPr>
                <w:t xml:space="preserve">Field, A. (2009). </w:t>
              </w:r>
              <w:r>
                <w:rPr>
                  <w:i/>
                  <w:iCs/>
                  <w:noProof/>
                </w:rPr>
                <w:t>Discovering statistics using SPSS.</w:t>
              </w:r>
              <w:r>
                <w:rPr>
                  <w:noProof/>
                </w:rPr>
                <w:t xml:space="preserve"> Chicago: SAGE.</w:t>
              </w:r>
            </w:p>
            <w:p w:rsidR="00F26771" w:rsidRDefault="00F26771" w:rsidP="00F26771">
              <w:pPr>
                <w:pStyle w:val="Bibliografie"/>
                <w:rPr>
                  <w:noProof/>
                </w:rPr>
              </w:pPr>
              <w:r>
                <w:rPr>
                  <w:noProof/>
                </w:rPr>
                <w:t xml:space="preserve">Frost, &amp; Sullivan. (2005). </w:t>
              </w:r>
              <w:r>
                <w:rPr>
                  <w:i/>
                  <w:iCs/>
                  <w:noProof/>
                </w:rPr>
                <w:t>Strategic analyzes of third party logistcs (3PL) markets in Australia.</w:t>
              </w:r>
              <w:r>
                <w:rPr>
                  <w:noProof/>
                </w:rPr>
                <w:t xml:space="preserve"> Sydney: Australia.</w:t>
              </w:r>
            </w:p>
            <w:p w:rsidR="00F26771" w:rsidRPr="00F26771" w:rsidRDefault="00F26771" w:rsidP="00F26771">
              <w:pPr>
                <w:pStyle w:val="Bibliografie"/>
                <w:rPr>
                  <w:noProof/>
                  <w:lang w:val="nl-NL"/>
                </w:rPr>
              </w:pPr>
              <w:r>
                <w:rPr>
                  <w:noProof/>
                </w:rPr>
                <w:t xml:space="preserve">Haakansson, H. (1993). Networks as a mechanism to develop resources. </w:t>
              </w:r>
              <w:r w:rsidRPr="00F26771">
                <w:rPr>
                  <w:noProof/>
                  <w:lang w:val="nl-NL"/>
                </w:rPr>
                <w:t xml:space="preserve">In Beije P et al., </w:t>
              </w:r>
              <w:r w:rsidRPr="00F26771">
                <w:rPr>
                  <w:i/>
                  <w:iCs/>
                  <w:noProof/>
                  <w:lang w:val="nl-NL"/>
                </w:rPr>
                <w:t>Networking in Dutch industries.</w:t>
              </w:r>
              <w:r w:rsidRPr="00F26771">
                <w:rPr>
                  <w:noProof/>
                  <w:lang w:val="nl-NL"/>
                </w:rPr>
                <w:t xml:space="preserve"> Leren-Apendorn: Garant.</w:t>
              </w:r>
            </w:p>
            <w:p w:rsidR="00F26771" w:rsidRDefault="00F26771" w:rsidP="00F26771">
              <w:pPr>
                <w:pStyle w:val="Bibliografie"/>
                <w:rPr>
                  <w:noProof/>
                </w:rPr>
              </w:pPr>
              <w:r>
                <w:rPr>
                  <w:noProof/>
                </w:rPr>
                <w:t xml:space="preserve">Halldorsson, A., &amp; Skjott-Larsen, T. (2004). Developing logistics competencies through third party logistics relationships. </w:t>
              </w:r>
              <w:r>
                <w:rPr>
                  <w:i/>
                  <w:iCs/>
                  <w:noProof/>
                </w:rPr>
                <w:t>International Journal of Operations and Production Management</w:t>
              </w:r>
              <w:r>
                <w:rPr>
                  <w:noProof/>
                </w:rPr>
                <w:t xml:space="preserve"> </w:t>
              </w:r>
              <w:r>
                <w:rPr>
                  <w:i/>
                  <w:iCs/>
                  <w:noProof/>
                </w:rPr>
                <w:t>, 24</w:t>
              </w:r>
              <w:r>
                <w:rPr>
                  <w:noProof/>
                </w:rPr>
                <w:t xml:space="preserve"> (2), 192-206.</w:t>
              </w:r>
            </w:p>
            <w:p w:rsidR="00F26771" w:rsidRDefault="00F26771" w:rsidP="00F26771">
              <w:pPr>
                <w:pStyle w:val="Bibliografie"/>
                <w:rPr>
                  <w:noProof/>
                </w:rPr>
              </w:pPr>
              <w:r>
                <w:rPr>
                  <w:noProof/>
                </w:rPr>
                <w:t xml:space="preserve">Halldorsson, A., &amp; Skjott-Larsen, T. (2006). Dynamics of relationship in TPL arrangement - a dyadic perspective. </w:t>
              </w:r>
              <w:r>
                <w:rPr>
                  <w:i/>
                  <w:iCs/>
                  <w:noProof/>
                </w:rPr>
                <w:t>International journal of physical distribution &amp; logistics management</w:t>
              </w:r>
              <w:r>
                <w:rPr>
                  <w:noProof/>
                </w:rPr>
                <w:t xml:space="preserve"> </w:t>
              </w:r>
              <w:r>
                <w:rPr>
                  <w:i/>
                  <w:iCs/>
                  <w:noProof/>
                </w:rPr>
                <w:t>, 36</w:t>
              </w:r>
              <w:r>
                <w:rPr>
                  <w:noProof/>
                </w:rPr>
                <w:t xml:space="preserve"> (7), 490-506.</w:t>
              </w:r>
            </w:p>
            <w:p w:rsidR="00F26771" w:rsidRDefault="00F26771" w:rsidP="00F26771">
              <w:pPr>
                <w:pStyle w:val="Bibliografie"/>
                <w:rPr>
                  <w:noProof/>
                </w:rPr>
              </w:pPr>
              <w:r>
                <w:rPr>
                  <w:noProof/>
                </w:rPr>
                <w:t xml:space="preserve">Halldorsson, A., Herbert, K., &amp; Skott-Larsen, T. (2003). Interorganizational theories behind supply chain management – discussion and applications. </w:t>
              </w:r>
              <w:r>
                <w:rPr>
                  <w:i/>
                  <w:iCs/>
                  <w:noProof/>
                </w:rPr>
                <w:t>Strategy and organisation in supply chains</w:t>
              </w:r>
              <w:r>
                <w:rPr>
                  <w:noProof/>
                </w:rPr>
                <w:t xml:space="preserve"> , 31-63.</w:t>
              </w:r>
            </w:p>
            <w:p w:rsidR="00F26771" w:rsidRDefault="00F26771" w:rsidP="00F26771">
              <w:pPr>
                <w:pStyle w:val="Bibliografie"/>
                <w:rPr>
                  <w:noProof/>
                </w:rPr>
              </w:pPr>
              <w:r>
                <w:rPr>
                  <w:noProof/>
                </w:rPr>
                <w:t xml:space="preserve">Hertz, S., &amp; Alfredsson, M. (2003). Strategic development of third party logistics providers. </w:t>
              </w:r>
              <w:r>
                <w:rPr>
                  <w:i/>
                  <w:iCs/>
                  <w:noProof/>
                </w:rPr>
                <w:t>Industrial marketing management</w:t>
              </w:r>
              <w:r>
                <w:rPr>
                  <w:noProof/>
                </w:rPr>
                <w:t xml:space="preserve"> </w:t>
              </w:r>
              <w:r>
                <w:rPr>
                  <w:i/>
                  <w:iCs/>
                  <w:noProof/>
                </w:rPr>
                <w:t>, 32</w:t>
              </w:r>
              <w:r>
                <w:rPr>
                  <w:noProof/>
                </w:rPr>
                <w:t>, 139-149.</w:t>
              </w:r>
            </w:p>
            <w:p w:rsidR="00F26771" w:rsidRDefault="00F26771" w:rsidP="00F26771">
              <w:pPr>
                <w:pStyle w:val="Bibliografie"/>
                <w:rPr>
                  <w:noProof/>
                </w:rPr>
              </w:pPr>
              <w:r>
                <w:rPr>
                  <w:noProof/>
                </w:rPr>
                <w:t xml:space="preserve">Hooley, G. J., &amp; Saunders, J. (1993). </w:t>
              </w:r>
              <w:r>
                <w:rPr>
                  <w:i/>
                  <w:iCs/>
                  <w:noProof/>
                </w:rPr>
                <w:t>Competitive psotioning: the key to marketing strategy.</w:t>
              </w:r>
              <w:r>
                <w:rPr>
                  <w:noProof/>
                </w:rPr>
                <w:t xml:space="preserve"> Trowbridge: Prentice Hall.</w:t>
              </w:r>
            </w:p>
            <w:p w:rsidR="00F26771" w:rsidRDefault="00F26771" w:rsidP="00F26771">
              <w:pPr>
                <w:pStyle w:val="Bibliografie"/>
                <w:rPr>
                  <w:noProof/>
                </w:rPr>
              </w:pPr>
              <w:r>
                <w:rPr>
                  <w:noProof/>
                </w:rPr>
                <w:t xml:space="preserve">Hsiao, H. I., Kemp, R. G., van der Vorst, J. G., &amp; Omta, S. W. (2011). Logistics outsourcing by Taiwanese and Dutch food processing industries. </w:t>
              </w:r>
              <w:r>
                <w:rPr>
                  <w:i/>
                  <w:iCs/>
                  <w:noProof/>
                </w:rPr>
                <w:t>Brittish food journal</w:t>
              </w:r>
              <w:r>
                <w:rPr>
                  <w:noProof/>
                </w:rPr>
                <w:t xml:space="preserve"> </w:t>
              </w:r>
              <w:r>
                <w:rPr>
                  <w:i/>
                  <w:iCs/>
                  <w:noProof/>
                </w:rPr>
                <w:t>, 113</w:t>
              </w:r>
              <w:r>
                <w:rPr>
                  <w:noProof/>
                </w:rPr>
                <w:t xml:space="preserve"> (4), 550-576.</w:t>
              </w:r>
            </w:p>
            <w:p w:rsidR="00F26771" w:rsidRDefault="00F26771" w:rsidP="00F26771">
              <w:pPr>
                <w:pStyle w:val="Bibliografie"/>
                <w:rPr>
                  <w:noProof/>
                </w:rPr>
              </w:pPr>
              <w:r>
                <w:rPr>
                  <w:noProof/>
                </w:rPr>
                <w:t xml:space="preserve">Insigna, R. C., &amp; Werle, M. J. (2000). “Linking outsourcing to business strategy”. </w:t>
              </w:r>
              <w:r>
                <w:rPr>
                  <w:i/>
                  <w:iCs/>
                  <w:noProof/>
                </w:rPr>
                <w:t>The academy of management executive</w:t>
              </w:r>
              <w:r>
                <w:rPr>
                  <w:noProof/>
                </w:rPr>
                <w:t xml:space="preserve"> </w:t>
              </w:r>
              <w:r>
                <w:rPr>
                  <w:i/>
                  <w:iCs/>
                  <w:noProof/>
                </w:rPr>
                <w:t>, 14</w:t>
              </w:r>
              <w:r>
                <w:rPr>
                  <w:noProof/>
                </w:rPr>
                <w:t xml:space="preserve"> (4), 58-70.</w:t>
              </w:r>
            </w:p>
            <w:p w:rsidR="00F26771" w:rsidRDefault="00F26771" w:rsidP="00F26771">
              <w:pPr>
                <w:pStyle w:val="Bibliografie"/>
                <w:rPr>
                  <w:noProof/>
                </w:rPr>
              </w:pPr>
              <w:r>
                <w:rPr>
                  <w:noProof/>
                </w:rPr>
                <w:t xml:space="preserve">Jayaram, J., &amp; Keah, C. T. (2010). Supply chain integration with third-party logistics providers. </w:t>
              </w:r>
              <w:r>
                <w:rPr>
                  <w:i/>
                  <w:iCs/>
                  <w:noProof/>
                </w:rPr>
                <w:t>interntaional journal of production economics</w:t>
              </w:r>
              <w:r>
                <w:rPr>
                  <w:noProof/>
                </w:rPr>
                <w:t xml:space="preserve"> </w:t>
              </w:r>
              <w:r>
                <w:rPr>
                  <w:i/>
                  <w:iCs/>
                  <w:noProof/>
                </w:rPr>
                <w:t>, 125</w:t>
              </w:r>
              <w:r>
                <w:rPr>
                  <w:noProof/>
                </w:rPr>
                <w:t>, 262-271.</w:t>
              </w:r>
            </w:p>
            <w:p w:rsidR="00F26771" w:rsidRDefault="00F26771" w:rsidP="00F26771">
              <w:pPr>
                <w:pStyle w:val="Bibliografie"/>
                <w:rPr>
                  <w:noProof/>
                </w:rPr>
              </w:pPr>
              <w:r>
                <w:rPr>
                  <w:noProof/>
                </w:rPr>
                <w:t xml:space="preserve">Johansson, J., &amp; Mattsson, L. G. (1986). Interorganizational relations in industrial systems - a network approach compared with the transaction cost approach. </w:t>
              </w:r>
              <w:r>
                <w:rPr>
                  <w:i/>
                  <w:iCs/>
                  <w:noProof/>
                </w:rPr>
                <w:t>International studies of management and organisation</w:t>
              </w:r>
              <w:r>
                <w:rPr>
                  <w:noProof/>
                </w:rPr>
                <w:t xml:space="preserve"> </w:t>
              </w:r>
              <w:r>
                <w:rPr>
                  <w:i/>
                  <w:iCs/>
                  <w:noProof/>
                </w:rPr>
                <w:t>, 1</w:t>
              </w:r>
              <w:r>
                <w:rPr>
                  <w:noProof/>
                </w:rPr>
                <w:t xml:space="preserve"> (17), 34-48.</w:t>
              </w:r>
            </w:p>
            <w:p w:rsidR="00F26771" w:rsidRDefault="00F26771" w:rsidP="00F26771">
              <w:pPr>
                <w:pStyle w:val="Bibliografie"/>
                <w:rPr>
                  <w:noProof/>
                </w:rPr>
              </w:pPr>
              <w:r>
                <w:rPr>
                  <w:noProof/>
                </w:rPr>
                <w:t xml:space="preserve">Juga, J., Pekkarinen, S., &amp; Kilpala, H. (2008). Strategic positioning of logistics service providers. </w:t>
              </w:r>
              <w:r>
                <w:rPr>
                  <w:i/>
                  <w:iCs/>
                  <w:noProof/>
                </w:rPr>
                <w:t>International journal of logistics: Research and Applications</w:t>
              </w:r>
              <w:r>
                <w:rPr>
                  <w:noProof/>
                </w:rPr>
                <w:t xml:space="preserve"> </w:t>
              </w:r>
              <w:r>
                <w:rPr>
                  <w:i/>
                  <w:iCs/>
                  <w:noProof/>
                </w:rPr>
                <w:t>, 11</w:t>
              </w:r>
              <w:r>
                <w:rPr>
                  <w:noProof/>
                </w:rPr>
                <w:t xml:space="preserve"> (6), 443-455.</w:t>
              </w:r>
            </w:p>
            <w:p w:rsidR="00F26771" w:rsidRDefault="00F26771" w:rsidP="00F26771">
              <w:pPr>
                <w:pStyle w:val="Bibliografie"/>
                <w:rPr>
                  <w:noProof/>
                </w:rPr>
              </w:pPr>
              <w:r>
                <w:rPr>
                  <w:noProof/>
                </w:rPr>
                <w:t xml:space="preserve">LaLonde, B. J., &amp; Cooper, M. C. (1989). </w:t>
              </w:r>
              <w:r>
                <w:rPr>
                  <w:i/>
                  <w:iCs/>
                  <w:noProof/>
                </w:rPr>
                <w:t>Partnerships in providing customer service: A third-party perspective.</w:t>
              </w:r>
              <w:r>
                <w:rPr>
                  <w:noProof/>
                </w:rPr>
                <w:t xml:space="preserve"> Illinios: Oak Brook.</w:t>
              </w:r>
            </w:p>
            <w:p w:rsidR="00F26771" w:rsidRDefault="00F26771" w:rsidP="00F26771">
              <w:pPr>
                <w:pStyle w:val="Bibliografie"/>
                <w:rPr>
                  <w:noProof/>
                </w:rPr>
              </w:pPr>
              <w:r>
                <w:rPr>
                  <w:noProof/>
                </w:rPr>
                <w:t xml:space="preserve">Lambert, D. M., Cooper, M. C., &amp; Pagh, J. D. (1998). ''Supply chain management: implementation issues and research opportunities''. </w:t>
              </w:r>
              <w:r>
                <w:rPr>
                  <w:i/>
                  <w:iCs/>
                  <w:noProof/>
                </w:rPr>
                <w:t>The international journal of logistics management</w:t>
              </w:r>
              <w:r>
                <w:rPr>
                  <w:noProof/>
                </w:rPr>
                <w:t xml:space="preserve"> </w:t>
              </w:r>
              <w:r>
                <w:rPr>
                  <w:i/>
                  <w:iCs/>
                  <w:noProof/>
                </w:rPr>
                <w:t>, 9</w:t>
              </w:r>
              <w:r>
                <w:rPr>
                  <w:noProof/>
                </w:rPr>
                <w:t xml:space="preserve"> (2), 1-19.</w:t>
              </w:r>
            </w:p>
            <w:p w:rsidR="00F26771" w:rsidRDefault="00F26771" w:rsidP="00F26771">
              <w:pPr>
                <w:pStyle w:val="Bibliografie"/>
                <w:rPr>
                  <w:noProof/>
                </w:rPr>
              </w:pPr>
              <w:r>
                <w:rPr>
                  <w:noProof/>
                </w:rPr>
                <w:t xml:space="preserve">Langley, G., &amp; Capgemini. (2009). </w:t>
              </w:r>
              <w:r>
                <w:rPr>
                  <w:i/>
                  <w:iCs/>
                  <w:noProof/>
                </w:rPr>
                <w:t>The State of Logistics Outsourcing – 2009 Third-Party Logistics: Results and findings of the 14 Annual Study.</w:t>
              </w:r>
              <w:r>
                <w:rPr>
                  <w:noProof/>
                </w:rPr>
                <w:t xml:space="preserve"> US: Capgemini consulting.</w:t>
              </w:r>
            </w:p>
            <w:p w:rsidR="00F26771" w:rsidRDefault="00F26771" w:rsidP="00F26771">
              <w:pPr>
                <w:pStyle w:val="Bibliografie"/>
                <w:rPr>
                  <w:noProof/>
                </w:rPr>
              </w:pPr>
              <w:r>
                <w:rPr>
                  <w:noProof/>
                </w:rPr>
                <w:t xml:space="preserve">Langley, J., &amp; Capgemini. (2010). </w:t>
              </w:r>
              <w:r>
                <w:rPr>
                  <w:i/>
                  <w:iCs/>
                  <w:noProof/>
                </w:rPr>
                <w:t>2010 Third-party logistics.</w:t>
              </w:r>
              <w:r>
                <w:rPr>
                  <w:noProof/>
                </w:rPr>
                <w:t xml:space="preserve"> Capgemini Consulting.</w:t>
              </w:r>
            </w:p>
            <w:p w:rsidR="00F26771" w:rsidRDefault="00F26771" w:rsidP="00F26771">
              <w:pPr>
                <w:pStyle w:val="Bibliografie"/>
                <w:rPr>
                  <w:noProof/>
                </w:rPr>
              </w:pPr>
              <w:r>
                <w:rPr>
                  <w:noProof/>
                </w:rPr>
                <w:lastRenderedPageBreak/>
                <w:t xml:space="preserve">Larson, P. D., &amp; Gammelgaard, B. (2001). Logistics in Denmark: a survey of the industry. </w:t>
              </w:r>
              <w:r>
                <w:rPr>
                  <w:i/>
                  <w:iCs/>
                  <w:noProof/>
                </w:rPr>
                <w:t>International journal of Logistics: research and applications</w:t>
              </w:r>
              <w:r>
                <w:rPr>
                  <w:noProof/>
                </w:rPr>
                <w:t xml:space="preserve"> </w:t>
              </w:r>
              <w:r>
                <w:rPr>
                  <w:i/>
                  <w:iCs/>
                  <w:noProof/>
                </w:rPr>
                <w:t>, 4</w:t>
              </w:r>
              <w:r>
                <w:rPr>
                  <w:noProof/>
                </w:rPr>
                <w:t xml:space="preserve"> (2), 191-206.</w:t>
              </w:r>
            </w:p>
            <w:p w:rsidR="00F26771" w:rsidRDefault="00F26771" w:rsidP="00F26771">
              <w:pPr>
                <w:pStyle w:val="Bibliografie"/>
                <w:rPr>
                  <w:noProof/>
                </w:rPr>
              </w:pPr>
              <w:r>
                <w:rPr>
                  <w:noProof/>
                </w:rPr>
                <w:t xml:space="preserve">Leiblein, M. J., &amp; Miller, D. J. (2003). ''An empirical examination of transaction-and firm-level influences on the vertical boundaries of the firm”. </w:t>
              </w:r>
              <w:r>
                <w:rPr>
                  <w:i/>
                  <w:iCs/>
                  <w:noProof/>
                </w:rPr>
                <w:t>Strategic management journal</w:t>
              </w:r>
              <w:r>
                <w:rPr>
                  <w:noProof/>
                </w:rPr>
                <w:t xml:space="preserve"> </w:t>
              </w:r>
              <w:r>
                <w:rPr>
                  <w:i/>
                  <w:iCs/>
                  <w:noProof/>
                </w:rPr>
                <w:t>, 24</w:t>
              </w:r>
              <w:r>
                <w:rPr>
                  <w:noProof/>
                </w:rPr>
                <w:t>, 839-859.</w:t>
              </w:r>
            </w:p>
            <w:p w:rsidR="00F26771" w:rsidRDefault="00F26771" w:rsidP="00F26771">
              <w:pPr>
                <w:pStyle w:val="Bibliografie"/>
                <w:rPr>
                  <w:noProof/>
                </w:rPr>
              </w:pPr>
              <w:r>
                <w:rPr>
                  <w:noProof/>
                </w:rPr>
                <w:t xml:space="preserve">Levinson, M. (2006). </w:t>
              </w:r>
              <w:r>
                <w:rPr>
                  <w:i/>
                  <w:iCs/>
                  <w:noProof/>
                </w:rPr>
                <w:t>The Box.</w:t>
              </w:r>
              <w:r>
                <w:rPr>
                  <w:noProof/>
                </w:rPr>
                <w:t xml:space="preserve"> New Jersey: Princeton.</w:t>
              </w:r>
            </w:p>
            <w:p w:rsidR="00F26771" w:rsidRDefault="00F26771" w:rsidP="00F26771">
              <w:pPr>
                <w:pStyle w:val="Bibliografie"/>
                <w:rPr>
                  <w:noProof/>
                </w:rPr>
              </w:pPr>
              <w:r>
                <w:rPr>
                  <w:noProof/>
                </w:rPr>
                <w:t xml:space="preserve">Lieb, R. C. (2005). The North American third part logistics industry in 2004_ a provider CEO perspective. </w:t>
              </w:r>
              <w:r>
                <w:rPr>
                  <w:i/>
                  <w:iCs/>
                  <w:noProof/>
                </w:rPr>
                <w:t>International journal of physical distribution &amp; logistics management</w:t>
              </w:r>
              <w:r>
                <w:rPr>
                  <w:noProof/>
                </w:rPr>
                <w:t xml:space="preserve"> </w:t>
              </w:r>
              <w:r>
                <w:rPr>
                  <w:i/>
                  <w:iCs/>
                  <w:noProof/>
                </w:rPr>
                <w:t>, 35</w:t>
              </w:r>
              <w:r>
                <w:rPr>
                  <w:noProof/>
                </w:rPr>
                <w:t xml:space="preserve"> (8), 595-611.</w:t>
              </w:r>
            </w:p>
            <w:p w:rsidR="00F26771" w:rsidRDefault="00F26771" w:rsidP="00F26771">
              <w:pPr>
                <w:pStyle w:val="Bibliografie"/>
                <w:rPr>
                  <w:noProof/>
                </w:rPr>
              </w:pPr>
              <w:r>
                <w:rPr>
                  <w:noProof/>
                </w:rPr>
                <w:t xml:space="preserve">Lieb, R. C. (1992). The use of third-party logistics services by large American manufacturers. </w:t>
              </w:r>
              <w:r>
                <w:rPr>
                  <w:i/>
                  <w:iCs/>
                  <w:noProof/>
                </w:rPr>
                <w:t>Journal of business logistics</w:t>
              </w:r>
              <w:r>
                <w:rPr>
                  <w:noProof/>
                </w:rPr>
                <w:t xml:space="preserve"> </w:t>
              </w:r>
              <w:r>
                <w:rPr>
                  <w:i/>
                  <w:iCs/>
                  <w:noProof/>
                </w:rPr>
                <w:t>, 13</w:t>
              </w:r>
              <w:r>
                <w:rPr>
                  <w:noProof/>
                </w:rPr>
                <w:t xml:space="preserve"> (2), 29-42.</w:t>
              </w:r>
            </w:p>
            <w:p w:rsidR="00F26771" w:rsidRDefault="00F26771" w:rsidP="00F26771">
              <w:pPr>
                <w:pStyle w:val="Bibliografie"/>
                <w:rPr>
                  <w:noProof/>
                </w:rPr>
              </w:pPr>
              <w:r>
                <w:rPr>
                  <w:noProof/>
                </w:rPr>
                <w:t xml:space="preserve">Lieb, R. C., &amp; Bentz, B. A. (2005). The North American third part logistics industry in 2004_ a provider CEO perspective. </w:t>
              </w:r>
              <w:r>
                <w:rPr>
                  <w:i/>
                  <w:iCs/>
                  <w:noProof/>
                </w:rPr>
                <w:t>International journal of physical distribution &amp; logistics management</w:t>
              </w:r>
              <w:r>
                <w:rPr>
                  <w:noProof/>
                </w:rPr>
                <w:t xml:space="preserve"> </w:t>
              </w:r>
              <w:r>
                <w:rPr>
                  <w:i/>
                  <w:iCs/>
                  <w:noProof/>
                </w:rPr>
                <w:t>, 35</w:t>
              </w:r>
              <w:r>
                <w:rPr>
                  <w:noProof/>
                </w:rPr>
                <w:t xml:space="preserve"> (8), 595-611.</w:t>
              </w:r>
            </w:p>
            <w:p w:rsidR="00F26771" w:rsidRDefault="00F26771" w:rsidP="00F26771">
              <w:pPr>
                <w:pStyle w:val="Bibliografie"/>
                <w:rPr>
                  <w:noProof/>
                </w:rPr>
              </w:pPr>
              <w:r>
                <w:rPr>
                  <w:noProof/>
                </w:rPr>
                <w:t xml:space="preserve">Lieb, R. C., &amp; Kendrick, S. (2003). The year 2002 survey: CEO perspectives on the current status and future prospects of the 3PL industry in the US. </w:t>
              </w:r>
              <w:r>
                <w:rPr>
                  <w:i/>
                  <w:iCs/>
                  <w:noProof/>
                </w:rPr>
                <w:t>Transportation journal</w:t>
              </w:r>
              <w:r>
                <w:rPr>
                  <w:noProof/>
                </w:rPr>
                <w:t xml:space="preserve"> </w:t>
              </w:r>
              <w:r>
                <w:rPr>
                  <w:i/>
                  <w:iCs/>
                  <w:noProof/>
                </w:rPr>
                <w:t>, 43</w:t>
              </w:r>
              <w:r>
                <w:rPr>
                  <w:noProof/>
                </w:rPr>
                <w:t xml:space="preserve"> (2), 5-16.</w:t>
              </w:r>
            </w:p>
            <w:p w:rsidR="00F26771" w:rsidRDefault="00F26771" w:rsidP="00F26771">
              <w:pPr>
                <w:pStyle w:val="Bibliografie"/>
                <w:rPr>
                  <w:noProof/>
                </w:rPr>
              </w:pPr>
              <w:r>
                <w:rPr>
                  <w:noProof/>
                </w:rPr>
                <w:t xml:space="preserve">Lieb, R. C., &amp; Lieb, K. J. (2009). </w:t>
              </w:r>
              <w:r>
                <w:rPr>
                  <w:i/>
                  <w:iCs/>
                  <w:noProof/>
                </w:rPr>
                <w:t>The North American Third Party Logistics industry in 2009: The provider CEO perspective.</w:t>
              </w:r>
              <w:r>
                <w:rPr>
                  <w:noProof/>
                </w:rPr>
                <w:t xml:space="preserve"> US: Penske Logistics.</w:t>
              </w:r>
            </w:p>
            <w:p w:rsidR="00F26771" w:rsidRDefault="00F26771" w:rsidP="00F26771">
              <w:pPr>
                <w:pStyle w:val="Bibliografie"/>
                <w:rPr>
                  <w:noProof/>
                </w:rPr>
              </w:pPr>
              <w:r>
                <w:rPr>
                  <w:noProof/>
                </w:rPr>
                <w:t xml:space="preserve">Lieb, R. C., &amp; Lieb, K. J. (2010). </w:t>
              </w:r>
              <w:r>
                <w:rPr>
                  <w:i/>
                  <w:iCs/>
                  <w:noProof/>
                </w:rPr>
                <w:t>The North American Third Party Logistics Industry In 2010: The provider CEO perspective.</w:t>
              </w:r>
              <w:r>
                <w:rPr>
                  <w:noProof/>
                </w:rPr>
                <w:t xml:space="preserve"> Penske.</w:t>
              </w:r>
            </w:p>
            <w:p w:rsidR="00F26771" w:rsidRDefault="00F26771" w:rsidP="00F26771">
              <w:pPr>
                <w:pStyle w:val="Bibliografie"/>
                <w:rPr>
                  <w:noProof/>
                </w:rPr>
              </w:pPr>
              <w:r>
                <w:rPr>
                  <w:noProof/>
                </w:rPr>
                <w:t xml:space="preserve">Lieb, R. C., &amp; Lieb, K. (2008). The north american third-party logistics industry in 2008_The provider CEO perspective. </w:t>
              </w:r>
              <w:r>
                <w:rPr>
                  <w:i/>
                  <w:iCs/>
                  <w:noProof/>
                </w:rPr>
                <w:t>Reproduced with permission of the copyright owner</w:t>
              </w:r>
              <w:r>
                <w:rPr>
                  <w:noProof/>
                </w:rPr>
                <w:t xml:space="preserve"> , 54-65.</w:t>
              </w:r>
            </w:p>
            <w:p w:rsidR="00F26771" w:rsidRDefault="00F26771" w:rsidP="00F26771">
              <w:pPr>
                <w:pStyle w:val="Bibliografie"/>
                <w:rPr>
                  <w:noProof/>
                </w:rPr>
              </w:pPr>
              <w:r>
                <w:rPr>
                  <w:noProof/>
                </w:rPr>
                <w:t xml:space="preserve">Lieb, R., &amp; Randall, H. L. (1996). A comparison of the use of third party logistics services by large American manufacturers, 1991, 1994, and 1995. </w:t>
              </w:r>
              <w:r>
                <w:rPr>
                  <w:i/>
                  <w:iCs/>
                  <w:noProof/>
                </w:rPr>
                <w:t>Journal of business logistics</w:t>
              </w:r>
              <w:r>
                <w:rPr>
                  <w:noProof/>
                </w:rPr>
                <w:t xml:space="preserve"> </w:t>
              </w:r>
              <w:r>
                <w:rPr>
                  <w:i/>
                  <w:iCs/>
                  <w:noProof/>
                </w:rPr>
                <w:t>, 17</w:t>
              </w:r>
              <w:r>
                <w:rPr>
                  <w:noProof/>
                </w:rPr>
                <w:t xml:space="preserve"> (1), 305-320.</w:t>
              </w:r>
            </w:p>
            <w:p w:rsidR="00F26771" w:rsidRDefault="00F26771" w:rsidP="00F26771">
              <w:pPr>
                <w:pStyle w:val="Bibliografie"/>
                <w:rPr>
                  <w:noProof/>
                </w:rPr>
              </w:pPr>
              <w:r>
                <w:rPr>
                  <w:noProof/>
                </w:rPr>
                <w:t xml:space="preserve">Logan, M. C. (2000). Using agency theory to design successful outsourcing relationships. </w:t>
              </w:r>
              <w:r>
                <w:rPr>
                  <w:i/>
                  <w:iCs/>
                  <w:noProof/>
                </w:rPr>
                <w:t>International journal of physical distribution &amp; logistics management</w:t>
              </w:r>
              <w:r>
                <w:rPr>
                  <w:noProof/>
                </w:rPr>
                <w:t xml:space="preserve"> </w:t>
              </w:r>
              <w:r>
                <w:rPr>
                  <w:i/>
                  <w:iCs/>
                  <w:noProof/>
                </w:rPr>
                <w:t>, 11</w:t>
              </w:r>
              <w:r>
                <w:rPr>
                  <w:noProof/>
                </w:rPr>
                <w:t xml:space="preserve"> (2), 21-32.</w:t>
              </w:r>
            </w:p>
            <w:p w:rsidR="00F26771" w:rsidRDefault="00F26771" w:rsidP="00F26771">
              <w:pPr>
                <w:pStyle w:val="Bibliografie"/>
                <w:rPr>
                  <w:noProof/>
                </w:rPr>
              </w:pPr>
              <w:r>
                <w:rPr>
                  <w:noProof/>
                </w:rPr>
                <w:t xml:space="preserve">Makelin, M., &amp; Vepsalainen, A. P. (1990). Service strategies 2 - Services, Channels and Information technology. </w:t>
              </w:r>
              <w:r>
                <w:rPr>
                  <w:i/>
                  <w:iCs/>
                  <w:noProof/>
                </w:rPr>
                <w:t>HM&amp;V Research</w:t>
              </w:r>
              <w:r>
                <w:rPr>
                  <w:noProof/>
                </w:rPr>
                <w:t xml:space="preserve"> </w:t>
              </w:r>
              <w:r>
                <w:rPr>
                  <w:i/>
                  <w:iCs/>
                  <w:noProof/>
                </w:rPr>
                <w:t>, 17</w:t>
              </w:r>
              <w:r>
                <w:rPr>
                  <w:noProof/>
                </w:rPr>
                <w:t xml:space="preserve"> (1), 7-56.</w:t>
              </w:r>
            </w:p>
            <w:p w:rsidR="00F26771" w:rsidRDefault="00F26771" w:rsidP="00F26771">
              <w:pPr>
                <w:pStyle w:val="Bibliografie"/>
                <w:rPr>
                  <w:noProof/>
                </w:rPr>
              </w:pPr>
              <w:r>
                <w:rPr>
                  <w:noProof/>
                </w:rPr>
                <w:t xml:space="preserve">Marasco, A. (2007). Third-party logistics: a literature review. </w:t>
              </w:r>
              <w:r>
                <w:rPr>
                  <w:i/>
                  <w:iCs/>
                  <w:noProof/>
                </w:rPr>
                <w:t>International journal of production economics</w:t>
              </w:r>
              <w:r>
                <w:rPr>
                  <w:noProof/>
                </w:rPr>
                <w:t xml:space="preserve"> (113), 127-147.</w:t>
              </w:r>
            </w:p>
            <w:p w:rsidR="00F26771" w:rsidRDefault="00F26771" w:rsidP="00F26771">
              <w:pPr>
                <w:pStyle w:val="Bibliografie"/>
                <w:rPr>
                  <w:noProof/>
                </w:rPr>
              </w:pPr>
              <w:r>
                <w:rPr>
                  <w:noProof/>
                </w:rPr>
                <w:t xml:space="preserve">Murphy, P. R., &amp; Poist, R. F. (2000). Third-party logistics: some users versus provider perspectives. </w:t>
              </w:r>
              <w:r>
                <w:rPr>
                  <w:i/>
                  <w:iCs/>
                  <w:noProof/>
                </w:rPr>
                <w:t>Journal of business logistics</w:t>
              </w:r>
              <w:r>
                <w:rPr>
                  <w:noProof/>
                </w:rPr>
                <w:t xml:space="preserve"> </w:t>
              </w:r>
              <w:r>
                <w:rPr>
                  <w:i/>
                  <w:iCs/>
                  <w:noProof/>
                </w:rPr>
                <w:t>, 21</w:t>
              </w:r>
              <w:r>
                <w:rPr>
                  <w:noProof/>
                </w:rPr>
                <w:t xml:space="preserve"> (1), 121-133.</w:t>
              </w:r>
            </w:p>
            <w:p w:rsidR="00F26771" w:rsidRDefault="00F26771" w:rsidP="00F26771">
              <w:pPr>
                <w:pStyle w:val="Bibliografie"/>
                <w:rPr>
                  <w:noProof/>
                </w:rPr>
              </w:pPr>
              <w:r>
                <w:rPr>
                  <w:noProof/>
                </w:rPr>
                <w:t xml:space="preserve">Nelson, R. R., &amp; Winter, S. G. (1982). </w:t>
              </w:r>
              <w:r>
                <w:rPr>
                  <w:i/>
                  <w:iCs/>
                  <w:noProof/>
                </w:rPr>
                <w:t>An Evolutionary Theory of Economic Change.</w:t>
              </w:r>
              <w:r>
                <w:rPr>
                  <w:noProof/>
                </w:rPr>
                <w:t xml:space="preserve"> Cambridge: Belknap Harvard.</w:t>
              </w:r>
            </w:p>
            <w:p w:rsidR="00F26771" w:rsidRDefault="00F26771" w:rsidP="00F26771">
              <w:pPr>
                <w:pStyle w:val="Bibliografie"/>
                <w:rPr>
                  <w:noProof/>
                </w:rPr>
              </w:pPr>
              <w:r>
                <w:rPr>
                  <w:noProof/>
                </w:rPr>
                <w:t>Nijdam, M. H. (2011, February 14). ETFLS 6: Logistics services and the 3th party logistics firm. Rotterdam, Zuid Holland, the Netherlands.</w:t>
              </w:r>
            </w:p>
            <w:p w:rsidR="00F26771" w:rsidRDefault="00F26771" w:rsidP="00F26771">
              <w:pPr>
                <w:pStyle w:val="Bibliografie"/>
                <w:rPr>
                  <w:noProof/>
                </w:rPr>
              </w:pPr>
              <w:r>
                <w:rPr>
                  <w:noProof/>
                </w:rPr>
                <w:t xml:space="preserve">O' Sullivan, A., &amp; Sheffrin, S. M. (2003). </w:t>
              </w:r>
              <w:r>
                <w:rPr>
                  <w:i/>
                  <w:iCs/>
                  <w:noProof/>
                </w:rPr>
                <w:t>Economics: principles in action.</w:t>
              </w:r>
              <w:r>
                <w:rPr>
                  <w:noProof/>
                </w:rPr>
                <w:t xml:space="preserve"> New Yersey: Pearson Prentice Hall.</w:t>
              </w:r>
            </w:p>
            <w:p w:rsidR="00F26771" w:rsidRDefault="00F26771" w:rsidP="00F26771">
              <w:pPr>
                <w:pStyle w:val="Bibliografie"/>
                <w:rPr>
                  <w:noProof/>
                </w:rPr>
              </w:pPr>
              <w:r>
                <w:rPr>
                  <w:noProof/>
                </w:rPr>
                <w:t xml:space="preserve">Peters, M., Cooper, J., Lieb, R. C., &amp; Randall, H. L. (1998). The Third-Party Logistics Industry in Europe: Provider Perspectives on the Industry's Current Status and Future Prospects. </w:t>
              </w:r>
              <w:r>
                <w:rPr>
                  <w:i/>
                  <w:iCs/>
                  <w:noProof/>
                </w:rPr>
                <w:t>International journal of logistics: research and applications</w:t>
              </w:r>
              <w:r>
                <w:rPr>
                  <w:noProof/>
                </w:rPr>
                <w:t xml:space="preserve"> , 9-25.</w:t>
              </w:r>
            </w:p>
            <w:p w:rsidR="00F26771" w:rsidRDefault="00F26771" w:rsidP="00F26771">
              <w:pPr>
                <w:pStyle w:val="Bibliografie"/>
                <w:rPr>
                  <w:noProof/>
                </w:rPr>
              </w:pPr>
              <w:r>
                <w:rPr>
                  <w:noProof/>
                </w:rPr>
                <w:lastRenderedPageBreak/>
                <w:t xml:space="preserve">Rabinovich, E., &amp; Evers, P. (2003). Postponement effects on inventory performance and the impact of information systems. </w:t>
              </w:r>
              <w:r>
                <w:rPr>
                  <w:i/>
                  <w:iCs/>
                  <w:noProof/>
                </w:rPr>
                <w:t>International journal of logistics management</w:t>
              </w:r>
              <w:r>
                <w:rPr>
                  <w:noProof/>
                </w:rPr>
                <w:t xml:space="preserve"> </w:t>
              </w:r>
              <w:r>
                <w:rPr>
                  <w:i/>
                  <w:iCs/>
                  <w:noProof/>
                </w:rPr>
                <w:t>, 14</w:t>
              </w:r>
              <w:r>
                <w:rPr>
                  <w:noProof/>
                </w:rPr>
                <w:t xml:space="preserve"> (1), 33-48.</w:t>
              </w:r>
            </w:p>
            <w:p w:rsidR="00F26771" w:rsidRDefault="00F26771" w:rsidP="00F26771">
              <w:pPr>
                <w:pStyle w:val="Bibliografie"/>
                <w:rPr>
                  <w:noProof/>
                </w:rPr>
              </w:pPr>
              <w:r>
                <w:rPr>
                  <w:noProof/>
                </w:rPr>
                <w:t xml:space="preserve">Rahman, S. (2011). An exploratory study of outsourcing 3PL services: an Australian perspective. </w:t>
              </w:r>
              <w:r>
                <w:rPr>
                  <w:i/>
                  <w:iCs/>
                  <w:noProof/>
                </w:rPr>
                <w:t>Benchmarking: an international journal</w:t>
              </w:r>
              <w:r>
                <w:rPr>
                  <w:noProof/>
                </w:rPr>
                <w:t xml:space="preserve"> </w:t>
              </w:r>
              <w:r>
                <w:rPr>
                  <w:i/>
                  <w:iCs/>
                  <w:noProof/>
                </w:rPr>
                <w:t>, 18</w:t>
              </w:r>
              <w:r>
                <w:rPr>
                  <w:noProof/>
                </w:rPr>
                <w:t>, 1-30.</w:t>
              </w:r>
            </w:p>
            <w:p w:rsidR="00F26771" w:rsidRDefault="00F26771" w:rsidP="00F26771">
              <w:pPr>
                <w:pStyle w:val="Bibliografie"/>
                <w:rPr>
                  <w:noProof/>
                </w:rPr>
              </w:pPr>
              <w:r>
                <w:rPr>
                  <w:noProof/>
                </w:rPr>
                <w:t xml:space="preserve">Rao, K., &amp; Young, R. R. (1994). “Global supply chains: factors influencing outsourcing of logistics functions. </w:t>
              </w:r>
              <w:r>
                <w:rPr>
                  <w:i/>
                  <w:iCs/>
                  <w:noProof/>
                </w:rPr>
                <w:t>International journal of physical distribution &amp; logistics management</w:t>
              </w:r>
              <w:r>
                <w:rPr>
                  <w:noProof/>
                </w:rPr>
                <w:t xml:space="preserve"> </w:t>
              </w:r>
              <w:r>
                <w:rPr>
                  <w:i/>
                  <w:iCs/>
                  <w:noProof/>
                </w:rPr>
                <w:t>, 24</w:t>
              </w:r>
              <w:r>
                <w:rPr>
                  <w:noProof/>
                </w:rPr>
                <w:t xml:space="preserve"> (6), 11-19.</w:t>
              </w:r>
            </w:p>
            <w:p w:rsidR="00F26771" w:rsidRDefault="00F26771" w:rsidP="00F26771">
              <w:pPr>
                <w:pStyle w:val="Bibliografie"/>
                <w:rPr>
                  <w:noProof/>
                </w:rPr>
              </w:pPr>
              <w:r>
                <w:rPr>
                  <w:noProof/>
                </w:rPr>
                <w:t xml:space="preserve">Rodrique, J. P., Comtois, C., &amp; Slack, B. (2009). </w:t>
              </w:r>
              <w:r>
                <w:rPr>
                  <w:i/>
                  <w:iCs/>
                  <w:noProof/>
                </w:rPr>
                <w:t>The geography of transport systems.</w:t>
              </w:r>
              <w:r>
                <w:rPr>
                  <w:noProof/>
                </w:rPr>
                <w:t xml:space="preserve"> New York: Routledge.</w:t>
              </w:r>
            </w:p>
            <w:p w:rsidR="00F26771" w:rsidRDefault="00F26771" w:rsidP="00F26771">
              <w:pPr>
                <w:pStyle w:val="Bibliografie"/>
                <w:rPr>
                  <w:noProof/>
                </w:rPr>
              </w:pPr>
              <w:r>
                <w:rPr>
                  <w:noProof/>
                </w:rPr>
                <w:t xml:space="preserve">Rushkoff, D. (2005, September 4). </w:t>
              </w:r>
              <w:r>
                <w:rPr>
                  <w:i/>
                  <w:iCs/>
                  <w:noProof/>
                </w:rPr>
                <w:t>Commodified vs. Commoditized</w:t>
              </w:r>
              <w:r>
                <w:rPr>
                  <w:noProof/>
                </w:rPr>
                <w:t>. Retrieved May 10, 2011, from www.rushkoff.com: http://rushkoff.com/2005/09/04/commodified-vs-commoditized/</w:t>
              </w:r>
            </w:p>
            <w:p w:rsidR="00F26771" w:rsidRDefault="00F26771" w:rsidP="00F26771">
              <w:pPr>
                <w:pStyle w:val="Bibliografie"/>
                <w:rPr>
                  <w:noProof/>
                </w:rPr>
              </w:pPr>
              <w:r>
                <w:rPr>
                  <w:noProof/>
                </w:rPr>
                <w:t xml:space="preserve">Rushton, A., &amp; Walker, S. (2007). </w:t>
              </w:r>
              <w:r>
                <w:rPr>
                  <w:i/>
                  <w:iCs/>
                  <w:noProof/>
                </w:rPr>
                <w:t>International logistics and supply chain outsourcing: from local to global.</w:t>
              </w:r>
              <w:r>
                <w:rPr>
                  <w:noProof/>
                </w:rPr>
                <w:t xml:space="preserve"> London: Kogan Page.</w:t>
              </w:r>
            </w:p>
            <w:p w:rsidR="00F26771" w:rsidRDefault="00F26771" w:rsidP="00F26771">
              <w:pPr>
                <w:pStyle w:val="Bibliografie"/>
                <w:rPr>
                  <w:noProof/>
                </w:rPr>
              </w:pPr>
              <w:r>
                <w:rPr>
                  <w:noProof/>
                </w:rPr>
                <w:t xml:space="preserve">Sahay, B. S., &amp; Mohan, R. (2006). 3PL pratices: An Indian perspective. </w:t>
              </w:r>
              <w:r>
                <w:rPr>
                  <w:i/>
                  <w:iCs/>
                  <w:noProof/>
                </w:rPr>
                <w:t>International journal of physical distribution &amp; logistics management</w:t>
              </w:r>
              <w:r>
                <w:rPr>
                  <w:noProof/>
                </w:rPr>
                <w:t xml:space="preserve"> </w:t>
              </w:r>
              <w:r>
                <w:rPr>
                  <w:i/>
                  <w:iCs/>
                  <w:noProof/>
                </w:rPr>
                <w:t>, 36</w:t>
              </w:r>
              <w:r>
                <w:rPr>
                  <w:noProof/>
                </w:rPr>
                <w:t xml:space="preserve"> (9), 666-689.</w:t>
              </w:r>
            </w:p>
            <w:p w:rsidR="00F26771" w:rsidRDefault="00F26771" w:rsidP="00F26771">
              <w:pPr>
                <w:pStyle w:val="Bibliografie"/>
                <w:rPr>
                  <w:noProof/>
                </w:rPr>
              </w:pPr>
              <w:r>
                <w:rPr>
                  <w:noProof/>
                </w:rPr>
                <w:t xml:space="preserve">Selviaridis, K., &amp; Spring, M. (2007). Third party logistics: a literature review and reseacrh agenda. </w:t>
              </w:r>
              <w:r>
                <w:rPr>
                  <w:i/>
                  <w:iCs/>
                  <w:noProof/>
                </w:rPr>
                <w:t>The international journal of logistics management</w:t>
              </w:r>
              <w:r>
                <w:rPr>
                  <w:noProof/>
                </w:rPr>
                <w:t xml:space="preserve"> </w:t>
              </w:r>
              <w:r>
                <w:rPr>
                  <w:i/>
                  <w:iCs/>
                  <w:noProof/>
                </w:rPr>
                <w:t>, 18</w:t>
              </w:r>
              <w:r>
                <w:rPr>
                  <w:noProof/>
                </w:rPr>
                <w:t xml:space="preserve"> (1), 125-150.</w:t>
              </w:r>
            </w:p>
            <w:p w:rsidR="00F26771" w:rsidRDefault="00F26771" w:rsidP="00F26771">
              <w:pPr>
                <w:pStyle w:val="Bibliografie"/>
                <w:rPr>
                  <w:noProof/>
                </w:rPr>
              </w:pPr>
              <w:r>
                <w:rPr>
                  <w:noProof/>
                </w:rPr>
                <w:t xml:space="preserve">Siz, C. (2011, Februari 8). </w:t>
              </w:r>
              <w:r>
                <w:rPr>
                  <w:i/>
                  <w:iCs/>
                  <w:noProof/>
                </w:rPr>
                <w:t>Fourth party logistics (4PL)</w:t>
              </w:r>
              <w:r>
                <w:rPr>
                  <w:noProof/>
                </w:rPr>
                <w:t>. Retrieved May 17, 2011, from www.twinssiz.blogspot.com: http://twinssiz.blogspot.com/2011/02/fourth-party-logistics-4pl.html</w:t>
              </w:r>
            </w:p>
            <w:p w:rsidR="00F26771" w:rsidRDefault="00F26771" w:rsidP="00F26771">
              <w:pPr>
                <w:pStyle w:val="Bibliografie"/>
                <w:rPr>
                  <w:noProof/>
                </w:rPr>
              </w:pPr>
              <w:r>
                <w:rPr>
                  <w:noProof/>
                </w:rPr>
                <w:t xml:space="preserve">Skjott-Larsen, T. (2000). Third party logistics - from an interorganisational point of view. </w:t>
              </w:r>
              <w:r>
                <w:rPr>
                  <w:i/>
                  <w:iCs/>
                  <w:noProof/>
                </w:rPr>
                <w:t>International journal of physical distribution &amp; logistics management</w:t>
              </w:r>
              <w:r>
                <w:rPr>
                  <w:noProof/>
                </w:rPr>
                <w:t xml:space="preserve"> </w:t>
              </w:r>
              <w:r>
                <w:rPr>
                  <w:i/>
                  <w:iCs/>
                  <w:noProof/>
                </w:rPr>
                <w:t>, 30</w:t>
              </w:r>
              <w:r>
                <w:rPr>
                  <w:noProof/>
                </w:rPr>
                <w:t xml:space="preserve"> (2), 112-127.</w:t>
              </w:r>
            </w:p>
            <w:p w:rsidR="00F26771" w:rsidRDefault="00F26771" w:rsidP="00F26771">
              <w:pPr>
                <w:pStyle w:val="Bibliografie"/>
                <w:rPr>
                  <w:noProof/>
                </w:rPr>
              </w:pPr>
              <w:r>
                <w:rPr>
                  <w:noProof/>
                </w:rPr>
                <w:t xml:space="preserve">Skjott-Larsen, T., &amp; Thernu, C. (2003). Supply chain collaboration - theoretical perspectives and emperical evidence. </w:t>
              </w:r>
              <w:r>
                <w:rPr>
                  <w:i/>
                  <w:iCs/>
                  <w:noProof/>
                </w:rPr>
                <w:t>International journal of physical distribution &amp; logistics management</w:t>
              </w:r>
              <w:r>
                <w:rPr>
                  <w:noProof/>
                </w:rPr>
                <w:t xml:space="preserve"> </w:t>
              </w:r>
              <w:r>
                <w:rPr>
                  <w:i/>
                  <w:iCs/>
                  <w:noProof/>
                </w:rPr>
                <w:t>, 33</w:t>
              </w:r>
              <w:r>
                <w:rPr>
                  <w:noProof/>
                </w:rPr>
                <w:t xml:space="preserve"> (6), 531-549.</w:t>
              </w:r>
            </w:p>
            <w:p w:rsidR="00F26771" w:rsidRDefault="00F26771" w:rsidP="00F26771">
              <w:pPr>
                <w:pStyle w:val="Bibliografie"/>
                <w:rPr>
                  <w:noProof/>
                </w:rPr>
              </w:pPr>
              <w:r>
                <w:rPr>
                  <w:noProof/>
                </w:rPr>
                <w:t xml:space="preserve">Sohal, A. S., Millen, R., &amp; Moss, S. (2002). A comparison of the use of third-party logistics services by Australian firms between 1995 and 1999. </w:t>
              </w:r>
              <w:r>
                <w:rPr>
                  <w:i/>
                  <w:iCs/>
                  <w:noProof/>
                </w:rPr>
                <w:t>Journal of physical distribution &amp; logistics management</w:t>
              </w:r>
              <w:r>
                <w:rPr>
                  <w:noProof/>
                </w:rPr>
                <w:t xml:space="preserve"> </w:t>
              </w:r>
              <w:r>
                <w:rPr>
                  <w:i/>
                  <w:iCs/>
                  <w:noProof/>
                </w:rPr>
                <w:t>, 32</w:t>
              </w:r>
              <w:r>
                <w:rPr>
                  <w:noProof/>
                </w:rPr>
                <w:t xml:space="preserve"> (1), 59-68.</w:t>
              </w:r>
            </w:p>
            <w:p w:rsidR="00F26771" w:rsidRDefault="00F26771" w:rsidP="00F26771">
              <w:pPr>
                <w:pStyle w:val="Bibliografie"/>
                <w:rPr>
                  <w:noProof/>
                </w:rPr>
              </w:pPr>
              <w:r>
                <w:rPr>
                  <w:noProof/>
                </w:rPr>
                <w:t xml:space="preserve">Solakivi, T., Toyli, J., Engblom, J., &amp; Ojala, L. (2011). Logistics outsourcing and company performance of SMEs - evidence from 223 firms operating in Finland. </w:t>
              </w:r>
              <w:r>
                <w:rPr>
                  <w:i/>
                  <w:iCs/>
                  <w:noProof/>
                </w:rPr>
                <w:t>Pre-print of a paper</w:t>
              </w:r>
              <w:r>
                <w:rPr>
                  <w:noProof/>
                </w:rPr>
                <w:t xml:space="preserve"> .</w:t>
              </w:r>
            </w:p>
            <w:p w:rsidR="00F26771" w:rsidRDefault="00F26771" w:rsidP="00F26771">
              <w:pPr>
                <w:pStyle w:val="Bibliografie"/>
                <w:rPr>
                  <w:noProof/>
                </w:rPr>
              </w:pPr>
              <w:r>
                <w:rPr>
                  <w:noProof/>
                </w:rPr>
                <w:t xml:space="preserve">Stefansson, G. (2005). Collaborative logistics and the role of third-party logistics service providers. </w:t>
              </w:r>
              <w:r>
                <w:rPr>
                  <w:i/>
                  <w:iCs/>
                  <w:noProof/>
                </w:rPr>
                <w:t>International journal of physical distribution &amp; logistics management</w:t>
              </w:r>
              <w:r>
                <w:rPr>
                  <w:noProof/>
                </w:rPr>
                <w:t xml:space="preserve"> </w:t>
              </w:r>
              <w:r>
                <w:rPr>
                  <w:i/>
                  <w:iCs/>
                  <w:noProof/>
                </w:rPr>
                <w:t>, 36</w:t>
              </w:r>
              <w:r>
                <w:rPr>
                  <w:noProof/>
                </w:rPr>
                <w:t xml:space="preserve"> (2), 76-92.</w:t>
              </w:r>
            </w:p>
            <w:p w:rsidR="00F26771" w:rsidRDefault="00F26771" w:rsidP="00F26771">
              <w:pPr>
                <w:pStyle w:val="Bibliografie"/>
                <w:rPr>
                  <w:noProof/>
                </w:rPr>
              </w:pPr>
              <w:r>
                <w:rPr>
                  <w:noProof/>
                </w:rPr>
                <w:t xml:space="preserve">Stock, J. R. (1997). Applying theories from other disciplines to logistics. </w:t>
              </w:r>
              <w:r>
                <w:rPr>
                  <w:i/>
                  <w:iCs/>
                  <w:noProof/>
                </w:rPr>
                <w:t>International journal of physical distribution &amp; logistics management</w:t>
              </w:r>
              <w:r>
                <w:rPr>
                  <w:noProof/>
                </w:rPr>
                <w:t xml:space="preserve"> </w:t>
              </w:r>
              <w:r>
                <w:rPr>
                  <w:i/>
                  <w:iCs/>
                  <w:noProof/>
                </w:rPr>
                <w:t>, 27</w:t>
              </w:r>
              <w:r>
                <w:rPr>
                  <w:noProof/>
                </w:rPr>
                <w:t xml:space="preserve"> (9/10), 515-539.</w:t>
              </w:r>
            </w:p>
            <w:p w:rsidR="00F26771" w:rsidRDefault="00F26771" w:rsidP="00F26771">
              <w:pPr>
                <w:pStyle w:val="Bibliografie"/>
                <w:rPr>
                  <w:noProof/>
                </w:rPr>
              </w:pPr>
              <w:r>
                <w:rPr>
                  <w:noProof/>
                </w:rPr>
                <w:t xml:space="preserve">Su, J., Chang, Y., &amp; Ferguson, M. (2005). evaluation of postponement structures to accomodate mass customization. </w:t>
              </w:r>
              <w:r>
                <w:rPr>
                  <w:i/>
                  <w:iCs/>
                  <w:noProof/>
                </w:rPr>
                <w:t>Journal of operations management</w:t>
              </w:r>
              <w:r>
                <w:rPr>
                  <w:noProof/>
                </w:rPr>
                <w:t xml:space="preserve"> </w:t>
              </w:r>
              <w:r>
                <w:rPr>
                  <w:i/>
                  <w:iCs/>
                  <w:noProof/>
                </w:rPr>
                <w:t>, 23</w:t>
              </w:r>
              <w:r>
                <w:rPr>
                  <w:noProof/>
                </w:rPr>
                <w:t>, 305-318.</w:t>
              </w:r>
            </w:p>
            <w:p w:rsidR="00F26771" w:rsidRDefault="00F26771" w:rsidP="00F26771">
              <w:pPr>
                <w:pStyle w:val="Bibliografie"/>
                <w:rPr>
                  <w:noProof/>
                </w:rPr>
              </w:pPr>
              <w:r>
                <w:rPr>
                  <w:noProof/>
                </w:rPr>
                <w:t xml:space="preserve">Teece, D. J., Pisano, G. P., &amp; Shuen, A. (2000). Dynamic capabilities and strategic management. In G. Dosi, R. R. Nelson, &amp; S. G. Winter, </w:t>
              </w:r>
              <w:r>
                <w:rPr>
                  <w:i/>
                  <w:iCs/>
                  <w:noProof/>
                </w:rPr>
                <w:t>The Nature and Dynamics of Organisational Capabilities</w:t>
              </w:r>
              <w:r>
                <w:rPr>
                  <w:noProof/>
                </w:rPr>
                <w:t xml:space="preserve"> (pp. 349-377). Oxford: Oxford University Press.</w:t>
              </w:r>
            </w:p>
            <w:p w:rsidR="00F26771" w:rsidRDefault="00F26771" w:rsidP="00F26771">
              <w:pPr>
                <w:pStyle w:val="Bibliografie"/>
                <w:rPr>
                  <w:noProof/>
                </w:rPr>
              </w:pPr>
              <w:r>
                <w:rPr>
                  <w:noProof/>
                </w:rPr>
                <w:t xml:space="preserve">TLN. (2011, 4). </w:t>
              </w:r>
              <w:r>
                <w:rPr>
                  <w:i/>
                  <w:iCs/>
                  <w:noProof/>
                </w:rPr>
                <w:t>Conjunctuur bericht 1e kwartaal 2011.</w:t>
              </w:r>
              <w:r>
                <w:rPr>
                  <w:noProof/>
                </w:rPr>
                <w:t xml:space="preserve"> Retrieved May 10, 2011, from www.tln.nl: hhtp://www.tln.nl/media/1_tln/persberichten?conjunctuurenquete_1e_kwart_2011.pdf</w:t>
              </w:r>
            </w:p>
            <w:p w:rsidR="00F26771" w:rsidRDefault="00F26771" w:rsidP="00F26771">
              <w:pPr>
                <w:pStyle w:val="Bibliografie"/>
                <w:rPr>
                  <w:noProof/>
                </w:rPr>
              </w:pPr>
              <w:r w:rsidRPr="00F26771">
                <w:rPr>
                  <w:noProof/>
                  <w:lang w:val="nl-NL"/>
                </w:rPr>
                <w:lastRenderedPageBreak/>
                <w:t xml:space="preserve">TLN. (2010, 1). </w:t>
              </w:r>
              <w:r w:rsidRPr="00F26771">
                <w:rPr>
                  <w:i/>
                  <w:iCs/>
                  <w:noProof/>
                  <w:lang w:val="nl-NL"/>
                </w:rPr>
                <w:t>Conjunctuur bericht 4e kwartaal 2009.</w:t>
              </w:r>
              <w:r w:rsidRPr="00F26771">
                <w:rPr>
                  <w:noProof/>
                  <w:lang w:val="nl-NL"/>
                </w:rPr>
                <w:t xml:space="preserve"> </w:t>
              </w:r>
              <w:r>
                <w:rPr>
                  <w:noProof/>
                </w:rPr>
                <w:t>Retrieved May 10, 2011, from www.tln.nl: hhtp://www.tln.nl/media/1_tln/publicaties/conjunctuurberichten/cb4_2009.pdf</w:t>
              </w:r>
            </w:p>
            <w:p w:rsidR="00F26771" w:rsidRDefault="00F26771" w:rsidP="00F26771">
              <w:pPr>
                <w:pStyle w:val="Bibliografie"/>
                <w:rPr>
                  <w:noProof/>
                </w:rPr>
              </w:pPr>
              <w:r w:rsidRPr="00F26771">
                <w:rPr>
                  <w:noProof/>
                  <w:lang w:val="nl-NL"/>
                </w:rPr>
                <w:t xml:space="preserve">TLN. (2011, 2). </w:t>
              </w:r>
              <w:r w:rsidRPr="00F26771">
                <w:rPr>
                  <w:i/>
                  <w:iCs/>
                  <w:noProof/>
                  <w:lang w:val="nl-NL"/>
                </w:rPr>
                <w:t>Conjunctuur bericht 4e kwartaal 2010.</w:t>
              </w:r>
              <w:r w:rsidRPr="00F26771">
                <w:rPr>
                  <w:noProof/>
                  <w:lang w:val="nl-NL"/>
                </w:rPr>
                <w:t xml:space="preserve"> </w:t>
              </w:r>
              <w:r>
                <w:rPr>
                  <w:noProof/>
                </w:rPr>
                <w:t>Retrieved May 10, 2011, from www.tln.nl: hhtp://www.tln.nl/media/1_tln/publicaties/conjunctuurberichten/cb4_2010.pdf</w:t>
              </w:r>
            </w:p>
            <w:p w:rsidR="00F26771" w:rsidRDefault="00F26771" w:rsidP="00F26771">
              <w:pPr>
                <w:pStyle w:val="Bibliografie"/>
                <w:rPr>
                  <w:noProof/>
                </w:rPr>
              </w:pPr>
              <w:r w:rsidRPr="00F26771">
                <w:rPr>
                  <w:noProof/>
                  <w:lang w:val="nl-NL"/>
                </w:rPr>
                <w:t xml:space="preserve">van Damme, D. E., &amp; van Amstel, V. J. (1996). </w:t>
              </w:r>
              <w:r>
                <w:rPr>
                  <w:noProof/>
                </w:rPr>
                <w:t xml:space="preserve">''Outsourcing logistics management activities''. </w:t>
              </w:r>
              <w:r>
                <w:rPr>
                  <w:i/>
                  <w:iCs/>
                  <w:noProof/>
                </w:rPr>
                <w:t>International journal of logistics management</w:t>
              </w:r>
              <w:r>
                <w:rPr>
                  <w:noProof/>
                </w:rPr>
                <w:t xml:space="preserve"> </w:t>
              </w:r>
              <w:r>
                <w:rPr>
                  <w:i/>
                  <w:iCs/>
                  <w:noProof/>
                </w:rPr>
                <w:t>, 7</w:t>
              </w:r>
              <w:r>
                <w:rPr>
                  <w:noProof/>
                </w:rPr>
                <w:t xml:space="preserve"> (2), 85-95.</w:t>
              </w:r>
            </w:p>
            <w:p w:rsidR="00F26771" w:rsidRDefault="00F26771" w:rsidP="00F26771">
              <w:pPr>
                <w:pStyle w:val="Bibliografie"/>
                <w:rPr>
                  <w:noProof/>
                </w:rPr>
              </w:pPr>
              <w:r>
                <w:rPr>
                  <w:noProof/>
                </w:rPr>
                <w:t xml:space="preserve">van Hoek, R. I. (2001). Epilogue: UPS Logistics - practical approaches to the. </w:t>
              </w:r>
              <w:r>
                <w:rPr>
                  <w:i/>
                  <w:iCs/>
                  <w:noProof/>
                </w:rPr>
                <w:t>International journal of physical distribution &amp; logistics management</w:t>
              </w:r>
              <w:r>
                <w:rPr>
                  <w:noProof/>
                </w:rPr>
                <w:t xml:space="preserve"> </w:t>
              </w:r>
              <w:r>
                <w:rPr>
                  <w:i/>
                  <w:iCs/>
                  <w:noProof/>
                </w:rPr>
                <w:t>, 31</w:t>
              </w:r>
              <w:r>
                <w:rPr>
                  <w:noProof/>
                </w:rPr>
                <w:t xml:space="preserve"> (6), 463-468.</w:t>
              </w:r>
            </w:p>
            <w:p w:rsidR="00F26771" w:rsidRDefault="00F26771" w:rsidP="00F26771">
              <w:pPr>
                <w:pStyle w:val="Bibliografie"/>
                <w:rPr>
                  <w:noProof/>
                </w:rPr>
              </w:pPr>
              <w:r>
                <w:rPr>
                  <w:noProof/>
                </w:rPr>
                <w:t xml:space="preserve">van Hoek, R. I. (2000). Global and pan-European logistics? How it's not yet happening. </w:t>
              </w:r>
              <w:r>
                <w:rPr>
                  <w:i/>
                  <w:iCs/>
                  <w:noProof/>
                </w:rPr>
                <w:t>International journal of physical distribution &amp; logistics management</w:t>
              </w:r>
              <w:r>
                <w:rPr>
                  <w:noProof/>
                </w:rPr>
                <w:t xml:space="preserve"> </w:t>
              </w:r>
              <w:r>
                <w:rPr>
                  <w:i/>
                  <w:iCs/>
                  <w:noProof/>
                </w:rPr>
                <w:t>, 30</w:t>
              </w:r>
              <w:r>
                <w:rPr>
                  <w:noProof/>
                </w:rPr>
                <w:t xml:space="preserve"> (5), 454-460.</w:t>
              </w:r>
            </w:p>
            <w:p w:rsidR="00F26771" w:rsidRDefault="00F26771" w:rsidP="00F26771">
              <w:pPr>
                <w:pStyle w:val="Bibliografie"/>
                <w:rPr>
                  <w:noProof/>
                </w:rPr>
              </w:pPr>
              <w:r>
                <w:rPr>
                  <w:noProof/>
                </w:rPr>
                <w:t xml:space="preserve">van Hoek, R. I. (2000). Role of third party logistic services in customization through postponement. </w:t>
              </w:r>
              <w:r>
                <w:rPr>
                  <w:i/>
                  <w:iCs/>
                  <w:noProof/>
                </w:rPr>
                <w:t>International Journal of Service Industry Management</w:t>
              </w:r>
              <w:r>
                <w:rPr>
                  <w:noProof/>
                </w:rPr>
                <w:t xml:space="preserve"> </w:t>
              </w:r>
              <w:r>
                <w:rPr>
                  <w:i/>
                  <w:iCs/>
                  <w:noProof/>
                </w:rPr>
                <w:t>, 11</w:t>
              </w:r>
              <w:r>
                <w:rPr>
                  <w:noProof/>
                </w:rPr>
                <w:t xml:space="preserve"> (4), 374-387.</w:t>
              </w:r>
            </w:p>
            <w:p w:rsidR="00F26771" w:rsidRDefault="00F26771" w:rsidP="00F26771">
              <w:pPr>
                <w:pStyle w:val="Bibliografie"/>
                <w:rPr>
                  <w:noProof/>
                </w:rPr>
              </w:pPr>
              <w:r>
                <w:rPr>
                  <w:noProof/>
                </w:rPr>
                <w:t xml:space="preserve">van Hoek, R. I., &amp; Chong, I. (2001). ''Epilogue: UPS logistics - practival approaches to the e-supply chain''. </w:t>
              </w:r>
              <w:r>
                <w:rPr>
                  <w:i/>
                  <w:iCs/>
                  <w:noProof/>
                </w:rPr>
                <w:t>International journal of physical distribution &amp; logistics management</w:t>
              </w:r>
              <w:r>
                <w:rPr>
                  <w:noProof/>
                </w:rPr>
                <w:t xml:space="preserve"> </w:t>
              </w:r>
              <w:r>
                <w:rPr>
                  <w:i/>
                  <w:iCs/>
                  <w:noProof/>
                </w:rPr>
                <w:t>, 31</w:t>
              </w:r>
              <w:r>
                <w:rPr>
                  <w:noProof/>
                </w:rPr>
                <w:t xml:space="preserve"> (6), 463-468.</w:t>
              </w:r>
            </w:p>
            <w:p w:rsidR="00F26771" w:rsidRDefault="00F26771" w:rsidP="00F26771">
              <w:pPr>
                <w:pStyle w:val="Bibliografie"/>
                <w:rPr>
                  <w:noProof/>
                </w:rPr>
              </w:pPr>
              <w:r>
                <w:rPr>
                  <w:noProof/>
                </w:rPr>
                <w:t xml:space="preserve">van Hoek, R. I., &amp; Dierdonck, R. (2000). Postponed manufacturing supplementary to transportation services? </w:t>
              </w:r>
              <w:r>
                <w:rPr>
                  <w:i/>
                  <w:iCs/>
                  <w:noProof/>
                </w:rPr>
                <w:t>Transportation research: Part E</w:t>
              </w:r>
              <w:r>
                <w:rPr>
                  <w:noProof/>
                </w:rPr>
                <w:t xml:space="preserve"> </w:t>
              </w:r>
              <w:r>
                <w:rPr>
                  <w:i/>
                  <w:iCs/>
                  <w:noProof/>
                </w:rPr>
                <w:t>, 36</w:t>
              </w:r>
              <w:r>
                <w:rPr>
                  <w:noProof/>
                </w:rPr>
                <w:t>, 205-217.</w:t>
              </w:r>
            </w:p>
            <w:p w:rsidR="00F26771" w:rsidRDefault="00F26771" w:rsidP="00F26771">
              <w:pPr>
                <w:pStyle w:val="Bibliografie"/>
                <w:rPr>
                  <w:noProof/>
                </w:rPr>
              </w:pPr>
              <w:r>
                <w:rPr>
                  <w:noProof/>
                </w:rPr>
                <w:t xml:space="preserve">van Hoek, R. (1997). Postponed manufactoring: a case study in the food supply chain. </w:t>
              </w:r>
              <w:r>
                <w:rPr>
                  <w:i/>
                  <w:iCs/>
                  <w:noProof/>
                </w:rPr>
                <w:t>Supply chain management</w:t>
              </w:r>
              <w:r>
                <w:rPr>
                  <w:noProof/>
                </w:rPr>
                <w:t xml:space="preserve"> </w:t>
              </w:r>
              <w:r>
                <w:rPr>
                  <w:i/>
                  <w:iCs/>
                  <w:noProof/>
                </w:rPr>
                <w:t>, 2</w:t>
              </w:r>
              <w:r>
                <w:rPr>
                  <w:noProof/>
                </w:rPr>
                <w:t xml:space="preserve"> (2), 63-75.</w:t>
              </w:r>
            </w:p>
            <w:p w:rsidR="00F26771" w:rsidRDefault="00F26771" w:rsidP="00F26771">
              <w:pPr>
                <w:pStyle w:val="Bibliografie"/>
                <w:rPr>
                  <w:noProof/>
                </w:rPr>
              </w:pPr>
              <w:r>
                <w:rPr>
                  <w:noProof/>
                </w:rPr>
                <w:t xml:space="preserve">van Laarhoven, P., Berglund, M., &amp; Peters, M. (2000). ''Third party logistics in Europe- five years later''. </w:t>
              </w:r>
              <w:r>
                <w:rPr>
                  <w:i/>
                  <w:iCs/>
                  <w:noProof/>
                </w:rPr>
                <w:t>International journal of physical distribution &amp; logistics management</w:t>
              </w:r>
              <w:r>
                <w:rPr>
                  <w:noProof/>
                </w:rPr>
                <w:t xml:space="preserve"> </w:t>
              </w:r>
              <w:r>
                <w:rPr>
                  <w:i/>
                  <w:iCs/>
                  <w:noProof/>
                </w:rPr>
                <w:t>, 30</w:t>
              </w:r>
              <w:r>
                <w:rPr>
                  <w:noProof/>
                </w:rPr>
                <w:t xml:space="preserve"> (5), 425-442.</w:t>
              </w:r>
            </w:p>
            <w:p w:rsidR="00F26771" w:rsidRDefault="00F26771" w:rsidP="00F26771">
              <w:pPr>
                <w:pStyle w:val="Bibliografie"/>
                <w:rPr>
                  <w:noProof/>
                </w:rPr>
              </w:pPr>
              <w:r>
                <w:rPr>
                  <w:noProof/>
                </w:rPr>
                <w:t xml:space="preserve">Wilding, R., &amp; Juriado, R. (2004). ''Customer perceptions on the logistics outsourcing in the European consumer goods industry''. </w:t>
              </w:r>
              <w:r>
                <w:rPr>
                  <w:i/>
                  <w:iCs/>
                  <w:noProof/>
                </w:rPr>
                <w:t>International journal of physical distribution &amp; logistical management</w:t>
              </w:r>
              <w:r>
                <w:rPr>
                  <w:noProof/>
                </w:rPr>
                <w:t xml:space="preserve"> </w:t>
              </w:r>
              <w:r>
                <w:rPr>
                  <w:i/>
                  <w:iCs/>
                  <w:noProof/>
                </w:rPr>
                <w:t>, 34</w:t>
              </w:r>
              <w:r>
                <w:rPr>
                  <w:noProof/>
                </w:rPr>
                <w:t xml:space="preserve"> (8), 628-644.</w:t>
              </w:r>
            </w:p>
            <w:p w:rsidR="00F26771" w:rsidRDefault="00F26771" w:rsidP="00F26771">
              <w:pPr>
                <w:pStyle w:val="Bibliografie"/>
                <w:rPr>
                  <w:noProof/>
                </w:rPr>
              </w:pPr>
              <w:r>
                <w:rPr>
                  <w:noProof/>
                </w:rPr>
                <w:t xml:space="preserve">Williamson, O. E. (1985). </w:t>
              </w:r>
              <w:r>
                <w:rPr>
                  <w:i/>
                  <w:iCs/>
                  <w:noProof/>
                </w:rPr>
                <w:t>The Economic Institutions of Capitalism: Firms, Markets, Relational Contracting.</w:t>
              </w:r>
              <w:r>
                <w:rPr>
                  <w:noProof/>
                </w:rPr>
                <w:t xml:space="preserve"> New York: Free Press.</w:t>
              </w:r>
            </w:p>
            <w:p w:rsidR="00F26771" w:rsidRDefault="00F26771" w:rsidP="00F26771">
              <w:pPr>
                <w:pStyle w:val="Bibliografie"/>
                <w:rPr>
                  <w:noProof/>
                </w:rPr>
              </w:pPr>
              <w:r>
                <w:rPr>
                  <w:noProof/>
                </w:rPr>
                <w:t xml:space="preserve">Williamson, O. E. (1979). Transaction cost economics: the governance of contractual relations. </w:t>
              </w:r>
              <w:r>
                <w:rPr>
                  <w:i/>
                  <w:iCs/>
                  <w:noProof/>
                </w:rPr>
                <w:t>Journal of Law and Economics</w:t>
              </w:r>
              <w:r>
                <w:rPr>
                  <w:noProof/>
                </w:rPr>
                <w:t xml:space="preserve"> </w:t>
              </w:r>
              <w:r>
                <w:rPr>
                  <w:i/>
                  <w:iCs/>
                  <w:noProof/>
                </w:rPr>
                <w:t>, 22</w:t>
              </w:r>
              <w:r>
                <w:rPr>
                  <w:noProof/>
                </w:rPr>
                <w:t>, 233-261.</w:t>
              </w:r>
            </w:p>
            <w:p w:rsidR="00F26771" w:rsidRDefault="00F26771" w:rsidP="00F26771">
              <w:pPr>
                <w:pStyle w:val="Bibliografie"/>
                <w:rPr>
                  <w:noProof/>
                </w:rPr>
              </w:pPr>
              <w:r>
                <w:rPr>
                  <w:noProof/>
                </w:rPr>
                <w:t xml:space="preserve">Yang, B., Burns, N., &amp; Backhouse, C. (2004). Postponement: a review and an integrated framework. </w:t>
              </w:r>
              <w:r>
                <w:rPr>
                  <w:i/>
                  <w:iCs/>
                  <w:noProof/>
                </w:rPr>
                <w:t>International journal of operations &amp; production management</w:t>
              </w:r>
              <w:r>
                <w:rPr>
                  <w:noProof/>
                </w:rPr>
                <w:t xml:space="preserve"> </w:t>
              </w:r>
              <w:r>
                <w:rPr>
                  <w:i/>
                  <w:iCs/>
                  <w:noProof/>
                </w:rPr>
                <w:t>, 24</w:t>
              </w:r>
              <w:r>
                <w:rPr>
                  <w:noProof/>
                </w:rPr>
                <w:t xml:space="preserve"> (5), 468-487.</w:t>
              </w:r>
            </w:p>
            <w:p w:rsidR="00B87A8E" w:rsidRPr="00B87A8E" w:rsidRDefault="00BD69D8" w:rsidP="00F26771">
              <w:r>
                <w:fldChar w:fldCharType="end"/>
              </w:r>
            </w:p>
          </w:sdtContent>
        </w:sdt>
      </w:sdtContent>
    </w:sdt>
    <w:p w:rsidR="00AC4F2E" w:rsidRDefault="00AC4F2E" w:rsidP="00C46D42">
      <w:pPr>
        <w:autoSpaceDE w:val="0"/>
        <w:autoSpaceDN w:val="0"/>
        <w:adjustRightInd w:val="0"/>
        <w:spacing w:after="0" w:line="240" w:lineRule="auto"/>
        <w:rPr>
          <w:rFonts w:cs="AdvTimes"/>
          <w:lang w:val="nl-NL"/>
        </w:rPr>
      </w:pPr>
    </w:p>
    <w:p w:rsidR="00652232" w:rsidRDefault="00652232" w:rsidP="00C46D42">
      <w:pPr>
        <w:autoSpaceDE w:val="0"/>
        <w:autoSpaceDN w:val="0"/>
        <w:adjustRightInd w:val="0"/>
        <w:spacing w:after="0" w:line="240" w:lineRule="auto"/>
        <w:rPr>
          <w:rFonts w:cs="AdvTimes"/>
          <w:lang w:val="nl-NL"/>
        </w:rPr>
      </w:pPr>
    </w:p>
    <w:p w:rsidR="00652232" w:rsidRDefault="008A0D11" w:rsidP="00BE15A0">
      <w:pPr>
        <w:rPr>
          <w:rFonts w:cs="AdvTimes"/>
          <w:lang w:val="nl-NL"/>
        </w:rPr>
      </w:pPr>
      <w:r>
        <w:rPr>
          <w:rFonts w:cs="AdvTimes"/>
          <w:lang w:val="nl-NL"/>
        </w:rPr>
        <w:br w:type="page"/>
      </w:r>
    </w:p>
    <w:p w:rsidR="00CC56F7" w:rsidRPr="00BE15A0" w:rsidRDefault="00652232" w:rsidP="00C427F0">
      <w:pPr>
        <w:pStyle w:val="Kop1"/>
        <w:rPr>
          <w:rFonts w:asciiTheme="majorHAnsi" w:hAnsiTheme="majorHAnsi"/>
        </w:rPr>
      </w:pPr>
      <w:bookmarkStart w:id="42" w:name="_Toc300412015"/>
      <w:r w:rsidRPr="00BE15A0">
        <w:rPr>
          <w:rFonts w:asciiTheme="majorHAnsi" w:hAnsiTheme="majorHAnsi"/>
        </w:rPr>
        <w:lastRenderedPageBreak/>
        <w:t>APPENDICES</w:t>
      </w:r>
      <w:bookmarkEnd w:id="42"/>
    </w:p>
    <w:p w:rsidR="003A4CEB" w:rsidRPr="003A4CEB" w:rsidRDefault="00BE15A0" w:rsidP="003A4CEB">
      <w:pPr>
        <w:pStyle w:val="Kop2"/>
      </w:pPr>
      <w:bookmarkStart w:id="43" w:name="_Toc300412016"/>
      <w:r>
        <w:t>Appendix</w:t>
      </w:r>
      <w:r w:rsidR="003A4CEB" w:rsidRPr="003A4CEB">
        <w:t xml:space="preserve"> 1: The </w:t>
      </w:r>
      <w:r w:rsidR="003A4CEB">
        <w:t>quest</w:t>
      </w:r>
      <w:r>
        <w:t>ionnaire (in Dutch)</w:t>
      </w:r>
      <w:bookmarkEnd w:id="43"/>
    </w:p>
    <w:p w:rsidR="003A4CEB" w:rsidRPr="009A67D3" w:rsidRDefault="003A4CEB" w:rsidP="003A4CEB">
      <w:pPr>
        <w:spacing w:line="360" w:lineRule="auto"/>
        <w:jc w:val="both"/>
        <w:rPr>
          <w:lang w:val="nl-NL"/>
        </w:rPr>
      </w:pPr>
      <w:r w:rsidRPr="009A67D3">
        <w:rPr>
          <w:lang w:val="nl-NL"/>
        </w:rPr>
        <w:t>Geachte</w:t>
      </w:r>
      <w:r w:rsidRPr="009A67D3">
        <w:rPr>
          <w:color w:val="FF0000"/>
          <w:lang w:val="nl-NL"/>
        </w:rPr>
        <w:t xml:space="preserve"> </w:t>
      </w:r>
      <w:r w:rsidRPr="009A67D3">
        <w:rPr>
          <w:i/>
          <w:lang w:val="nl-NL"/>
        </w:rPr>
        <w:t>geadresseerde</w:t>
      </w:r>
      <w:r w:rsidRPr="009A67D3">
        <w:rPr>
          <w:lang w:val="nl-NL"/>
        </w:rPr>
        <w:t>,</w:t>
      </w:r>
    </w:p>
    <w:p w:rsidR="003A4CEB" w:rsidRPr="003A4CEB" w:rsidRDefault="003A4CEB" w:rsidP="003A4CEB">
      <w:pPr>
        <w:spacing w:line="360" w:lineRule="auto"/>
        <w:jc w:val="both"/>
        <w:rPr>
          <w:color w:val="FF0000"/>
          <w:lang w:val="nl-NL"/>
        </w:rPr>
      </w:pPr>
      <w:r w:rsidRPr="003A4CEB">
        <w:rPr>
          <w:lang w:val="nl-NL"/>
        </w:rPr>
        <w:t xml:space="preserve">De Erasmus </w:t>
      </w:r>
      <w:r w:rsidRPr="00BE15A0">
        <w:rPr>
          <w:lang w:val="nl-NL"/>
        </w:rPr>
        <w:t>Universiteit uit Rotterdam doet momenteel onderzoek naar de strategische ontwikkeling van 3PL-ers in Nederland. De transport- en logistieke sector wordt geconfronteerd met een aanhoudende druk op de gehanteerde prijzen en marges. Een</w:t>
      </w:r>
      <w:r w:rsidRPr="003A4CEB">
        <w:rPr>
          <w:lang w:val="nl-NL"/>
        </w:rPr>
        <w:t xml:space="preserve"> mogelijke manier om onder deze druk uit te komen is door het aanbieden van meer gedifferentieerde diensten. Dit onderzoek richt zich op hoe 3PL-ers in Nederland zichzelf ontwikkelen en onderscheiden om hierdoor van meer strategisch belang te zijn voor hun klanten.</w:t>
      </w:r>
      <w:r w:rsidRPr="003A4CEB">
        <w:rPr>
          <w:color w:val="000000" w:themeColor="text1"/>
          <w:lang w:val="nl-NL"/>
        </w:rPr>
        <w:t xml:space="preserve"> De vragen uit de enquête hebben o.a. betrekking op </w:t>
      </w:r>
      <w:r w:rsidRPr="003A4CEB">
        <w:rPr>
          <w:rFonts w:cs="Arial"/>
          <w:color w:val="000000" w:themeColor="text1"/>
          <w:lang w:val="nl-NL"/>
        </w:rPr>
        <w:t>de relatie tussen 3PL aanbieders en hun klanten, het doen van klantspecifieke investeringen en de positie van 3PL aanbieders in de supply chain.</w:t>
      </w:r>
    </w:p>
    <w:p w:rsidR="003A4CEB" w:rsidRPr="003A4CEB" w:rsidRDefault="003A4CEB" w:rsidP="003A4CEB">
      <w:pPr>
        <w:spacing w:line="360" w:lineRule="auto"/>
        <w:jc w:val="both"/>
        <w:rPr>
          <w:lang w:val="nl-NL"/>
        </w:rPr>
      </w:pPr>
      <w:r w:rsidRPr="003A4CEB">
        <w:rPr>
          <w:lang w:val="nl-NL"/>
        </w:rPr>
        <w:t>De enquête bestaat uit 15 stellingen en 27 gesloten vragen. Het beantwoorden van de vragen neemt maximaal 15 minuten in beslag. U ontvangt deze enquête per e-mail en per post zodat u deze naar eigen voorkeur kunt invullen. Uw deelname aan dit onderzoek is zeer gewenst. Wanneer u de enquête invult zult u, indien gewenst, volledig op de hoogte worden gebracht van de resultaten van dit onderzoek: doe er uw voordeel mee!</w:t>
      </w:r>
    </w:p>
    <w:p w:rsidR="003A4CEB" w:rsidRPr="003A4CEB" w:rsidRDefault="003A4CEB" w:rsidP="003A4CEB">
      <w:pPr>
        <w:spacing w:line="360" w:lineRule="auto"/>
        <w:rPr>
          <w:rFonts w:eastAsia="Times New Roman" w:cs="Times New Roman"/>
          <w:lang w:val="nl-NL" w:eastAsia="nl-NL"/>
        </w:rPr>
      </w:pPr>
      <w:r w:rsidRPr="003A4CEB">
        <w:rPr>
          <w:rFonts w:eastAsia="Times New Roman" w:cs="Times New Roman"/>
          <w:lang w:val="nl-NL" w:eastAsia="nl-NL"/>
        </w:rPr>
        <w:t>Alvast bedankt voor uw deelname aan dit onderzoek.</w:t>
      </w:r>
    </w:p>
    <w:p w:rsidR="003A4CEB" w:rsidRPr="00A20132" w:rsidRDefault="003A4CEB" w:rsidP="003A4CEB">
      <w:pPr>
        <w:spacing w:line="360" w:lineRule="auto"/>
        <w:rPr>
          <w:rFonts w:eastAsia="Times New Roman" w:cs="Times New Roman"/>
          <w:lang w:eastAsia="nl-NL"/>
        </w:rPr>
      </w:pPr>
      <w:r w:rsidRPr="00A20132">
        <w:rPr>
          <w:rFonts w:eastAsia="Times New Roman" w:cs="Times New Roman"/>
          <w:lang w:eastAsia="nl-NL"/>
        </w:rPr>
        <w:t>Met vriendelijke</w:t>
      </w:r>
      <w:r w:rsidRPr="006B4980">
        <w:rPr>
          <w:rFonts w:eastAsia="Times New Roman" w:cs="Times New Roman"/>
          <w:lang w:val="nl-NL" w:eastAsia="nl-NL"/>
        </w:rPr>
        <w:t xml:space="preserve"> groet</w:t>
      </w:r>
      <w:r w:rsidRPr="00A20132">
        <w:rPr>
          <w:rFonts w:eastAsia="Times New Roman" w:cs="Times New Roman"/>
          <w:lang w:eastAsia="nl-NL"/>
        </w:rPr>
        <w:t>,</w:t>
      </w:r>
    </w:p>
    <w:p w:rsidR="003A4CEB" w:rsidRPr="00A20132" w:rsidRDefault="003A4CEB" w:rsidP="003A4CEB">
      <w:pPr>
        <w:spacing w:line="360" w:lineRule="auto"/>
        <w:rPr>
          <w:rFonts w:eastAsia="Times New Roman" w:cs="Times New Roman"/>
          <w:lang w:eastAsia="nl-NL"/>
        </w:rPr>
      </w:pPr>
      <w:r w:rsidRPr="00A20132">
        <w:rPr>
          <w:rFonts w:eastAsia="Times New Roman" w:cs="Times New Roman"/>
          <w:lang w:eastAsia="nl-NL"/>
        </w:rPr>
        <w:t>Lex Miechels</w:t>
      </w:r>
    </w:p>
    <w:p w:rsidR="003A4CEB" w:rsidRDefault="003A4CEB" w:rsidP="003A4CEB">
      <w:pPr>
        <w:rPr>
          <w:rFonts w:ascii="Arial" w:hAnsi="Arial" w:cs="Arial"/>
          <w:color w:val="0000FF"/>
          <w:sz w:val="27"/>
          <w:szCs w:val="27"/>
        </w:rPr>
      </w:pPr>
      <w:r>
        <w:rPr>
          <w:noProof/>
          <w:lang w:val="nl-NL" w:eastAsia="nl-NL" w:bidi="ar-SA"/>
        </w:rPr>
        <w:drawing>
          <wp:inline distT="0" distB="0" distL="0" distR="0">
            <wp:extent cx="5760720" cy="1377375"/>
            <wp:effectExtent l="19050" t="0" r="0" b="0"/>
            <wp:docPr id="1" name="Picture 21" descr="http://www.jongemediator.nl/wordpress/wp-content/uploads/erasmus-universiteit-rotterd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jongemediator.nl/wordpress/wp-content/uploads/erasmus-universiteit-rotterdam.jpg"/>
                    <pic:cNvPicPr>
                      <a:picLocks noChangeAspect="1" noChangeArrowheads="1"/>
                    </pic:cNvPicPr>
                  </pic:nvPicPr>
                  <pic:blipFill>
                    <a:blip r:embed="rId44" cstate="print"/>
                    <a:srcRect/>
                    <a:stretch>
                      <a:fillRect/>
                    </a:stretch>
                  </pic:blipFill>
                  <pic:spPr bwMode="auto">
                    <a:xfrm>
                      <a:off x="0" y="0"/>
                      <a:ext cx="5760720" cy="1377375"/>
                    </a:xfrm>
                    <a:prstGeom prst="rect">
                      <a:avLst/>
                    </a:prstGeom>
                    <a:noFill/>
                    <a:ln w="9525">
                      <a:noFill/>
                      <a:miter lim="800000"/>
                      <a:headEnd/>
                      <a:tailEnd/>
                    </a:ln>
                  </pic:spPr>
                </pic:pic>
              </a:graphicData>
            </a:graphic>
          </wp:inline>
        </w:drawing>
      </w:r>
    </w:p>
    <w:p w:rsidR="003A4CEB" w:rsidRPr="00BE15A0" w:rsidRDefault="003A4CEB" w:rsidP="00BE15A0">
      <w:pPr>
        <w:rPr>
          <w:lang w:val="nl-NL"/>
        </w:rPr>
      </w:pPr>
      <w:r>
        <w:rPr>
          <w:rFonts w:ascii="Arial" w:hAnsi="Arial" w:cs="Arial"/>
          <w:noProof/>
          <w:vanish/>
          <w:color w:val="0000FF"/>
          <w:sz w:val="27"/>
          <w:szCs w:val="27"/>
          <w:lang w:val="nl-NL" w:eastAsia="nl-NL" w:bidi="ar-SA"/>
        </w:rPr>
        <w:drawing>
          <wp:inline distT="0" distB="0" distL="0" distR="0">
            <wp:extent cx="4381500" cy="1047750"/>
            <wp:effectExtent l="19050" t="0" r="0" b="0"/>
            <wp:docPr id="3" name="rg_hi" descr="http://t0.gstatic.com/images?q=tbn:ANd9GcTInP-6xtywonJTsq2dNItuDc8_utPhTWAsOy8ITF3tQo1kI3gsWQ">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0.gstatic.com/images?q=tbn:ANd9GcTInP-6xtywonJTsq2dNItuDc8_utPhTWAsOy8ITF3tQo1kI3gsWQ">
                      <a:hlinkClick r:id="rId45"/>
                    </pic:cNvPr>
                    <pic:cNvPicPr>
                      <a:picLocks noChangeAspect="1" noChangeArrowheads="1"/>
                    </pic:cNvPicPr>
                  </pic:nvPicPr>
                  <pic:blipFill>
                    <a:blip r:embed="rId46" cstate="print"/>
                    <a:srcRect/>
                    <a:stretch>
                      <a:fillRect/>
                    </a:stretch>
                  </pic:blipFill>
                  <pic:spPr bwMode="auto">
                    <a:xfrm>
                      <a:off x="0" y="0"/>
                      <a:ext cx="4381500" cy="1047750"/>
                    </a:xfrm>
                    <a:prstGeom prst="rect">
                      <a:avLst/>
                    </a:prstGeom>
                    <a:noFill/>
                    <a:ln w="9525">
                      <a:noFill/>
                      <a:miter lim="800000"/>
                      <a:headEnd/>
                      <a:tailEnd/>
                    </a:ln>
                  </pic:spPr>
                </pic:pic>
              </a:graphicData>
            </a:graphic>
          </wp:inline>
        </w:drawing>
      </w:r>
      <w:r w:rsidRPr="00BE15A0">
        <w:rPr>
          <w:rFonts w:ascii="Arial" w:hAnsi="Arial" w:cs="Arial"/>
          <w:vanish/>
          <w:color w:val="0000FF"/>
          <w:sz w:val="27"/>
          <w:szCs w:val="27"/>
          <w:lang w:val="nl-NL"/>
        </w:rPr>
        <w:t xml:space="preserve"> </w:t>
      </w:r>
      <w:r>
        <w:rPr>
          <w:rFonts w:ascii="Arial" w:hAnsi="Arial" w:cs="Arial"/>
          <w:noProof/>
          <w:vanish/>
          <w:color w:val="0000FF"/>
          <w:sz w:val="27"/>
          <w:szCs w:val="27"/>
          <w:lang w:val="nl-NL" w:eastAsia="nl-NL" w:bidi="ar-SA"/>
        </w:rPr>
        <w:drawing>
          <wp:inline distT="0" distB="0" distL="0" distR="0">
            <wp:extent cx="4381500" cy="1047750"/>
            <wp:effectExtent l="19050" t="0" r="0" b="0"/>
            <wp:docPr id="4" name="rg_hi" descr="http://t0.gstatic.com/images?q=tbn:ANd9GcTInP-6xtywonJTsq2dNItuDc8_utPhTWAsOy8ITF3tQo1kI3gsWQ">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0.gstatic.com/images?q=tbn:ANd9GcTInP-6xtywonJTsq2dNItuDc8_utPhTWAsOy8ITF3tQo1kI3gsWQ">
                      <a:hlinkClick r:id="rId45"/>
                    </pic:cNvPr>
                    <pic:cNvPicPr>
                      <a:picLocks noChangeAspect="1" noChangeArrowheads="1"/>
                    </pic:cNvPicPr>
                  </pic:nvPicPr>
                  <pic:blipFill>
                    <a:blip r:embed="rId46" cstate="print"/>
                    <a:srcRect/>
                    <a:stretch>
                      <a:fillRect/>
                    </a:stretch>
                  </pic:blipFill>
                  <pic:spPr bwMode="auto">
                    <a:xfrm>
                      <a:off x="0" y="0"/>
                      <a:ext cx="4381500" cy="1047750"/>
                    </a:xfrm>
                    <a:prstGeom prst="rect">
                      <a:avLst/>
                    </a:prstGeom>
                    <a:noFill/>
                    <a:ln w="9525">
                      <a:noFill/>
                      <a:miter lim="800000"/>
                      <a:headEnd/>
                      <a:tailEnd/>
                    </a:ln>
                  </pic:spPr>
                </pic:pic>
              </a:graphicData>
            </a:graphic>
          </wp:inline>
        </w:drawing>
      </w:r>
      <w:r w:rsidRPr="00BE15A0">
        <w:rPr>
          <w:lang w:val="nl-NL"/>
        </w:rPr>
        <w:br w:type="page"/>
      </w:r>
      <w:r>
        <w:rPr>
          <w:rFonts w:ascii="Arial" w:hAnsi="Arial" w:cs="Arial"/>
          <w:noProof/>
          <w:vanish/>
          <w:color w:val="0000FF"/>
          <w:sz w:val="27"/>
          <w:szCs w:val="27"/>
          <w:lang w:val="nl-NL" w:eastAsia="nl-NL" w:bidi="ar-SA"/>
        </w:rPr>
        <w:lastRenderedPageBreak/>
        <w:drawing>
          <wp:inline distT="0" distB="0" distL="0" distR="0">
            <wp:extent cx="4381500" cy="1047750"/>
            <wp:effectExtent l="19050" t="0" r="0" b="0"/>
            <wp:docPr id="18" name="rg_hi" descr="http://t0.gstatic.com/images?q=tbn:ANd9GcTInP-6xtywonJTsq2dNItuDc8_utPhTWAsOy8ITF3tQo1kI3gsWQ">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0.gstatic.com/images?q=tbn:ANd9GcTInP-6xtywonJTsq2dNItuDc8_utPhTWAsOy8ITF3tQo1kI3gsWQ">
                      <a:hlinkClick r:id="rId45"/>
                    </pic:cNvPr>
                    <pic:cNvPicPr>
                      <a:picLocks noChangeAspect="1" noChangeArrowheads="1"/>
                    </pic:cNvPicPr>
                  </pic:nvPicPr>
                  <pic:blipFill>
                    <a:blip r:embed="rId46" cstate="print"/>
                    <a:srcRect/>
                    <a:stretch>
                      <a:fillRect/>
                    </a:stretch>
                  </pic:blipFill>
                  <pic:spPr bwMode="auto">
                    <a:xfrm>
                      <a:off x="0" y="0"/>
                      <a:ext cx="4381500" cy="1047750"/>
                    </a:xfrm>
                    <a:prstGeom prst="rect">
                      <a:avLst/>
                    </a:prstGeom>
                    <a:noFill/>
                    <a:ln w="9525">
                      <a:noFill/>
                      <a:miter lim="800000"/>
                      <a:headEnd/>
                      <a:tailEnd/>
                    </a:ln>
                  </pic:spPr>
                </pic:pic>
              </a:graphicData>
            </a:graphic>
          </wp:inline>
        </w:drawing>
      </w:r>
      <w:r w:rsidRPr="003A4CEB">
        <w:rPr>
          <w:b/>
          <w:lang w:val="nl-NL"/>
        </w:rPr>
        <w:t>Er volgen nu eerst enkele vragen en stellingen over de huidige status van 3PL klantrelaties.</w:t>
      </w:r>
    </w:p>
    <w:p w:rsidR="003A4CEB" w:rsidRPr="003A4CEB" w:rsidRDefault="003A4CEB" w:rsidP="003A4CEB">
      <w:pPr>
        <w:spacing w:line="240" w:lineRule="auto"/>
        <w:jc w:val="both"/>
        <w:rPr>
          <w:lang w:val="nl-NL"/>
        </w:rPr>
      </w:pPr>
      <w:r w:rsidRPr="003A4CEB">
        <w:rPr>
          <w:lang w:val="nl-NL"/>
        </w:rPr>
        <w:t xml:space="preserve"> 1. Wat is de gemiddelde omvang van uw klanten in aantal personeelsleden?</w:t>
      </w:r>
    </w:p>
    <w:p w:rsidR="003A4CEB" w:rsidRDefault="003A4CEB" w:rsidP="003A4CEB">
      <w:pPr>
        <w:pStyle w:val="Lijstalinea"/>
        <w:numPr>
          <w:ilvl w:val="0"/>
          <w:numId w:val="23"/>
        </w:numPr>
        <w:spacing w:before="0" w:after="0" w:line="240" w:lineRule="auto"/>
        <w:jc w:val="both"/>
      </w:pPr>
      <w:r>
        <w:t>&lt;50</w:t>
      </w:r>
      <w:r>
        <w:tab/>
      </w:r>
    </w:p>
    <w:p w:rsidR="003A4CEB" w:rsidRDefault="003A4CEB" w:rsidP="003A4CEB">
      <w:pPr>
        <w:pStyle w:val="Lijstalinea"/>
        <w:numPr>
          <w:ilvl w:val="0"/>
          <w:numId w:val="23"/>
        </w:numPr>
        <w:spacing w:before="0" w:after="0" w:line="240" w:lineRule="auto"/>
        <w:jc w:val="both"/>
      </w:pPr>
      <w:r>
        <w:t>50-200</w:t>
      </w:r>
    </w:p>
    <w:p w:rsidR="003A4CEB" w:rsidRDefault="003A4CEB" w:rsidP="003A4CEB">
      <w:pPr>
        <w:pStyle w:val="Lijstalinea"/>
        <w:numPr>
          <w:ilvl w:val="0"/>
          <w:numId w:val="23"/>
        </w:numPr>
        <w:spacing w:before="0" w:after="0" w:line="240" w:lineRule="auto"/>
        <w:jc w:val="both"/>
      </w:pPr>
      <w:r>
        <w:t>201- 500</w:t>
      </w:r>
    </w:p>
    <w:p w:rsidR="003A4CEB" w:rsidRDefault="003A4CEB" w:rsidP="003A4CEB">
      <w:pPr>
        <w:pStyle w:val="Lijstalinea"/>
        <w:numPr>
          <w:ilvl w:val="0"/>
          <w:numId w:val="23"/>
        </w:numPr>
        <w:spacing w:before="0" w:after="0" w:line="240" w:lineRule="auto"/>
        <w:jc w:val="both"/>
      </w:pPr>
      <w:r>
        <w:t>501-1000</w:t>
      </w:r>
    </w:p>
    <w:p w:rsidR="003A4CEB" w:rsidRDefault="003A4CEB" w:rsidP="003A4CEB">
      <w:pPr>
        <w:pStyle w:val="Lijstalinea"/>
        <w:numPr>
          <w:ilvl w:val="0"/>
          <w:numId w:val="23"/>
        </w:numPr>
        <w:spacing w:before="0" w:after="0" w:line="240" w:lineRule="auto"/>
        <w:jc w:val="both"/>
      </w:pPr>
      <w:r>
        <w:t>1000&gt;</w:t>
      </w:r>
    </w:p>
    <w:p w:rsidR="003A4CEB" w:rsidRPr="00BE15A0" w:rsidRDefault="003A4CEB" w:rsidP="003A4CEB">
      <w:pPr>
        <w:pStyle w:val="Lijstalinea"/>
        <w:numPr>
          <w:ilvl w:val="0"/>
          <w:numId w:val="23"/>
        </w:numPr>
        <w:spacing w:before="0" w:after="0" w:line="240" w:lineRule="auto"/>
        <w:jc w:val="both"/>
        <w:rPr>
          <w:lang w:val="nl-NL"/>
        </w:rPr>
      </w:pPr>
      <w:r w:rsidRPr="003A4CEB">
        <w:rPr>
          <w:lang w:val="nl-NL"/>
        </w:rPr>
        <w:t>Geen idee/n.v.t.</w:t>
      </w:r>
    </w:p>
    <w:p w:rsidR="003A4CEB" w:rsidRPr="003A4CEB" w:rsidRDefault="003A4CEB" w:rsidP="003A4CEB">
      <w:pPr>
        <w:spacing w:line="240" w:lineRule="auto"/>
        <w:jc w:val="both"/>
        <w:rPr>
          <w:lang w:val="nl-NL"/>
        </w:rPr>
      </w:pPr>
      <w:r w:rsidRPr="003A4CEB">
        <w:rPr>
          <w:lang w:val="nl-NL"/>
        </w:rPr>
        <w:t>2. Wat is de gemiddelde duur (in jaren) van contracten die u afsluit met klanten?</w:t>
      </w:r>
    </w:p>
    <w:p w:rsidR="003A4CEB" w:rsidRPr="003A4CEB" w:rsidRDefault="003A4CEB" w:rsidP="00BE15A0">
      <w:pPr>
        <w:spacing w:after="0" w:line="240" w:lineRule="auto"/>
        <w:ind w:firstLine="708"/>
        <w:jc w:val="both"/>
        <w:rPr>
          <w:lang w:val="nl-NL"/>
        </w:rPr>
      </w:pPr>
      <w:r w:rsidRPr="003A4CEB">
        <w:rPr>
          <w:lang w:val="nl-NL"/>
        </w:rPr>
        <w:t>…………… jaar</w:t>
      </w:r>
    </w:p>
    <w:p w:rsidR="003A4CEB" w:rsidRPr="006B4980" w:rsidRDefault="003A4CEB" w:rsidP="003A4CEB">
      <w:pPr>
        <w:spacing w:line="240" w:lineRule="auto"/>
        <w:jc w:val="both"/>
        <w:rPr>
          <w:lang w:val="nl-NL"/>
        </w:rPr>
      </w:pPr>
      <w:r w:rsidRPr="003A4CEB">
        <w:rPr>
          <w:lang w:val="nl-NL"/>
        </w:rPr>
        <w:t>3. Deze gemiddelde contractduur is de afgelopen jaren:</w:t>
      </w:r>
    </w:p>
    <w:p w:rsidR="003A4CEB" w:rsidRDefault="003A4CEB" w:rsidP="003A4CEB">
      <w:pPr>
        <w:pStyle w:val="Lijstalinea"/>
        <w:numPr>
          <w:ilvl w:val="0"/>
          <w:numId w:val="24"/>
        </w:numPr>
        <w:spacing w:before="0" w:after="0" w:line="240" w:lineRule="auto"/>
        <w:jc w:val="both"/>
      </w:pPr>
      <w:r w:rsidRPr="006B4980">
        <w:rPr>
          <w:lang w:val="nl-NL"/>
        </w:rPr>
        <w:t>Afgenomen</w:t>
      </w:r>
    </w:p>
    <w:p w:rsidR="003A4CEB" w:rsidRDefault="003A4CEB" w:rsidP="003A4CEB">
      <w:pPr>
        <w:pStyle w:val="Lijstalinea"/>
        <w:numPr>
          <w:ilvl w:val="0"/>
          <w:numId w:val="24"/>
        </w:numPr>
        <w:spacing w:before="0" w:after="0" w:line="240" w:lineRule="auto"/>
        <w:jc w:val="both"/>
      </w:pPr>
      <w:r>
        <w:t>Gelijk gebleven</w:t>
      </w:r>
    </w:p>
    <w:p w:rsidR="003A4CEB" w:rsidRDefault="003A4CEB" w:rsidP="003A4CEB">
      <w:pPr>
        <w:pStyle w:val="Lijstalinea"/>
        <w:numPr>
          <w:ilvl w:val="0"/>
          <w:numId w:val="24"/>
        </w:numPr>
        <w:spacing w:before="0" w:after="0" w:line="240" w:lineRule="auto"/>
        <w:jc w:val="both"/>
      </w:pPr>
      <w:r>
        <w:t>Toegenomen</w:t>
      </w:r>
    </w:p>
    <w:p w:rsidR="003A4CEB" w:rsidRPr="003A4CEB" w:rsidRDefault="003A4CEB" w:rsidP="003A4CEB">
      <w:pPr>
        <w:spacing w:after="0" w:line="240" w:lineRule="auto"/>
        <w:jc w:val="both"/>
        <w:rPr>
          <w:lang w:val="nl-NL"/>
        </w:rPr>
      </w:pPr>
      <w:r w:rsidRPr="003A4CEB">
        <w:rPr>
          <w:lang w:val="nl-NL"/>
        </w:rPr>
        <w:t>4. Beslissingen betreffende uitbestedingen worden door de klant met u besproken op het niveau van:</w:t>
      </w:r>
    </w:p>
    <w:p w:rsidR="003A4CEB" w:rsidRDefault="003A4CEB" w:rsidP="003A4CEB">
      <w:pPr>
        <w:pStyle w:val="Lijstalinea"/>
        <w:numPr>
          <w:ilvl w:val="0"/>
          <w:numId w:val="25"/>
        </w:numPr>
        <w:spacing w:before="0" w:after="0" w:line="240" w:lineRule="auto"/>
        <w:jc w:val="both"/>
      </w:pPr>
      <w:r>
        <w:t>Strategisch management</w:t>
      </w:r>
    </w:p>
    <w:p w:rsidR="003A4CEB" w:rsidRDefault="003A4CEB" w:rsidP="003A4CEB">
      <w:pPr>
        <w:pStyle w:val="Lijstalinea"/>
        <w:numPr>
          <w:ilvl w:val="0"/>
          <w:numId w:val="25"/>
        </w:numPr>
        <w:spacing w:before="0" w:after="0" w:line="240" w:lineRule="auto"/>
        <w:jc w:val="both"/>
      </w:pPr>
      <w:r>
        <w:t>Midden management ( divisie niveau)</w:t>
      </w:r>
    </w:p>
    <w:p w:rsidR="003A4CEB" w:rsidRDefault="003A4CEB" w:rsidP="003A4CEB">
      <w:pPr>
        <w:pStyle w:val="Lijstalinea"/>
        <w:numPr>
          <w:ilvl w:val="0"/>
          <w:numId w:val="25"/>
        </w:numPr>
        <w:spacing w:before="0" w:after="0" w:line="240" w:lineRule="auto"/>
        <w:jc w:val="both"/>
      </w:pPr>
      <w:r>
        <w:t>Lager management (lokaal niveau)</w:t>
      </w:r>
    </w:p>
    <w:p w:rsidR="003A4CEB" w:rsidRPr="003A4CEB" w:rsidRDefault="003A4CEB" w:rsidP="003A4CEB">
      <w:pPr>
        <w:spacing w:line="240" w:lineRule="auto"/>
        <w:jc w:val="both"/>
        <w:rPr>
          <w:lang w:val="nl-NL"/>
        </w:rPr>
      </w:pPr>
      <w:r w:rsidRPr="003A4CEB">
        <w:rPr>
          <w:lang w:val="nl-NL"/>
        </w:rPr>
        <w:t>5. De redenen die mijn klanten geven voor het uitbesteden van hun logistieke activiteiten zijn:</w:t>
      </w:r>
    </w:p>
    <w:p w:rsidR="003A4CEB" w:rsidRPr="003A4CEB" w:rsidRDefault="003A4CEB" w:rsidP="003A4CEB">
      <w:pPr>
        <w:spacing w:line="240" w:lineRule="auto"/>
        <w:jc w:val="both"/>
        <w:rPr>
          <w:i/>
          <w:lang w:val="nl-NL"/>
        </w:rPr>
      </w:pPr>
      <w:r w:rsidRPr="003A4CEB">
        <w:rPr>
          <w:i/>
          <w:lang w:val="nl-NL"/>
        </w:rPr>
        <w:t>Geef aan in hoeverre u het eens bent met de genoemde redenen op een schaal van 1 tot 5.</w:t>
      </w:r>
    </w:p>
    <w:tbl>
      <w:tblPr>
        <w:tblStyle w:val="Tabelraster"/>
        <w:tblW w:w="93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37"/>
        <w:gridCol w:w="318"/>
        <w:gridCol w:w="318"/>
        <w:gridCol w:w="318"/>
        <w:gridCol w:w="318"/>
        <w:gridCol w:w="318"/>
        <w:gridCol w:w="1550"/>
        <w:gridCol w:w="791"/>
        <w:gridCol w:w="34"/>
      </w:tblGrid>
      <w:tr w:rsidR="003A4CEB" w:rsidRPr="002752F8" w:rsidTr="003A4CEB">
        <w:tc>
          <w:tcPr>
            <w:tcW w:w="0" w:type="auto"/>
          </w:tcPr>
          <w:p w:rsidR="003A4CEB" w:rsidRPr="00297C21" w:rsidRDefault="003A4CEB" w:rsidP="003A4CEB">
            <w:pPr>
              <w:jc w:val="right"/>
              <w:rPr>
                <w:i/>
                <w:u w:val="single"/>
              </w:rPr>
            </w:pPr>
            <w:r w:rsidRPr="00297C21">
              <w:rPr>
                <w:i/>
                <w:u w:val="single"/>
              </w:rPr>
              <w:t>Helemaal mee oneens</w:t>
            </w:r>
          </w:p>
        </w:tc>
        <w:tc>
          <w:tcPr>
            <w:tcW w:w="0" w:type="auto"/>
          </w:tcPr>
          <w:p w:rsidR="003A4CEB" w:rsidRDefault="003A4CEB" w:rsidP="003A4CEB">
            <w:pPr>
              <w:rPr>
                <w:i/>
              </w:rPr>
            </w:pPr>
          </w:p>
        </w:tc>
        <w:tc>
          <w:tcPr>
            <w:tcW w:w="0" w:type="auto"/>
          </w:tcPr>
          <w:p w:rsidR="003A4CEB" w:rsidRDefault="003A4CEB" w:rsidP="003A4CEB">
            <w:pPr>
              <w:rPr>
                <w:i/>
              </w:rPr>
            </w:pPr>
          </w:p>
        </w:tc>
        <w:tc>
          <w:tcPr>
            <w:tcW w:w="0" w:type="auto"/>
          </w:tcPr>
          <w:p w:rsidR="003A4CEB" w:rsidRDefault="003A4CEB" w:rsidP="003A4CEB">
            <w:pPr>
              <w:rPr>
                <w:i/>
              </w:rPr>
            </w:pPr>
          </w:p>
        </w:tc>
        <w:tc>
          <w:tcPr>
            <w:tcW w:w="0" w:type="auto"/>
          </w:tcPr>
          <w:p w:rsidR="003A4CEB" w:rsidRDefault="003A4CEB" w:rsidP="003A4CEB">
            <w:pPr>
              <w:rPr>
                <w:i/>
              </w:rPr>
            </w:pPr>
          </w:p>
        </w:tc>
        <w:tc>
          <w:tcPr>
            <w:tcW w:w="0" w:type="auto"/>
          </w:tcPr>
          <w:p w:rsidR="003A4CEB" w:rsidRDefault="003A4CEB" w:rsidP="003A4CEB">
            <w:pPr>
              <w:rPr>
                <w:i/>
              </w:rPr>
            </w:pPr>
          </w:p>
        </w:tc>
        <w:tc>
          <w:tcPr>
            <w:tcW w:w="0" w:type="auto"/>
          </w:tcPr>
          <w:p w:rsidR="003A4CEB" w:rsidRPr="00297C21" w:rsidRDefault="003A4CEB" w:rsidP="003A4CEB">
            <w:pPr>
              <w:rPr>
                <w:i/>
                <w:u w:val="single"/>
              </w:rPr>
            </w:pPr>
            <w:r w:rsidRPr="00297C21">
              <w:rPr>
                <w:i/>
                <w:u w:val="single"/>
              </w:rPr>
              <w:t>Helemaal mee eens</w:t>
            </w:r>
          </w:p>
        </w:tc>
        <w:tc>
          <w:tcPr>
            <w:tcW w:w="236" w:type="dxa"/>
            <w:gridSpan w:val="2"/>
          </w:tcPr>
          <w:p w:rsidR="003A4CEB" w:rsidRPr="003A4CEB" w:rsidRDefault="003A4CEB" w:rsidP="003A4CEB">
            <w:pPr>
              <w:jc w:val="center"/>
              <w:rPr>
                <w:i/>
                <w:lang w:val="nl-NL"/>
              </w:rPr>
            </w:pPr>
            <w:r w:rsidRPr="003A4CEB">
              <w:rPr>
                <w:i/>
                <w:lang w:val="nl-NL"/>
              </w:rPr>
              <w:t>N.v.t. /</w:t>
            </w:r>
          </w:p>
          <w:p w:rsidR="003A4CEB" w:rsidRPr="003A4CEB" w:rsidRDefault="003A4CEB" w:rsidP="003A4CEB">
            <w:pPr>
              <w:rPr>
                <w:i/>
                <w:u w:val="single"/>
                <w:lang w:val="nl-NL"/>
              </w:rPr>
            </w:pPr>
            <w:r w:rsidRPr="003A4CEB">
              <w:rPr>
                <w:i/>
                <w:lang w:val="nl-NL"/>
              </w:rPr>
              <w:t>geen mening</w:t>
            </w:r>
          </w:p>
        </w:tc>
      </w:tr>
      <w:tr w:rsidR="003A4CEB" w:rsidTr="003A4CEB">
        <w:trPr>
          <w:gridAfter w:val="1"/>
          <w:wAfter w:w="14" w:type="dxa"/>
        </w:trPr>
        <w:tc>
          <w:tcPr>
            <w:tcW w:w="0" w:type="auto"/>
          </w:tcPr>
          <w:p w:rsidR="003A4CEB" w:rsidRPr="003A4CEB" w:rsidRDefault="003A4CEB" w:rsidP="003A4CEB">
            <w:pPr>
              <w:rPr>
                <w:lang w:val="nl-NL"/>
              </w:rPr>
            </w:pPr>
          </w:p>
          <w:p w:rsidR="003A4CEB" w:rsidRPr="00297C21" w:rsidRDefault="003A4CEB" w:rsidP="003A4CEB">
            <w:r w:rsidRPr="00297C21">
              <w:t>Algehele kostenreducties</w:t>
            </w:r>
          </w:p>
          <w:p w:rsidR="003A4CEB" w:rsidRPr="00297C21" w:rsidRDefault="003A4CEB" w:rsidP="003A4CEB"/>
        </w:tc>
        <w:tc>
          <w:tcPr>
            <w:tcW w:w="0" w:type="auto"/>
          </w:tcPr>
          <w:p w:rsidR="003A4CEB" w:rsidRDefault="003A4CEB" w:rsidP="003A4CEB">
            <w:pPr>
              <w:rPr>
                <w:i/>
              </w:rPr>
            </w:pPr>
          </w:p>
          <w:p w:rsidR="003A4CEB" w:rsidRDefault="003A4CEB" w:rsidP="003A4CEB">
            <w:pPr>
              <w:rPr>
                <w:i/>
              </w:rPr>
            </w:pPr>
            <w:r>
              <w:rPr>
                <w:i/>
              </w:rPr>
              <w:t>1</w:t>
            </w:r>
          </w:p>
        </w:tc>
        <w:tc>
          <w:tcPr>
            <w:tcW w:w="0" w:type="auto"/>
          </w:tcPr>
          <w:p w:rsidR="003A4CEB" w:rsidRDefault="003A4CEB" w:rsidP="003A4CEB">
            <w:pPr>
              <w:rPr>
                <w:i/>
              </w:rPr>
            </w:pPr>
          </w:p>
          <w:p w:rsidR="003A4CEB" w:rsidRDefault="003A4CEB" w:rsidP="003A4CEB">
            <w:pPr>
              <w:rPr>
                <w:i/>
              </w:rPr>
            </w:pPr>
            <w:r>
              <w:rPr>
                <w:i/>
              </w:rPr>
              <w:t>2</w:t>
            </w:r>
          </w:p>
        </w:tc>
        <w:tc>
          <w:tcPr>
            <w:tcW w:w="0" w:type="auto"/>
          </w:tcPr>
          <w:p w:rsidR="003A4CEB" w:rsidRDefault="003A4CEB" w:rsidP="003A4CEB">
            <w:pPr>
              <w:rPr>
                <w:i/>
              </w:rPr>
            </w:pPr>
          </w:p>
          <w:p w:rsidR="003A4CEB" w:rsidRDefault="003A4CEB" w:rsidP="003A4CEB">
            <w:pPr>
              <w:rPr>
                <w:i/>
              </w:rPr>
            </w:pPr>
            <w:r>
              <w:rPr>
                <w:i/>
              </w:rPr>
              <w:t>3</w:t>
            </w:r>
          </w:p>
        </w:tc>
        <w:tc>
          <w:tcPr>
            <w:tcW w:w="0" w:type="auto"/>
          </w:tcPr>
          <w:p w:rsidR="003A4CEB" w:rsidRDefault="003A4CEB" w:rsidP="003A4CEB">
            <w:pPr>
              <w:rPr>
                <w:i/>
              </w:rPr>
            </w:pPr>
          </w:p>
          <w:p w:rsidR="003A4CEB" w:rsidRDefault="003A4CEB" w:rsidP="003A4CEB">
            <w:pPr>
              <w:rPr>
                <w:i/>
              </w:rPr>
            </w:pPr>
            <w:r>
              <w:rPr>
                <w:i/>
              </w:rPr>
              <w:t>4</w:t>
            </w:r>
          </w:p>
        </w:tc>
        <w:tc>
          <w:tcPr>
            <w:tcW w:w="0" w:type="auto"/>
          </w:tcPr>
          <w:p w:rsidR="003A4CEB" w:rsidRDefault="003A4CEB" w:rsidP="003A4CEB">
            <w:pPr>
              <w:rPr>
                <w:i/>
              </w:rPr>
            </w:pPr>
          </w:p>
          <w:p w:rsidR="003A4CEB" w:rsidRDefault="003A4CEB" w:rsidP="003A4CEB">
            <w:pPr>
              <w:rPr>
                <w:i/>
              </w:rPr>
            </w:pPr>
            <w:r>
              <w:rPr>
                <w:i/>
              </w:rPr>
              <w:t>5</w:t>
            </w:r>
          </w:p>
        </w:tc>
        <w:tc>
          <w:tcPr>
            <w:tcW w:w="0" w:type="auto"/>
          </w:tcPr>
          <w:p w:rsidR="003A4CEB" w:rsidRDefault="003A4CEB" w:rsidP="003A4CEB">
            <w:pPr>
              <w:jc w:val="center"/>
              <w:rPr>
                <w:i/>
              </w:rPr>
            </w:pPr>
          </w:p>
        </w:tc>
        <w:tc>
          <w:tcPr>
            <w:tcW w:w="0" w:type="auto"/>
            <w:vAlign w:val="center"/>
          </w:tcPr>
          <w:p w:rsidR="003A4CEB" w:rsidRPr="002146A5" w:rsidRDefault="003A4CEB" w:rsidP="003A4CEB">
            <w:pPr>
              <w:pStyle w:val="Lijstalinea"/>
              <w:numPr>
                <w:ilvl w:val="0"/>
                <w:numId w:val="41"/>
              </w:numPr>
              <w:jc w:val="center"/>
              <w:rPr>
                <w:i/>
              </w:rPr>
            </w:pPr>
          </w:p>
        </w:tc>
      </w:tr>
      <w:tr w:rsidR="003A4CEB" w:rsidTr="003A4CEB">
        <w:trPr>
          <w:gridAfter w:val="1"/>
          <w:wAfter w:w="14" w:type="dxa"/>
        </w:trPr>
        <w:tc>
          <w:tcPr>
            <w:tcW w:w="0" w:type="auto"/>
          </w:tcPr>
          <w:p w:rsidR="003A4CEB" w:rsidRPr="003A4CEB" w:rsidRDefault="003A4CEB" w:rsidP="003A4CEB">
            <w:pPr>
              <w:rPr>
                <w:lang w:val="nl-NL"/>
              </w:rPr>
            </w:pPr>
            <w:r w:rsidRPr="003A4CEB">
              <w:rPr>
                <w:lang w:val="nl-NL"/>
              </w:rPr>
              <w:t xml:space="preserve">Verminderen van kapitaal investeringen in activa en personeel </w:t>
            </w:r>
          </w:p>
          <w:p w:rsidR="003A4CEB" w:rsidRPr="003A4CEB" w:rsidRDefault="003A4CEB" w:rsidP="003A4CEB">
            <w:pPr>
              <w:rPr>
                <w:lang w:val="nl-NL"/>
              </w:rPr>
            </w:pPr>
          </w:p>
        </w:tc>
        <w:tc>
          <w:tcPr>
            <w:tcW w:w="0" w:type="auto"/>
          </w:tcPr>
          <w:p w:rsidR="003A4CEB" w:rsidRDefault="003A4CEB" w:rsidP="003A4CEB">
            <w:pPr>
              <w:rPr>
                <w:i/>
              </w:rPr>
            </w:pPr>
            <w:r>
              <w:rPr>
                <w:i/>
              </w:rPr>
              <w:t>1</w:t>
            </w:r>
          </w:p>
        </w:tc>
        <w:tc>
          <w:tcPr>
            <w:tcW w:w="0" w:type="auto"/>
          </w:tcPr>
          <w:p w:rsidR="003A4CEB" w:rsidRDefault="003A4CEB" w:rsidP="003A4CEB">
            <w:pPr>
              <w:rPr>
                <w:i/>
              </w:rPr>
            </w:pPr>
            <w:r>
              <w:rPr>
                <w:i/>
              </w:rPr>
              <w:t>2</w:t>
            </w:r>
          </w:p>
        </w:tc>
        <w:tc>
          <w:tcPr>
            <w:tcW w:w="0" w:type="auto"/>
          </w:tcPr>
          <w:p w:rsidR="003A4CEB" w:rsidRDefault="003A4CEB" w:rsidP="003A4CEB">
            <w:pPr>
              <w:rPr>
                <w:i/>
              </w:rPr>
            </w:pPr>
            <w:r>
              <w:rPr>
                <w:i/>
              </w:rPr>
              <w:t>3</w:t>
            </w:r>
          </w:p>
        </w:tc>
        <w:tc>
          <w:tcPr>
            <w:tcW w:w="0" w:type="auto"/>
          </w:tcPr>
          <w:p w:rsidR="003A4CEB" w:rsidRDefault="003A4CEB" w:rsidP="003A4CEB">
            <w:pPr>
              <w:rPr>
                <w:i/>
              </w:rPr>
            </w:pPr>
            <w:r>
              <w:rPr>
                <w:i/>
              </w:rPr>
              <w:t>4</w:t>
            </w:r>
          </w:p>
        </w:tc>
        <w:tc>
          <w:tcPr>
            <w:tcW w:w="0" w:type="auto"/>
          </w:tcPr>
          <w:p w:rsidR="003A4CEB" w:rsidRDefault="003A4CEB" w:rsidP="003A4CEB">
            <w:pPr>
              <w:rPr>
                <w:i/>
              </w:rPr>
            </w:pPr>
            <w:r>
              <w:rPr>
                <w:i/>
              </w:rPr>
              <w:t>5</w:t>
            </w:r>
          </w:p>
        </w:tc>
        <w:tc>
          <w:tcPr>
            <w:tcW w:w="0" w:type="auto"/>
          </w:tcPr>
          <w:p w:rsidR="003A4CEB" w:rsidRDefault="003A4CEB" w:rsidP="003A4CEB">
            <w:pPr>
              <w:rPr>
                <w:i/>
              </w:rPr>
            </w:pPr>
          </w:p>
        </w:tc>
        <w:tc>
          <w:tcPr>
            <w:tcW w:w="0" w:type="auto"/>
          </w:tcPr>
          <w:p w:rsidR="003A4CEB" w:rsidRPr="002146A5" w:rsidRDefault="003A4CEB" w:rsidP="003A4CEB">
            <w:pPr>
              <w:pStyle w:val="Lijstalinea"/>
              <w:numPr>
                <w:ilvl w:val="0"/>
                <w:numId w:val="41"/>
              </w:numPr>
              <w:jc w:val="center"/>
              <w:rPr>
                <w:i/>
              </w:rPr>
            </w:pPr>
          </w:p>
        </w:tc>
      </w:tr>
      <w:tr w:rsidR="003A4CEB" w:rsidTr="003A4CEB">
        <w:trPr>
          <w:gridAfter w:val="1"/>
          <w:wAfter w:w="14" w:type="dxa"/>
        </w:trPr>
        <w:tc>
          <w:tcPr>
            <w:tcW w:w="0" w:type="auto"/>
          </w:tcPr>
          <w:p w:rsidR="003A4CEB" w:rsidRPr="003A4CEB" w:rsidRDefault="003A4CEB" w:rsidP="003A4CEB">
            <w:pPr>
              <w:rPr>
                <w:lang w:val="nl-NL"/>
              </w:rPr>
            </w:pPr>
            <w:r w:rsidRPr="003A4CEB">
              <w:rPr>
                <w:lang w:val="nl-NL"/>
              </w:rPr>
              <w:t>Verhogen van de flexibiliteit van het bedrijf</w:t>
            </w:r>
          </w:p>
          <w:p w:rsidR="003A4CEB" w:rsidRPr="003A4CEB" w:rsidRDefault="003A4CEB" w:rsidP="003A4CEB">
            <w:pPr>
              <w:rPr>
                <w:lang w:val="nl-NL"/>
              </w:rPr>
            </w:pPr>
          </w:p>
        </w:tc>
        <w:tc>
          <w:tcPr>
            <w:tcW w:w="0" w:type="auto"/>
          </w:tcPr>
          <w:p w:rsidR="003A4CEB" w:rsidRDefault="003A4CEB" w:rsidP="003A4CEB">
            <w:pPr>
              <w:rPr>
                <w:i/>
              </w:rPr>
            </w:pPr>
            <w:r>
              <w:rPr>
                <w:i/>
              </w:rPr>
              <w:t>1</w:t>
            </w:r>
          </w:p>
        </w:tc>
        <w:tc>
          <w:tcPr>
            <w:tcW w:w="0" w:type="auto"/>
          </w:tcPr>
          <w:p w:rsidR="003A4CEB" w:rsidRDefault="003A4CEB" w:rsidP="003A4CEB">
            <w:pPr>
              <w:rPr>
                <w:i/>
              </w:rPr>
            </w:pPr>
            <w:r>
              <w:rPr>
                <w:i/>
              </w:rPr>
              <w:t>2</w:t>
            </w:r>
          </w:p>
        </w:tc>
        <w:tc>
          <w:tcPr>
            <w:tcW w:w="0" w:type="auto"/>
          </w:tcPr>
          <w:p w:rsidR="003A4CEB" w:rsidRDefault="003A4CEB" w:rsidP="003A4CEB">
            <w:pPr>
              <w:rPr>
                <w:i/>
              </w:rPr>
            </w:pPr>
            <w:r>
              <w:rPr>
                <w:i/>
              </w:rPr>
              <w:t>3</w:t>
            </w:r>
          </w:p>
        </w:tc>
        <w:tc>
          <w:tcPr>
            <w:tcW w:w="0" w:type="auto"/>
          </w:tcPr>
          <w:p w:rsidR="003A4CEB" w:rsidRDefault="003A4CEB" w:rsidP="003A4CEB">
            <w:pPr>
              <w:rPr>
                <w:i/>
              </w:rPr>
            </w:pPr>
            <w:r>
              <w:rPr>
                <w:i/>
              </w:rPr>
              <w:t>4</w:t>
            </w:r>
          </w:p>
        </w:tc>
        <w:tc>
          <w:tcPr>
            <w:tcW w:w="0" w:type="auto"/>
          </w:tcPr>
          <w:p w:rsidR="003A4CEB" w:rsidRDefault="003A4CEB" w:rsidP="003A4CEB">
            <w:pPr>
              <w:rPr>
                <w:i/>
              </w:rPr>
            </w:pPr>
            <w:r>
              <w:rPr>
                <w:i/>
              </w:rPr>
              <w:t>5</w:t>
            </w:r>
          </w:p>
        </w:tc>
        <w:tc>
          <w:tcPr>
            <w:tcW w:w="0" w:type="auto"/>
          </w:tcPr>
          <w:p w:rsidR="003A4CEB" w:rsidRDefault="003A4CEB" w:rsidP="003A4CEB">
            <w:pPr>
              <w:rPr>
                <w:i/>
              </w:rPr>
            </w:pPr>
          </w:p>
        </w:tc>
        <w:tc>
          <w:tcPr>
            <w:tcW w:w="0" w:type="auto"/>
          </w:tcPr>
          <w:p w:rsidR="003A4CEB" w:rsidRPr="002146A5" w:rsidRDefault="003A4CEB" w:rsidP="003A4CEB">
            <w:pPr>
              <w:pStyle w:val="Lijstalinea"/>
              <w:numPr>
                <w:ilvl w:val="0"/>
                <w:numId w:val="41"/>
              </w:numPr>
              <w:rPr>
                <w:i/>
              </w:rPr>
            </w:pPr>
          </w:p>
        </w:tc>
      </w:tr>
      <w:tr w:rsidR="003A4CEB" w:rsidTr="003A4CEB">
        <w:trPr>
          <w:gridAfter w:val="1"/>
          <w:wAfter w:w="14" w:type="dxa"/>
        </w:trPr>
        <w:tc>
          <w:tcPr>
            <w:tcW w:w="0" w:type="auto"/>
          </w:tcPr>
          <w:p w:rsidR="003A4CEB" w:rsidRPr="003A4CEB" w:rsidRDefault="003A4CEB" w:rsidP="003A4CEB">
            <w:pPr>
              <w:rPr>
                <w:lang w:val="nl-NL"/>
              </w:rPr>
            </w:pPr>
            <w:r w:rsidRPr="003A4CEB">
              <w:rPr>
                <w:lang w:val="nl-NL"/>
              </w:rPr>
              <w:t>Toegang krijgen tot andere markten (d.m.v. een internationaal distributienetwerk)</w:t>
            </w:r>
          </w:p>
          <w:p w:rsidR="003A4CEB" w:rsidRPr="003A4CEB" w:rsidRDefault="003A4CEB" w:rsidP="003A4CEB">
            <w:pPr>
              <w:rPr>
                <w:lang w:val="nl-NL"/>
              </w:rPr>
            </w:pPr>
          </w:p>
        </w:tc>
        <w:tc>
          <w:tcPr>
            <w:tcW w:w="0" w:type="auto"/>
          </w:tcPr>
          <w:p w:rsidR="003A4CEB" w:rsidRDefault="003A4CEB" w:rsidP="003A4CEB">
            <w:pPr>
              <w:rPr>
                <w:i/>
              </w:rPr>
            </w:pPr>
            <w:r>
              <w:rPr>
                <w:i/>
              </w:rPr>
              <w:t>1</w:t>
            </w:r>
          </w:p>
        </w:tc>
        <w:tc>
          <w:tcPr>
            <w:tcW w:w="0" w:type="auto"/>
          </w:tcPr>
          <w:p w:rsidR="003A4CEB" w:rsidRDefault="003A4CEB" w:rsidP="003A4CEB">
            <w:pPr>
              <w:rPr>
                <w:i/>
              </w:rPr>
            </w:pPr>
            <w:r>
              <w:rPr>
                <w:i/>
              </w:rPr>
              <w:t>2</w:t>
            </w:r>
          </w:p>
        </w:tc>
        <w:tc>
          <w:tcPr>
            <w:tcW w:w="0" w:type="auto"/>
          </w:tcPr>
          <w:p w:rsidR="003A4CEB" w:rsidRDefault="003A4CEB" w:rsidP="003A4CEB">
            <w:pPr>
              <w:rPr>
                <w:i/>
              </w:rPr>
            </w:pPr>
            <w:r>
              <w:rPr>
                <w:i/>
              </w:rPr>
              <w:t>3</w:t>
            </w:r>
          </w:p>
        </w:tc>
        <w:tc>
          <w:tcPr>
            <w:tcW w:w="0" w:type="auto"/>
          </w:tcPr>
          <w:p w:rsidR="003A4CEB" w:rsidRDefault="003A4CEB" w:rsidP="003A4CEB">
            <w:pPr>
              <w:rPr>
                <w:i/>
              </w:rPr>
            </w:pPr>
            <w:r>
              <w:rPr>
                <w:i/>
              </w:rPr>
              <w:t>4</w:t>
            </w:r>
          </w:p>
        </w:tc>
        <w:tc>
          <w:tcPr>
            <w:tcW w:w="0" w:type="auto"/>
          </w:tcPr>
          <w:p w:rsidR="003A4CEB" w:rsidRDefault="003A4CEB" w:rsidP="003A4CEB">
            <w:pPr>
              <w:rPr>
                <w:i/>
              </w:rPr>
            </w:pPr>
            <w:r>
              <w:rPr>
                <w:i/>
              </w:rPr>
              <w:t>5</w:t>
            </w:r>
          </w:p>
        </w:tc>
        <w:tc>
          <w:tcPr>
            <w:tcW w:w="0" w:type="auto"/>
          </w:tcPr>
          <w:p w:rsidR="003A4CEB" w:rsidRDefault="003A4CEB" w:rsidP="003A4CEB">
            <w:pPr>
              <w:rPr>
                <w:i/>
              </w:rPr>
            </w:pPr>
          </w:p>
        </w:tc>
        <w:tc>
          <w:tcPr>
            <w:tcW w:w="0" w:type="auto"/>
          </w:tcPr>
          <w:p w:rsidR="003A4CEB" w:rsidRPr="002146A5" w:rsidRDefault="003A4CEB" w:rsidP="003A4CEB">
            <w:pPr>
              <w:pStyle w:val="Lijstalinea"/>
              <w:numPr>
                <w:ilvl w:val="0"/>
                <w:numId w:val="41"/>
              </w:numPr>
              <w:rPr>
                <w:i/>
              </w:rPr>
            </w:pPr>
          </w:p>
        </w:tc>
      </w:tr>
      <w:tr w:rsidR="003A4CEB" w:rsidTr="003A4CEB">
        <w:trPr>
          <w:gridAfter w:val="1"/>
          <w:wAfter w:w="14" w:type="dxa"/>
        </w:trPr>
        <w:tc>
          <w:tcPr>
            <w:tcW w:w="0" w:type="auto"/>
          </w:tcPr>
          <w:p w:rsidR="003A4CEB" w:rsidRPr="00297C21" w:rsidRDefault="003A4CEB" w:rsidP="003A4CEB">
            <w:r>
              <w:t>Zich willen</w:t>
            </w:r>
            <w:r w:rsidRPr="00297C21">
              <w:t xml:space="preserve"> focussen op kernactiviteiten</w:t>
            </w:r>
          </w:p>
          <w:p w:rsidR="003A4CEB" w:rsidRPr="00297C21" w:rsidRDefault="003A4CEB" w:rsidP="003A4CEB"/>
        </w:tc>
        <w:tc>
          <w:tcPr>
            <w:tcW w:w="0" w:type="auto"/>
          </w:tcPr>
          <w:p w:rsidR="003A4CEB" w:rsidRDefault="003A4CEB" w:rsidP="003A4CEB">
            <w:pPr>
              <w:rPr>
                <w:i/>
              </w:rPr>
            </w:pPr>
            <w:r>
              <w:rPr>
                <w:i/>
              </w:rPr>
              <w:t>1</w:t>
            </w:r>
          </w:p>
        </w:tc>
        <w:tc>
          <w:tcPr>
            <w:tcW w:w="0" w:type="auto"/>
          </w:tcPr>
          <w:p w:rsidR="003A4CEB" w:rsidRDefault="003A4CEB" w:rsidP="003A4CEB">
            <w:pPr>
              <w:rPr>
                <w:i/>
              </w:rPr>
            </w:pPr>
            <w:r>
              <w:rPr>
                <w:i/>
              </w:rPr>
              <w:t>2</w:t>
            </w:r>
          </w:p>
        </w:tc>
        <w:tc>
          <w:tcPr>
            <w:tcW w:w="0" w:type="auto"/>
          </w:tcPr>
          <w:p w:rsidR="003A4CEB" w:rsidRDefault="003A4CEB" w:rsidP="003A4CEB">
            <w:pPr>
              <w:rPr>
                <w:i/>
              </w:rPr>
            </w:pPr>
            <w:r>
              <w:rPr>
                <w:i/>
              </w:rPr>
              <w:t>3</w:t>
            </w:r>
          </w:p>
        </w:tc>
        <w:tc>
          <w:tcPr>
            <w:tcW w:w="0" w:type="auto"/>
          </w:tcPr>
          <w:p w:rsidR="003A4CEB" w:rsidRDefault="003A4CEB" w:rsidP="003A4CEB">
            <w:pPr>
              <w:rPr>
                <w:i/>
              </w:rPr>
            </w:pPr>
            <w:r>
              <w:rPr>
                <w:i/>
              </w:rPr>
              <w:t>4</w:t>
            </w:r>
          </w:p>
        </w:tc>
        <w:tc>
          <w:tcPr>
            <w:tcW w:w="0" w:type="auto"/>
          </w:tcPr>
          <w:p w:rsidR="003A4CEB" w:rsidRDefault="003A4CEB" w:rsidP="003A4CEB">
            <w:pPr>
              <w:rPr>
                <w:i/>
              </w:rPr>
            </w:pPr>
            <w:r>
              <w:rPr>
                <w:i/>
              </w:rPr>
              <w:t>5</w:t>
            </w:r>
          </w:p>
        </w:tc>
        <w:tc>
          <w:tcPr>
            <w:tcW w:w="0" w:type="auto"/>
          </w:tcPr>
          <w:p w:rsidR="003A4CEB" w:rsidRDefault="003A4CEB" w:rsidP="003A4CEB">
            <w:pPr>
              <w:rPr>
                <w:i/>
              </w:rPr>
            </w:pPr>
          </w:p>
        </w:tc>
        <w:tc>
          <w:tcPr>
            <w:tcW w:w="0" w:type="auto"/>
          </w:tcPr>
          <w:p w:rsidR="003A4CEB" w:rsidRPr="002146A5" w:rsidRDefault="003A4CEB" w:rsidP="003A4CEB">
            <w:pPr>
              <w:pStyle w:val="Lijstalinea"/>
              <w:numPr>
                <w:ilvl w:val="0"/>
                <w:numId w:val="41"/>
              </w:numPr>
              <w:rPr>
                <w:i/>
              </w:rPr>
            </w:pPr>
          </w:p>
        </w:tc>
      </w:tr>
      <w:tr w:rsidR="003A4CEB" w:rsidTr="003A4CEB">
        <w:trPr>
          <w:gridAfter w:val="1"/>
          <w:wAfter w:w="14" w:type="dxa"/>
        </w:trPr>
        <w:tc>
          <w:tcPr>
            <w:tcW w:w="0" w:type="auto"/>
          </w:tcPr>
          <w:p w:rsidR="003A4CEB" w:rsidRPr="003A4CEB" w:rsidRDefault="003A4CEB" w:rsidP="003A4CEB">
            <w:pPr>
              <w:rPr>
                <w:lang w:val="nl-NL"/>
              </w:rPr>
            </w:pPr>
            <w:r w:rsidRPr="003A4CEB">
              <w:rPr>
                <w:lang w:val="nl-NL"/>
              </w:rPr>
              <w:t>Verbeteren van de klanttevredenheid door het verbeteren van hun service</w:t>
            </w:r>
          </w:p>
          <w:p w:rsidR="003A4CEB" w:rsidRPr="003A4CEB" w:rsidRDefault="003A4CEB" w:rsidP="003A4CEB">
            <w:pPr>
              <w:rPr>
                <w:lang w:val="nl-NL"/>
              </w:rPr>
            </w:pPr>
          </w:p>
        </w:tc>
        <w:tc>
          <w:tcPr>
            <w:tcW w:w="0" w:type="auto"/>
          </w:tcPr>
          <w:p w:rsidR="003A4CEB" w:rsidRDefault="003A4CEB" w:rsidP="003A4CEB">
            <w:pPr>
              <w:rPr>
                <w:i/>
              </w:rPr>
            </w:pPr>
            <w:r>
              <w:rPr>
                <w:i/>
              </w:rPr>
              <w:t>1</w:t>
            </w:r>
          </w:p>
        </w:tc>
        <w:tc>
          <w:tcPr>
            <w:tcW w:w="0" w:type="auto"/>
          </w:tcPr>
          <w:p w:rsidR="003A4CEB" w:rsidRDefault="003A4CEB" w:rsidP="003A4CEB">
            <w:pPr>
              <w:rPr>
                <w:i/>
              </w:rPr>
            </w:pPr>
            <w:r>
              <w:rPr>
                <w:i/>
              </w:rPr>
              <w:t>2</w:t>
            </w:r>
          </w:p>
        </w:tc>
        <w:tc>
          <w:tcPr>
            <w:tcW w:w="0" w:type="auto"/>
          </w:tcPr>
          <w:p w:rsidR="003A4CEB" w:rsidRDefault="003A4CEB" w:rsidP="003A4CEB">
            <w:pPr>
              <w:rPr>
                <w:i/>
              </w:rPr>
            </w:pPr>
            <w:r>
              <w:rPr>
                <w:i/>
              </w:rPr>
              <w:t>3</w:t>
            </w:r>
          </w:p>
        </w:tc>
        <w:tc>
          <w:tcPr>
            <w:tcW w:w="0" w:type="auto"/>
          </w:tcPr>
          <w:p w:rsidR="003A4CEB" w:rsidRDefault="003A4CEB" w:rsidP="003A4CEB">
            <w:pPr>
              <w:rPr>
                <w:i/>
              </w:rPr>
            </w:pPr>
            <w:r>
              <w:rPr>
                <w:i/>
              </w:rPr>
              <w:t>4</w:t>
            </w:r>
          </w:p>
        </w:tc>
        <w:tc>
          <w:tcPr>
            <w:tcW w:w="0" w:type="auto"/>
          </w:tcPr>
          <w:p w:rsidR="003A4CEB" w:rsidRDefault="003A4CEB" w:rsidP="003A4CEB">
            <w:pPr>
              <w:rPr>
                <w:i/>
              </w:rPr>
            </w:pPr>
            <w:r>
              <w:rPr>
                <w:i/>
              </w:rPr>
              <w:t>5</w:t>
            </w:r>
          </w:p>
        </w:tc>
        <w:tc>
          <w:tcPr>
            <w:tcW w:w="0" w:type="auto"/>
          </w:tcPr>
          <w:p w:rsidR="003A4CEB" w:rsidRDefault="003A4CEB" w:rsidP="003A4CEB">
            <w:pPr>
              <w:rPr>
                <w:i/>
              </w:rPr>
            </w:pPr>
          </w:p>
        </w:tc>
        <w:tc>
          <w:tcPr>
            <w:tcW w:w="0" w:type="auto"/>
          </w:tcPr>
          <w:p w:rsidR="003A4CEB" w:rsidRPr="002146A5" w:rsidRDefault="003A4CEB" w:rsidP="003A4CEB">
            <w:pPr>
              <w:pStyle w:val="Lijstalinea"/>
              <w:numPr>
                <w:ilvl w:val="0"/>
                <w:numId w:val="41"/>
              </w:numPr>
              <w:rPr>
                <w:i/>
              </w:rPr>
            </w:pPr>
          </w:p>
        </w:tc>
      </w:tr>
      <w:tr w:rsidR="003A4CEB" w:rsidTr="003A4CEB">
        <w:trPr>
          <w:gridAfter w:val="1"/>
          <w:wAfter w:w="14" w:type="dxa"/>
        </w:trPr>
        <w:tc>
          <w:tcPr>
            <w:tcW w:w="0" w:type="auto"/>
          </w:tcPr>
          <w:p w:rsidR="003A4CEB" w:rsidRPr="003A4CEB" w:rsidRDefault="003A4CEB" w:rsidP="003A4CEB">
            <w:pPr>
              <w:rPr>
                <w:lang w:val="nl-NL"/>
              </w:rPr>
            </w:pPr>
            <w:r w:rsidRPr="003A4CEB">
              <w:rPr>
                <w:lang w:val="nl-NL"/>
              </w:rPr>
              <w:t>Benchmarken van inhouse logistieke kosten en effectiviteit</w:t>
            </w:r>
          </w:p>
          <w:p w:rsidR="003A4CEB" w:rsidRPr="003A4CEB" w:rsidRDefault="003A4CEB" w:rsidP="003A4CEB">
            <w:pPr>
              <w:rPr>
                <w:lang w:val="nl-NL"/>
              </w:rPr>
            </w:pPr>
          </w:p>
        </w:tc>
        <w:tc>
          <w:tcPr>
            <w:tcW w:w="0" w:type="auto"/>
          </w:tcPr>
          <w:p w:rsidR="003A4CEB" w:rsidRDefault="003A4CEB" w:rsidP="003A4CEB">
            <w:pPr>
              <w:rPr>
                <w:i/>
              </w:rPr>
            </w:pPr>
            <w:r>
              <w:rPr>
                <w:i/>
              </w:rPr>
              <w:t>1</w:t>
            </w:r>
          </w:p>
        </w:tc>
        <w:tc>
          <w:tcPr>
            <w:tcW w:w="0" w:type="auto"/>
          </w:tcPr>
          <w:p w:rsidR="003A4CEB" w:rsidRDefault="003A4CEB" w:rsidP="003A4CEB">
            <w:pPr>
              <w:rPr>
                <w:i/>
              </w:rPr>
            </w:pPr>
            <w:r>
              <w:rPr>
                <w:i/>
              </w:rPr>
              <w:t>2</w:t>
            </w:r>
          </w:p>
        </w:tc>
        <w:tc>
          <w:tcPr>
            <w:tcW w:w="0" w:type="auto"/>
          </w:tcPr>
          <w:p w:rsidR="003A4CEB" w:rsidRDefault="003A4CEB" w:rsidP="003A4CEB">
            <w:pPr>
              <w:rPr>
                <w:i/>
              </w:rPr>
            </w:pPr>
            <w:r>
              <w:rPr>
                <w:i/>
              </w:rPr>
              <w:t>3</w:t>
            </w:r>
          </w:p>
        </w:tc>
        <w:tc>
          <w:tcPr>
            <w:tcW w:w="0" w:type="auto"/>
          </w:tcPr>
          <w:p w:rsidR="003A4CEB" w:rsidRDefault="003A4CEB" w:rsidP="003A4CEB">
            <w:pPr>
              <w:rPr>
                <w:i/>
              </w:rPr>
            </w:pPr>
            <w:r>
              <w:rPr>
                <w:i/>
              </w:rPr>
              <w:t>4</w:t>
            </w:r>
          </w:p>
        </w:tc>
        <w:tc>
          <w:tcPr>
            <w:tcW w:w="0" w:type="auto"/>
          </w:tcPr>
          <w:p w:rsidR="003A4CEB" w:rsidRDefault="003A4CEB" w:rsidP="003A4CEB">
            <w:pPr>
              <w:rPr>
                <w:i/>
              </w:rPr>
            </w:pPr>
            <w:r>
              <w:rPr>
                <w:i/>
              </w:rPr>
              <w:t>5</w:t>
            </w:r>
          </w:p>
        </w:tc>
        <w:tc>
          <w:tcPr>
            <w:tcW w:w="0" w:type="auto"/>
          </w:tcPr>
          <w:p w:rsidR="003A4CEB" w:rsidRDefault="003A4CEB" w:rsidP="003A4CEB">
            <w:pPr>
              <w:rPr>
                <w:i/>
              </w:rPr>
            </w:pPr>
          </w:p>
        </w:tc>
        <w:tc>
          <w:tcPr>
            <w:tcW w:w="0" w:type="auto"/>
          </w:tcPr>
          <w:p w:rsidR="003A4CEB" w:rsidRPr="002146A5" w:rsidRDefault="003A4CEB" w:rsidP="003A4CEB">
            <w:pPr>
              <w:pStyle w:val="Lijstalinea"/>
              <w:numPr>
                <w:ilvl w:val="0"/>
                <w:numId w:val="41"/>
              </w:numPr>
              <w:rPr>
                <w:i/>
              </w:rPr>
            </w:pPr>
          </w:p>
        </w:tc>
      </w:tr>
    </w:tbl>
    <w:p w:rsidR="003A4CEB" w:rsidRPr="003A4CEB" w:rsidRDefault="003A4CEB" w:rsidP="003A4CEB">
      <w:pPr>
        <w:jc w:val="both"/>
        <w:rPr>
          <w:lang w:val="nl-NL"/>
        </w:rPr>
      </w:pPr>
      <w:r w:rsidRPr="003A4CEB">
        <w:rPr>
          <w:lang w:val="nl-NL"/>
        </w:rPr>
        <w:t>6. Wat is ongeveer het gemiddelde aantal 3PL aanbieders dat uw klanten gebruiken?</w:t>
      </w:r>
    </w:p>
    <w:p w:rsidR="003A4CEB" w:rsidRPr="003A4CEB" w:rsidRDefault="003A4CEB" w:rsidP="003A4CEB">
      <w:pPr>
        <w:jc w:val="both"/>
        <w:rPr>
          <w:lang w:val="nl-NL"/>
        </w:rPr>
      </w:pPr>
      <w:r w:rsidRPr="003A4CEB">
        <w:rPr>
          <w:lang w:val="nl-NL"/>
        </w:rPr>
        <w:t xml:space="preserve">   ……… 3PL aanbieders</w:t>
      </w:r>
    </w:p>
    <w:p w:rsidR="003A4CEB" w:rsidRPr="003A4CEB" w:rsidRDefault="003A4CEB" w:rsidP="003A4CEB">
      <w:pPr>
        <w:jc w:val="both"/>
        <w:rPr>
          <w:lang w:val="nl-NL"/>
        </w:rPr>
      </w:pPr>
      <w:r w:rsidRPr="003A4CEB">
        <w:rPr>
          <w:lang w:val="nl-NL"/>
        </w:rPr>
        <w:t>7. Hoeveel procent van uw huidige contracten met klanten bevat afspraken over milieuvriendelijk en duurzaam ondernemen?</w:t>
      </w:r>
    </w:p>
    <w:p w:rsidR="003A4CEB" w:rsidRPr="003A4CEB" w:rsidRDefault="003A4CEB" w:rsidP="003A4CEB">
      <w:pPr>
        <w:jc w:val="both"/>
        <w:rPr>
          <w:lang w:val="nl-NL"/>
        </w:rPr>
      </w:pPr>
      <w:r w:rsidRPr="003A4CEB">
        <w:rPr>
          <w:lang w:val="nl-NL"/>
        </w:rPr>
        <w:t xml:space="preserve">   …….. % </w:t>
      </w:r>
    </w:p>
    <w:p w:rsidR="003A4CEB" w:rsidRPr="003A4CEB" w:rsidRDefault="003A4CEB" w:rsidP="003A4CEB">
      <w:pPr>
        <w:jc w:val="both"/>
        <w:rPr>
          <w:lang w:val="nl-NL"/>
        </w:rPr>
      </w:pPr>
      <w:r w:rsidRPr="003A4CEB">
        <w:rPr>
          <w:lang w:val="nl-NL"/>
        </w:rPr>
        <w:lastRenderedPageBreak/>
        <w:t>8. Beoordeelt en/of selecteert uw onderneming potentiële klanten alvorens deze te accepteren?</w:t>
      </w:r>
    </w:p>
    <w:p w:rsidR="003A4CEB" w:rsidRDefault="003A4CEB" w:rsidP="003A4CEB">
      <w:pPr>
        <w:pStyle w:val="Lijstalinea"/>
        <w:numPr>
          <w:ilvl w:val="0"/>
          <w:numId w:val="26"/>
        </w:numPr>
        <w:spacing w:before="0"/>
        <w:jc w:val="both"/>
      </w:pPr>
      <w:r>
        <w:t>Ja</w:t>
      </w:r>
    </w:p>
    <w:p w:rsidR="003A4CEB" w:rsidRPr="003A4CEB" w:rsidRDefault="003A4CEB" w:rsidP="003A4CEB">
      <w:pPr>
        <w:pStyle w:val="Lijstalinea"/>
        <w:numPr>
          <w:ilvl w:val="0"/>
          <w:numId w:val="26"/>
        </w:numPr>
        <w:spacing w:before="0"/>
        <w:jc w:val="both"/>
        <w:rPr>
          <w:lang w:val="nl-NL"/>
        </w:rPr>
      </w:pPr>
      <w:r w:rsidRPr="003A4CEB">
        <w:rPr>
          <w:lang w:val="nl-NL"/>
        </w:rPr>
        <w:t>Nee (ga door naar stelling 10)</w:t>
      </w:r>
    </w:p>
    <w:p w:rsidR="003A4CEB" w:rsidRPr="00BE15A0" w:rsidRDefault="003A4CEB" w:rsidP="00BE15A0">
      <w:pPr>
        <w:spacing w:after="0"/>
        <w:jc w:val="both"/>
        <w:rPr>
          <w:lang w:val="nl-NL"/>
        </w:rPr>
      </w:pPr>
      <w:r w:rsidRPr="003A4CEB">
        <w:rPr>
          <w:lang w:val="nl-NL"/>
        </w:rPr>
        <w:t>9. Bij het selecteren van klanten door uw onderneming wordt vooral gekeken naar:</w:t>
      </w:r>
    </w:p>
    <w:p w:rsidR="003A4CEB" w:rsidRPr="003A4CEB" w:rsidRDefault="003A4CEB" w:rsidP="003A4CEB">
      <w:pPr>
        <w:spacing w:line="240" w:lineRule="auto"/>
        <w:jc w:val="both"/>
        <w:rPr>
          <w:i/>
          <w:lang w:val="nl-NL"/>
        </w:rPr>
      </w:pPr>
      <w:r w:rsidRPr="003A4CEB">
        <w:rPr>
          <w:i/>
          <w:lang w:val="nl-NL"/>
        </w:rPr>
        <w:t>Geef aan in hoeverre u het eens bent met de genoemde redenen op een schaal van 1 tot 5.</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59"/>
        <w:gridCol w:w="318"/>
        <w:gridCol w:w="318"/>
        <w:gridCol w:w="318"/>
        <w:gridCol w:w="318"/>
        <w:gridCol w:w="318"/>
        <w:gridCol w:w="1588"/>
        <w:gridCol w:w="1151"/>
      </w:tblGrid>
      <w:tr w:rsidR="003A4CEB" w:rsidRPr="002752F8" w:rsidTr="003A4CEB">
        <w:tc>
          <w:tcPr>
            <w:tcW w:w="0" w:type="auto"/>
          </w:tcPr>
          <w:p w:rsidR="003A4CEB" w:rsidRPr="00297C21" w:rsidRDefault="003A4CEB" w:rsidP="003A4CEB">
            <w:pPr>
              <w:jc w:val="right"/>
              <w:rPr>
                <w:i/>
                <w:u w:val="single"/>
              </w:rPr>
            </w:pPr>
            <w:r w:rsidRPr="00297C21">
              <w:rPr>
                <w:i/>
                <w:u w:val="single"/>
              </w:rPr>
              <w:t>Helemaal mee oneens</w:t>
            </w:r>
          </w:p>
        </w:tc>
        <w:tc>
          <w:tcPr>
            <w:tcW w:w="0" w:type="auto"/>
          </w:tcPr>
          <w:p w:rsidR="003A4CEB" w:rsidRDefault="003A4CEB" w:rsidP="003A4CEB">
            <w:pPr>
              <w:rPr>
                <w:i/>
              </w:rPr>
            </w:pPr>
          </w:p>
        </w:tc>
        <w:tc>
          <w:tcPr>
            <w:tcW w:w="0" w:type="auto"/>
          </w:tcPr>
          <w:p w:rsidR="003A4CEB" w:rsidRDefault="003A4CEB" w:rsidP="003A4CEB">
            <w:pPr>
              <w:rPr>
                <w:i/>
              </w:rPr>
            </w:pPr>
          </w:p>
        </w:tc>
        <w:tc>
          <w:tcPr>
            <w:tcW w:w="0" w:type="auto"/>
          </w:tcPr>
          <w:p w:rsidR="003A4CEB" w:rsidRDefault="003A4CEB" w:rsidP="003A4CEB">
            <w:pPr>
              <w:rPr>
                <w:i/>
              </w:rPr>
            </w:pPr>
          </w:p>
        </w:tc>
        <w:tc>
          <w:tcPr>
            <w:tcW w:w="0" w:type="auto"/>
          </w:tcPr>
          <w:p w:rsidR="003A4CEB" w:rsidRDefault="003A4CEB" w:rsidP="003A4CEB">
            <w:pPr>
              <w:rPr>
                <w:i/>
              </w:rPr>
            </w:pPr>
          </w:p>
        </w:tc>
        <w:tc>
          <w:tcPr>
            <w:tcW w:w="0" w:type="auto"/>
          </w:tcPr>
          <w:p w:rsidR="003A4CEB" w:rsidRDefault="003A4CEB" w:rsidP="003A4CEB">
            <w:pPr>
              <w:rPr>
                <w:i/>
              </w:rPr>
            </w:pPr>
          </w:p>
        </w:tc>
        <w:tc>
          <w:tcPr>
            <w:tcW w:w="0" w:type="auto"/>
          </w:tcPr>
          <w:p w:rsidR="003A4CEB" w:rsidRPr="00297C21" w:rsidRDefault="003A4CEB" w:rsidP="003A4CEB">
            <w:pPr>
              <w:rPr>
                <w:i/>
                <w:u w:val="single"/>
              </w:rPr>
            </w:pPr>
            <w:r w:rsidRPr="00297C21">
              <w:rPr>
                <w:i/>
                <w:u w:val="single"/>
              </w:rPr>
              <w:t>Helemaal mee eens</w:t>
            </w:r>
          </w:p>
        </w:tc>
        <w:tc>
          <w:tcPr>
            <w:tcW w:w="0" w:type="auto"/>
          </w:tcPr>
          <w:p w:rsidR="003A4CEB" w:rsidRPr="003A4CEB" w:rsidRDefault="003A4CEB" w:rsidP="003A4CEB">
            <w:pPr>
              <w:rPr>
                <w:i/>
                <w:lang w:val="nl-NL"/>
              </w:rPr>
            </w:pPr>
            <w:r w:rsidRPr="003A4CEB">
              <w:rPr>
                <w:i/>
                <w:lang w:val="nl-NL"/>
              </w:rPr>
              <w:t>N.v.t. /</w:t>
            </w:r>
          </w:p>
          <w:p w:rsidR="003A4CEB" w:rsidRPr="003A4CEB" w:rsidRDefault="003A4CEB" w:rsidP="003A4CEB">
            <w:pPr>
              <w:rPr>
                <w:i/>
                <w:u w:val="single"/>
                <w:lang w:val="nl-NL"/>
              </w:rPr>
            </w:pPr>
            <w:r w:rsidRPr="003A4CEB">
              <w:rPr>
                <w:i/>
                <w:lang w:val="nl-NL"/>
              </w:rPr>
              <w:t>geen mening</w:t>
            </w:r>
          </w:p>
        </w:tc>
      </w:tr>
      <w:tr w:rsidR="003A4CEB" w:rsidTr="003A4CEB">
        <w:tc>
          <w:tcPr>
            <w:tcW w:w="0" w:type="auto"/>
          </w:tcPr>
          <w:p w:rsidR="003A4CEB" w:rsidRPr="003A4CEB" w:rsidRDefault="003A4CEB" w:rsidP="003A4CEB">
            <w:pPr>
              <w:jc w:val="both"/>
              <w:rPr>
                <w:lang w:val="nl-NL"/>
              </w:rPr>
            </w:pPr>
          </w:p>
          <w:p w:rsidR="003A4CEB" w:rsidRPr="003A4CEB" w:rsidRDefault="003A4CEB" w:rsidP="003A4CEB">
            <w:pPr>
              <w:jc w:val="both"/>
              <w:rPr>
                <w:lang w:val="nl-NL"/>
              </w:rPr>
            </w:pPr>
            <w:r w:rsidRPr="003A4CEB">
              <w:rPr>
                <w:lang w:val="nl-NL"/>
              </w:rPr>
              <w:t>Een goede match met uw industriefocus</w:t>
            </w:r>
          </w:p>
          <w:p w:rsidR="003A4CEB" w:rsidRPr="003A4CEB" w:rsidRDefault="003A4CEB" w:rsidP="003A4CEB">
            <w:pPr>
              <w:jc w:val="both"/>
              <w:rPr>
                <w:lang w:val="nl-NL"/>
              </w:rPr>
            </w:pPr>
          </w:p>
        </w:tc>
        <w:tc>
          <w:tcPr>
            <w:tcW w:w="0" w:type="auto"/>
          </w:tcPr>
          <w:p w:rsidR="003A4CEB" w:rsidRPr="003A4CEB" w:rsidRDefault="003A4CEB" w:rsidP="003A4CEB">
            <w:pPr>
              <w:rPr>
                <w:i/>
                <w:lang w:val="nl-NL"/>
              </w:rPr>
            </w:pPr>
          </w:p>
          <w:p w:rsidR="003A4CEB" w:rsidRDefault="003A4CEB" w:rsidP="003A4CEB">
            <w:pPr>
              <w:rPr>
                <w:i/>
              </w:rPr>
            </w:pPr>
            <w:r>
              <w:rPr>
                <w:i/>
              </w:rPr>
              <w:t>1</w:t>
            </w:r>
          </w:p>
        </w:tc>
        <w:tc>
          <w:tcPr>
            <w:tcW w:w="0" w:type="auto"/>
          </w:tcPr>
          <w:p w:rsidR="003A4CEB" w:rsidRDefault="003A4CEB" w:rsidP="003A4CEB">
            <w:pPr>
              <w:rPr>
                <w:i/>
              </w:rPr>
            </w:pPr>
          </w:p>
          <w:p w:rsidR="003A4CEB" w:rsidRDefault="003A4CEB" w:rsidP="003A4CEB">
            <w:pPr>
              <w:rPr>
                <w:i/>
              </w:rPr>
            </w:pPr>
            <w:r>
              <w:rPr>
                <w:i/>
              </w:rPr>
              <w:t>2</w:t>
            </w:r>
          </w:p>
        </w:tc>
        <w:tc>
          <w:tcPr>
            <w:tcW w:w="0" w:type="auto"/>
          </w:tcPr>
          <w:p w:rsidR="003A4CEB" w:rsidRDefault="003A4CEB" w:rsidP="003A4CEB">
            <w:pPr>
              <w:rPr>
                <w:i/>
              </w:rPr>
            </w:pPr>
          </w:p>
          <w:p w:rsidR="003A4CEB" w:rsidRDefault="003A4CEB" w:rsidP="003A4CEB">
            <w:pPr>
              <w:rPr>
                <w:i/>
              </w:rPr>
            </w:pPr>
            <w:r>
              <w:rPr>
                <w:i/>
              </w:rPr>
              <w:t>3</w:t>
            </w:r>
          </w:p>
        </w:tc>
        <w:tc>
          <w:tcPr>
            <w:tcW w:w="0" w:type="auto"/>
          </w:tcPr>
          <w:p w:rsidR="003A4CEB" w:rsidRDefault="003A4CEB" w:rsidP="003A4CEB">
            <w:pPr>
              <w:rPr>
                <w:i/>
              </w:rPr>
            </w:pPr>
          </w:p>
          <w:p w:rsidR="003A4CEB" w:rsidRDefault="003A4CEB" w:rsidP="003A4CEB">
            <w:pPr>
              <w:rPr>
                <w:i/>
              </w:rPr>
            </w:pPr>
            <w:r>
              <w:rPr>
                <w:i/>
              </w:rPr>
              <w:t>4</w:t>
            </w:r>
          </w:p>
        </w:tc>
        <w:tc>
          <w:tcPr>
            <w:tcW w:w="0" w:type="auto"/>
          </w:tcPr>
          <w:p w:rsidR="003A4CEB" w:rsidRDefault="003A4CEB" w:rsidP="003A4CEB">
            <w:pPr>
              <w:rPr>
                <w:i/>
              </w:rPr>
            </w:pPr>
          </w:p>
          <w:p w:rsidR="003A4CEB" w:rsidRDefault="003A4CEB" w:rsidP="003A4CEB">
            <w:pPr>
              <w:rPr>
                <w:i/>
              </w:rPr>
            </w:pPr>
            <w:r>
              <w:rPr>
                <w:i/>
              </w:rPr>
              <w:t>5</w:t>
            </w:r>
          </w:p>
        </w:tc>
        <w:tc>
          <w:tcPr>
            <w:tcW w:w="0" w:type="auto"/>
          </w:tcPr>
          <w:p w:rsidR="003A4CEB" w:rsidRDefault="003A4CEB" w:rsidP="003A4CEB">
            <w:pPr>
              <w:rPr>
                <w:i/>
              </w:rPr>
            </w:pPr>
          </w:p>
        </w:tc>
        <w:tc>
          <w:tcPr>
            <w:tcW w:w="0" w:type="auto"/>
          </w:tcPr>
          <w:p w:rsidR="003A4CEB" w:rsidRDefault="003A4CEB" w:rsidP="003A4CEB">
            <w:pPr>
              <w:rPr>
                <w:i/>
                <w:u w:val="single"/>
              </w:rPr>
            </w:pPr>
          </w:p>
          <w:p w:rsidR="003A4CEB" w:rsidRPr="002146A5" w:rsidRDefault="003A4CEB" w:rsidP="003A4CEB">
            <w:pPr>
              <w:pStyle w:val="Lijstalinea"/>
              <w:numPr>
                <w:ilvl w:val="0"/>
                <w:numId w:val="42"/>
              </w:numPr>
              <w:rPr>
                <w:i/>
                <w:u w:val="single"/>
              </w:rPr>
            </w:pPr>
          </w:p>
        </w:tc>
      </w:tr>
      <w:tr w:rsidR="003A4CEB" w:rsidTr="003A4CEB">
        <w:tc>
          <w:tcPr>
            <w:tcW w:w="0" w:type="auto"/>
          </w:tcPr>
          <w:p w:rsidR="003A4CEB" w:rsidRPr="003A4CEB" w:rsidRDefault="003A4CEB" w:rsidP="003A4CEB">
            <w:pPr>
              <w:rPr>
                <w:lang w:val="nl-NL"/>
              </w:rPr>
            </w:pPr>
            <w:r w:rsidRPr="003A4CEB">
              <w:rPr>
                <w:lang w:val="nl-NL"/>
              </w:rPr>
              <w:t>De wil om een relatie op te bouwen die draait om samenwerking</w:t>
            </w:r>
          </w:p>
          <w:p w:rsidR="003A4CEB" w:rsidRPr="003A4CEB" w:rsidRDefault="003A4CEB" w:rsidP="003A4CEB">
            <w:pPr>
              <w:rPr>
                <w:lang w:val="nl-NL"/>
              </w:rPr>
            </w:pPr>
          </w:p>
        </w:tc>
        <w:tc>
          <w:tcPr>
            <w:tcW w:w="0" w:type="auto"/>
          </w:tcPr>
          <w:p w:rsidR="003A4CEB" w:rsidRDefault="003A4CEB" w:rsidP="003A4CEB">
            <w:pPr>
              <w:rPr>
                <w:i/>
              </w:rPr>
            </w:pPr>
            <w:r>
              <w:rPr>
                <w:i/>
              </w:rPr>
              <w:t>1</w:t>
            </w:r>
          </w:p>
        </w:tc>
        <w:tc>
          <w:tcPr>
            <w:tcW w:w="0" w:type="auto"/>
          </w:tcPr>
          <w:p w:rsidR="003A4CEB" w:rsidRDefault="003A4CEB" w:rsidP="003A4CEB">
            <w:pPr>
              <w:rPr>
                <w:i/>
              </w:rPr>
            </w:pPr>
            <w:r>
              <w:rPr>
                <w:i/>
              </w:rPr>
              <w:t>2</w:t>
            </w:r>
          </w:p>
        </w:tc>
        <w:tc>
          <w:tcPr>
            <w:tcW w:w="0" w:type="auto"/>
          </w:tcPr>
          <w:p w:rsidR="003A4CEB" w:rsidRDefault="003A4CEB" w:rsidP="003A4CEB">
            <w:pPr>
              <w:rPr>
                <w:i/>
              </w:rPr>
            </w:pPr>
            <w:r>
              <w:rPr>
                <w:i/>
              </w:rPr>
              <w:t>3</w:t>
            </w:r>
          </w:p>
        </w:tc>
        <w:tc>
          <w:tcPr>
            <w:tcW w:w="0" w:type="auto"/>
          </w:tcPr>
          <w:p w:rsidR="003A4CEB" w:rsidRDefault="003A4CEB" w:rsidP="003A4CEB">
            <w:pPr>
              <w:rPr>
                <w:i/>
              </w:rPr>
            </w:pPr>
            <w:r>
              <w:rPr>
                <w:i/>
              </w:rPr>
              <w:t>4</w:t>
            </w:r>
          </w:p>
        </w:tc>
        <w:tc>
          <w:tcPr>
            <w:tcW w:w="0" w:type="auto"/>
          </w:tcPr>
          <w:p w:rsidR="003A4CEB" w:rsidRDefault="003A4CEB" w:rsidP="003A4CEB">
            <w:pPr>
              <w:rPr>
                <w:i/>
              </w:rPr>
            </w:pPr>
            <w:r>
              <w:rPr>
                <w:i/>
              </w:rPr>
              <w:t>5</w:t>
            </w:r>
          </w:p>
        </w:tc>
        <w:tc>
          <w:tcPr>
            <w:tcW w:w="0" w:type="auto"/>
          </w:tcPr>
          <w:p w:rsidR="003A4CEB" w:rsidRDefault="003A4CEB" w:rsidP="003A4CEB">
            <w:pPr>
              <w:rPr>
                <w:i/>
              </w:rPr>
            </w:pPr>
          </w:p>
        </w:tc>
        <w:tc>
          <w:tcPr>
            <w:tcW w:w="0" w:type="auto"/>
          </w:tcPr>
          <w:p w:rsidR="003A4CEB" w:rsidRPr="00804104" w:rsidRDefault="003A4CEB" w:rsidP="003A4CEB">
            <w:pPr>
              <w:pStyle w:val="Lijstalinea"/>
              <w:numPr>
                <w:ilvl w:val="0"/>
                <w:numId w:val="42"/>
              </w:numPr>
              <w:rPr>
                <w:i/>
              </w:rPr>
            </w:pPr>
          </w:p>
        </w:tc>
      </w:tr>
      <w:tr w:rsidR="003A4CEB" w:rsidTr="003A4CEB">
        <w:tc>
          <w:tcPr>
            <w:tcW w:w="0" w:type="auto"/>
          </w:tcPr>
          <w:p w:rsidR="003A4CEB" w:rsidRPr="003A4CEB" w:rsidRDefault="003A4CEB" w:rsidP="003A4CEB">
            <w:pPr>
              <w:jc w:val="both"/>
              <w:rPr>
                <w:lang w:val="nl-NL"/>
              </w:rPr>
            </w:pPr>
            <w:r w:rsidRPr="003A4CEB">
              <w:rPr>
                <w:lang w:val="nl-NL"/>
              </w:rPr>
              <w:t>De wil om een lange termijn relatie aan te gaan</w:t>
            </w:r>
          </w:p>
          <w:p w:rsidR="003A4CEB" w:rsidRPr="003A4CEB" w:rsidRDefault="003A4CEB" w:rsidP="003A4CEB">
            <w:pPr>
              <w:jc w:val="both"/>
              <w:rPr>
                <w:lang w:val="nl-NL"/>
              </w:rPr>
            </w:pPr>
          </w:p>
        </w:tc>
        <w:tc>
          <w:tcPr>
            <w:tcW w:w="0" w:type="auto"/>
          </w:tcPr>
          <w:p w:rsidR="003A4CEB" w:rsidRDefault="003A4CEB" w:rsidP="003A4CEB">
            <w:pPr>
              <w:rPr>
                <w:i/>
              </w:rPr>
            </w:pPr>
            <w:r>
              <w:rPr>
                <w:i/>
              </w:rPr>
              <w:t>1</w:t>
            </w:r>
          </w:p>
        </w:tc>
        <w:tc>
          <w:tcPr>
            <w:tcW w:w="0" w:type="auto"/>
          </w:tcPr>
          <w:p w:rsidR="003A4CEB" w:rsidRDefault="003A4CEB" w:rsidP="003A4CEB">
            <w:pPr>
              <w:rPr>
                <w:i/>
              </w:rPr>
            </w:pPr>
            <w:r>
              <w:rPr>
                <w:i/>
              </w:rPr>
              <w:t>2</w:t>
            </w:r>
          </w:p>
        </w:tc>
        <w:tc>
          <w:tcPr>
            <w:tcW w:w="0" w:type="auto"/>
          </w:tcPr>
          <w:p w:rsidR="003A4CEB" w:rsidRDefault="003A4CEB" w:rsidP="003A4CEB">
            <w:pPr>
              <w:rPr>
                <w:i/>
              </w:rPr>
            </w:pPr>
            <w:r>
              <w:rPr>
                <w:i/>
              </w:rPr>
              <w:t>3</w:t>
            </w:r>
          </w:p>
        </w:tc>
        <w:tc>
          <w:tcPr>
            <w:tcW w:w="0" w:type="auto"/>
          </w:tcPr>
          <w:p w:rsidR="003A4CEB" w:rsidRDefault="003A4CEB" w:rsidP="003A4CEB">
            <w:pPr>
              <w:rPr>
                <w:i/>
              </w:rPr>
            </w:pPr>
            <w:r>
              <w:rPr>
                <w:i/>
              </w:rPr>
              <w:t>4</w:t>
            </w:r>
          </w:p>
        </w:tc>
        <w:tc>
          <w:tcPr>
            <w:tcW w:w="0" w:type="auto"/>
          </w:tcPr>
          <w:p w:rsidR="003A4CEB" w:rsidRDefault="003A4CEB" w:rsidP="003A4CEB">
            <w:pPr>
              <w:rPr>
                <w:i/>
              </w:rPr>
            </w:pPr>
            <w:r>
              <w:rPr>
                <w:i/>
              </w:rPr>
              <w:t>5</w:t>
            </w:r>
          </w:p>
        </w:tc>
        <w:tc>
          <w:tcPr>
            <w:tcW w:w="0" w:type="auto"/>
          </w:tcPr>
          <w:p w:rsidR="003A4CEB" w:rsidRDefault="003A4CEB" w:rsidP="003A4CEB">
            <w:pPr>
              <w:rPr>
                <w:i/>
              </w:rPr>
            </w:pPr>
          </w:p>
        </w:tc>
        <w:tc>
          <w:tcPr>
            <w:tcW w:w="0" w:type="auto"/>
          </w:tcPr>
          <w:p w:rsidR="003A4CEB" w:rsidRPr="002146A5" w:rsidRDefault="003A4CEB" w:rsidP="003A4CEB">
            <w:pPr>
              <w:pStyle w:val="Lijstalinea"/>
              <w:numPr>
                <w:ilvl w:val="0"/>
                <w:numId w:val="41"/>
              </w:numPr>
              <w:rPr>
                <w:i/>
              </w:rPr>
            </w:pPr>
          </w:p>
        </w:tc>
      </w:tr>
      <w:tr w:rsidR="003A4CEB" w:rsidTr="003A4CEB">
        <w:tc>
          <w:tcPr>
            <w:tcW w:w="0" w:type="auto"/>
          </w:tcPr>
          <w:p w:rsidR="003A4CEB" w:rsidRPr="003A4CEB" w:rsidRDefault="003A4CEB" w:rsidP="003A4CEB">
            <w:pPr>
              <w:jc w:val="both"/>
              <w:rPr>
                <w:lang w:val="nl-NL"/>
              </w:rPr>
            </w:pPr>
            <w:r w:rsidRPr="003A4CEB">
              <w:rPr>
                <w:lang w:val="nl-NL"/>
              </w:rPr>
              <w:t>De bereidheid van de klant om u een redelijk rendement te laten behalen</w:t>
            </w:r>
          </w:p>
          <w:p w:rsidR="003A4CEB" w:rsidRPr="003A4CEB" w:rsidRDefault="003A4CEB" w:rsidP="003A4CEB">
            <w:pPr>
              <w:jc w:val="both"/>
              <w:rPr>
                <w:lang w:val="nl-NL"/>
              </w:rPr>
            </w:pPr>
          </w:p>
        </w:tc>
        <w:tc>
          <w:tcPr>
            <w:tcW w:w="0" w:type="auto"/>
          </w:tcPr>
          <w:p w:rsidR="003A4CEB" w:rsidRDefault="003A4CEB" w:rsidP="003A4CEB">
            <w:pPr>
              <w:rPr>
                <w:i/>
              </w:rPr>
            </w:pPr>
            <w:r>
              <w:rPr>
                <w:i/>
              </w:rPr>
              <w:t>1</w:t>
            </w:r>
          </w:p>
        </w:tc>
        <w:tc>
          <w:tcPr>
            <w:tcW w:w="0" w:type="auto"/>
          </w:tcPr>
          <w:p w:rsidR="003A4CEB" w:rsidRDefault="003A4CEB" w:rsidP="003A4CEB">
            <w:pPr>
              <w:rPr>
                <w:i/>
              </w:rPr>
            </w:pPr>
            <w:r>
              <w:rPr>
                <w:i/>
              </w:rPr>
              <w:t>2</w:t>
            </w:r>
          </w:p>
        </w:tc>
        <w:tc>
          <w:tcPr>
            <w:tcW w:w="0" w:type="auto"/>
          </w:tcPr>
          <w:p w:rsidR="003A4CEB" w:rsidRDefault="003A4CEB" w:rsidP="003A4CEB">
            <w:pPr>
              <w:rPr>
                <w:i/>
              </w:rPr>
            </w:pPr>
            <w:r>
              <w:rPr>
                <w:i/>
              </w:rPr>
              <w:t>3</w:t>
            </w:r>
          </w:p>
        </w:tc>
        <w:tc>
          <w:tcPr>
            <w:tcW w:w="0" w:type="auto"/>
          </w:tcPr>
          <w:p w:rsidR="003A4CEB" w:rsidRDefault="003A4CEB" w:rsidP="003A4CEB">
            <w:pPr>
              <w:rPr>
                <w:i/>
              </w:rPr>
            </w:pPr>
            <w:r>
              <w:rPr>
                <w:i/>
              </w:rPr>
              <w:t>4</w:t>
            </w:r>
          </w:p>
        </w:tc>
        <w:tc>
          <w:tcPr>
            <w:tcW w:w="0" w:type="auto"/>
          </w:tcPr>
          <w:p w:rsidR="003A4CEB" w:rsidRDefault="003A4CEB" w:rsidP="003A4CEB">
            <w:pPr>
              <w:rPr>
                <w:i/>
              </w:rPr>
            </w:pPr>
            <w:r>
              <w:rPr>
                <w:i/>
              </w:rPr>
              <w:t>5</w:t>
            </w:r>
          </w:p>
        </w:tc>
        <w:tc>
          <w:tcPr>
            <w:tcW w:w="0" w:type="auto"/>
          </w:tcPr>
          <w:p w:rsidR="003A4CEB" w:rsidRDefault="003A4CEB" w:rsidP="003A4CEB">
            <w:pPr>
              <w:rPr>
                <w:i/>
              </w:rPr>
            </w:pPr>
          </w:p>
        </w:tc>
        <w:tc>
          <w:tcPr>
            <w:tcW w:w="0" w:type="auto"/>
          </w:tcPr>
          <w:p w:rsidR="003A4CEB" w:rsidRPr="002146A5" w:rsidRDefault="003A4CEB" w:rsidP="003A4CEB">
            <w:pPr>
              <w:pStyle w:val="Lijstalinea"/>
              <w:numPr>
                <w:ilvl w:val="0"/>
                <w:numId w:val="41"/>
              </w:numPr>
              <w:rPr>
                <w:i/>
              </w:rPr>
            </w:pPr>
          </w:p>
        </w:tc>
      </w:tr>
      <w:tr w:rsidR="003A4CEB" w:rsidTr="003A4CEB">
        <w:tc>
          <w:tcPr>
            <w:tcW w:w="0" w:type="auto"/>
          </w:tcPr>
          <w:p w:rsidR="003A4CEB" w:rsidRPr="003A4CEB" w:rsidRDefault="003A4CEB" w:rsidP="003A4CEB">
            <w:pPr>
              <w:jc w:val="both"/>
              <w:rPr>
                <w:lang w:val="nl-NL"/>
              </w:rPr>
            </w:pPr>
            <w:r w:rsidRPr="003A4CEB">
              <w:rPr>
                <w:lang w:val="nl-NL"/>
              </w:rPr>
              <w:t>De grote van de klant en zijn logistieke netwerk</w:t>
            </w:r>
          </w:p>
          <w:p w:rsidR="003A4CEB" w:rsidRPr="003A4CEB" w:rsidRDefault="003A4CEB" w:rsidP="003A4CEB">
            <w:pPr>
              <w:jc w:val="both"/>
              <w:rPr>
                <w:lang w:val="nl-NL"/>
              </w:rPr>
            </w:pPr>
          </w:p>
        </w:tc>
        <w:tc>
          <w:tcPr>
            <w:tcW w:w="0" w:type="auto"/>
          </w:tcPr>
          <w:p w:rsidR="003A4CEB" w:rsidRDefault="003A4CEB" w:rsidP="003A4CEB">
            <w:pPr>
              <w:rPr>
                <w:i/>
              </w:rPr>
            </w:pPr>
            <w:r>
              <w:rPr>
                <w:i/>
              </w:rPr>
              <w:t>1</w:t>
            </w:r>
          </w:p>
        </w:tc>
        <w:tc>
          <w:tcPr>
            <w:tcW w:w="0" w:type="auto"/>
          </w:tcPr>
          <w:p w:rsidR="003A4CEB" w:rsidRDefault="003A4CEB" w:rsidP="003A4CEB">
            <w:pPr>
              <w:rPr>
                <w:i/>
              </w:rPr>
            </w:pPr>
            <w:r>
              <w:rPr>
                <w:i/>
              </w:rPr>
              <w:t>2</w:t>
            </w:r>
          </w:p>
        </w:tc>
        <w:tc>
          <w:tcPr>
            <w:tcW w:w="0" w:type="auto"/>
          </w:tcPr>
          <w:p w:rsidR="003A4CEB" w:rsidRDefault="003A4CEB" w:rsidP="003A4CEB">
            <w:pPr>
              <w:rPr>
                <w:i/>
              </w:rPr>
            </w:pPr>
            <w:r>
              <w:rPr>
                <w:i/>
              </w:rPr>
              <w:t>3</w:t>
            </w:r>
          </w:p>
        </w:tc>
        <w:tc>
          <w:tcPr>
            <w:tcW w:w="0" w:type="auto"/>
          </w:tcPr>
          <w:p w:rsidR="003A4CEB" w:rsidRDefault="003A4CEB" w:rsidP="003A4CEB">
            <w:pPr>
              <w:rPr>
                <w:i/>
              </w:rPr>
            </w:pPr>
            <w:r>
              <w:rPr>
                <w:i/>
              </w:rPr>
              <w:t>4</w:t>
            </w:r>
          </w:p>
        </w:tc>
        <w:tc>
          <w:tcPr>
            <w:tcW w:w="0" w:type="auto"/>
          </w:tcPr>
          <w:p w:rsidR="003A4CEB" w:rsidRDefault="003A4CEB" w:rsidP="003A4CEB">
            <w:pPr>
              <w:rPr>
                <w:i/>
              </w:rPr>
            </w:pPr>
            <w:r>
              <w:rPr>
                <w:i/>
              </w:rPr>
              <w:t>5</w:t>
            </w:r>
          </w:p>
        </w:tc>
        <w:tc>
          <w:tcPr>
            <w:tcW w:w="0" w:type="auto"/>
          </w:tcPr>
          <w:p w:rsidR="003A4CEB" w:rsidRDefault="003A4CEB" w:rsidP="003A4CEB">
            <w:pPr>
              <w:rPr>
                <w:i/>
              </w:rPr>
            </w:pPr>
          </w:p>
        </w:tc>
        <w:tc>
          <w:tcPr>
            <w:tcW w:w="0" w:type="auto"/>
          </w:tcPr>
          <w:p w:rsidR="003A4CEB" w:rsidRPr="002146A5" w:rsidRDefault="003A4CEB" w:rsidP="003A4CEB">
            <w:pPr>
              <w:pStyle w:val="Lijstalinea"/>
              <w:numPr>
                <w:ilvl w:val="0"/>
                <w:numId w:val="41"/>
              </w:numPr>
              <w:rPr>
                <w:i/>
              </w:rPr>
            </w:pPr>
          </w:p>
        </w:tc>
      </w:tr>
      <w:tr w:rsidR="003A4CEB" w:rsidTr="003A4CEB">
        <w:tc>
          <w:tcPr>
            <w:tcW w:w="0" w:type="auto"/>
          </w:tcPr>
          <w:p w:rsidR="003A4CEB" w:rsidRPr="003A4CEB" w:rsidRDefault="003A4CEB" w:rsidP="003A4CEB">
            <w:pPr>
              <w:jc w:val="both"/>
              <w:rPr>
                <w:lang w:val="nl-NL"/>
              </w:rPr>
            </w:pPr>
            <w:r w:rsidRPr="003A4CEB">
              <w:rPr>
                <w:lang w:val="nl-NL"/>
              </w:rPr>
              <w:t xml:space="preserve">De financiële stabiliteit van de klant </w:t>
            </w:r>
          </w:p>
          <w:p w:rsidR="003A4CEB" w:rsidRPr="003A4CEB" w:rsidRDefault="003A4CEB" w:rsidP="003A4CEB">
            <w:pPr>
              <w:jc w:val="both"/>
              <w:rPr>
                <w:lang w:val="nl-NL"/>
              </w:rPr>
            </w:pPr>
          </w:p>
        </w:tc>
        <w:tc>
          <w:tcPr>
            <w:tcW w:w="0" w:type="auto"/>
          </w:tcPr>
          <w:p w:rsidR="003A4CEB" w:rsidRDefault="003A4CEB" w:rsidP="003A4CEB">
            <w:pPr>
              <w:rPr>
                <w:i/>
              </w:rPr>
            </w:pPr>
            <w:r>
              <w:rPr>
                <w:i/>
              </w:rPr>
              <w:t>1</w:t>
            </w:r>
          </w:p>
        </w:tc>
        <w:tc>
          <w:tcPr>
            <w:tcW w:w="0" w:type="auto"/>
          </w:tcPr>
          <w:p w:rsidR="003A4CEB" w:rsidRDefault="003A4CEB" w:rsidP="003A4CEB">
            <w:pPr>
              <w:rPr>
                <w:i/>
              </w:rPr>
            </w:pPr>
            <w:r>
              <w:rPr>
                <w:i/>
              </w:rPr>
              <w:t>2</w:t>
            </w:r>
          </w:p>
        </w:tc>
        <w:tc>
          <w:tcPr>
            <w:tcW w:w="0" w:type="auto"/>
          </w:tcPr>
          <w:p w:rsidR="003A4CEB" w:rsidRDefault="003A4CEB" w:rsidP="003A4CEB">
            <w:pPr>
              <w:rPr>
                <w:i/>
              </w:rPr>
            </w:pPr>
            <w:r>
              <w:rPr>
                <w:i/>
              </w:rPr>
              <w:t>3</w:t>
            </w:r>
          </w:p>
        </w:tc>
        <w:tc>
          <w:tcPr>
            <w:tcW w:w="0" w:type="auto"/>
          </w:tcPr>
          <w:p w:rsidR="003A4CEB" w:rsidRDefault="003A4CEB" w:rsidP="003A4CEB">
            <w:pPr>
              <w:rPr>
                <w:i/>
              </w:rPr>
            </w:pPr>
            <w:r>
              <w:rPr>
                <w:i/>
              </w:rPr>
              <w:t>4</w:t>
            </w:r>
          </w:p>
        </w:tc>
        <w:tc>
          <w:tcPr>
            <w:tcW w:w="0" w:type="auto"/>
          </w:tcPr>
          <w:p w:rsidR="003A4CEB" w:rsidRDefault="003A4CEB" w:rsidP="003A4CEB">
            <w:pPr>
              <w:rPr>
                <w:i/>
              </w:rPr>
            </w:pPr>
            <w:r>
              <w:rPr>
                <w:i/>
              </w:rPr>
              <w:t>5</w:t>
            </w:r>
          </w:p>
        </w:tc>
        <w:tc>
          <w:tcPr>
            <w:tcW w:w="0" w:type="auto"/>
          </w:tcPr>
          <w:p w:rsidR="003A4CEB" w:rsidRDefault="003A4CEB" w:rsidP="003A4CEB">
            <w:pPr>
              <w:rPr>
                <w:i/>
              </w:rPr>
            </w:pPr>
          </w:p>
        </w:tc>
        <w:tc>
          <w:tcPr>
            <w:tcW w:w="0" w:type="auto"/>
          </w:tcPr>
          <w:p w:rsidR="003A4CEB" w:rsidRPr="002146A5" w:rsidRDefault="003A4CEB" w:rsidP="003A4CEB">
            <w:pPr>
              <w:pStyle w:val="Lijstalinea"/>
              <w:numPr>
                <w:ilvl w:val="0"/>
                <w:numId w:val="41"/>
              </w:numPr>
              <w:rPr>
                <w:i/>
              </w:rPr>
            </w:pPr>
          </w:p>
        </w:tc>
      </w:tr>
      <w:tr w:rsidR="003A4CEB" w:rsidTr="003A4CEB">
        <w:tc>
          <w:tcPr>
            <w:tcW w:w="0" w:type="auto"/>
          </w:tcPr>
          <w:p w:rsidR="003A4CEB" w:rsidRPr="00297C21" w:rsidRDefault="003A4CEB" w:rsidP="003A4CEB">
            <w:pPr>
              <w:jc w:val="both"/>
            </w:pPr>
            <w:r>
              <w:t>Het groeipotentieel van de klant</w:t>
            </w:r>
          </w:p>
          <w:p w:rsidR="003A4CEB" w:rsidRPr="00297C21" w:rsidRDefault="003A4CEB" w:rsidP="003A4CEB">
            <w:pPr>
              <w:jc w:val="both"/>
            </w:pPr>
          </w:p>
        </w:tc>
        <w:tc>
          <w:tcPr>
            <w:tcW w:w="0" w:type="auto"/>
          </w:tcPr>
          <w:p w:rsidR="003A4CEB" w:rsidRDefault="003A4CEB" w:rsidP="003A4CEB">
            <w:pPr>
              <w:rPr>
                <w:i/>
              </w:rPr>
            </w:pPr>
            <w:r>
              <w:rPr>
                <w:i/>
              </w:rPr>
              <w:t>1</w:t>
            </w:r>
          </w:p>
        </w:tc>
        <w:tc>
          <w:tcPr>
            <w:tcW w:w="0" w:type="auto"/>
          </w:tcPr>
          <w:p w:rsidR="003A4CEB" w:rsidRDefault="003A4CEB" w:rsidP="003A4CEB">
            <w:pPr>
              <w:rPr>
                <w:i/>
              </w:rPr>
            </w:pPr>
            <w:r>
              <w:rPr>
                <w:i/>
              </w:rPr>
              <w:t>2</w:t>
            </w:r>
          </w:p>
        </w:tc>
        <w:tc>
          <w:tcPr>
            <w:tcW w:w="0" w:type="auto"/>
          </w:tcPr>
          <w:p w:rsidR="003A4CEB" w:rsidRDefault="003A4CEB" w:rsidP="003A4CEB">
            <w:pPr>
              <w:rPr>
                <w:i/>
              </w:rPr>
            </w:pPr>
            <w:r>
              <w:rPr>
                <w:i/>
              </w:rPr>
              <w:t>3</w:t>
            </w:r>
          </w:p>
        </w:tc>
        <w:tc>
          <w:tcPr>
            <w:tcW w:w="0" w:type="auto"/>
          </w:tcPr>
          <w:p w:rsidR="003A4CEB" w:rsidRDefault="003A4CEB" w:rsidP="003A4CEB">
            <w:pPr>
              <w:rPr>
                <w:i/>
              </w:rPr>
            </w:pPr>
            <w:r>
              <w:rPr>
                <w:i/>
              </w:rPr>
              <w:t>4</w:t>
            </w:r>
          </w:p>
        </w:tc>
        <w:tc>
          <w:tcPr>
            <w:tcW w:w="0" w:type="auto"/>
          </w:tcPr>
          <w:p w:rsidR="003A4CEB" w:rsidRDefault="003A4CEB" w:rsidP="003A4CEB">
            <w:pPr>
              <w:rPr>
                <w:i/>
              </w:rPr>
            </w:pPr>
            <w:r>
              <w:rPr>
                <w:i/>
              </w:rPr>
              <w:t>5</w:t>
            </w:r>
          </w:p>
        </w:tc>
        <w:tc>
          <w:tcPr>
            <w:tcW w:w="0" w:type="auto"/>
          </w:tcPr>
          <w:p w:rsidR="003A4CEB" w:rsidRDefault="003A4CEB" w:rsidP="003A4CEB">
            <w:pPr>
              <w:rPr>
                <w:i/>
              </w:rPr>
            </w:pPr>
          </w:p>
        </w:tc>
        <w:tc>
          <w:tcPr>
            <w:tcW w:w="0" w:type="auto"/>
          </w:tcPr>
          <w:p w:rsidR="003A4CEB" w:rsidRPr="002146A5" w:rsidRDefault="003A4CEB" w:rsidP="003A4CEB">
            <w:pPr>
              <w:pStyle w:val="Lijstalinea"/>
              <w:numPr>
                <w:ilvl w:val="0"/>
                <w:numId w:val="41"/>
              </w:numPr>
              <w:rPr>
                <w:i/>
              </w:rPr>
            </w:pPr>
          </w:p>
        </w:tc>
      </w:tr>
    </w:tbl>
    <w:p w:rsidR="003A4CEB" w:rsidRPr="003A4CEB" w:rsidRDefault="003A4CEB" w:rsidP="003A4CEB">
      <w:pPr>
        <w:jc w:val="both"/>
        <w:rPr>
          <w:i/>
          <w:lang w:val="nl-NL"/>
        </w:rPr>
      </w:pPr>
      <w:r w:rsidRPr="003A4CEB">
        <w:rPr>
          <w:i/>
          <w:lang w:val="nl-NL"/>
        </w:rPr>
        <w:t>Geef aan in hoeverre u het eens bent met de vier volgende stellingen:</w:t>
      </w:r>
    </w:p>
    <w:p w:rsidR="003A4CEB" w:rsidRPr="003A4CEB" w:rsidRDefault="003A4CEB" w:rsidP="003A4CEB">
      <w:pPr>
        <w:spacing w:after="0"/>
        <w:jc w:val="both"/>
        <w:rPr>
          <w:lang w:val="nl-NL"/>
        </w:rPr>
      </w:pPr>
      <w:r w:rsidRPr="003A4CEB">
        <w:rPr>
          <w:lang w:val="nl-NL"/>
        </w:rPr>
        <w:t>10. Stelling: referenties van bestaande klanten zijn de belangrijkste manier om nieuwe klanten te werven.</w:t>
      </w:r>
    </w:p>
    <w:p w:rsidR="003A4CEB" w:rsidRPr="003A4CEB" w:rsidRDefault="003A4CEB" w:rsidP="003A4CEB">
      <w:pPr>
        <w:spacing w:after="0"/>
        <w:ind w:firstLine="708"/>
        <w:jc w:val="both"/>
        <w:rPr>
          <w:lang w:val="nl-NL"/>
        </w:rPr>
      </w:pPr>
      <w:r w:rsidRPr="003A4CEB">
        <w:rPr>
          <w:lang w:val="nl-NL"/>
        </w:rPr>
        <w:t>Helemaal mee oneens</w:t>
      </w:r>
      <w:r w:rsidRPr="003A4CEB">
        <w:rPr>
          <w:lang w:val="nl-NL"/>
        </w:rPr>
        <w:tab/>
        <w:t xml:space="preserve">  </w:t>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Helemaal mee eens</w:t>
      </w:r>
    </w:p>
    <w:p w:rsidR="003A4CEB" w:rsidRPr="003A4CEB" w:rsidRDefault="003A4CEB" w:rsidP="003A4CEB">
      <w:pPr>
        <w:spacing w:after="0"/>
        <w:ind w:firstLine="708"/>
        <w:jc w:val="both"/>
        <w:rPr>
          <w:lang w:val="nl-NL"/>
        </w:rPr>
      </w:pPr>
    </w:p>
    <w:p w:rsidR="003A4CEB" w:rsidRPr="003A4CEB" w:rsidRDefault="003A4CEB" w:rsidP="00BE15A0">
      <w:pPr>
        <w:spacing w:after="0"/>
        <w:jc w:val="both"/>
        <w:rPr>
          <w:lang w:val="nl-NL"/>
        </w:rPr>
      </w:pPr>
      <w:r w:rsidRPr="003A4CEB">
        <w:rPr>
          <w:lang w:val="nl-NL"/>
        </w:rPr>
        <w:t>11. Stelling: klanten besteden vooral operationele en repetitieve activiteiten uit en in mindere mate diensten die van strategisch belang zijn voor hen.</w:t>
      </w:r>
    </w:p>
    <w:p w:rsidR="003A4CEB" w:rsidRDefault="003A4CEB" w:rsidP="003A4CEB">
      <w:pPr>
        <w:spacing w:after="0"/>
        <w:ind w:firstLine="708"/>
        <w:jc w:val="both"/>
        <w:rPr>
          <w:lang w:val="nl-NL"/>
        </w:rPr>
      </w:pPr>
      <w:r w:rsidRPr="003A4CEB">
        <w:rPr>
          <w:lang w:val="nl-NL"/>
        </w:rPr>
        <w:t>Helemaal mee oneens</w:t>
      </w:r>
      <w:r w:rsidRPr="003A4CEB">
        <w:rPr>
          <w:lang w:val="nl-NL"/>
        </w:rPr>
        <w:tab/>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Helemaal mee eens</w:t>
      </w:r>
    </w:p>
    <w:p w:rsidR="00BE15A0" w:rsidRPr="003A4CEB" w:rsidRDefault="00BE15A0" w:rsidP="003A4CEB">
      <w:pPr>
        <w:spacing w:after="0"/>
        <w:ind w:firstLine="708"/>
        <w:jc w:val="both"/>
        <w:rPr>
          <w:lang w:val="nl-NL"/>
        </w:rPr>
      </w:pPr>
    </w:p>
    <w:p w:rsidR="003A4CEB" w:rsidRPr="003A4CEB" w:rsidRDefault="003A4CEB" w:rsidP="003A4CEB">
      <w:pPr>
        <w:spacing w:after="0"/>
        <w:jc w:val="both"/>
        <w:rPr>
          <w:lang w:val="nl-NL"/>
        </w:rPr>
      </w:pPr>
      <w:r w:rsidRPr="003A4CEB">
        <w:rPr>
          <w:lang w:val="nl-NL"/>
        </w:rPr>
        <w:t>12. Stelling: contracten die wij afsluiten met klanten bevatten altijd evaluatiemomenten, bonus en penalty afspraken en de mogelijkheid om contracten tussentijds te beëindigen bij slecht functioneren.</w:t>
      </w:r>
    </w:p>
    <w:p w:rsidR="003A4CEB" w:rsidRPr="003A4CEB" w:rsidRDefault="003A4CEB" w:rsidP="003A4CEB">
      <w:pPr>
        <w:spacing w:after="0"/>
        <w:ind w:firstLine="708"/>
        <w:jc w:val="both"/>
        <w:rPr>
          <w:lang w:val="nl-NL"/>
        </w:rPr>
      </w:pPr>
      <w:r w:rsidRPr="003A4CEB">
        <w:rPr>
          <w:lang w:val="nl-NL"/>
        </w:rPr>
        <w:t>Helemaal mee oneens</w:t>
      </w:r>
      <w:r w:rsidRPr="003A4CEB">
        <w:rPr>
          <w:lang w:val="nl-NL"/>
        </w:rPr>
        <w:tab/>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Helemaal mee eens</w:t>
      </w:r>
    </w:p>
    <w:p w:rsidR="003A4CEB" w:rsidRPr="003A4CEB" w:rsidRDefault="003A4CEB" w:rsidP="003A4CEB">
      <w:pPr>
        <w:spacing w:after="0"/>
        <w:jc w:val="both"/>
        <w:rPr>
          <w:lang w:val="nl-NL"/>
        </w:rPr>
      </w:pPr>
    </w:p>
    <w:p w:rsidR="003A4CEB" w:rsidRPr="003A4CEB" w:rsidRDefault="003A4CEB" w:rsidP="003A4CEB">
      <w:pPr>
        <w:spacing w:after="0"/>
        <w:jc w:val="both"/>
        <w:rPr>
          <w:lang w:val="nl-NL"/>
        </w:rPr>
      </w:pPr>
      <w:r w:rsidRPr="003A4CEB">
        <w:rPr>
          <w:lang w:val="nl-NL"/>
        </w:rPr>
        <w:t>13. Stelling: milieu en duurzame kwesties zijn belangrijk bij het afsluiten van nieuwe 3PL contracten of voortzetten van huidige contracten (met klanten).</w:t>
      </w:r>
    </w:p>
    <w:p w:rsidR="003A4CEB" w:rsidRPr="003A4CEB" w:rsidRDefault="003A4CEB" w:rsidP="003A4CEB">
      <w:pPr>
        <w:spacing w:after="0"/>
        <w:ind w:firstLine="708"/>
        <w:jc w:val="both"/>
        <w:rPr>
          <w:lang w:val="nl-NL"/>
        </w:rPr>
      </w:pPr>
      <w:r w:rsidRPr="003A4CEB">
        <w:rPr>
          <w:lang w:val="nl-NL"/>
        </w:rPr>
        <w:t>Helemaal mee oneens</w:t>
      </w:r>
      <w:r w:rsidRPr="003A4CEB">
        <w:rPr>
          <w:lang w:val="nl-NL"/>
        </w:rPr>
        <w:tab/>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Helemaal mee eens</w:t>
      </w:r>
    </w:p>
    <w:p w:rsidR="003A4CEB" w:rsidRPr="003A4CEB" w:rsidRDefault="003A4CEB" w:rsidP="003A4CEB">
      <w:pPr>
        <w:jc w:val="both"/>
        <w:rPr>
          <w:b/>
          <w:lang w:val="nl-NL"/>
        </w:rPr>
      </w:pPr>
      <w:r w:rsidRPr="003A4CEB">
        <w:rPr>
          <w:b/>
          <w:lang w:val="nl-NL"/>
        </w:rPr>
        <w:lastRenderedPageBreak/>
        <w:t>Er volgen nu enkele vragen over het geografisch verzorgingsgebied van 3PL aanbieders.</w:t>
      </w:r>
    </w:p>
    <w:p w:rsidR="003A4CEB" w:rsidRPr="003A4CEB" w:rsidRDefault="003A4CEB" w:rsidP="003A4CEB">
      <w:pPr>
        <w:spacing w:line="240" w:lineRule="auto"/>
        <w:ind w:left="705" w:hanging="705"/>
        <w:jc w:val="both"/>
        <w:rPr>
          <w:lang w:val="nl-NL"/>
        </w:rPr>
      </w:pPr>
      <w:r w:rsidRPr="003A4CEB">
        <w:rPr>
          <w:lang w:val="nl-NL"/>
        </w:rPr>
        <w:t>14. Het grootste deel van de omzet wordt door uw onderneming behaald in:</w:t>
      </w:r>
    </w:p>
    <w:p w:rsidR="003A4CEB" w:rsidRDefault="003A4CEB" w:rsidP="003A4CEB">
      <w:pPr>
        <w:pStyle w:val="Lijstalinea"/>
        <w:numPr>
          <w:ilvl w:val="0"/>
          <w:numId w:val="27"/>
        </w:numPr>
        <w:spacing w:before="0" w:line="240" w:lineRule="auto"/>
        <w:jc w:val="both"/>
      </w:pPr>
      <w:r>
        <w:t>Nederland</w:t>
      </w:r>
    </w:p>
    <w:p w:rsidR="003A4CEB" w:rsidRDefault="003A4CEB" w:rsidP="003A4CEB">
      <w:pPr>
        <w:pStyle w:val="Lijstalinea"/>
        <w:numPr>
          <w:ilvl w:val="0"/>
          <w:numId w:val="27"/>
        </w:numPr>
        <w:spacing w:before="0" w:line="240" w:lineRule="auto"/>
        <w:jc w:val="both"/>
      </w:pPr>
      <w:r>
        <w:t>Benelux</w:t>
      </w:r>
    </w:p>
    <w:p w:rsidR="003A4CEB" w:rsidRDefault="003A4CEB" w:rsidP="003A4CEB">
      <w:pPr>
        <w:pStyle w:val="Lijstalinea"/>
        <w:numPr>
          <w:ilvl w:val="0"/>
          <w:numId w:val="27"/>
        </w:numPr>
        <w:spacing w:before="0" w:line="240" w:lineRule="auto"/>
        <w:jc w:val="both"/>
      </w:pPr>
      <w:r>
        <w:t>Duitsland</w:t>
      </w:r>
    </w:p>
    <w:p w:rsidR="003A4CEB" w:rsidRDefault="003A4CEB" w:rsidP="003A4CEB">
      <w:pPr>
        <w:pStyle w:val="Lijstalinea"/>
        <w:numPr>
          <w:ilvl w:val="0"/>
          <w:numId w:val="27"/>
        </w:numPr>
        <w:spacing w:before="0" w:line="240" w:lineRule="auto"/>
        <w:jc w:val="both"/>
      </w:pPr>
      <w:r>
        <w:t>Noord Europa</w:t>
      </w:r>
    </w:p>
    <w:p w:rsidR="003A4CEB" w:rsidRDefault="003A4CEB" w:rsidP="003A4CEB">
      <w:pPr>
        <w:pStyle w:val="Lijstalinea"/>
        <w:numPr>
          <w:ilvl w:val="0"/>
          <w:numId w:val="27"/>
        </w:numPr>
        <w:tabs>
          <w:tab w:val="left" w:pos="1770"/>
        </w:tabs>
        <w:spacing w:before="0" w:line="240" w:lineRule="auto"/>
        <w:jc w:val="both"/>
      </w:pPr>
      <w:r>
        <w:t>Europa</w:t>
      </w:r>
      <w:r>
        <w:tab/>
      </w:r>
    </w:p>
    <w:p w:rsidR="003A4CEB" w:rsidRDefault="003A4CEB" w:rsidP="003A4CEB">
      <w:pPr>
        <w:pStyle w:val="Lijstalinea"/>
        <w:numPr>
          <w:ilvl w:val="0"/>
          <w:numId w:val="27"/>
        </w:numPr>
        <w:spacing w:before="0" w:line="240" w:lineRule="auto"/>
        <w:jc w:val="both"/>
      </w:pPr>
      <w:r>
        <w:t>Buiten Europa</w:t>
      </w:r>
    </w:p>
    <w:p w:rsidR="003A4CEB" w:rsidRPr="003A4CEB" w:rsidRDefault="003A4CEB" w:rsidP="003A4CEB">
      <w:pPr>
        <w:spacing w:line="240" w:lineRule="auto"/>
        <w:jc w:val="both"/>
        <w:rPr>
          <w:lang w:val="nl-NL"/>
        </w:rPr>
      </w:pPr>
      <w:r w:rsidRPr="003A4CEB">
        <w:rPr>
          <w:lang w:val="nl-NL"/>
        </w:rPr>
        <w:t>15. Heeft uw onderneming een wereldwijd dekkingsgebied?</w:t>
      </w:r>
    </w:p>
    <w:p w:rsidR="003A4CEB" w:rsidRPr="003A4CEB" w:rsidRDefault="003A4CEB" w:rsidP="003A4CEB">
      <w:pPr>
        <w:pStyle w:val="Lijstalinea"/>
        <w:numPr>
          <w:ilvl w:val="0"/>
          <w:numId w:val="28"/>
        </w:numPr>
        <w:spacing w:before="0" w:line="240" w:lineRule="auto"/>
        <w:jc w:val="both"/>
        <w:rPr>
          <w:lang w:val="nl-NL"/>
        </w:rPr>
      </w:pPr>
      <w:r w:rsidRPr="003A4CEB">
        <w:rPr>
          <w:lang w:val="nl-NL"/>
        </w:rPr>
        <w:t>Ja, d.m.v. ons eigen internationale (distributie) netwerk</w:t>
      </w:r>
    </w:p>
    <w:p w:rsidR="003A4CEB" w:rsidRPr="003A4CEB" w:rsidRDefault="003A4CEB" w:rsidP="003A4CEB">
      <w:pPr>
        <w:pStyle w:val="Lijstalinea"/>
        <w:numPr>
          <w:ilvl w:val="0"/>
          <w:numId w:val="28"/>
        </w:numPr>
        <w:spacing w:before="0" w:line="240" w:lineRule="auto"/>
        <w:jc w:val="both"/>
        <w:rPr>
          <w:lang w:val="nl-NL"/>
        </w:rPr>
      </w:pPr>
      <w:r w:rsidRPr="003A4CEB">
        <w:rPr>
          <w:lang w:val="nl-NL"/>
        </w:rPr>
        <w:t>Ja, d.m.v. strategische partnerschappen met verschillende andere 3PL ondernemingen in het buitenland</w:t>
      </w:r>
    </w:p>
    <w:p w:rsidR="003A4CEB" w:rsidRPr="003A4CEB" w:rsidRDefault="003A4CEB" w:rsidP="003A4CEB">
      <w:pPr>
        <w:pStyle w:val="Lijstalinea"/>
        <w:numPr>
          <w:ilvl w:val="0"/>
          <w:numId w:val="28"/>
        </w:numPr>
        <w:spacing w:before="0"/>
        <w:jc w:val="both"/>
        <w:rPr>
          <w:lang w:val="nl-NL"/>
        </w:rPr>
      </w:pPr>
      <w:r w:rsidRPr="003A4CEB">
        <w:rPr>
          <w:lang w:val="nl-NL"/>
        </w:rPr>
        <w:t>Ja, d.m.v. gebruik te maken van het internationale netwerk van ondernemingen als DHL, TNT, FEDEX en UPS</w:t>
      </w:r>
    </w:p>
    <w:p w:rsidR="003A4CEB" w:rsidRPr="003A4CEB" w:rsidRDefault="003A4CEB" w:rsidP="003A4CEB">
      <w:pPr>
        <w:pStyle w:val="Lijstalinea"/>
        <w:numPr>
          <w:ilvl w:val="0"/>
          <w:numId w:val="28"/>
        </w:numPr>
        <w:spacing w:before="0"/>
        <w:jc w:val="both"/>
        <w:rPr>
          <w:lang w:val="nl-NL"/>
        </w:rPr>
      </w:pPr>
      <w:r w:rsidRPr="003A4CEB">
        <w:rPr>
          <w:lang w:val="nl-NL"/>
        </w:rPr>
        <w:t>Nee, wij hebben geen wereldwijd dekkingsgebied</w:t>
      </w:r>
    </w:p>
    <w:p w:rsidR="003A4CEB" w:rsidRDefault="003A4CEB" w:rsidP="003A4CEB">
      <w:pPr>
        <w:pStyle w:val="Lijstalinea"/>
        <w:numPr>
          <w:ilvl w:val="0"/>
          <w:numId w:val="28"/>
        </w:numPr>
        <w:spacing w:before="0"/>
        <w:jc w:val="both"/>
      </w:pPr>
      <w:r>
        <w:t>Anders, namelijk:</w:t>
      </w:r>
    </w:p>
    <w:p w:rsidR="003A4CEB" w:rsidRPr="003A4CEB" w:rsidRDefault="003A4CEB" w:rsidP="003A4CEB">
      <w:pPr>
        <w:jc w:val="both"/>
        <w:rPr>
          <w:lang w:val="nl-NL"/>
        </w:rPr>
      </w:pPr>
      <w:r w:rsidRPr="003A4CEB">
        <w:rPr>
          <w:lang w:val="nl-NL"/>
        </w:rPr>
        <w:t xml:space="preserve">Hier volgt een korte uitleg van het begrip </w:t>
      </w:r>
      <w:r w:rsidRPr="003A4CEB">
        <w:rPr>
          <w:i/>
          <w:lang w:val="nl-NL"/>
        </w:rPr>
        <w:t xml:space="preserve">near shoring. </w:t>
      </w:r>
      <w:r w:rsidRPr="003A4CEB">
        <w:rPr>
          <w:lang w:val="nl-NL"/>
        </w:rPr>
        <w:t xml:space="preserve">Enkele jaren geleden verhuisden ondernemingen hun productieactiviteiten massaal naar lage lonen landen aan de andere kant van de wereld, denk hierbij aan China. Maar als een reactie op stijgende loon- en materiaalkosten in deze landen en de volatiliteit van de olieprijzen brengen sommigen ondernemingen hun productieactiviteiten weer dichter naar huis. In het geval van Europese ondernemingen gaat het dan om het verplaatsen van productieactiviteiten vanuit bijvoorbeeld Azië naar Oost Europa. Dit fenomeen wordt </w:t>
      </w:r>
      <w:r w:rsidRPr="003A4CEB">
        <w:rPr>
          <w:i/>
          <w:lang w:val="nl-NL"/>
        </w:rPr>
        <w:t>near shoring genoemd.</w:t>
      </w:r>
      <w:r w:rsidRPr="003A4CEB">
        <w:rPr>
          <w:lang w:val="nl-NL"/>
        </w:rPr>
        <w:t xml:space="preserve"> </w:t>
      </w:r>
    </w:p>
    <w:p w:rsidR="003A4CEB" w:rsidRPr="003A4CEB" w:rsidRDefault="003A4CEB" w:rsidP="003A4CEB">
      <w:pPr>
        <w:jc w:val="both"/>
        <w:rPr>
          <w:lang w:val="nl-NL"/>
        </w:rPr>
      </w:pPr>
      <w:r w:rsidRPr="003A4CEB">
        <w:rPr>
          <w:lang w:val="nl-NL"/>
        </w:rPr>
        <w:t xml:space="preserve">16. </w:t>
      </w:r>
      <w:r w:rsidRPr="003A4CEB">
        <w:rPr>
          <w:i/>
          <w:lang w:val="nl-NL"/>
        </w:rPr>
        <w:t>Near shoring</w:t>
      </w:r>
      <w:r w:rsidRPr="003A4CEB">
        <w:rPr>
          <w:lang w:val="nl-NL"/>
        </w:rPr>
        <w:t xml:space="preserve"> zie ik als een:</w:t>
      </w:r>
    </w:p>
    <w:p w:rsidR="003A4CEB" w:rsidRDefault="003A4CEB" w:rsidP="003A4CEB">
      <w:pPr>
        <w:pStyle w:val="Lijstalinea"/>
        <w:numPr>
          <w:ilvl w:val="0"/>
          <w:numId w:val="29"/>
        </w:numPr>
        <w:spacing w:before="0"/>
        <w:jc w:val="both"/>
      </w:pPr>
      <w:r>
        <w:t>Kans</w:t>
      </w:r>
    </w:p>
    <w:p w:rsidR="003A4CEB" w:rsidRDefault="003A4CEB" w:rsidP="003A4CEB">
      <w:pPr>
        <w:pStyle w:val="Lijstalinea"/>
        <w:numPr>
          <w:ilvl w:val="0"/>
          <w:numId w:val="29"/>
        </w:numPr>
        <w:spacing w:before="0"/>
        <w:jc w:val="both"/>
      </w:pPr>
      <w:r>
        <w:t>Bedreiging</w:t>
      </w:r>
    </w:p>
    <w:p w:rsidR="003A4CEB" w:rsidRDefault="003A4CEB" w:rsidP="003A4CEB">
      <w:pPr>
        <w:pStyle w:val="Lijstalinea"/>
        <w:numPr>
          <w:ilvl w:val="0"/>
          <w:numId w:val="29"/>
        </w:numPr>
        <w:spacing w:before="0"/>
        <w:jc w:val="both"/>
      </w:pPr>
      <w:r>
        <w:t>Geen mening</w:t>
      </w:r>
    </w:p>
    <w:p w:rsidR="003A4CEB" w:rsidRPr="003A4CEB" w:rsidRDefault="003A4CEB" w:rsidP="003A4CEB">
      <w:pPr>
        <w:jc w:val="both"/>
        <w:rPr>
          <w:lang w:val="nl-NL"/>
        </w:rPr>
      </w:pPr>
      <w:r w:rsidRPr="003A4CEB">
        <w:rPr>
          <w:i/>
          <w:lang w:val="nl-NL"/>
        </w:rPr>
        <w:t>Geef aan in hoeverre u het eens bent met de volgende stelling:</w:t>
      </w:r>
    </w:p>
    <w:p w:rsidR="003A4CEB" w:rsidRPr="003A4CEB" w:rsidRDefault="003A4CEB" w:rsidP="003A4CEB">
      <w:pPr>
        <w:spacing w:after="0"/>
        <w:jc w:val="both"/>
        <w:rPr>
          <w:lang w:val="nl-NL"/>
        </w:rPr>
      </w:pPr>
      <w:r w:rsidRPr="003A4CEB">
        <w:rPr>
          <w:lang w:val="nl-NL"/>
        </w:rPr>
        <w:t>17. Stelling: onze onderneming heeft zich als doel gesteld om in de toekomst verder te internationaliseren.</w:t>
      </w:r>
    </w:p>
    <w:p w:rsidR="003A4CEB" w:rsidRPr="003A4CEB" w:rsidRDefault="003A4CEB" w:rsidP="003A4CEB">
      <w:pPr>
        <w:spacing w:after="0"/>
        <w:ind w:firstLine="708"/>
        <w:jc w:val="both"/>
        <w:rPr>
          <w:lang w:val="nl-NL"/>
        </w:rPr>
      </w:pPr>
      <w:r w:rsidRPr="003A4CEB">
        <w:rPr>
          <w:lang w:val="nl-NL"/>
        </w:rPr>
        <w:t>Helemaal mee oneens</w:t>
      </w:r>
      <w:r w:rsidRPr="003A4CEB">
        <w:rPr>
          <w:lang w:val="nl-NL"/>
        </w:rPr>
        <w:tab/>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Helemaal mee eens</w:t>
      </w:r>
    </w:p>
    <w:p w:rsidR="003A4CEB" w:rsidRPr="003A4CEB" w:rsidRDefault="003A4CEB" w:rsidP="003A4CEB">
      <w:pPr>
        <w:spacing w:after="0"/>
        <w:jc w:val="both"/>
        <w:rPr>
          <w:lang w:val="nl-NL"/>
        </w:rPr>
      </w:pPr>
    </w:p>
    <w:p w:rsidR="003A4CEB" w:rsidRPr="003A4CEB" w:rsidRDefault="003A4CEB" w:rsidP="003A4CEB">
      <w:pPr>
        <w:spacing w:line="240" w:lineRule="auto"/>
        <w:jc w:val="both"/>
        <w:rPr>
          <w:b/>
          <w:lang w:val="nl-NL"/>
        </w:rPr>
      </w:pPr>
      <w:r w:rsidRPr="003A4CEB">
        <w:rPr>
          <w:b/>
          <w:lang w:val="nl-NL"/>
        </w:rPr>
        <w:t xml:space="preserve">De volgende vier stellingen gaan over in hoeverre </w:t>
      </w:r>
      <w:r w:rsidRPr="003A4CEB">
        <w:rPr>
          <w:b/>
          <w:i/>
          <w:lang w:val="nl-NL"/>
        </w:rPr>
        <w:t xml:space="preserve">path dependency </w:t>
      </w:r>
      <w:r w:rsidRPr="003A4CEB">
        <w:rPr>
          <w:b/>
          <w:lang w:val="nl-NL"/>
        </w:rPr>
        <w:t xml:space="preserve">de capaciteiten van 3PL aanbieders beïnvloed. </w:t>
      </w:r>
    </w:p>
    <w:p w:rsidR="003A4CEB" w:rsidRPr="003A4CEB" w:rsidRDefault="003A4CEB" w:rsidP="003A4CEB">
      <w:pPr>
        <w:spacing w:line="240" w:lineRule="auto"/>
        <w:jc w:val="both"/>
        <w:rPr>
          <w:lang w:val="nl-NL"/>
        </w:rPr>
      </w:pPr>
      <w:r w:rsidRPr="003A4CEB">
        <w:rPr>
          <w:lang w:val="nl-NL"/>
        </w:rPr>
        <w:t xml:space="preserve">Hier volgt een korte uitleg van het begrip </w:t>
      </w:r>
      <w:r w:rsidRPr="003A4CEB">
        <w:rPr>
          <w:i/>
          <w:lang w:val="nl-NL"/>
        </w:rPr>
        <w:t>path dependency</w:t>
      </w:r>
      <w:r w:rsidRPr="003A4CEB">
        <w:rPr>
          <w:lang w:val="nl-NL"/>
        </w:rPr>
        <w:t xml:space="preserve"> (padafhankelijkheid). De historie van een onderneming is belangrijk, gezien het feit dat gedane investeringen in het verleden een onderneming ook kunnen beperken in de toekomst. Het pad dat in verleden gevolgd is zal dus grotendeels gevolgd worden in de toekomst. Dit fenomeen wordt </w:t>
      </w:r>
      <w:r w:rsidRPr="003A4CEB">
        <w:rPr>
          <w:i/>
          <w:lang w:val="nl-NL"/>
        </w:rPr>
        <w:t>path dependency</w:t>
      </w:r>
      <w:r w:rsidRPr="003A4CEB">
        <w:rPr>
          <w:lang w:val="nl-NL"/>
        </w:rPr>
        <w:t xml:space="preserve"> genoemd.</w:t>
      </w:r>
    </w:p>
    <w:p w:rsidR="003A4CEB" w:rsidRPr="003A4CEB" w:rsidRDefault="003A4CEB" w:rsidP="003A4CEB">
      <w:pPr>
        <w:jc w:val="both"/>
        <w:rPr>
          <w:i/>
          <w:lang w:val="nl-NL"/>
        </w:rPr>
      </w:pPr>
      <w:r w:rsidRPr="003A4CEB">
        <w:rPr>
          <w:i/>
          <w:lang w:val="nl-NL"/>
        </w:rPr>
        <w:t>Geef aan in hoeverre u het eens bent met de vier volgende stellingen:</w:t>
      </w:r>
    </w:p>
    <w:p w:rsidR="003A4CEB" w:rsidRPr="003A4CEB" w:rsidRDefault="003A4CEB" w:rsidP="003A4CEB">
      <w:pPr>
        <w:spacing w:after="0"/>
        <w:jc w:val="both"/>
        <w:rPr>
          <w:lang w:val="nl-NL"/>
        </w:rPr>
      </w:pPr>
      <w:r w:rsidRPr="003A4CEB">
        <w:rPr>
          <w:lang w:val="nl-NL"/>
        </w:rPr>
        <w:t>18. Stelling: onze eerste klant is bepalend geweest voor onze huidige onderneming en klantfocus.</w:t>
      </w:r>
    </w:p>
    <w:p w:rsidR="003A4CEB" w:rsidRPr="003A4CEB" w:rsidRDefault="003A4CEB" w:rsidP="003A4CEB">
      <w:pPr>
        <w:spacing w:after="0"/>
        <w:ind w:firstLine="708"/>
        <w:jc w:val="both"/>
        <w:rPr>
          <w:lang w:val="nl-NL"/>
        </w:rPr>
      </w:pPr>
      <w:r w:rsidRPr="003A4CEB">
        <w:rPr>
          <w:lang w:val="nl-NL"/>
        </w:rPr>
        <w:t>Helemaal mee oneens</w:t>
      </w:r>
      <w:r w:rsidRPr="003A4CEB">
        <w:rPr>
          <w:lang w:val="nl-NL"/>
        </w:rPr>
        <w:tab/>
        <w:t xml:space="preserve">  </w:t>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Helemaal mee eens</w:t>
      </w:r>
    </w:p>
    <w:p w:rsidR="003A4CEB" w:rsidRPr="003A4CEB" w:rsidRDefault="003A4CEB" w:rsidP="003A4CEB">
      <w:pPr>
        <w:spacing w:after="0"/>
        <w:jc w:val="both"/>
        <w:rPr>
          <w:lang w:val="nl-NL"/>
        </w:rPr>
      </w:pPr>
    </w:p>
    <w:p w:rsidR="003A4CEB" w:rsidRPr="003A4CEB" w:rsidRDefault="003A4CEB" w:rsidP="003A4CEB">
      <w:pPr>
        <w:spacing w:after="0"/>
        <w:jc w:val="both"/>
        <w:rPr>
          <w:lang w:val="nl-NL"/>
        </w:rPr>
      </w:pPr>
      <w:r w:rsidRPr="003A4CEB">
        <w:rPr>
          <w:lang w:val="nl-NL"/>
        </w:rPr>
        <w:lastRenderedPageBreak/>
        <w:t>19. Stelling: de capaciteiten en competenties van onze onderneming zijn vooral gevormd door klantrelaties uit het verleden.</w:t>
      </w:r>
    </w:p>
    <w:p w:rsidR="003A4CEB" w:rsidRPr="003A4CEB" w:rsidRDefault="003A4CEB" w:rsidP="003A4CEB">
      <w:pPr>
        <w:spacing w:after="0"/>
        <w:ind w:firstLine="708"/>
        <w:jc w:val="both"/>
        <w:rPr>
          <w:lang w:val="nl-NL"/>
        </w:rPr>
      </w:pPr>
      <w:r w:rsidRPr="003A4CEB">
        <w:rPr>
          <w:lang w:val="nl-NL"/>
        </w:rPr>
        <w:t xml:space="preserve">Helemaal mee oneens </w:t>
      </w:r>
      <w:r w:rsidRPr="003A4CEB">
        <w:rPr>
          <w:lang w:val="nl-NL"/>
        </w:rPr>
        <w:tab/>
        <w:t xml:space="preserve"> </w:t>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Helemaal mee eens</w:t>
      </w:r>
    </w:p>
    <w:p w:rsidR="003A4CEB" w:rsidRPr="003A4CEB" w:rsidRDefault="003A4CEB" w:rsidP="003A4CEB">
      <w:pPr>
        <w:jc w:val="both"/>
        <w:rPr>
          <w:lang w:val="nl-NL"/>
        </w:rPr>
      </w:pPr>
    </w:p>
    <w:p w:rsidR="003A4CEB" w:rsidRPr="003A4CEB" w:rsidRDefault="003A4CEB" w:rsidP="003A4CEB">
      <w:pPr>
        <w:spacing w:after="0"/>
        <w:jc w:val="both"/>
        <w:rPr>
          <w:lang w:val="nl-NL"/>
        </w:rPr>
      </w:pPr>
      <w:r w:rsidRPr="003A4CEB">
        <w:rPr>
          <w:lang w:val="nl-NL"/>
        </w:rPr>
        <w:t>20. Stelling: ons huidige klantbestand beperkt ons in de selectie/opbouw van toekomstige klantrelaties.</w:t>
      </w:r>
    </w:p>
    <w:p w:rsidR="003A4CEB" w:rsidRPr="003A4CEB" w:rsidRDefault="003A4CEB" w:rsidP="003A4CEB">
      <w:pPr>
        <w:spacing w:after="0"/>
        <w:ind w:firstLine="708"/>
        <w:jc w:val="both"/>
        <w:rPr>
          <w:lang w:val="nl-NL"/>
        </w:rPr>
      </w:pPr>
      <w:r w:rsidRPr="003A4CEB">
        <w:rPr>
          <w:lang w:val="nl-NL"/>
        </w:rPr>
        <w:t xml:space="preserve">Helemaal mee oneens </w:t>
      </w:r>
      <w:r w:rsidRPr="003A4CEB">
        <w:rPr>
          <w:lang w:val="nl-NL"/>
        </w:rPr>
        <w:tab/>
        <w:t xml:space="preserve"> </w:t>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 xml:space="preserve"> Helemaal mee eens</w:t>
      </w:r>
    </w:p>
    <w:p w:rsidR="003A4CEB" w:rsidRPr="003A4CEB" w:rsidRDefault="003A4CEB" w:rsidP="003A4CEB">
      <w:pPr>
        <w:spacing w:after="0"/>
        <w:jc w:val="both"/>
        <w:rPr>
          <w:lang w:val="nl-NL"/>
        </w:rPr>
      </w:pPr>
    </w:p>
    <w:p w:rsidR="003A4CEB" w:rsidRPr="003A4CEB" w:rsidRDefault="003A4CEB" w:rsidP="003A4CEB">
      <w:pPr>
        <w:jc w:val="both"/>
        <w:rPr>
          <w:lang w:val="nl-NL"/>
        </w:rPr>
      </w:pPr>
      <w:r w:rsidRPr="003A4CEB">
        <w:rPr>
          <w:lang w:val="nl-NL"/>
        </w:rPr>
        <w:t>21. Stelling: een belangrijke overweging bij het aannemen van een nieuwe klant is in hoeverre deze klant een goede match heeft met ons huidige klantbestand/industriefocus en met onze doelen betreffende strategische positionering en capaciteitenontwikkeling van de onderneming</w:t>
      </w:r>
    </w:p>
    <w:p w:rsidR="003A4CEB" w:rsidRDefault="003A4CEB" w:rsidP="00BE15A0">
      <w:pPr>
        <w:spacing w:after="0"/>
        <w:ind w:firstLine="708"/>
        <w:jc w:val="both"/>
        <w:rPr>
          <w:lang w:val="nl-NL"/>
        </w:rPr>
      </w:pPr>
      <w:r w:rsidRPr="003A4CEB">
        <w:rPr>
          <w:lang w:val="nl-NL"/>
        </w:rPr>
        <w:t xml:space="preserve">Helemaal mee oneens </w:t>
      </w:r>
      <w:r w:rsidRPr="003A4CEB">
        <w:rPr>
          <w:lang w:val="nl-NL"/>
        </w:rPr>
        <w:tab/>
        <w:t xml:space="preserve"> </w:t>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 xml:space="preserve"> Helemaal mee eens</w:t>
      </w:r>
    </w:p>
    <w:p w:rsidR="00BE15A0" w:rsidRPr="003A4CEB" w:rsidRDefault="00BE15A0" w:rsidP="00BE15A0">
      <w:pPr>
        <w:spacing w:after="0"/>
        <w:ind w:firstLine="708"/>
        <w:jc w:val="both"/>
        <w:rPr>
          <w:lang w:val="nl-NL"/>
        </w:rPr>
      </w:pPr>
    </w:p>
    <w:p w:rsidR="003A4CEB" w:rsidRPr="003A4CEB" w:rsidRDefault="003A4CEB" w:rsidP="003A4CEB">
      <w:pPr>
        <w:jc w:val="both"/>
        <w:rPr>
          <w:b/>
          <w:lang w:val="nl-NL"/>
        </w:rPr>
      </w:pPr>
      <w:r w:rsidRPr="003A4CEB">
        <w:rPr>
          <w:b/>
          <w:lang w:val="nl-NL"/>
        </w:rPr>
        <w:t>De volgende vragen gaan over het doen van klantspecifieke investeringen.</w:t>
      </w:r>
    </w:p>
    <w:p w:rsidR="003A4CEB" w:rsidRPr="003A4CEB" w:rsidRDefault="003A4CEB" w:rsidP="003A4CEB">
      <w:pPr>
        <w:spacing w:line="240" w:lineRule="auto"/>
        <w:jc w:val="both"/>
        <w:rPr>
          <w:lang w:val="nl-NL"/>
        </w:rPr>
      </w:pPr>
      <w:r w:rsidRPr="003A4CEB">
        <w:rPr>
          <w:lang w:val="nl-NL"/>
        </w:rPr>
        <w:t>22. De meeste investeringen die uw onderneming doet zijn:</w:t>
      </w:r>
    </w:p>
    <w:p w:rsidR="003A4CEB" w:rsidRPr="003A4CEB" w:rsidRDefault="003A4CEB" w:rsidP="003A4CEB">
      <w:pPr>
        <w:pStyle w:val="Lijstalinea"/>
        <w:numPr>
          <w:ilvl w:val="0"/>
          <w:numId w:val="30"/>
        </w:numPr>
        <w:spacing w:before="0" w:line="240" w:lineRule="auto"/>
        <w:jc w:val="both"/>
        <w:rPr>
          <w:lang w:val="nl-NL"/>
        </w:rPr>
      </w:pPr>
      <w:r w:rsidRPr="003A4CEB">
        <w:rPr>
          <w:lang w:val="nl-NL"/>
        </w:rPr>
        <w:t>Klantspecifiek ( ten dienste van 1 klant)</w:t>
      </w:r>
    </w:p>
    <w:p w:rsidR="003A4CEB" w:rsidRPr="003A4CEB" w:rsidRDefault="003A4CEB" w:rsidP="003A4CEB">
      <w:pPr>
        <w:pStyle w:val="Lijstalinea"/>
        <w:numPr>
          <w:ilvl w:val="0"/>
          <w:numId w:val="30"/>
        </w:numPr>
        <w:spacing w:before="0" w:line="240" w:lineRule="auto"/>
        <w:jc w:val="both"/>
        <w:rPr>
          <w:lang w:val="nl-NL"/>
        </w:rPr>
      </w:pPr>
      <w:r w:rsidRPr="003A4CEB">
        <w:rPr>
          <w:lang w:val="nl-NL"/>
        </w:rPr>
        <w:t>Geschikt voor het bedienen van enkele klanten</w:t>
      </w:r>
    </w:p>
    <w:p w:rsidR="003A4CEB" w:rsidRPr="003A4CEB" w:rsidRDefault="003A4CEB" w:rsidP="003A4CEB">
      <w:pPr>
        <w:pStyle w:val="Lijstalinea"/>
        <w:numPr>
          <w:ilvl w:val="0"/>
          <w:numId w:val="30"/>
        </w:numPr>
        <w:spacing w:before="0" w:line="240" w:lineRule="auto"/>
        <w:jc w:val="both"/>
        <w:rPr>
          <w:lang w:val="nl-NL"/>
        </w:rPr>
      </w:pPr>
      <w:r w:rsidRPr="003A4CEB">
        <w:rPr>
          <w:lang w:val="nl-NL"/>
        </w:rPr>
        <w:t>Geschikt voor het bedienen van meerdere klanten</w:t>
      </w:r>
    </w:p>
    <w:p w:rsidR="003A4CEB" w:rsidRPr="003A4CEB" w:rsidRDefault="003A4CEB" w:rsidP="003A4CEB">
      <w:pPr>
        <w:pStyle w:val="Lijstalinea"/>
        <w:numPr>
          <w:ilvl w:val="0"/>
          <w:numId w:val="30"/>
        </w:numPr>
        <w:spacing w:before="0" w:line="240" w:lineRule="auto"/>
        <w:jc w:val="both"/>
        <w:rPr>
          <w:lang w:val="nl-NL"/>
        </w:rPr>
      </w:pPr>
      <w:r w:rsidRPr="003A4CEB">
        <w:rPr>
          <w:lang w:val="nl-NL"/>
        </w:rPr>
        <w:t>Geschikt voor het bedienen van al onze klanten</w:t>
      </w:r>
    </w:p>
    <w:p w:rsidR="003A4CEB" w:rsidRPr="003A4CEB" w:rsidRDefault="003A4CEB" w:rsidP="003A4CEB">
      <w:pPr>
        <w:spacing w:line="240" w:lineRule="auto"/>
        <w:rPr>
          <w:lang w:val="nl-NL"/>
        </w:rPr>
      </w:pPr>
    </w:p>
    <w:p w:rsidR="003A4CEB" w:rsidRPr="003A4CEB" w:rsidRDefault="003A4CEB" w:rsidP="003A4CEB">
      <w:pPr>
        <w:spacing w:line="240" w:lineRule="auto"/>
        <w:jc w:val="both"/>
        <w:rPr>
          <w:lang w:val="nl-NL"/>
        </w:rPr>
      </w:pPr>
      <w:r w:rsidRPr="003A4CEB">
        <w:rPr>
          <w:lang w:val="nl-NL"/>
        </w:rPr>
        <w:t>23. Doet uw onderneming investeringen die speciaal gedaan worden ten dienste van 1 klant?</w:t>
      </w:r>
    </w:p>
    <w:p w:rsidR="003A4CEB" w:rsidRPr="003A4CEB" w:rsidRDefault="003A4CEB" w:rsidP="003A4CEB">
      <w:pPr>
        <w:spacing w:line="240" w:lineRule="auto"/>
        <w:jc w:val="both"/>
        <w:rPr>
          <w:lang w:val="nl-NL"/>
        </w:rPr>
      </w:pPr>
      <w:r w:rsidRPr="003A4CEB">
        <w:rPr>
          <w:lang w:val="nl-NL"/>
        </w:rPr>
        <w:tab/>
        <w:t>Ja</w:t>
      </w:r>
    </w:p>
    <w:p w:rsidR="003A4CEB" w:rsidRPr="003A4CEB" w:rsidRDefault="003A4CEB" w:rsidP="003A4CEB">
      <w:pPr>
        <w:spacing w:line="240" w:lineRule="auto"/>
        <w:jc w:val="both"/>
        <w:rPr>
          <w:lang w:val="nl-NL"/>
        </w:rPr>
      </w:pPr>
      <w:r w:rsidRPr="003A4CEB">
        <w:rPr>
          <w:lang w:val="nl-NL"/>
        </w:rPr>
        <w:tab/>
        <w:t>Nee ( ga door naar vraag 29)</w:t>
      </w:r>
    </w:p>
    <w:p w:rsidR="003A4CEB" w:rsidRPr="003A4CEB" w:rsidRDefault="003A4CEB" w:rsidP="003A4CEB">
      <w:pPr>
        <w:spacing w:line="240" w:lineRule="auto"/>
        <w:jc w:val="both"/>
        <w:rPr>
          <w:lang w:val="nl-NL"/>
        </w:rPr>
      </w:pPr>
      <w:r w:rsidRPr="003A4CEB">
        <w:rPr>
          <w:lang w:val="nl-NL"/>
        </w:rPr>
        <w:t xml:space="preserve">24. Hoeveel procent van de totaal door uw onderneming gedane investeringen in de afgelopen vijf jaar waren klantspecifiek? </w:t>
      </w:r>
    </w:p>
    <w:p w:rsidR="003A4CEB" w:rsidRPr="003A4CEB" w:rsidRDefault="003A4CEB" w:rsidP="003A4CEB">
      <w:pPr>
        <w:spacing w:line="240" w:lineRule="auto"/>
        <w:jc w:val="both"/>
        <w:rPr>
          <w:lang w:val="nl-NL"/>
        </w:rPr>
      </w:pPr>
      <w:r w:rsidRPr="003A4CEB">
        <w:rPr>
          <w:lang w:val="nl-NL"/>
        </w:rPr>
        <w:t xml:space="preserve"> …………%</w:t>
      </w:r>
    </w:p>
    <w:p w:rsidR="003A4CEB" w:rsidRPr="003A4CEB" w:rsidRDefault="003A4CEB" w:rsidP="003A4CEB">
      <w:pPr>
        <w:spacing w:line="240" w:lineRule="auto"/>
        <w:jc w:val="both"/>
        <w:rPr>
          <w:lang w:val="nl-NL"/>
        </w:rPr>
      </w:pPr>
      <w:r w:rsidRPr="003A4CEB">
        <w:rPr>
          <w:lang w:val="nl-NL"/>
        </w:rPr>
        <w:t xml:space="preserve">25. Welke klantspecifieke investeringen worden door uw onderneming gedaan? </w:t>
      </w:r>
    </w:p>
    <w:p w:rsidR="003A4CEB" w:rsidRPr="002753C3" w:rsidRDefault="003A4CEB" w:rsidP="003A4CEB">
      <w:pPr>
        <w:spacing w:line="240" w:lineRule="auto"/>
        <w:jc w:val="both"/>
        <w:rPr>
          <w:i/>
        </w:rPr>
      </w:pPr>
      <w:r w:rsidRPr="002753C3">
        <w:rPr>
          <w:i/>
        </w:rPr>
        <w:t>Meerdere antwoorden mogelijk.</w:t>
      </w:r>
    </w:p>
    <w:p w:rsidR="003A4CEB" w:rsidRPr="003A4CEB" w:rsidRDefault="003A4CEB" w:rsidP="003A4CEB">
      <w:pPr>
        <w:pStyle w:val="Lijstalinea"/>
        <w:numPr>
          <w:ilvl w:val="0"/>
          <w:numId w:val="31"/>
        </w:numPr>
        <w:spacing w:before="0" w:line="240" w:lineRule="auto"/>
        <w:jc w:val="both"/>
        <w:rPr>
          <w:lang w:val="nl-NL"/>
        </w:rPr>
      </w:pPr>
      <w:r w:rsidRPr="003A4CEB">
        <w:rPr>
          <w:lang w:val="nl-NL"/>
        </w:rPr>
        <w:t>Investeringen in activa (zoals rollend materieel, vastgoed, opslagruimte, machines etc.)</w:t>
      </w:r>
    </w:p>
    <w:p w:rsidR="003A4CEB" w:rsidRPr="003A4CEB" w:rsidRDefault="003A4CEB" w:rsidP="003A4CEB">
      <w:pPr>
        <w:pStyle w:val="Lijstalinea"/>
        <w:numPr>
          <w:ilvl w:val="0"/>
          <w:numId w:val="31"/>
        </w:numPr>
        <w:spacing w:before="0" w:line="240" w:lineRule="auto"/>
        <w:jc w:val="both"/>
        <w:rPr>
          <w:lang w:val="nl-NL"/>
        </w:rPr>
      </w:pPr>
      <w:r w:rsidRPr="003A4CEB">
        <w:rPr>
          <w:lang w:val="nl-NL"/>
        </w:rPr>
        <w:t>Investeringen in medewerkers en/of hun opleidingen</w:t>
      </w:r>
    </w:p>
    <w:p w:rsidR="003A4CEB" w:rsidRPr="003A4CEB" w:rsidRDefault="003A4CEB" w:rsidP="003A4CEB">
      <w:pPr>
        <w:pStyle w:val="Lijstalinea"/>
        <w:numPr>
          <w:ilvl w:val="0"/>
          <w:numId w:val="31"/>
        </w:numPr>
        <w:spacing w:before="0" w:line="240" w:lineRule="auto"/>
        <w:jc w:val="both"/>
        <w:rPr>
          <w:lang w:val="nl-NL"/>
        </w:rPr>
      </w:pPr>
      <w:r w:rsidRPr="003A4CEB">
        <w:rPr>
          <w:lang w:val="nl-NL"/>
        </w:rPr>
        <w:t>Investeringen in IT systemen en/of IT koppelingen</w:t>
      </w:r>
    </w:p>
    <w:p w:rsidR="003A4CEB" w:rsidRDefault="003A4CEB" w:rsidP="003A4CEB">
      <w:pPr>
        <w:pStyle w:val="Lijstalinea"/>
        <w:numPr>
          <w:ilvl w:val="0"/>
          <w:numId w:val="31"/>
        </w:numPr>
        <w:spacing w:before="0" w:line="240" w:lineRule="auto"/>
        <w:jc w:val="both"/>
      </w:pPr>
      <w:r>
        <w:t xml:space="preserve">Anders, namelijk: </w:t>
      </w:r>
    </w:p>
    <w:p w:rsidR="003A4CEB" w:rsidRPr="003A4CEB" w:rsidRDefault="003A4CEB" w:rsidP="003A4CEB">
      <w:pPr>
        <w:spacing w:line="240" w:lineRule="auto"/>
        <w:jc w:val="both"/>
        <w:rPr>
          <w:lang w:val="nl-NL"/>
        </w:rPr>
      </w:pPr>
      <w:r w:rsidRPr="003A4CEB">
        <w:rPr>
          <w:lang w:val="nl-NL"/>
        </w:rPr>
        <w:t>26. Waarin worden door uw onderneming de grootste klantspecifieke investeringen gedaan?</w:t>
      </w:r>
    </w:p>
    <w:p w:rsidR="003A4CEB" w:rsidRDefault="003A4CEB" w:rsidP="003A4CEB">
      <w:pPr>
        <w:pStyle w:val="Lijstalinea"/>
        <w:numPr>
          <w:ilvl w:val="0"/>
          <w:numId w:val="32"/>
        </w:numPr>
        <w:spacing w:before="0" w:line="240" w:lineRule="auto"/>
        <w:jc w:val="both"/>
      </w:pPr>
      <w:r>
        <w:t xml:space="preserve">Activa </w:t>
      </w:r>
    </w:p>
    <w:p w:rsidR="003A4CEB" w:rsidRDefault="003A4CEB" w:rsidP="003A4CEB">
      <w:pPr>
        <w:pStyle w:val="Lijstalinea"/>
        <w:numPr>
          <w:ilvl w:val="0"/>
          <w:numId w:val="32"/>
        </w:numPr>
        <w:spacing w:before="0" w:line="240" w:lineRule="auto"/>
        <w:jc w:val="both"/>
      </w:pPr>
      <w:r>
        <w:t>Medewerkers en/of hun opleidingen</w:t>
      </w:r>
    </w:p>
    <w:p w:rsidR="003A4CEB" w:rsidRPr="003A4CEB" w:rsidRDefault="003A4CEB" w:rsidP="003A4CEB">
      <w:pPr>
        <w:pStyle w:val="Lijstalinea"/>
        <w:numPr>
          <w:ilvl w:val="0"/>
          <w:numId w:val="32"/>
        </w:numPr>
        <w:spacing w:before="0" w:line="240" w:lineRule="auto"/>
        <w:jc w:val="both"/>
        <w:rPr>
          <w:lang w:val="nl-NL"/>
        </w:rPr>
      </w:pPr>
      <w:r w:rsidRPr="003A4CEB">
        <w:rPr>
          <w:lang w:val="nl-NL"/>
        </w:rPr>
        <w:t>IT systemen en/of IT koppelingen</w:t>
      </w:r>
    </w:p>
    <w:p w:rsidR="003A4CEB" w:rsidRDefault="003A4CEB" w:rsidP="003A4CEB">
      <w:pPr>
        <w:pStyle w:val="Lijstalinea"/>
        <w:numPr>
          <w:ilvl w:val="0"/>
          <w:numId w:val="32"/>
        </w:numPr>
        <w:spacing w:before="0" w:line="240" w:lineRule="auto"/>
        <w:jc w:val="both"/>
      </w:pPr>
      <w:r>
        <w:t>Anders, namelijk:</w:t>
      </w:r>
    </w:p>
    <w:p w:rsidR="00BE15A0" w:rsidRDefault="00BE15A0" w:rsidP="00BE15A0">
      <w:pPr>
        <w:pStyle w:val="Lijstalinea"/>
        <w:spacing w:before="0" w:line="240" w:lineRule="auto"/>
        <w:jc w:val="both"/>
      </w:pPr>
    </w:p>
    <w:p w:rsidR="003A4CEB" w:rsidRPr="003A4CEB" w:rsidRDefault="003A4CEB" w:rsidP="003A4CEB">
      <w:pPr>
        <w:spacing w:line="240" w:lineRule="auto"/>
        <w:jc w:val="both"/>
        <w:rPr>
          <w:lang w:val="nl-NL"/>
        </w:rPr>
      </w:pPr>
      <w:r w:rsidRPr="003A4CEB">
        <w:rPr>
          <w:lang w:val="nl-NL"/>
        </w:rPr>
        <w:lastRenderedPageBreak/>
        <w:t>27. Op welke manier regelen de klant en uw onderneming de financiering van klantspecifieke investeringen?</w:t>
      </w:r>
    </w:p>
    <w:p w:rsidR="003A4CEB" w:rsidRPr="003A4CEB" w:rsidRDefault="003A4CEB" w:rsidP="003A4CEB">
      <w:pPr>
        <w:pStyle w:val="Lijstalinea"/>
        <w:numPr>
          <w:ilvl w:val="0"/>
          <w:numId w:val="33"/>
        </w:numPr>
        <w:spacing w:before="0" w:line="240" w:lineRule="auto"/>
        <w:jc w:val="both"/>
        <w:rPr>
          <w:lang w:val="nl-NL"/>
        </w:rPr>
      </w:pPr>
      <w:r w:rsidRPr="003A4CEB">
        <w:rPr>
          <w:lang w:val="nl-NL"/>
        </w:rPr>
        <w:t>Deze investeringen worden vooral gefinancierd door de klant &gt; 50%</w:t>
      </w:r>
    </w:p>
    <w:p w:rsidR="003A4CEB" w:rsidRPr="003A4CEB" w:rsidRDefault="003A4CEB" w:rsidP="003A4CEB">
      <w:pPr>
        <w:pStyle w:val="Lijstalinea"/>
        <w:numPr>
          <w:ilvl w:val="0"/>
          <w:numId w:val="33"/>
        </w:numPr>
        <w:spacing w:before="0" w:line="240" w:lineRule="auto"/>
        <w:jc w:val="both"/>
        <w:rPr>
          <w:color w:val="FF0000"/>
          <w:lang w:val="nl-NL"/>
        </w:rPr>
      </w:pPr>
      <w:r w:rsidRPr="003A4CEB">
        <w:rPr>
          <w:lang w:val="nl-NL"/>
        </w:rPr>
        <w:t xml:space="preserve">Deze investeringen worden door beiden voor 50% gefinancierd </w:t>
      </w:r>
    </w:p>
    <w:p w:rsidR="003A4CEB" w:rsidRPr="003A4CEB" w:rsidRDefault="003A4CEB" w:rsidP="003A4CEB">
      <w:pPr>
        <w:pStyle w:val="Lijstalinea"/>
        <w:numPr>
          <w:ilvl w:val="0"/>
          <w:numId w:val="33"/>
        </w:numPr>
        <w:spacing w:before="0" w:line="240" w:lineRule="auto"/>
        <w:jc w:val="both"/>
        <w:rPr>
          <w:lang w:val="nl-NL"/>
        </w:rPr>
      </w:pPr>
      <w:r w:rsidRPr="003A4CEB">
        <w:rPr>
          <w:lang w:val="nl-NL"/>
        </w:rPr>
        <w:t>Deze investeringen worden vooral gefinancierd door de 3PL aanbieder &gt; 50%</w:t>
      </w:r>
    </w:p>
    <w:p w:rsidR="003A4CEB" w:rsidRPr="003A4CEB" w:rsidRDefault="003A4CEB" w:rsidP="003A4CEB">
      <w:pPr>
        <w:pStyle w:val="Lijstalinea"/>
        <w:numPr>
          <w:ilvl w:val="0"/>
          <w:numId w:val="33"/>
        </w:numPr>
        <w:spacing w:before="0" w:line="240" w:lineRule="auto"/>
        <w:jc w:val="both"/>
        <w:rPr>
          <w:lang w:val="nl-NL"/>
        </w:rPr>
      </w:pPr>
      <w:r w:rsidRPr="003A4CEB">
        <w:rPr>
          <w:lang w:val="nl-NL"/>
        </w:rPr>
        <w:t xml:space="preserve">Deze investeringen worden volledig (100%) gefinancierd door de 3PL aanbieder. </w:t>
      </w:r>
    </w:p>
    <w:p w:rsidR="003A4CEB" w:rsidRPr="003A4CEB" w:rsidRDefault="003A4CEB" w:rsidP="003A4CEB">
      <w:pPr>
        <w:ind w:left="705" w:hanging="705"/>
        <w:jc w:val="both"/>
        <w:rPr>
          <w:lang w:val="nl-NL"/>
        </w:rPr>
      </w:pPr>
      <w:r w:rsidRPr="003A4CEB">
        <w:rPr>
          <w:lang w:val="nl-NL"/>
        </w:rPr>
        <w:t xml:space="preserve">28. De belangrijkste redenen om klantspecifieke investeringen te doen zijn: </w:t>
      </w:r>
    </w:p>
    <w:p w:rsidR="003A4CEB" w:rsidRPr="003A4CEB" w:rsidRDefault="003A4CEB" w:rsidP="003A4CEB">
      <w:pPr>
        <w:spacing w:line="240" w:lineRule="auto"/>
        <w:jc w:val="both"/>
        <w:rPr>
          <w:i/>
          <w:lang w:val="nl-NL"/>
        </w:rPr>
      </w:pPr>
      <w:r w:rsidRPr="003A4CEB">
        <w:rPr>
          <w:i/>
          <w:lang w:val="nl-NL"/>
        </w:rPr>
        <w:t>Geef aan in hoeverre u het eens bent met de genoemde redenen op een schaal van 1 tot 5.</w:t>
      </w:r>
    </w:p>
    <w:tbl>
      <w:tblPr>
        <w:tblStyle w:val="Tabel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76"/>
        <w:gridCol w:w="328"/>
        <w:gridCol w:w="329"/>
        <w:gridCol w:w="329"/>
        <w:gridCol w:w="329"/>
        <w:gridCol w:w="329"/>
        <w:gridCol w:w="1637"/>
        <w:gridCol w:w="1631"/>
      </w:tblGrid>
      <w:tr w:rsidR="003A4CEB" w:rsidRPr="002752F8" w:rsidTr="003A4CEB">
        <w:tc>
          <w:tcPr>
            <w:tcW w:w="2356" w:type="pct"/>
          </w:tcPr>
          <w:p w:rsidR="003A4CEB" w:rsidRPr="00297C21" w:rsidRDefault="003A4CEB" w:rsidP="003A4CEB">
            <w:pPr>
              <w:jc w:val="right"/>
              <w:rPr>
                <w:i/>
                <w:u w:val="single"/>
              </w:rPr>
            </w:pPr>
            <w:r w:rsidRPr="00297C21">
              <w:rPr>
                <w:i/>
                <w:u w:val="single"/>
              </w:rPr>
              <w:t>Helemaal mee oneens</w:t>
            </w:r>
          </w:p>
        </w:tc>
        <w:tc>
          <w:tcPr>
            <w:tcW w:w="177" w:type="pct"/>
          </w:tcPr>
          <w:p w:rsidR="003A4CEB" w:rsidRDefault="003A4CEB" w:rsidP="003A4CEB">
            <w:pPr>
              <w:rPr>
                <w:i/>
              </w:rPr>
            </w:pPr>
          </w:p>
        </w:tc>
        <w:tc>
          <w:tcPr>
            <w:tcW w:w="177" w:type="pct"/>
          </w:tcPr>
          <w:p w:rsidR="003A4CEB" w:rsidRDefault="003A4CEB" w:rsidP="003A4CEB">
            <w:pPr>
              <w:rPr>
                <w:i/>
              </w:rPr>
            </w:pPr>
          </w:p>
        </w:tc>
        <w:tc>
          <w:tcPr>
            <w:tcW w:w="177" w:type="pct"/>
          </w:tcPr>
          <w:p w:rsidR="003A4CEB" w:rsidRDefault="003A4CEB" w:rsidP="003A4CEB">
            <w:pPr>
              <w:rPr>
                <w:i/>
              </w:rPr>
            </w:pPr>
          </w:p>
        </w:tc>
        <w:tc>
          <w:tcPr>
            <w:tcW w:w="177" w:type="pct"/>
          </w:tcPr>
          <w:p w:rsidR="003A4CEB" w:rsidRDefault="003A4CEB" w:rsidP="003A4CEB">
            <w:pPr>
              <w:rPr>
                <w:i/>
              </w:rPr>
            </w:pPr>
          </w:p>
        </w:tc>
        <w:tc>
          <w:tcPr>
            <w:tcW w:w="177" w:type="pct"/>
          </w:tcPr>
          <w:p w:rsidR="003A4CEB" w:rsidRDefault="003A4CEB" w:rsidP="003A4CEB">
            <w:pPr>
              <w:rPr>
                <w:i/>
              </w:rPr>
            </w:pPr>
          </w:p>
        </w:tc>
        <w:tc>
          <w:tcPr>
            <w:tcW w:w="881" w:type="pct"/>
          </w:tcPr>
          <w:p w:rsidR="003A4CEB" w:rsidRPr="00297C21" w:rsidRDefault="003A4CEB" w:rsidP="003A4CEB">
            <w:pPr>
              <w:rPr>
                <w:i/>
                <w:u w:val="single"/>
              </w:rPr>
            </w:pPr>
            <w:r w:rsidRPr="00297C21">
              <w:rPr>
                <w:i/>
                <w:u w:val="single"/>
              </w:rPr>
              <w:t>Helemaal mee eens</w:t>
            </w:r>
          </w:p>
        </w:tc>
        <w:tc>
          <w:tcPr>
            <w:tcW w:w="881" w:type="pct"/>
          </w:tcPr>
          <w:p w:rsidR="003A4CEB" w:rsidRPr="003A4CEB" w:rsidRDefault="003A4CEB" w:rsidP="003A4CEB">
            <w:pPr>
              <w:rPr>
                <w:i/>
                <w:lang w:val="nl-NL"/>
              </w:rPr>
            </w:pPr>
            <w:r w:rsidRPr="003A4CEB">
              <w:rPr>
                <w:i/>
                <w:lang w:val="nl-NL"/>
              </w:rPr>
              <w:t xml:space="preserve">N.v.t.  / </w:t>
            </w:r>
          </w:p>
          <w:p w:rsidR="003A4CEB" w:rsidRPr="003A4CEB" w:rsidRDefault="003A4CEB" w:rsidP="003A4CEB">
            <w:pPr>
              <w:rPr>
                <w:i/>
                <w:lang w:val="nl-NL"/>
              </w:rPr>
            </w:pPr>
            <w:r w:rsidRPr="003A4CEB">
              <w:rPr>
                <w:i/>
                <w:lang w:val="nl-NL"/>
              </w:rPr>
              <w:t>geen mening</w:t>
            </w:r>
          </w:p>
        </w:tc>
      </w:tr>
      <w:tr w:rsidR="003A4CEB" w:rsidTr="003A4CEB">
        <w:tc>
          <w:tcPr>
            <w:tcW w:w="2356" w:type="pct"/>
          </w:tcPr>
          <w:p w:rsidR="003A4CEB" w:rsidRPr="003A4CEB" w:rsidRDefault="003A4CEB" w:rsidP="003A4CEB">
            <w:pPr>
              <w:rPr>
                <w:lang w:val="nl-NL"/>
              </w:rPr>
            </w:pPr>
            <w:r w:rsidRPr="003A4CEB">
              <w:rPr>
                <w:lang w:val="nl-NL"/>
              </w:rPr>
              <w:t>Van meer strategisch belang willen zijn voor de klant</w:t>
            </w:r>
          </w:p>
          <w:p w:rsidR="003A4CEB" w:rsidRPr="003A4CEB" w:rsidRDefault="003A4CEB" w:rsidP="003A4CEB">
            <w:pPr>
              <w:rPr>
                <w:lang w:val="nl-NL"/>
              </w:rPr>
            </w:pPr>
          </w:p>
        </w:tc>
        <w:tc>
          <w:tcPr>
            <w:tcW w:w="177" w:type="pct"/>
          </w:tcPr>
          <w:p w:rsidR="003A4CEB" w:rsidRDefault="003A4CEB" w:rsidP="003A4CEB">
            <w:pPr>
              <w:rPr>
                <w:i/>
              </w:rPr>
            </w:pPr>
            <w:r>
              <w:rPr>
                <w:i/>
              </w:rPr>
              <w:t>1</w:t>
            </w:r>
          </w:p>
        </w:tc>
        <w:tc>
          <w:tcPr>
            <w:tcW w:w="177" w:type="pct"/>
          </w:tcPr>
          <w:p w:rsidR="003A4CEB" w:rsidRDefault="003A4CEB" w:rsidP="003A4CEB">
            <w:pPr>
              <w:rPr>
                <w:i/>
              </w:rPr>
            </w:pPr>
            <w:r>
              <w:rPr>
                <w:i/>
              </w:rPr>
              <w:t>2</w:t>
            </w:r>
          </w:p>
        </w:tc>
        <w:tc>
          <w:tcPr>
            <w:tcW w:w="177" w:type="pct"/>
          </w:tcPr>
          <w:p w:rsidR="003A4CEB" w:rsidRDefault="003A4CEB" w:rsidP="003A4CEB">
            <w:pPr>
              <w:rPr>
                <w:i/>
              </w:rPr>
            </w:pPr>
            <w:r>
              <w:rPr>
                <w:i/>
              </w:rPr>
              <w:t>3</w:t>
            </w:r>
          </w:p>
        </w:tc>
        <w:tc>
          <w:tcPr>
            <w:tcW w:w="177" w:type="pct"/>
          </w:tcPr>
          <w:p w:rsidR="003A4CEB" w:rsidRDefault="003A4CEB" w:rsidP="003A4CEB">
            <w:pPr>
              <w:rPr>
                <w:i/>
              </w:rPr>
            </w:pPr>
            <w:r>
              <w:rPr>
                <w:i/>
              </w:rPr>
              <w:t>4</w:t>
            </w:r>
          </w:p>
        </w:tc>
        <w:tc>
          <w:tcPr>
            <w:tcW w:w="177" w:type="pct"/>
          </w:tcPr>
          <w:p w:rsidR="003A4CEB" w:rsidRDefault="003A4CEB" w:rsidP="003A4CEB">
            <w:pPr>
              <w:rPr>
                <w:i/>
              </w:rPr>
            </w:pPr>
            <w:r>
              <w:rPr>
                <w:i/>
              </w:rPr>
              <w:t>5</w:t>
            </w:r>
          </w:p>
        </w:tc>
        <w:tc>
          <w:tcPr>
            <w:tcW w:w="881" w:type="pct"/>
          </w:tcPr>
          <w:p w:rsidR="003A4CEB" w:rsidRDefault="003A4CEB" w:rsidP="003A4CEB">
            <w:pPr>
              <w:rPr>
                <w:i/>
              </w:rPr>
            </w:pPr>
          </w:p>
        </w:tc>
        <w:tc>
          <w:tcPr>
            <w:tcW w:w="881" w:type="pct"/>
          </w:tcPr>
          <w:p w:rsidR="003A4CEB" w:rsidRPr="00FD184B" w:rsidRDefault="003A4CEB" w:rsidP="003A4CEB">
            <w:pPr>
              <w:pStyle w:val="Lijstalinea"/>
              <w:numPr>
                <w:ilvl w:val="0"/>
                <w:numId w:val="43"/>
              </w:numPr>
              <w:rPr>
                <w:i/>
              </w:rPr>
            </w:pPr>
          </w:p>
        </w:tc>
      </w:tr>
      <w:tr w:rsidR="003A4CEB" w:rsidTr="003A4CEB">
        <w:tc>
          <w:tcPr>
            <w:tcW w:w="2356" w:type="pct"/>
          </w:tcPr>
          <w:p w:rsidR="003A4CEB" w:rsidRDefault="003A4CEB" w:rsidP="003A4CEB">
            <w:pPr>
              <w:jc w:val="both"/>
            </w:pPr>
            <w:r>
              <w:t>De hoge(re) winstmarges</w:t>
            </w:r>
          </w:p>
          <w:p w:rsidR="003A4CEB" w:rsidRPr="00297C21" w:rsidRDefault="003A4CEB" w:rsidP="003A4CEB">
            <w:pPr>
              <w:jc w:val="both"/>
            </w:pPr>
          </w:p>
        </w:tc>
        <w:tc>
          <w:tcPr>
            <w:tcW w:w="177" w:type="pct"/>
          </w:tcPr>
          <w:p w:rsidR="003A4CEB" w:rsidRDefault="003A4CEB" w:rsidP="003A4CEB">
            <w:pPr>
              <w:rPr>
                <w:i/>
              </w:rPr>
            </w:pPr>
            <w:r>
              <w:rPr>
                <w:i/>
              </w:rPr>
              <w:t>1</w:t>
            </w:r>
          </w:p>
        </w:tc>
        <w:tc>
          <w:tcPr>
            <w:tcW w:w="177" w:type="pct"/>
          </w:tcPr>
          <w:p w:rsidR="003A4CEB" w:rsidRDefault="003A4CEB" w:rsidP="003A4CEB">
            <w:pPr>
              <w:rPr>
                <w:i/>
              </w:rPr>
            </w:pPr>
            <w:r>
              <w:rPr>
                <w:i/>
              </w:rPr>
              <w:t>2</w:t>
            </w:r>
          </w:p>
        </w:tc>
        <w:tc>
          <w:tcPr>
            <w:tcW w:w="177" w:type="pct"/>
          </w:tcPr>
          <w:p w:rsidR="003A4CEB" w:rsidRDefault="003A4CEB" w:rsidP="003A4CEB">
            <w:pPr>
              <w:rPr>
                <w:i/>
              </w:rPr>
            </w:pPr>
            <w:r>
              <w:rPr>
                <w:i/>
              </w:rPr>
              <w:t>3</w:t>
            </w:r>
          </w:p>
        </w:tc>
        <w:tc>
          <w:tcPr>
            <w:tcW w:w="177" w:type="pct"/>
          </w:tcPr>
          <w:p w:rsidR="003A4CEB" w:rsidRDefault="003A4CEB" w:rsidP="003A4CEB">
            <w:pPr>
              <w:rPr>
                <w:i/>
              </w:rPr>
            </w:pPr>
            <w:r>
              <w:rPr>
                <w:i/>
              </w:rPr>
              <w:t>4</w:t>
            </w:r>
          </w:p>
        </w:tc>
        <w:tc>
          <w:tcPr>
            <w:tcW w:w="177" w:type="pct"/>
          </w:tcPr>
          <w:p w:rsidR="003A4CEB" w:rsidRDefault="003A4CEB" w:rsidP="003A4CEB">
            <w:pPr>
              <w:rPr>
                <w:i/>
              </w:rPr>
            </w:pPr>
            <w:r>
              <w:rPr>
                <w:i/>
              </w:rPr>
              <w:t>5</w:t>
            </w:r>
          </w:p>
        </w:tc>
        <w:tc>
          <w:tcPr>
            <w:tcW w:w="881" w:type="pct"/>
          </w:tcPr>
          <w:p w:rsidR="003A4CEB" w:rsidRDefault="003A4CEB" w:rsidP="003A4CEB">
            <w:pPr>
              <w:rPr>
                <w:i/>
              </w:rPr>
            </w:pPr>
          </w:p>
        </w:tc>
        <w:tc>
          <w:tcPr>
            <w:tcW w:w="881" w:type="pct"/>
          </w:tcPr>
          <w:p w:rsidR="003A4CEB" w:rsidRPr="00505062" w:rsidRDefault="003A4CEB" w:rsidP="003A4CEB">
            <w:pPr>
              <w:pStyle w:val="Lijstalinea"/>
              <w:numPr>
                <w:ilvl w:val="0"/>
                <w:numId w:val="43"/>
              </w:numPr>
              <w:rPr>
                <w:i/>
              </w:rPr>
            </w:pPr>
          </w:p>
        </w:tc>
      </w:tr>
      <w:tr w:rsidR="003A4CEB" w:rsidTr="003A4CEB">
        <w:tc>
          <w:tcPr>
            <w:tcW w:w="2356" w:type="pct"/>
          </w:tcPr>
          <w:p w:rsidR="003A4CEB" w:rsidRPr="003A4CEB" w:rsidRDefault="003A4CEB" w:rsidP="003A4CEB">
            <w:pPr>
              <w:jc w:val="both"/>
              <w:rPr>
                <w:lang w:val="nl-NL"/>
              </w:rPr>
            </w:pPr>
            <w:r w:rsidRPr="003A4CEB">
              <w:rPr>
                <w:lang w:val="nl-NL"/>
              </w:rPr>
              <w:t>Het zichzelf willen onderscheiden van de concurrentie</w:t>
            </w:r>
          </w:p>
          <w:p w:rsidR="003A4CEB" w:rsidRPr="003A4CEB" w:rsidRDefault="003A4CEB" w:rsidP="003A4CEB">
            <w:pPr>
              <w:jc w:val="both"/>
              <w:rPr>
                <w:lang w:val="nl-NL"/>
              </w:rPr>
            </w:pPr>
          </w:p>
        </w:tc>
        <w:tc>
          <w:tcPr>
            <w:tcW w:w="177" w:type="pct"/>
          </w:tcPr>
          <w:p w:rsidR="003A4CEB" w:rsidRDefault="003A4CEB" w:rsidP="003A4CEB">
            <w:pPr>
              <w:rPr>
                <w:i/>
              </w:rPr>
            </w:pPr>
            <w:r>
              <w:rPr>
                <w:i/>
              </w:rPr>
              <w:t>1</w:t>
            </w:r>
          </w:p>
        </w:tc>
        <w:tc>
          <w:tcPr>
            <w:tcW w:w="177" w:type="pct"/>
          </w:tcPr>
          <w:p w:rsidR="003A4CEB" w:rsidRDefault="003A4CEB" w:rsidP="003A4CEB">
            <w:pPr>
              <w:rPr>
                <w:i/>
              </w:rPr>
            </w:pPr>
            <w:r>
              <w:rPr>
                <w:i/>
              </w:rPr>
              <w:t>2</w:t>
            </w:r>
          </w:p>
        </w:tc>
        <w:tc>
          <w:tcPr>
            <w:tcW w:w="177" w:type="pct"/>
          </w:tcPr>
          <w:p w:rsidR="003A4CEB" w:rsidRDefault="003A4CEB" w:rsidP="003A4CEB">
            <w:pPr>
              <w:rPr>
                <w:i/>
              </w:rPr>
            </w:pPr>
            <w:r>
              <w:rPr>
                <w:i/>
              </w:rPr>
              <w:t>3</w:t>
            </w:r>
          </w:p>
        </w:tc>
        <w:tc>
          <w:tcPr>
            <w:tcW w:w="177" w:type="pct"/>
          </w:tcPr>
          <w:p w:rsidR="003A4CEB" w:rsidRDefault="003A4CEB" w:rsidP="003A4CEB">
            <w:pPr>
              <w:rPr>
                <w:i/>
              </w:rPr>
            </w:pPr>
            <w:r>
              <w:rPr>
                <w:i/>
              </w:rPr>
              <w:t>4</w:t>
            </w:r>
          </w:p>
        </w:tc>
        <w:tc>
          <w:tcPr>
            <w:tcW w:w="177" w:type="pct"/>
          </w:tcPr>
          <w:p w:rsidR="003A4CEB" w:rsidRDefault="003A4CEB" w:rsidP="003A4CEB">
            <w:pPr>
              <w:rPr>
                <w:i/>
              </w:rPr>
            </w:pPr>
            <w:r>
              <w:rPr>
                <w:i/>
              </w:rPr>
              <w:t>5</w:t>
            </w:r>
          </w:p>
        </w:tc>
        <w:tc>
          <w:tcPr>
            <w:tcW w:w="881" w:type="pct"/>
          </w:tcPr>
          <w:p w:rsidR="003A4CEB" w:rsidRDefault="003A4CEB" w:rsidP="003A4CEB">
            <w:pPr>
              <w:rPr>
                <w:i/>
              </w:rPr>
            </w:pPr>
          </w:p>
        </w:tc>
        <w:tc>
          <w:tcPr>
            <w:tcW w:w="881" w:type="pct"/>
          </w:tcPr>
          <w:p w:rsidR="003A4CEB" w:rsidRPr="00505062" w:rsidRDefault="003A4CEB" w:rsidP="003A4CEB">
            <w:pPr>
              <w:pStyle w:val="Lijstalinea"/>
              <w:numPr>
                <w:ilvl w:val="0"/>
                <w:numId w:val="43"/>
              </w:numPr>
              <w:rPr>
                <w:i/>
              </w:rPr>
            </w:pPr>
          </w:p>
        </w:tc>
      </w:tr>
      <w:tr w:rsidR="003A4CEB" w:rsidTr="003A4CEB">
        <w:tc>
          <w:tcPr>
            <w:tcW w:w="2356" w:type="pct"/>
          </w:tcPr>
          <w:p w:rsidR="003A4CEB" w:rsidRDefault="003A4CEB" w:rsidP="003A4CEB">
            <w:pPr>
              <w:jc w:val="both"/>
            </w:pPr>
            <w:r>
              <w:t>De concurrentie dwingt ons hiertoe</w:t>
            </w:r>
          </w:p>
          <w:p w:rsidR="003A4CEB" w:rsidRPr="00297C21" w:rsidRDefault="003A4CEB" w:rsidP="003A4CEB">
            <w:pPr>
              <w:jc w:val="both"/>
            </w:pPr>
          </w:p>
        </w:tc>
        <w:tc>
          <w:tcPr>
            <w:tcW w:w="177" w:type="pct"/>
          </w:tcPr>
          <w:p w:rsidR="003A4CEB" w:rsidRDefault="003A4CEB" w:rsidP="003A4CEB">
            <w:pPr>
              <w:rPr>
                <w:i/>
              </w:rPr>
            </w:pPr>
            <w:r>
              <w:rPr>
                <w:i/>
              </w:rPr>
              <w:t>1</w:t>
            </w:r>
          </w:p>
        </w:tc>
        <w:tc>
          <w:tcPr>
            <w:tcW w:w="177" w:type="pct"/>
          </w:tcPr>
          <w:p w:rsidR="003A4CEB" w:rsidRDefault="003A4CEB" w:rsidP="003A4CEB">
            <w:pPr>
              <w:rPr>
                <w:i/>
              </w:rPr>
            </w:pPr>
            <w:r>
              <w:rPr>
                <w:i/>
              </w:rPr>
              <w:t>2</w:t>
            </w:r>
          </w:p>
        </w:tc>
        <w:tc>
          <w:tcPr>
            <w:tcW w:w="177" w:type="pct"/>
          </w:tcPr>
          <w:p w:rsidR="003A4CEB" w:rsidRDefault="003A4CEB" w:rsidP="003A4CEB">
            <w:pPr>
              <w:rPr>
                <w:i/>
              </w:rPr>
            </w:pPr>
            <w:r>
              <w:rPr>
                <w:i/>
              </w:rPr>
              <w:t>3</w:t>
            </w:r>
          </w:p>
        </w:tc>
        <w:tc>
          <w:tcPr>
            <w:tcW w:w="177" w:type="pct"/>
          </w:tcPr>
          <w:p w:rsidR="003A4CEB" w:rsidRDefault="003A4CEB" w:rsidP="003A4CEB">
            <w:pPr>
              <w:rPr>
                <w:i/>
              </w:rPr>
            </w:pPr>
            <w:r>
              <w:rPr>
                <w:i/>
              </w:rPr>
              <w:t>4</w:t>
            </w:r>
          </w:p>
        </w:tc>
        <w:tc>
          <w:tcPr>
            <w:tcW w:w="177" w:type="pct"/>
          </w:tcPr>
          <w:p w:rsidR="003A4CEB" w:rsidRDefault="003A4CEB" w:rsidP="003A4CEB">
            <w:pPr>
              <w:rPr>
                <w:i/>
              </w:rPr>
            </w:pPr>
            <w:r>
              <w:rPr>
                <w:i/>
              </w:rPr>
              <w:t>5</w:t>
            </w:r>
          </w:p>
        </w:tc>
        <w:tc>
          <w:tcPr>
            <w:tcW w:w="881" w:type="pct"/>
          </w:tcPr>
          <w:p w:rsidR="003A4CEB" w:rsidRDefault="003A4CEB" w:rsidP="003A4CEB">
            <w:pPr>
              <w:rPr>
                <w:i/>
              </w:rPr>
            </w:pPr>
          </w:p>
        </w:tc>
        <w:tc>
          <w:tcPr>
            <w:tcW w:w="881" w:type="pct"/>
          </w:tcPr>
          <w:p w:rsidR="003A4CEB" w:rsidRPr="00505062" w:rsidRDefault="003A4CEB" w:rsidP="003A4CEB">
            <w:pPr>
              <w:pStyle w:val="Lijstalinea"/>
              <w:numPr>
                <w:ilvl w:val="0"/>
                <w:numId w:val="43"/>
              </w:numPr>
              <w:rPr>
                <w:i/>
              </w:rPr>
            </w:pPr>
          </w:p>
        </w:tc>
      </w:tr>
      <w:tr w:rsidR="003A4CEB" w:rsidTr="003A4CEB">
        <w:tc>
          <w:tcPr>
            <w:tcW w:w="2356" w:type="pct"/>
          </w:tcPr>
          <w:p w:rsidR="003A4CEB" w:rsidRPr="003A4CEB" w:rsidRDefault="003A4CEB" w:rsidP="003A4CEB">
            <w:pPr>
              <w:rPr>
                <w:lang w:val="nl-NL"/>
              </w:rPr>
            </w:pPr>
            <w:r w:rsidRPr="003A4CEB">
              <w:rPr>
                <w:lang w:val="nl-NL"/>
              </w:rPr>
              <w:t>De economische crisis heeft gezorgd voor minder financieringsmogelijkheden bij klanten</w:t>
            </w:r>
          </w:p>
        </w:tc>
        <w:tc>
          <w:tcPr>
            <w:tcW w:w="177" w:type="pct"/>
          </w:tcPr>
          <w:p w:rsidR="003A4CEB" w:rsidRDefault="003A4CEB" w:rsidP="003A4CEB">
            <w:pPr>
              <w:rPr>
                <w:i/>
              </w:rPr>
            </w:pPr>
            <w:r>
              <w:rPr>
                <w:i/>
              </w:rPr>
              <w:t>1</w:t>
            </w:r>
          </w:p>
        </w:tc>
        <w:tc>
          <w:tcPr>
            <w:tcW w:w="177" w:type="pct"/>
          </w:tcPr>
          <w:p w:rsidR="003A4CEB" w:rsidRDefault="003A4CEB" w:rsidP="003A4CEB">
            <w:pPr>
              <w:rPr>
                <w:i/>
              </w:rPr>
            </w:pPr>
            <w:r>
              <w:rPr>
                <w:i/>
              </w:rPr>
              <w:t>2</w:t>
            </w:r>
          </w:p>
        </w:tc>
        <w:tc>
          <w:tcPr>
            <w:tcW w:w="177" w:type="pct"/>
          </w:tcPr>
          <w:p w:rsidR="003A4CEB" w:rsidRDefault="003A4CEB" w:rsidP="003A4CEB">
            <w:pPr>
              <w:rPr>
                <w:i/>
              </w:rPr>
            </w:pPr>
            <w:r>
              <w:rPr>
                <w:i/>
              </w:rPr>
              <w:t>3</w:t>
            </w:r>
          </w:p>
        </w:tc>
        <w:tc>
          <w:tcPr>
            <w:tcW w:w="177" w:type="pct"/>
          </w:tcPr>
          <w:p w:rsidR="003A4CEB" w:rsidRDefault="003A4CEB" w:rsidP="003A4CEB">
            <w:pPr>
              <w:rPr>
                <w:i/>
              </w:rPr>
            </w:pPr>
            <w:r>
              <w:rPr>
                <w:i/>
              </w:rPr>
              <w:t>4</w:t>
            </w:r>
          </w:p>
        </w:tc>
        <w:tc>
          <w:tcPr>
            <w:tcW w:w="177" w:type="pct"/>
          </w:tcPr>
          <w:p w:rsidR="003A4CEB" w:rsidRDefault="003A4CEB" w:rsidP="003A4CEB">
            <w:pPr>
              <w:rPr>
                <w:i/>
              </w:rPr>
            </w:pPr>
            <w:r>
              <w:rPr>
                <w:i/>
              </w:rPr>
              <w:t>5</w:t>
            </w:r>
          </w:p>
        </w:tc>
        <w:tc>
          <w:tcPr>
            <w:tcW w:w="881" w:type="pct"/>
          </w:tcPr>
          <w:p w:rsidR="003A4CEB" w:rsidRDefault="003A4CEB" w:rsidP="003A4CEB">
            <w:pPr>
              <w:rPr>
                <w:i/>
              </w:rPr>
            </w:pPr>
          </w:p>
        </w:tc>
        <w:tc>
          <w:tcPr>
            <w:tcW w:w="881" w:type="pct"/>
          </w:tcPr>
          <w:p w:rsidR="003A4CEB" w:rsidRPr="00505062" w:rsidRDefault="003A4CEB" w:rsidP="003A4CEB">
            <w:pPr>
              <w:pStyle w:val="Lijstalinea"/>
              <w:numPr>
                <w:ilvl w:val="0"/>
                <w:numId w:val="43"/>
              </w:numPr>
              <w:rPr>
                <w:i/>
              </w:rPr>
            </w:pPr>
          </w:p>
        </w:tc>
      </w:tr>
    </w:tbl>
    <w:p w:rsidR="003A4CEB" w:rsidRPr="003A4CEB" w:rsidRDefault="003A4CEB" w:rsidP="003A4CEB">
      <w:pPr>
        <w:spacing w:after="0" w:line="360" w:lineRule="auto"/>
        <w:jc w:val="both"/>
        <w:textAlignment w:val="top"/>
        <w:rPr>
          <w:b/>
          <w:lang w:val="nl-NL"/>
        </w:rPr>
      </w:pPr>
      <w:r w:rsidRPr="003A4CEB">
        <w:rPr>
          <w:b/>
          <w:lang w:val="nl-NL"/>
        </w:rPr>
        <w:t xml:space="preserve">De volgende vragen gaan over de strategische positionering van 3PL aanbieders in de markt. </w:t>
      </w:r>
    </w:p>
    <w:p w:rsidR="003A4CEB" w:rsidRPr="00AB24AD" w:rsidRDefault="003A4CEB" w:rsidP="003A4CEB">
      <w:pPr>
        <w:spacing w:after="0" w:line="360" w:lineRule="auto"/>
        <w:jc w:val="both"/>
        <w:textAlignment w:val="top"/>
        <w:rPr>
          <w:b/>
          <w:noProof/>
        </w:rPr>
      </w:pPr>
      <w:r w:rsidRPr="003A4CEB">
        <w:rPr>
          <w:lang w:val="nl-NL"/>
        </w:rPr>
        <w:t xml:space="preserve">29. </w:t>
      </w:r>
      <w:r w:rsidRPr="003A4CEB">
        <w:rPr>
          <w:noProof/>
          <w:lang w:val="nl-NL"/>
        </w:rPr>
        <w:t xml:space="preserve">De positie van 3PL aanbieders in de markt wordt vaak beschreven aan de hand van hun algemeen probleemoplossend vermogen enerzijds en hun vermogen zich aan te passen aan de klant anderzijds. </w:t>
      </w:r>
      <w:r w:rsidRPr="00AB24AD">
        <w:rPr>
          <w:noProof/>
        </w:rPr>
        <w:t>Welke</w:t>
      </w:r>
      <w:r>
        <w:rPr>
          <w:noProof/>
        </w:rPr>
        <w:t xml:space="preserve"> dimensie past het best</w:t>
      </w:r>
      <w:r w:rsidRPr="00A911B5">
        <w:rPr>
          <w:noProof/>
        </w:rPr>
        <w:t xml:space="preserve"> bij </w:t>
      </w:r>
      <w:r>
        <w:rPr>
          <w:noProof/>
        </w:rPr>
        <w:t>uw onderneming?</w:t>
      </w:r>
    </w:p>
    <w:p w:rsidR="003A4CEB" w:rsidRDefault="003A4CEB" w:rsidP="003A4CEB">
      <w:pPr>
        <w:spacing w:after="0" w:line="240" w:lineRule="auto"/>
        <w:textAlignment w:val="top"/>
        <w:rPr>
          <w:noProof/>
        </w:rPr>
      </w:pPr>
    </w:p>
    <w:p w:rsidR="003A4CEB" w:rsidRPr="003A4CEB" w:rsidRDefault="003A4CEB" w:rsidP="003A4CEB">
      <w:pPr>
        <w:pStyle w:val="Lijstalinea"/>
        <w:numPr>
          <w:ilvl w:val="0"/>
          <w:numId w:val="34"/>
        </w:numPr>
        <w:spacing w:before="0" w:after="0" w:line="360" w:lineRule="auto"/>
        <w:textAlignment w:val="top"/>
        <w:rPr>
          <w:noProof/>
          <w:lang w:val="nl-NL"/>
        </w:rPr>
      </w:pPr>
      <w:r w:rsidRPr="003A4CEB">
        <w:rPr>
          <w:noProof/>
          <w:lang w:val="nl-NL"/>
        </w:rPr>
        <w:t>Service aanbieder: service aanbieders focussen op standaard services. Deze services kunnen complex zijn maar zijn wel voor elke klant gelijk.</w:t>
      </w:r>
    </w:p>
    <w:p w:rsidR="003A4CEB" w:rsidRPr="003A4CEB" w:rsidRDefault="003A4CEB" w:rsidP="003A4CEB">
      <w:pPr>
        <w:pStyle w:val="Lijstalinea"/>
        <w:numPr>
          <w:ilvl w:val="0"/>
          <w:numId w:val="34"/>
        </w:numPr>
        <w:spacing w:before="0" w:after="0" w:line="360" w:lineRule="auto"/>
        <w:textAlignment w:val="top"/>
        <w:rPr>
          <w:lang w:val="nl-NL"/>
        </w:rPr>
      </w:pPr>
      <w:r w:rsidRPr="003A4CEB">
        <w:rPr>
          <w:noProof/>
          <w:lang w:val="nl-NL"/>
        </w:rPr>
        <w:t xml:space="preserve">Aanbieder van oplossingen: deze aanbieder neemt het gehele logistieke proces van zijn klant over. Hierdoor moet de aanbieder van oplossingen zijn diensten aanpassen aan de specifieke eisen van de klant, ookwel ‘’ service </w:t>
      </w:r>
      <w:r w:rsidRPr="003A4CEB">
        <w:rPr>
          <w:i/>
          <w:noProof/>
          <w:lang w:val="nl-NL"/>
        </w:rPr>
        <w:t xml:space="preserve">customizen’’ </w:t>
      </w:r>
      <w:r w:rsidRPr="003A4CEB">
        <w:rPr>
          <w:noProof/>
          <w:lang w:val="nl-NL"/>
        </w:rPr>
        <w:t xml:space="preserve">genoemd. </w:t>
      </w:r>
    </w:p>
    <w:p w:rsidR="003A4CEB" w:rsidRDefault="003A4CEB" w:rsidP="00BE15A0">
      <w:pPr>
        <w:spacing w:after="0" w:line="360" w:lineRule="auto"/>
        <w:ind w:left="360"/>
        <w:textAlignment w:val="top"/>
        <w:rPr>
          <w:lang w:val="nl-NL"/>
        </w:rPr>
      </w:pPr>
    </w:p>
    <w:p w:rsidR="00BE15A0" w:rsidRDefault="00BE15A0" w:rsidP="00BE15A0">
      <w:pPr>
        <w:spacing w:after="0" w:line="360" w:lineRule="auto"/>
        <w:ind w:left="360"/>
        <w:textAlignment w:val="top"/>
        <w:rPr>
          <w:lang w:val="nl-NL"/>
        </w:rPr>
      </w:pPr>
    </w:p>
    <w:p w:rsidR="00BE15A0" w:rsidRDefault="00BE15A0" w:rsidP="00BE15A0">
      <w:pPr>
        <w:spacing w:after="0" w:line="360" w:lineRule="auto"/>
        <w:ind w:left="360"/>
        <w:textAlignment w:val="top"/>
        <w:rPr>
          <w:lang w:val="nl-NL"/>
        </w:rPr>
      </w:pPr>
    </w:p>
    <w:p w:rsidR="00BE15A0" w:rsidRDefault="00BE15A0" w:rsidP="00BE15A0">
      <w:pPr>
        <w:spacing w:after="0" w:line="360" w:lineRule="auto"/>
        <w:ind w:left="360"/>
        <w:textAlignment w:val="top"/>
        <w:rPr>
          <w:lang w:val="nl-NL"/>
        </w:rPr>
      </w:pPr>
    </w:p>
    <w:p w:rsidR="00BE15A0" w:rsidRDefault="00BE15A0" w:rsidP="00BE15A0">
      <w:pPr>
        <w:spacing w:after="0" w:line="360" w:lineRule="auto"/>
        <w:ind w:left="360"/>
        <w:textAlignment w:val="top"/>
        <w:rPr>
          <w:lang w:val="nl-NL"/>
        </w:rPr>
      </w:pPr>
    </w:p>
    <w:p w:rsidR="00BE15A0" w:rsidRDefault="00BE15A0" w:rsidP="00BE15A0">
      <w:pPr>
        <w:spacing w:after="0" w:line="360" w:lineRule="auto"/>
        <w:ind w:left="360"/>
        <w:textAlignment w:val="top"/>
        <w:rPr>
          <w:lang w:val="nl-NL"/>
        </w:rPr>
      </w:pPr>
    </w:p>
    <w:p w:rsidR="00BE15A0" w:rsidRPr="00BE15A0" w:rsidRDefault="00BE15A0" w:rsidP="00BE15A0">
      <w:pPr>
        <w:spacing w:after="0" w:line="360" w:lineRule="auto"/>
        <w:ind w:left="360"/>
        <w:textAlignment w:val="top"/>
        <w:rPr>
          <w:lang w:val="nl-NL"/>
        </w:rPr>
      </w:pPr>
    </w:p>
    <w:p w:rsidR="003A4CEB" w:rsidRPr="003A4CEB" w:rsidRDefault="003A4CEB" w:rsidP="003A4CEB">
      <w:pPr>
        <w:spacing w:after="0" w:line="360" w:lineRule="auto"/>
        <w:jc w:val="both"/>
        <w:textAlignment w:val="top"/>
        <w:rPr>
          <w:noProof/>
          <w:lang w:val="nl-NL"/>
        </w:rPr>
      </w:pPr>
      <w:r w:rsidRPr="003A4CEB">
        <w:rPr>
          <w:noProof/>
          <w:lang w:val="nl-NL"/>
        </w:rPr>
        <w:lastRenderedPageBreak/>
        <w:t>30. Welke omschrijving past het best de huidige en toekomstige staat van uw onderneming?</w:t>
      </w:r>
    </w:p>
    <w:p w:rsidR="003A4CEB" w:rsidRPr="003A4CEB" w:rsidRDefault="003A4CEB" w:rsidP="003A4CEB">
      <w:pPr>
        <w:spacing w:after="0" w:line="360" w:lineRule="auto"/>
        <w:ind w:left="708"/>
        <w:jc w:val="both"/>
        <w:textAlignment w:val="top"/>
        <w:rPr>
          <w:i/>
          <w:noProof/>
          <w:lang w:val="nl-NL"/>
        </w:rPr>
      </w:pPr>
      <w:r w:rsidRPr="003A4CEB">
        <w:rPr>
          <w:i/>
          <w:noProof/>
          <w:lang w:val="nl-NL"/>
        </w:rPr>
        <w:t>Kruis zowel voor de huidige als de toekomstige situatie (doel) aan welke omschrijving het beste bij uw onderneming past</w:t>
      </w:r>
    </w:p>
    <w:tbl>
      <w:tblPr>
        <w:tblStyle w:val="Tabelraster"/>
        <w:tblW w:w="0" w:type="auto"/>
        <w:tblLook w:val="04A0"/>
      </w:tblPr>
      <w:tblGrid>
        <w:gridCol w:w="451"/>
        <w:gridCol w:w="7817"/>
        <w:gridCol w:w="1020"/>
      </w:tblGrid>
      <w:tr w:rsidR="003A4CEB" w:rsidTr="003A4CEB">
        <w:tc>
          <w:tcPr>
            <w:tcW w:w="0" w:type="auto"/>
          </w:tcPr>
          <w:p w:rsidR="003A4CEB" w:rsidRDefault="003A4CEB" w:rsidP="003A4CEB">
            <w:pPr>
              <w:spacing w:line="360" w:lineRule="auto"/>
              <w:jc w:val="both"/>
              <w:textAlignment w:val="top"/>
              <w:rPr>
                <w:noProof/>
              </w:rPr>
            </w:pPr>
            <w:r>
              <w:rPr>
                <w:noProof/>
              </w:rPr>
              <w:t>Nu</w:t>
            </w:r>
          </w:p>
        </w:tc>
        <w:tc>
          <w:tcPr>
            <w:tcW w:w="0" w:type="auto"/>
          </w:tcPr>
          <w:p w:rsidR="003A4CEB" w:rsidRDefault="003A4CEB" w:rsidP="003A4CEB">
            <w:pPr>
              <w:spacing w:line="360" w:lineRule="auto"/>
              <w:jc w:val="both"/>
              <w:textAlignment w:val="top"/>
              <w:rPr>
                <w:noProof/>
              </w:rPr>
            </w:pPr>
          </w:p>
        </w:tc>
        <w:tc>
          <w:tcPr>
            <w:tcW w:w="0" w:type="auto"/>
          </w:tcPr>
          <w:p w:rsidR="003A4CEB" w:rsidRDefault="003A4CEB" w:rsidP="003A4CEB">
            <w:pPr>
              <w:spacing w:line="360" w:lineRule="auto"/>
              <w:jc w:val="both"/>
              <w:textAlignment w:val="top"/>
              <w:rPr>
                <w:noProof/>
              </w:rPr>
            </w:pPr>
            <w:r>
              <w:rPr>
                <w:noProof/>
              </w:rPr>
              <w:t>Toekomst</w:t>
            </w:r>
          </w:p>
        </w:tc>
      </w:tr>
      <w:tr w:rsidR="003A4CEB" w:rsidRPr="002752F8" w:rsidTr="003A4CEB">
        <w:tc>
          <w:tcPr>
            <w:tcW w:w="0" w:type="auto"/>
          </w:tcPr>
          <w:p w:rsidR="003A4CEB" w:rsidRDefault="003A4CEB" w:rsidP="003A4CEB">
            <w:pPr>
              <w:spacing w:line="360" w:lineRule="auto"/>
              <w:jc w:val="both"/>
              <w:textAlignment w:val="top"/>
              <w:rPr>
                <w:noProof/>
              </w:rPr>
            </w:pPr>
          </w:p>
        </w:tc>
        <w:tc>
          <w:tcPr>
            <w:tcW w:w="0" w:type="auto"/>
          </w:tcPr>
          <w:p w:rsidR="003A4CEB" w:rsidRPr="003A4CEB" w:rsidRDefault="003A4CEB" w:rsidP="003A4CEB">
            <w:pPr>
              <w:spacing w:line="360" w:lineRule="auto"/>
              <w:jc w:val="both"/>
              <w:textAlignment w:val="top"/>
              <w:rPr>
                <w:rFonts w:cs="Times-Roman"/>
                <w:lang w:val="nl-NL"/>
              </w:rPr>
            </w:pPr>
            <w:r w:rsidRPr="003A4CEB">
              <w:rPr>
                <w:rFonts w:cs="Times-Roman"/>
                <w:b/>
                <w:i/>
                <w:lang w:val="nl-NL"/>
              </w:rPr>
              <w:t>Standard 3PL provider</w:t>
            </w:r>
            <w:r w:rsidRPr="003A4CEB">
              <w:rPr>
                <w:rFonts w:cs="Times-Roman"/>
                <w:i/>
                <w:lang w:val="nl-NL"/>
              </w:rPr>
              <w:t xml:space="preserve">: </w:t>
            </w:r>
            <w:r w:rsidRPr="003A4CEB">
              <w:rPr>
                <w:rFonts w:cs="Times-Roman"/>
                <w:lang w:val="nl-NL"/>
              </w:rPr>
              <w:t xml:space="preserve">Klanten wordt een combinatie van gestandaardiseerde diensten aangeboden. Hierbij kan gedacht worden aan transport, opslag en order picking. De </w:t>
            </w:r>
            <w:r w:rsidRPr="003A4CEB">
              <w:rPr>
                <w:rFonts w:cs="Times-Roman"/>
                <w:i/>
                <w:lang w:val="nl-NL"/>
              </w:rPr>
              <w:t xml:space="preserve">standard 3PL provider </w:t>
            </w:r>
            <w:r w:rsidRPr="003A4CEB">
              <w:rPr>
                <w:rFonts w:cs="Times-Roman"/>
                <w:lang w:val="nl-NL"/>
              </w:rPr>
              <w:t>richt zich op het bedienen van zoveel mogelijk klanten.</w:t>
            </w:r>
          </w:p>
        </w:tc>
        <w:tc>
          <w:tcPr>
            <w:tcW w:w="0" w:type="auto"/>
          </w:tcPr>
          <w:p w:rsidR="003A4CEB" w:rsidRPr="003A4CEB" w:rsidRDefault="003A4CEB" w:rsidP="003A4CEB">
            <w:pPr>
              <w:spacing w:line="360" w:lineRule="auto"/>
              <w:jc w:val="both"/>
              <w:textAlignment w:val="top"/>
              <w:rPr>
                <w:noProof/>
                <w:lang w:val="nl-NL"/>
              </w:rPr>
            </w:pPr>
          </w:p>
        </w:tc>
      </w:tr>
      <w:tr w:rsidR="003A4CEB" w:rsidRPr="002752F8" w:rsidTr="003A4CEB">
        <w:tc>
          <w:tcPr>
            <w:tcW w:w="0" w:type="auto"/>
          </w:tcPr>
          <w:p w:rsidR="003A4CEB" w:rsidRPr="003A4CEB" w:rsidRDefault="003A4CEB" w:rsidP="003A4CEB">
            <w:pPr>
              <w:spacing w:line="360" w:lineRule="auto"/>
              <w:jc w:val="both"/>
              <w:textAlignment w:val="top"/>
              <w:rPr>
                <w:noProof/>
                <w:lang w:val="nl-NL"/>
              </w:rPr>
            </w:pPr>
          </w:p>
        </w:tc>
        <w:tc>
          <w:tcPr>
            <w:tcW w:w="0" w:type="auto"/>
          </w:tcPr>
          <w:p w:rsidR="003A4CEB" w:rsidRPr="003A4CEB" w:rsidRDefault="003A4CEB" w:rsidP="003A4CEB">
            <w:pPr>
              <w:spacing w:line="360" w:lineRule="auto"/>
              <w:jc w:val="both"/>
              <w:textAlignment w:val="top"/>
              <w:rPr>
                <w:rFonts w:cs="Times-Roman"/>
                <w:lang w:val="nl-NL"/>
              </w:rPr>
            </w:pPr>
            <w:r w:rsidRPr="003A4CEB">
              <w:rPr>
                <w:rFonts w:cs="Times-Roman"/>
                <w:b/>
                <w:i/>
                <w:lang w:val="nl-NL"/>
              </w:rPr>
              <w:t>Service developer</w:t>
            </w:r>
            <w:r w:rsidRPr="003A4CEB">
              <w:rPr>
                <w:rFonts w:cs="Times-Roman"/>
                <w:i/>
                <w:lang w:val="nl-NL"/>
              </w:rPr>
              <w:t xml:space="preserve">: </w:t>
            </w:r>
            <w:r w:rsidRPr="003A4CEB">
              <w:rPr>
                <w:rFonts w:cs="Times-Roman"/>
                <w:lang w:val="nl-NL"/>
              </w:rPr>
              <w:t xml:space="preserve">Een eigen IT system faciliteert het aanbieden van een grote verscheidenheid aan diensten. Deze diensten kunnen door klanten gecombineerd worden om in hun behoeften te voorzien. De </w:t>
            </w:r>
            <w:r w:rsidRPr="003A4CEB">
              <w:rPr>
                <w:rFonts w:cs="Times-Roman"/>
                <w:i/>
                <w:lang w:val="nl-NL"/>
              </w:rPr>
              <w:t xml:space="preserve">service developer </w:t>
            </w:r>
            <w:r w:rsidRPr="003A4CEB">
              <w:rPr>
                <w:rFonts w:cs="Times-Roman"/>
                <w:lang w:val="nl-NL"/>
              </w:rPr>
              <w:t>richt zich op het bedienen van zoveel mogelijk klanten.</w:t>
            </w:r>
          </w:p>
        </w:tc>
        <w:tc>
          <w:tcPr>
            <w:tcW w:w="0" w:type="auto"/>
          </w:tcPr>
          <w:p w:rsidR="003A4CEB" w:rsidRPr="003A4CEB" w:rsidRDefault="003A4CEB" w:rsidP="003A4CEB">
            <w:pPr>
              <w:spacing w:line="360" w:lineRule="auto"/>
              <w:jc w:val="both"/>
              <w:textAlignment w:val="top"/>
              <w:rPr>
                <w:noProof/>
                <w:lang w:val="nl-NL"/>
              </w:rPr>
            </w:pPr>
          </w:p>
        </w:tc>
      </w:tr>
      <w:tr w:rsidR="003A4CEB" w:rsidRPr="002752F8" w:rsidTr="003A4CEB">
        <w:tc>
          <w:tcPr>
            <w:tcW w:w="0" w:type="auto"/>
          </w:tcPr>
          <w:p w:rsidR="003A4CEB" w:rsidRPr="003A4CEB" w:rsidRDefault="003A4CEB" w:rsidP="003A4CEB">
            <w:pPr>
              <w:spacing w:line="360" w:lineRule="auto"/>
              <w:jc w:val="both"/>
              <w:textAlignment w:val="top"/>
              <w:rPr>
                <w:noProof/>
                <w:lang w:val="nl-NL"/>
              </w:rPr>
            </w:pPr>
          </w:p>
        </w:tc>
        <w:tc>
          <w:tcPr>
            <w:tcW w:w="0" w:type="auto"/>
          </w:tcPr>
          <w:p w:rsidR="003A4CEB" w:rsidRPr="003A4CEB" w:rsidRDefault="003A4CEB" w:rsidP="003A4CEB">
            <w:pPr>
              <w:spacing w:line="360" w:lineRule="auto"/>
              <w:jc w:val="both"/>
              <w:textAlignment w:val="top"/>
              <w:rPr>
                <w:rFonts w:cs="Times-Roman"/>
                <w:i/>
                <w:lang w:val="nl-NL"/>
              </w:rPr>
            </w:pPr>
            <w:r w:rsidRPr="003A4CEB">
              <w:rPr>
                <w:rFonts w:cs="Times-Roman"/>
                <w:b/>
                <w:i/>
                <w:lang w:val="nl-NL"/>
              </w:rPr>
              <w:t>Customer adapter</w:t>
            </w:r>
            <w:r w:rsidRPr="003A4CEB">
              <w:rPr>
                <w:rFonts w:cs="Times-Roman"/>
                <w:i/>
                <w:lang w:val="nl-NL"/>
              </w:rPr>
              <w:t xml:space="preserve">: </w:t>
            </w:r>
            <w:r w:rsidRPr="003A4CEB">
              <w:rPr>
                <w:rFonts w:cs="Times-Roman"/>
                <w:lang w:val="nl-NL"/>
              </w:rPr>
              <w:t xml:space="preserve">De </w:t>
            </w:r>
            <w:r w:rsidRPr="003A4CEB">
              <w:rPr>
                <w:rFonts w:cs="Times-Roman"/>
                <w:i/>
                <w:lang w:val="nl-NL"/>
              </w:rPr>
              <w:t xml:space="preserve">customer adapter </w:t>
            </w:r>
            <w:r w:rsidRPr="003A4CEB">
              <w:rPr>
                <w:rFonts w:cs="Times-Roman"/>
                <w:lang w:val="nl-NL"/>
              </w:rPr>
              <w:t>levert diensten die totaal toegewijd zijn aan de specifieke klant. Alle logistieke activiteiten worden overgenomen van de klant om zo de efficiency te verbeteren. De 3PL aanbieder wordt vaak gezien als onderdeel van de organisatie van de klant en heeft een select aantal klanten.</w:t>
            </w:r>
          </w:p>
        </w:tc>
        <w:tc>
          <w:tcPr>
            <w:tcW w:w="0" w:type="auto"/>
          </w:tcPr>
          <w:p w:rsidR="003A4CEB" w:rsidRPr="003A4CEB" w:rsidRDefault="003A4CEB" w:rsidP="003A4CEB">
            <w:pPr>
              <w:spacing w:line="360" w:lineRule="auto"/>
              <w:jc w:val="both"/>
              <w:textAlignment w:val="top"/>
              <w:rPr>
                <w:noProof/>
                <w:lang w:val="nl-NL"/>
              </w:rPr>
            </w:pPr>
          </w:p>
        </w:tc>
      </w:tr>
      <w:tr w:rsidR="003A4CEB" w:rsidRPr="002752F8" w:rsidTr="003A4CEB">
        <w:tc>
          <w:tcPr>
            <w:tcW w:w="0" w:type="auto"/>
          </w:tcPr>
          <w:p w:rsidR="003A4CEB" w:rsidRPr="003A4CEB" w:rsidRDefault="003A4CEB" w:rsidP="003A4CEB">
            <w:pPr>
              <w:spacing w:line="360" w:lineRule="auto"/>
              <w:jc w:val="both"/>
              <w:textAlignment w:val="top"/>
              <w:rPr>
                <w:noProof/>
                <w:lang w:val="nl-NL"/>
              </w:rPr>
            </w:pPr>
          </w:p>
        </w:tc>
        <w:tc>
          <w:tcPr>
            <w:tcW w:w="0" w:type="auto"/>
          </w:tcPr>
          <w:p w:rsidR="003A4CEB" w:rsidRPr="003A4CEB" w:rsidRDefault="003A4CEB" w:rsidP="003A4CEB">
            <w:pPr>
              <w:spacing w:line="360" w:lineRule="auto"/>
              <w:jc w:val="both"/>
              <w:textAlignment w:val="top"/>
              <w:rPr>
                <w:noProof/>
                <w:lang w:val="nl-NL"/>
              </w:rPr>
            </w:pPr>
            <w:r w:rsidRPr="003A4CEB">
              <w:rPr>
                <w:rFonts w:cs="Times-Roman"/>
                <w:b/>
                <w:i/>
                <w:lang w:val="nl-NL"/>
              </w:rPr>
              <w:t>Customer developer</w:t>
            </w:r>
            <w:r w:rsidRPr="003A4CEB">
              <w:rPr>
                <w:rFonts w:cs="Times-Roman"/>
                <w:i/>
                <w:lang w:val="nl-NL"/>
              </w:rPr>
              <w:t xml:space="preserve">: </w:t>
            </w:r>
            <w:r w:rsidRPr="003A4CEB">
              <w:rPr>
                <w:rFonts w:cs="Times-Roman"/>
                <w:lang w:val="nl-NL"/>
              </w:rPr>
              <w:t xml:space="preserve">De </w:t>
            </w:r>
            <w:r w:rsidRPr="003A4CEB">
              <w:rPr>
                <w:rFonts w:cs="Times-Roman"/>
                <w:i/>
                <w:lang w:val="nl-NL"/>
              </w:rPr>
              <w:t>customer developer</w:t>
            </w:r>
            <w:r w:rsidRPr="003A4CEB">
              <w:rPr>
                <w:rFonts w:cs="Times-Roman"/>
                <w:lang w:val="nl-NL"/>
              </w:rPr>
              <w:t xml:space="preserve"> heeft meer de rol van consultant. Vanwege de op kennis gebaseerde basis van de onderneming en de hechte relaties met zijn klanten heeft de customer developer maar een beperkt aantal klanten, waarvoor geavanceerde klantoplossingen bedacht worden.</w:t>
            </w:r>
          </w:p>
        </w:tc>
        <w:tc>
          <w:tcPr>
            <w:tcW w:w="0" w:type="auto"/>
          </w:tcPr>
          <w:p w:rsidR="003A4CEB" w:rsidRPr="003A4CEB" w:rsidRDefault="003A4CEB" w:rsidP="003A4CEB">
            <w:pPr>
              <w:spacing w:line="360" w:lineRule="auto"/>
              <w:jc w:val="both"/>
              <w:textAlignment w:val="top"/>
              <w:rPr>
                <w:noProof/>
                <w:lang w:val="nl-NL"/>
              </w:rPr>
            </w:pPr>
          </w:p>
        </w:tc>
      </w:tr>
    </w:tbl>
    <w:p w:rsidR="003A4CEB" w:rsidRPr="003A4CEB" w:rsidRDefault="003A4CEB" w:rsidP="003A4CEB">
      <w:pPr>
        <w:spacing w:after="0"/>
        <w:rPr>
          <w:lang w:val="nl-NL"/>
        </w:rPr>
      </w:pPr>
      <w:r w:rsidRPr="003A4CEB">
        <w:rPr>
          <w:i/>
          <w:lang w:val="nl-NL"/>
        </w:rPr>
        <w:t>Geef aan in hoeverre u het eens bent met de volgende stelling:</w:t>
      </w:r>
    </w:p>
    <w:p w:rsidR="003A4CEB" w:rsidRPr="003A4CEB" w:rsidRDefault="003A4CEB" w:rsidP="00BE15A0">
      <w:pPr>
        <w:spacing w:before="240" w:after="0"/>
        <w:rPr>
          <w:noProof/>
          <w:lang w:val="nl-NL"/>
        </w:rPr>
      </w:pPr>
      <w:r w:rsidRPr="003A4CEB">
        <w:rPr>
          <w:lang w:val="nl-NL"/>
        </w:rPr>
        <w:t xml:space="preserve">31. </w:t>
      </w:r>
      <w:r w:rsidRPr="003A4CEB">
        <w:rPr>
          <w:rFonts w:ascii="Calibri" w:eastAsia="Calibri" w:hAnsi="Calibri" w:cs="Times New Roman"/>
          <w:noProof/>
          <w:lang w:val="nl-NL"/>
        </w:rPr>
        <w:t xml:space="preserve">Stelling: de diepte van de klantrelatie en de mate van aanpassing aan de klant hebben een negatieve invloed op het aantal </w:t>
      </w:r>
      <w:r w:rsidRPr="003A4CEB">
        <w:rPr>
          <w:noProof/>
          <w:lang w:val="nl-NL"/>
        </w:rPr>
        <w:t>klanten dat bediend kan worden</w:t>
      </w:r>
      <w:r w:rsidRPr="003A4CEB">
        <w:rPr>
          <w:rFonts w:ascii="Calibri" w:eastAsia="Calibri" w:hAnsi="Calibri" w:cs="Times New Roman"/>
          <w:noProof/>
          <w:lang w:val="nl-NL"/>
        </w:rPr>
        <w:t xml:space="preserve"> (en omgekeerd) .</w:t>
      </w:r>
    </w:p>
    <w:p w:rsidR="003A4CEB" w:rsidRPr="003A4CEB" w:rsidRDefault="003A4CEB" w:rsidP="003A4CEB">
      <w:pPr>
        <w:spacing w:after="0"/>
        <w:ind w:firstLine="708"/>
        <w:rPr>
          <w:lang w:val="nl-NL"/>
        </w:rPr>
      </w:pPr>
      <w:r w:rsidRPr="003A4CEB">
        <w:rPr>
          <w:lang w:val="nl-NL"/>
        </w:rPr>
        <w:t xml:space="preserve">Helemaal mee oneens </w:t>
      </w:r>
      <w:r w:rsidRPr="003A4CEB">
        <w:rPr>
          <w:lang w:val="nl-NL"/>
        </w:rPr>
        <w:tab/>
        <w:t xml:space="preserve"> </w:t>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Helemaal mee eens</w:t>
      </w:r>
    </w:p>
    <w:p w:rsidR="003A4CEB" w:rsidRPr="00BE15A0" w:rsidRDefault="003A4CEB" w:rsidP="00BE15A0">
      <w:pPr>
        <w:spacing w:after="0" w:line="360" w:lineRule="auto"/>
        <w:textAlignment w:val="top"/>
        <w:rPr>
          <w:rFonts w:ascii="Calibri" w:eastAsia="Calibri" w:hAnsi="Calibri" w:cs="Times New Roman"/>
          <w:b/>
          <w:lang w:val="nl-NL"/>
        </w:rPr>
      </w:pPr>
      <w:r w:rsidRPr="003A4CEB">
        <w:rPr>
          <w:b/>
          <w:lang w:val="nl-NL"/>
        </w:rPr>
        <w:t xml:space="preserve">De volgende drie vragen gaan over </w:t>
      </w:r>
      <w:r w:rsidRPr="003A4CEB">
        <w:rPr>
          <w:rFonts w:ascii="Calibri" w:eastAsia="Calibri" w:hAnsi="Calibri" w:cs="Times New Roman"/>
          <w:b/>
          <w:lang w:val="nl-NL"/>
        </w:rPr>
        <w:t xml:space="preserve">de </w:t>
      </w:r>
      <w:r w:rsidRPr="003A4CEB">
        <w:rPr>
          <w:rFonts w:ascii="Calibri" w:eastAsia="Calibri" w:hAnsi="Calibri" w:cs="Times New Roman"/>
          <w:b/>
          <w:i/>
          <w:lang w:val="nl-NL"/>
        </w:rPr>
        <w:t xml:space="preserve">value added services </w:t>
      </w:r>
      <w:r w:rsidRPr="003A4CEB">
        <w:rPr>
          <w:rFonts w:ascii="Calibri" w:eastAsia="Calibri" w:hAnsi="Calibri" w:cs="Times New Roman"/>
          <w:b/>
          <w:lang w:val="nl-NL"/>
        </w:rPr>
        <w:t xml:space="preserve">die </w:t>
      </w:r>
      <w:r w:rsidRPr="003A4CEB">
        <w:rPr>
          <w:b/>
          <w:lang w:val="nl-NL"/>
        </w:rPr>
        <w:t>3PL</w:t>
      </w:r>
      <w:r w:rsidRPr="003A4CEB">
        <w:rPr>
          <w:rFonts w:ascii="Calibri" w:eastAsia="Calibri" w:hAnsi="Calibri" w:cs="Times New Roman"/>
          <w:b/>
          <w:lang w:val="nl-NL"/>
        </w:rPr>
        <w:t xml:space="preserve"> aanbieders aanbieden en de groeikansen die het aanbieden van </w:t>
      </w:r>
      <w:r w:rsidRPr="003A4CEB">
        <w:rPr>
          <w:rFonts w:ascii="Calibri" w:eastAsia="Calibri" w:hAnsi="Calibri" w:cs="Times New Roman"/>
          <w:b/>
          <w:i/>
          <w:lang w:val="nl-NL"/>
        </w:rPr>
        <w:t xml:space="preserve">value added services </w:t>
      </w:r>
      <w:r w:rsidRPr="003A4CEB">
        <w:rPr>
          <w:rFonts w:ascii="Calibri" w:eastAsia="Calibri" w:hAnsi="Calibri" w:cs="Times New Roman"/>
          <w:b/>
          <w:lang w:val="nl-NL"/>
        </w:rPr>
        <w:t>met zich meebrengt</w:t>
      </w:r>
      <w:r w:rsidRPr="003A4CEB">
        <w:rPr>
          <w:b/>
          <w:lang w:val="nl-NL"/>
        </w:rPr>
        <w:t>.</w:t>
      </w:r>
    </w:p>
    <w:p w:rsidR="003A4CEB" w:rsidRPr="003A4CEB" w:rsidRDefault="003A4CEB" w:rsidP="003A4CEB">
      <w:pPr>
        <w:spacing w:line="240" w:lineRule="auto"/>
        <w:rPr>
          <w:rFonts w:ascii="Calibri" w:eastAsia="Calibri" w:hAnsi="Calibri" w:cs="Times New Roman"/>
          <w:i/>
          <w:color w:val="FF0000"/>
          <w:lang w:val="nl-NL"/>
        </w:rPr>
      </w:pPr>
      <w:r w:rsidRPr="003A4CEB">
        <w:rPr>
          <w:lang w:val="nl-NL"/>
        </w:rPr>
        <w:t xml:space="preserve">32. </w:t>
      </w:r>
      <w:r w:rsidRPr="003A4CEB">
        <w:rPr>
          <w:rFonts w:ascii="Calibri" w:eastAsia="Calibri" w:hAnsi="Calibri" w:cs="Times New Roman"/>
          <w:lang w:val="nl-NL"/>
        </w:rPr>
        <w:t xml:space="preserve">Welke </w:t>
      </w:r>
      <w:r w:rsidRPr="003A4CEB">
        <w:rPr>
          <w:i/>
          <w:lang w:val="nl-NL"/>
        </w:rPr>
        <w:t>value added</w:t>
      </w:r>
      <w:r w:rsidRPr="003A4CEB">
        <w:rPr>
          <w:rFonts w:ascii="Calibri" w:eastAsia="Calibri" w:hAnsi="Calibri" w:cs="Times New Roman"/>
          <w:i/>
          <w:lang w:val="nl-NL"/>
        </w:rPr>
        <w:t xml:space="preserve"> service</w:t>
      </w:r>
      <w:r w:rsidRPr="003A4CEB">
        <w:rPr>
          <w:i/>
          <w:lang w:val="nl-NL"/>
        </w:rPr>
        <w:t xml:space="preserve">s </w:t>
      </w:r>
      <w:r w:rsidRPr="003A4CEB">
        <w:rPr>
          <w:lang w:val="nl-NL"/>
        </w:rPr>
        <w:t xml:space="preserve">biedt </w:t>
      </w:r>
      <w:r w:rsidRPr="003A4CEB">
        <w:rPr>
          <w:rFonts w:ascii="Calibri" w:eastAsia="Calibri" w:hAnsi="Calibri" w:cs="Times New Roman"/>
          <w:lang w:val="nl-NL"/>
        </w:rPr>
        <w:t>u</w:t>
      </w:r>
      <w:r w:rsidRPr="003A4CEB">
        <w:rPr>
          <w:lang w:val="nl-NL"/>
        </w:rPr>
        <w:t>w onderneming</w:t>
      </w:r>
      <w:r w:rsidRPr="003A4CEB">
        <w:rPr>
          <w:rFonts w:ascii="Calibri" w:eastAsia="Calibri" w:hAnsi="Calibri" w:cs="Times New Roman"/>
          <w:lang w:val="nl-NL"/>
        </w:rPr>
        <w:t xml:space="preserve"> aan?</w:t>
      </w:r>
      <w:r w:rsidRPr="003A4CEB">
        <w:rPr>
          <w:rFonts w:ascii="Calibri" w:eastAsia="Calibri" w:hAnsi="Calibri" w:cs="Times New Roman"/>
          <w:i/>
          <w:lang w:val="nl-NL"/>
        </w:rPr>
        <w:t xml:space="preserve"> </w:t>
      </w:r>
    </w:p>
    <w:p w:rsidR="003A4CEB" w:rsidRDefault="003A4CEB" w:rsidP="003A4CEB">
      <w:pPr>
        <w:pStyle w:val="Lijstalinea"/>
        <w:numPr>
          <w:ilvl w:val="0"/>
          <w:numId w:val="36"/>
        </w:numPr>
        <w:spacing w:before="0" w:after="0" w:line="240" w:lineRule="auto"/>
      </w:pPr>
      <w:r>
        <w:rPr>
          <w:rFonts w:ascii="Calibri" w:eastAsia="Calibri" w:hAnsi="Calibri" w:cs="Times New Roman"/>
        </w:rPr>
        <w:t>Binnenlands transport</w:t>
      </w:r>
    </w:p>
    <w:p w:rsidR="003A4CEB" w:rsidRDefault="003A4CEB" w:rsidP="003A4CEB">
      <w:pPr>
        <w:pStyle w:val="Lijstalinea"/>
        <w:numPr>
          <w:ilvl w:val="0"/>
          <w:numId w:val="36"/>
        </w:numPr>
        <w:spacing w:before="0" w:after="0" w:line="240" w:lineRule="auto"/>
        <w:rPr>
          <w:rFonts w:ascii="Calibri" w:eastAsia="Calibri" w:hAnsi="Calibri" w:cs="Times New Roman"/>
        </w:rPr>
      </w:pPr>
      <w:r>
        <w:rPr>
          <w:rFonts w:ascii="Calibri" w:eastAsia="Calibri" w:hAnsi="Calibri" w:cs="Times New Roman"/>
        </w:rPr>
        <w:t>Internationaal transport</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Transport planning en management</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Opslag en voorraadbeheer</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Pick and Pack</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Douanebemiddeling</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Inklaren en uitklaren</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Forwarding</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Cross-docking</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 xml:space="preserve">Verpakken, herverpakken en labelen </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Eindassemblage</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Productconfiguratie</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Adviseren over logistieke concepten</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Kwaliteitscontrole</w:t>
      </w:r>
    </w:p>
    <w:p w:rsidR="003A4CEB" w:rsidRPr="003A4CEB" w:rsidRDefault="003A4CEB" w:rsidP="003A4CEB">
      <w:pPr>
        <w:pStyle w:val="Lijstalinea"/>
        <w:numPr>
          <w:ilvl w:val="0"/>
          <w:numId w:val="35"/>
        </w:numPr>
        <w:spacing w:before="0" w:after="0" w:line="240" w:lineRule="auto"/>
        <w:rPr>
          <w:rFonts w:ascii="Calibri" w:eastAsia="Calibri" w:hAnsi="Calibri" w:cs="Times New Roman"/>
          <w:lang w:val="nl-NL"/>
        </w:rPr>
      </w:pPr>
      <w:r w:rsidRPr="003A4CEB">
        <w:rPr>
          <w:rFonts w:ascii="Calibri" w:eastAsia="Calibri" w:hAnsi="Calibri" w:cs="Times New Roman"/>
          <w:lang w:val="nl-NL"/>
        </w:rPr>
        <w:lastRenderedPageBreak/>
        <w:t>Orderinvoer, verwerking en vervulling (v.d. order)</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Financieren van voorraden</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Het factureren van de eindafnemer</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Testen en repareren van producten</w:t>
      </w:r>
    </w:p>
    <w:p w:rsidR="003A4CEB" w:rsidRPr="003A4CEB" w:rsidRDefault="003A4CEB" w:rsidP="003A4CEB">
      <w:pPr>
        <w:pStyle w:val="Lijstalinea"/>
        <w:numPr>
          <w:ilvl w:val="0"/>
          <w:numId w:val="35"/>
        </w:numPr>
        <w:spacing w:before="0" w:after="0" w:line="240" w:lineRule="auto"/>
        <w:rPr>
          <w:rFonts w:ascii="Calibri" w:eastAsia="Calibri" w:hAnsi="Calibri" w:cs="Times New Roman"/>
          <w:lang w:val="nl-NL"/>
        </w:rPr>
      </w:pPr>
      <w:r w:rsidRPr="003A4CEB">
        <w:rPr>
          <w:rFonts w:ascii="Calibri" w:eastAsia="Calibri" w:hAnsi="Calibri" w:cs="Times New Roman"/>
          <w:lang w:val="nl-NL"/>
        </w:rPr>
        <w:t>Installeren van producten bij de eindafnemer</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Ontvangen en inspecteren van retourzendingen</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Toevoegen van productkenmerken</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Aanbieden van IT services</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Wagenparkbeheer</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Klantenservice</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Afval recycling en herconditionering</w:t>
      </w:r>
    </w:p>
    <w:p w:rsidR="003A4CEB" w:rsidRDefault="003A4CEB" w:rsidP="003A4CEB">
      <w:pPr>
        <w:pStyle w:val="Lijstalinea"/>
        <w:numPr>
          <w:ilvl w:val="0"/>
          <w:numId w:val="35"/>
        </w:numPr>
        <w:spacing w:before="0" w:after="0" w:line="240" w:lineRule="auto"/>
        <w:rPr>
          <w:rFonts w:ascii="Calibri" w:eastAsia="Calibri" w:hAnsi="Calibri" w:cs="Times New Roman"/>
        </w:rPr>
      </w:pPr>
      <w:r>
        <w:rPr>
          <w:rFonts w:ascii="Calibri" w:eastAsia="Calibri" w:hAnsi="Calibri" w:cs="Times New Roman"/>
        </w:rPr>
        <w:t>Track and trace informatie</w:t>
      </w:r>
    </w:p>
    <w:p w:rsidR="003A4CEB" w:rsidRPr="00E504E0" w:rsidRDefault="003A4CEB" w:rsidP="003A4CEB">
      <w:pPr>
        <w:pStyle w:val="Lijstalinea"/>
        <w:numPr>
          <w:ilvl w:val="0"/>
          <w:numId w:val="35"/>
        </w:numPr>
        <w:spacing w:before="0" w:after="0" w:line="240" w:lineRule="auto"/>
        <w:rPr>
          <w:rFonts w:ascii="Calibri" w:eastAsia="Calibri" w:hAnsi="Calibri" w:cs="Times New Roman"/>
        </w:rPr>
      </w:pPr>
      <w:r w:rsidRPr="00E504E0">
        <w:rPr>
          <w:rFonts w:ascii="Calibri" w:eastAsia="Calibri" w:hAnsi="Calibri" w:cs="Times New Roman"/>
        </w:rPr>
        <w:t>Verzekering gerelateerde diensten</w:t>
      </w:r>
    </w:p>
    <w:p w:rsidR="003A4CEB" w:rsidRPr="00E504E0" w:rsidRDefault="003A4CEB" w:rsidP="003A4CEB">
      <w:pPr>
        <w:pStyle w:val="Lijstalinea"/>
        <w:numPr>
          <w:ilvl w:val="0"/>
          <w:numId w:val="35"/>
        </w:numPr>
        <w:spacing w:before="0" w:after="0" w:line="240" w:lineRule="auto"/>
      </w:pPr>
      <w:r w:rsidRPr="00E504E0">
        <w:t>Supply chain cons</w:t>
      </w:r>
      <w:r w:rsidRPr="00E504E0">
        <w:rPr>
          <w:rFonts w:ascii="Calibri" w:eastAsia="Calibri" w:hAnsi="Calibri" w:cs="Times New Roman"/>
        </w:rPr>
        <w:t>ultancy</w:t>
      </w:r>
      <w:r>
        <w:t>/</w:t>
      </w:r>
      <w:r w:rsidRPr="00E504E0">
        <w:t>d</w:t>
      </w:r>
      <w:r w:rsidRPr="00E504E0">
        <w:rPr>
          <w:rFonts w:ascii="Calibri" w:eastAsia="Calibri" w:hAnsi="Calibri" w:cs="Times New Roman"/>
        </w:rPr>
        <w:t xml:space="preserve">iverse 4PL diensten </w:t>
      </w:r>
    </w:p>
    <w:p w:rsidR="003A4CEB" w:rsidRPr="00BE15A0" w:rsidRDefault="003A4CEB" w:rsidP="003A4CEB">
      <w:pPr>
        <w:pStyle w:val="Lijstalinea"/>
        <w:numPr>
          <w:ilvl w:val="0"/>
          <w:numId w:val="35"/>
        </w:numPr>
        <w:spacing w:before="0" w:after="0" w:line="240" w:lineRule="auto"/>
        <w:rPr>
          <w:rFonts w:ascii="Calibri" w:eastAsia="Calibri" w:hAnsi="Calibri" w:cs="Times New Roman"/>
        </w:rPr>
      </w:pPr>
      <w:r>
        <w:t>Anders, namelijk:</w:t>
      </w:r>
    </w:p>
    <w:p w:rsidR="003A4CEB" w:rsidRPr="003A4CEB" w:rsidRDefault="003A4CEB" w:rsidP="003A4CEB">
      <w:pPr>
        <w:spacing w:line="240" w:lineRule="auto"/>
        <w:rPr>
          <w:rFonts w:ascii="Calibri" w:eastAsia="Calibri" w:hAnsi="Calibri" w:cs="Times New Roman"/>
          <w:lang w:val="nl-NL"/>
        </w:rPr>
      </w:pPr>
      <w:r w:rsidRPr="003A4CEB">
        <w:rPr>
          <w:lang w:val="nl-NL"/>
        </w:rPr>
        <w:t xml:space="preserve">33. </w:t>
      </w:r>
      <w:r w:rsidRPr="003A4CEB">
        <w:rPr>
          <w:rFonts w:ascii="Calibri" w:eastAsia="Calibri" w:hAnsi="Calibri" w:cs="Times New Roman"/>
          <w:lang w:val="nl-NL"/>
        </w:rPr>
        <w:t>Hoeveel procent van de omzet van uw onderneming wordt</w:t>
      </w:r>
      <w:r w:rsidRPr="003A4CEB">
        <w:rPr>
          <w:lang w:val="nl-NL"/>
        </w:rPr>
        <w:t xml:space="preserve"> </w:t>
      </w:r>
      <w:r w:rsidRPr="003A4CEB">
        <w:rPr>
          <w:rFonts w:ascii="Calibri" w:eastAsia="Calibri" w:hAnsi="Calibri" w:cs="Times New Roman"/>
          <w:lang w:val="nl-NL"/>
        </w:rPr>
        <w:t>gehaald uit</w:t>
      </w:r>
      <w:r w:rsidRPr="003A4CEB">
        <w:rPr>
          <w:rFonts w:ascii="Calibri" w:eastAsia="Calibri" w:hAnsi="Calibri" w:cs="Times New Roman"/>
          <w:u w:val="single"/>
          <w:lang w:val="nl-NL"/>
        </w:rPr>
        <w:t xml:space="preserve"> andere</w:t>
      </w:r>
      <w:r w:rsidRPr="003A4CEB">
        <w:rPr>
          <w:rFonts w:ascii="Calibri" w:eastAsia="Calibri" w:hAnsi="Calibri" w:cs="Times New Roman"/>
          <w:lang w:val="nl-NL"/>
        </w:rPr>
        <w:t xml:space="preserve"> diensten dan transport en opslag/voorraadbeheer?</w:t>
      </w:r>
    </w:p>
    <w:p w:rsidR="003A4CEB" w:rsidRPr="00BE15A0" w:rsidRDefault="003A4CEB" w:rsidP="003A4CEB">
      <w:pPr>
        <w:spacing w:after="0" w:line="240" w:lineRule="auto"/>
        <w:rPr>
          <w:rFonts w:ascii="Calibri" w:eastAsia="Calibri" w:hAnsi="Calibri" w:cs="Times New Roman"/>
          <w:lang w:val="nl-NL"/>
        </w:rPr>
      </w:pPr>
      <w:r w:rsidRPr="003A4CEB">
        <w:rPr>
          <w:lang w:val="nl-NL"/>
        </w:rPr>
        <w:t xml:space="preserve">   </w:t>
      </w:r>
      <w:r w:rsidRPr="003A4CEB">
        <w:rPr>
          <w:rFonts w:ascii="Calibri" w:eastAsia="Calibri" w:hAnsi="Calibri" w:cs="Times New Roman"/>
          <w:lang w:val="nl-NL"/>
        </w:rPr>
        <w:t>…</w:t>
      </w:r>
      <w:r w:rsidRPr="003A4CEB">
        <w:rPr>
          <w:lang w:val="nl-NL"/>
        </w:rPr>
        <w:t>…….</w:t>
      </w:r>
      <w:r w:rsidRPr="003A4CEB">
        <w:rPr>
          <w:rFonts w:ascii="Calibri" w:eastAsia="Calibri" w:hAnsi="Calibri" w:cs="Times New Roman"/>
          <w:lang w:val="nl-NL"/>
        </w:rPr>
        <w:t>%</w:t>
      </w:r>
    </w:p>
    <w:p w:rsidR="003A4CEB" w:rsidRPr="003A4CEB" w:rsidRDefault="003A4CEB" w:rsidP="003A4CEB">
      <w:pPr>
        <w:spacing w:line="240" w:lineRule="auto"/>
        <w:jc w:val="both"/>
        <w:rPr>
          <w:lang w:val="nl-NL"/>
        </w:rPr>
      </w:pPr>
      <w:r w:rsidRPr="003A4CEB">
        <w:rPr>
          <w:lang w:val="nl-NL"/>
        </w:rPr>
        <w:t xml:space="preserve">34. </w:t>
      </w:r>
      <w:r w:rsidRPr="003A4CEB">
        <w:rPr>
          <w:rFonts w:ascii="Calibri" w:eastAsia="Calibri" w:hAnsi="Calibri" w:cs="Times New Roman"/>
          <w:lang w:val="nl-NL"/>
        </w:rPr>
        <w:t>Werkt u</w:t>
      </w:r>
      <w:r w:rsidRPr="003A4CEB">
        <w:rPr>
          <w:lang w:val="nl-NL"/>
        </w:rPr>
        <w:t>w</w:t>
      </w:r>
      <w:r w:rsidRPr="003A4CEB">
        <w:rPr>
          <w:rFonts w:ascii="Calibri" w:eastAsia="Calibri" w:hAnsi="Calibri" w:cs="Times New Roman"/>
          <w:lang w:val="nl-NL"/>
        </w:rPr>
        <w:t xml:space="preserve"> onderneming samen met industriële ondera</w:t>
      </w:r>
      <w:r w:rsidRPr="003A4CEB">
        <w:rPr>
          <w:lang w:val="nl-NL"/>
        </w:rPr>
        <w:t>annemers om sommige value added</w:t>
      </w:r>
      <w:r w:rsidRPr="003A4CEB">
        <w:rPr>
          <w:rFonts w:ascii="Calibri" w:eastAsia="Calibri" w:hAnsi="Calibri" w:cs="Times New Roman"/>
          <w:lang w:val="nl-NL"/>
        </w:rPr>
        <w:t xml:space="preserve"> services aan te bieden, zoals eindassemblage, productconfiguratie, kwaliteitscontrole en het testen en </w:t>
      </w:r>
      <w:r w:rsidRPr="003A4CEB">
        <w:rPr>
          <w:lang w:val="nl-NL"/>
        </w:rPr>
        <w:t xml:space="preserve">repareren van goederen? </w:t>
      </w:r>
    </w:p>
    <w:p w:rsidR="003A4CEB" w:rsidRDefault="003A4CEB" w:rsidP="003A4CEB">
      <w:pPr>
        <w:pStyle w:val="Lijstalinea"/>
        <w:numPr>
          <w:ilvl w:val="0"/>
          <w:numId w:val="37"/>
        </w:numPr>
        <w:spacing w:before="0" w:after="0" w:line="240" w:lineRule="auto"/>
      </w:pPr>
      <w:r>
        <w:t>Ja</w:t>
      </w:r>
    </w:p>
    <w:p w:rsidR="003A4CEB" w:rsidRDefault="003A4CEB" w:rsidP="003A4CEB">
      <w:pPr>
        <w:pStyle w:val="Lijstalinea"/>
        <w:numPr>
          <w:ilvl w:val="0"/>
          <w:numId w:val="37"/>
        </w:numPr>
        <w:spacing w:before="0" w:after="0" w:line="240" w:lineRule="auto"/>
      </w:pPr>
      <w:r>
        <w:t>Nee</w:t>
      </w:r>
    </w:p>
    <w:p w:rsidR="003A4CEB" w:rsidRPr="00BE15A0" w:rsidRDefault="00BE15A0" w:rsidP="003A4CEB">
      <w:pPr>
        <w:spacing w:after="0" w:line="240" w:lineRule="auto"/>
        <w:rPr>
          <w:b/>
          <w:lang w:val="nl-NL"/>
        </w:rPr>
      </w:pPr>
      <w:r>
        <w:rPr>
          <w:b/>
          <w:lang w:val="nl-NL"/>
        </w:rPr>
        <w:t>De vo</w:t>
      </w:r>
      <w:r w:rsidR="003A4CEB" w:rsidRPr="003A4CEB">
        <w:rPr>
          <w:b/>
          <w:lang w:val="nl-NL"/>
        </w:rPr>
        <w:t xml:space="preserve">lgende vijf stellingen gaan </w:t>
      </w:r>
      <w:r w:rsidR="003A4CEB" w:rsidRPr="003A4CEB">
        <w:rPr>
          <w:rFonts w:ascii="Calibri" w:eastAsia="Calibri" w:hAnsi="Calibri" w:cs="Times New Roman"/>
          <w:b/>
          <w:lang w:val="nl-NL"/>
        </w:rPr>
        <w:t xml:space="preserve">over het streven van </w:t>
      </w:r>
      <w:r w:rsidR="003A4CEB" w:rsidRPr="003A4CEB">
        <w:rPr>
          <w:b/>
          <w:lang w:val="nl-NL"/>
        </w:rPr>
        <w:t>3PL</w:t>
      </w:r>
      <w:r w:rsidR="003A4CEB" w:rsidRPr="003A4CEB">
        <w:rPr>
          <w:rFonts w:ascii="Calibri" w:eastAsia="Calibri" w:hAnsi="Calibri" w:cs="Times New Roman"/>
          <w:b/>
          <w:lang w:val="nl-NL"/>
        </w:rPr>
        <w:t xml:space="preserve"> aanbieders om een groter deel van de supply chain te bedienen/bemachtigen</w:t>
      </w:r>
      <w:r w:rsidR="003A4CEB" w:rsidRPr="003A4CEB">
        <w:rPr>
          <w:b/>
          <w:lang w:val="nl-NL"/>
        </w:rPr>
        <w:t>.</w:t>
      </w:r>
    </w:p>
    <w:p w:rsidR="003A4CEB" w:rsidRPr="003A4CEB" w:rsidRDefault="003A4CEB" w:rsidP="003A4CEB">
      <w:pPr>
        <w:jc w:val="both"/>
        <w:rPr>
          <w:lang w:val="nl-NL"/>
        </w:rPr>
      </w:pPr>
      <w:r w:rsidRPr="003A4CEB">
        <w:rPr>
          <w:lang w:val="nl-NL"/>
        </w:rPr>
        <w:t>35. Stelling: h</w:t>
      </w:r>
      <w:r w:rsidRPr="003A4CEB">
        <w:rPr>
          <w:rFonts w:ascii="Calibri" w:eastAsia="Calibri" w:hAnsi="Calibri" w:cs="Times New Roman"/>
          <w:lang w:val="nl-NL"/>
        </w:rPr>
        <w:t>et uitbreiden van onze diensten gerelateerd aan supply chain management is een van de belangrijkste groeikansen voor onze onderneming</w:t>
      </w:r>
      <w:r w:rsidRPr="003A4CEB">
        <w:rPr>
          <w:lang w:val="nl-NL"/>
        </w:rPr>
        <w:t>.</w:t>
      </w:r>
    </w:p>
    <w:p w:rsidR="003A4CEB" w:rsidRDefault="003A4CEB" w:rsidP="00BE15A0">
      <w:pPr>
        <w:spacing w:after="0"/>
        <w:ind w:firstLine="708"/>
        <w:jc w:val="both"/>
        <w:rPr>
          <w:lang w:val="nl-NL"/>
        </w:rPr>
      </w:pPr>
      <w:r w:rsidRPr="003A4CEB">
        <w:rPr>
          <w:lang w:val="nl-NL"/>
        </w:rPr>
        <w:t xml:space="preserve">Helemaal mee oneens </w:t>
      </w:r>
      <w:r w:rsidRPr="003A4CEB">
        <w:rPr>
          <w:lang w:val="nl-NL"/>
        </w:rPr>
        <w:tab/>
        <w:t xml:space="preserve"> </w:t>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Helemaal mee eens</w:t>
      </w:r>
    </w:p>
    <w:p w:rsidR="00BE15A0" w:rsidRPr="003A4CEB" w:rsidRDefault="00BE15A0" w:rsidP="00BE15A0">
      <w:pPr>
        <w:spacing w:after="0"/>
        <w:ind w:firstLine="708"/>
        <w:jc w:val="both"/>
        <w:rPr>
          <w:lang w:val="nl-NL"/>
        </w:rPr>
      </w:pPr>
    </w:p>
    <w:p w:rsidR="003A4CEB" w:rsidRPr="003A4CEB" w:rsidRDefault="003A4CEB" w:rsidP="003A4CEB">
      <w:pPr>
        <w:jc w:val="both"/>
        <w:rPr>
          <w:lang w:val="nl-NL"/>
        </w:rPr>
      </w:pPr>
      <w:r w:rsidRPr="003A4CEB">
        <w:rPr>
          <w:rFonts w:ascii="Calibri" w:eastAsia="Calibri" w:hAnsi="Calibri" w:cs="Times New Roman"/>
          <w:lang w:val="nl-NL"/>
        </w:rPr>
        <w:t xml:space="preserve"> </w:t>
      </w:r>
      <w:r w:rsidRPr="003A4CEB">
        <w:rPr>
          <w:lang w:val="nl-NL"/>
        </w:rPr>
        <w:t>36. Stelling: o</w:t>
      </w:r>
      <w:r w:rsidRPr="003A4CEB">
        <w:rPr>
          <w:rFonts w:ascii="Calibri" w:eastAsia="Calibri" w:hAnsi="Calibri" w:cs="Times New Roman"/>
          <w:lang w:val="nl-NL"/>
        </w:rPr>
        <w:t>nze onderneming wil zich in de toekomst ontwikkelen naar een zogenaamde 4PL aanbieder</w:t>
      </w:r>
      <w:r w:rsidRPr="003A4CEB">
        <w:rPr>
          <w:lang w:val="nl-NL"/>
        </w:rPr>
        <w:t>.</w:t>
      </w:r>
    </w:p>
    <w:p w:rsidR="003A4CEB" w:rsidRPr="003A4CEB" w:rsidRDefault="003A4CEB" w:rsidP="003A4CEB">
      <w:pPr>
        <w:spacing w:after="0"/>
        <w:ind w:firstLine="708"/>
        <w:jc w:val="both"/>
        <w:rPr>
          <w:lang w:val="nl-NL"/>
        </w:rPr>
      </w:pPr>
      <w:r w:rsidRPr="003A4CEB">
        <w:rPr>
          <w:lang w:val="nl-NL"/>
        </w:rPr>
        <w:t xml:space="preserve">Helemaal mee oneens </w:t>
      </w:r>
      <w:r w:rsidRPr="003A4CEB">
        <w:rPr>
          <w:lang w:val="nl-NL"/>
        </w:rPr>
        <w:tab/>
        <w:t xml:space="preserve"> </w:t>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Helemaal mee eens</w:t>
      </w:r>
    </w:p>
    <w:p w:rsidR="003A4CEB" w:rsidRPr="003A4CEB" w:rsidRDefault="003A4CEB" w:rsidP="003A4CEB">
      <w:pPr>
        <w:jc w:val="both"/>
        <w:rPr>
          <w:lang w:val="nl-NL"/>
        </w:rPr>
      </w:pPr>
    </w:p>
    <w:p w:rsidR="003A4CEB" w:rsidRPr="003A4CEB" w:rsidRDefault="003A4CEB" w:rsidP="003A4CEB">
      <w:pPr>
        <w:jc w:val="both"/>
        <w:rPr>
          <w:lang w:val="nl-NL"/>
        </w:rPr>
      </w:pPr>
      <w:r w:rsidRPr="003A4CEB">
        <w:rPr>
          <w:lang w:val="nl-NL"/>
        </w:rPr>
        <w:t>37. Stelling: v</w:t>
      </w:r>
      <w:r w:rsidRPr="003A4CEB">
        <w:rPr>
          <w:rFonts w:ascii="Calibri" w:eastAsia="Calibri" w:hAnsi="Calibri" w:cs="Times New Roman"/>
          <w:lang w:val="nl-NL"/>
        </w:rPr>
        <w:t>erladers zijn te gefocust op prijsniveaus en het op korte termijn verlagen van</w:t>
      </w:r>
      <w:r w:rsidRPr="003A4CEB">
        <w:rPr>
          <w:lang w:val="nl-NL"/>
        </w:rPr>
        <w:t xml:space="preserve"> kosten en daarom is het moeilijk om als 3PL aanbieder aan effectief supply chain </w:t>
      </w:r>
      <w:r w:rsidRPr="003A4CEB">
        <w:rPr>
          <w:rFonts w:ascii="Calibri" w:eastAsia="Calibri" w:hAnsi="Calibri" w:cs="Times New Roman"/>
          <w:lang w:val="nl-NL"/>
        </w:rPr>
        <w:t xml:space="preserve">management te doen </w:t>
      </w:r>
      <w:r w:rsidRPr="003A4CEB">
        <w:rPr>
          <w:lang w:val="nl-NL"/>
        </w:rPr>
        <w:t>(een service waarvoor de verlader moet betalen)</w:t>
      </w:r>
    </w:p>
    <w:p w:rsidR="003A4CEB" w:rsidRPr="003A4CEB" w:rsidRDefault="003A4CEB" w:rsidP="00BE15A0">
      <w:pPr>
        <w:spacing w:after="0"/>
        <w:ind w:firstLine="708"/>
        <w:jc w:val="both"/>
        <w:rPr>
          <w:lang w:val="nl-NL"/>
        </w:rPr>
      </w:pPr>
      <w:r w:rsidRPr="003A4CEB">
        <w:rPr>
          <w:lang w:val="nl-NL"/>
        </w:rPr>
        <w:t xml:space="preserve">Helemaal mee oneens </w:t>
      </w:r>
      <w:r w:rsidRPr="003A4CEB">
        <w:rPr>
          <w:lang w:val="nl-NL"/>
        </w:rPr>
        <w:tab/>
        <w:t xml:space="preserve"> </w:t>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 xml:space="preserve"> Helemaal mee eens</w:t>
      </w:r>
    </w:p>
    <w:p w:rsidR="00BE15A0" w:rsidRDefault="003A4CEB" w:rsidP="003A4CEB">
      <w:pPr>
        <w:jc w:val="both"/>
        <w:rPr>
          <w:rFonts w:ascii="Calibri" w:eastAsia="Calibri" w:hAnsi="Calibri" w:cs="Times New Roman"/>
          <w:lang w:val="nl-NL"/>
        </w:rPr>
      </w:pPr>
      <w:r w:rsidRPr="003A4CEB">
        <w:rPr>
          <w:lang w:val="nl-NL"/>
        </w:rPr>
        <w:t xml:space="preserve">38. </w:t>
      </w:r>
      <w:r w:rsidRPr="003A4CEB">
        <w:rPr>
          <w:rFonts w:ascii="Calibri" w:eastAsia="Calibri" w:hAnsi="Calibri" w:cs="Times New Roman"/>
          <w:lang w:val="nl-NL"/>
        </w:rPr>
        <w:t xml:space="preserve">Stelling: </w:t>
      </w:r>
      <w:r w:rsidRPr="003A4CEB">
        <w:rPr>
          <w:lang w:val="nl-NL"/>
        </w:rPr>
        <w:t>3PL</w:t>
      </w:r>
      <w:r w:rsidRPr="003A4CEB">
        <w:rPr>
          <w:rFonts w:ascii="Calibri" w:eastAsia="Calibri" w:hAnsi="Calibri" w:cs="Times New Roman"/>
          <w:lang w:val="nl-NL"/>
        </w:rPr>
        <w:t xml:space="preserve"> aanbieders zullen zich in toenemende mate gaan toeleggen op </w:t>
      </w:r>
      <w:r w:rsidRPr="003A4CEB">
        <w:rPr>
          <w:lang w:val="nl-NL"/>
        </w:rPr>
        <w:t xml:space="preserve">diensten als </w:t>
      </w:r>
      <w:r w:rsidRPr="003A4CEB">
        <w:rPr>
          <w:rFonts w:ascii="Calibri" w:eastAsia="Calibri" w:hAnsi="Calibri" w:cs="Times New Roman"/>
          <w:lang w:val="nl-NL"/>
        </w:rPr>
        <w:t xml:space="preserve">het produceren en assembleren van goederen, mits de supply chain </w:t>
      </w:r>
      <w:r w:rsidRPr="003A4CEB">
        <w:rPr>
          <w:lang w:val="nl-NL"/>
        </w:rPr>
        <w:t xml:space="preserve">verder </w:t>
      </w:r>
      <w:r w:rsidRPr="003A4CEB">
        <w:rPr>
          <w:rFonts w:ascii="Calibri" w:eastAsia="Calibri" w:hAnsi="Calibri" w:cs="Times New Roman"/>
          <w:lang w:val="nl-NL"/>
        </w:rPr>
        <w:t xml:space="preserve">integreert en trends als </w:t>
      </w:r>
      <w:r w:rsidRPr="003A4CEB">
        <w:rPr>
          <w:rFonts w:ascii="Calibri" w:eastAsia="Calibri" w:hAnsi="Calibri" w:cs="Times New Roman"/>
          <w:i/>
          <w:lang w:val="nl-NL"/>
        </w:rPr>
        <w:t xml:space="preserve">mass customization </w:t>
      </w:r>
      <w:r w:rsidRPr="003A4CEB">
        <w:rPr>
          <w:rFonts w:ascii="Calibri" w:eastAsia="Calibri" w:hAnsi="Calibri" w:cs="Times New Roman"/>
          <w:lang w:val="nl-NL"/>
        </w:rPr>
        <w:t xml:space="preserve">en </w:t>
      </w:r>
      <w:r w:rsidRPr="003A4CEB">
        <w:rPr>
          <w:rFonts w:ascii="Calibri" w:eastAsia="Calibri" w:hAnsi="Calibri" w:cs="Times New Roman"/>
          <w:i/>
          <w:lang w:val="nl-NL"/>
        </w:rPr>
        <w:t xml:space="preserve">postponing product finalization </w:t>
      </w:r>
      <w:r w:rsidR="00BE15A0">
        <w:rPr>
          <w:rFonts w:ascii="Calibri" w:eastAsia="Calibri" w:hAnsi="Calibri" w:cs="Times New Roman"/>
          <w:lang w:val="nl-NL"/>
        </w:rPr>
        <w:t>doorzetten.</w:t>
      </w:r>
    </w:p>
    <w:p w:rsidR="00BE15A0" w:rsidRPr="00BE15A0" w:rsidRDefault="00BE15A0" w:rsidP="003A4CEB">
      <w:pPr>
        <w:jc w:val="both"/>
        <w:rPr>
          <w:rFonts w:ascii="Calibri" w:eastAsia="Calibri" w:hAnsi="Calibri" w:cs="Times New Roman"/>
          <w:lang w:val="nl-NL"/>
        </w:rPr>
      </w:pPr>
    </w:p>
    <w:p w:rsidR="00BE15A0" w:rsidRDefault="003A4CEB" w:rsidP="00BE15A0">
      <w:pPr>
        <w:spacing w:after="0"/>
        <w:ind w:firstLine="708"/>
        <w:jc w:val="both"/>
        <w:rPr>
          <w:lang w:val="nl-NL"/>
        </w:rPr>
      </w:pPr>
      <w:r w:rsidRPr="003A4CEB">
        <w:rPr>
          <w:lang w:val="nl-NL"/>
        </w:rPr>
        <w:t xml:space="preserve">Helemaal mee oneens </w:t>
      </w:r>
      <w:r w:rsidRPr="003A4CEB">
        <w:rPr>
          <w:lang w:val="nl-NL"/>
        </w:rPr>
        <w:tab/>
        <w:t xml:space="preserve"> </w:t>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Helemaal mee eens</w:t>
      </w:r>
    </w:p>
    <w:p w:rsidR="003A4CEB" w:rsidRPr="00BE15A0" w:rsidRDefault="003A4CEB" w:rsidP="00BE15A0">
      <w:pPr>
        <w:spacing w:after="0"/>
        <w:jc w:val="both"/>
        <w:rPr>
          <w:lang w:val="nl-NL"/>
        </w:rPr>
      </w:pPr>
      <w:r w:rsidRPr="003A4CEB">
        <w:rPr>
          <w:lang w:val="nl-NL"/>
        </w:rPr>
        <w:lastRenderedPageBreak/>
        <w:t xml:space="preserve">39. </w:t>
      </w:r>
      <w:r w:rsidRPr="003A4CEB">
        <w:rPr>
          <w:rFonts w:ascii="Calibri" w:eastAsia="Calibri" w:hAnsi="Calibri" w:cs="Times New Roman"/>
          <w:lang w:val="nl-NL"/>
        </w:rPr>
        <w:t xml:space="preserve">Stelling: </w:t>
      </w:r>
      <w:r w:rsidRPr="003A4CEB">
        <w:rPr>
          <w:lang w:val="nl-NL"/>
        </w:rPr>
        <w:t>3PL</w:t>
      </w:r>
      <w:r w:rsidRPr="003A4CEB">
        <w:rPr>
          <w:rFonts w:ascii="Calibri" w:eastAsia="Calibri" w:hAnsi="Calibri" w:cs="Times New Roman"/>
          <w:lang w:val="nl-NL"/>
        </w:rPr>
        <w:t xml:space="preserve"> aanbieders bieden </w:t>
      </w:r>
      <w:r w:rsidRPr="003A4CEB">
        <w:rPr>
          <w:rFonts w:ascii="Calibri" w:eastAsia="Calibri" w:hAnsi="Calibri" w:cs="Times New Roman"/>
          <w:i/>
          <w:lang w:val="nl-NL"/>
        </w:rPr>
        <w:t xml:space="preserve">custimzation </w:t>
      </w:r>
      <w:r w:rsidRPr="003A4CEB">
        <w:rPr>
          <w:rFonts w:ascii="Calibri" w:eastAsia="Calibri" w:hAnsi="Calibri" w:cs="Times New Roman"/>
          <w:lang w:val="nl-NL"/>
        </w:rPr>
        <w:t xml:space="preserve">en </w:t>
      </w:r>
      <w:r w:rsidRPr="003A4CEB">
        <w:rPr>
          <w:rFonts w:ascii="Calibri" w:eastAsia="Calibri" w:hAnsi="Calibri" w:cs="Times New Roman"/>
          <w:i/>
          <w:lang w:val="nl-NL"/>
        </w:rPr>
        <w:t xml:space="preserve">postponement of product finalization </w:t>
      </w:r>
      <w:r w:rsidRPr="003A4CEB">
        <w:rPr>
          <w:rFonts w:ascii="Calibri" w:eastAsia="Calibri" w:hAnsi="Calibri" w:cs="Times New Roman"/>
          <w:lang w:val="nl-NL"/>
        </w:rPr>
        <w:t xml:space="preserve">aan omdat dit gedeelte van de supply chain hogere winstmarges </w:t>
      </w:r>
      <w:r w:rsidRPr="003A4CEB">
        <w:rPr>
          <w:lang w:val="nl-NL"/>
        </w:rPr>
        <w:t xml:space="preserve">oplevert dan opslag, </w:t>
      </w:r>
      <w:r w:rsidRPr="003A4CEB">
        <w:rPr>
          <w:rFonts w:ascii="Calibri" w:eastAsia="Calibri" w:hAnsi="Calibri" w:cs="Times New Roman"/>
          <w:lang w:val="nl-NL"/>
        </w:rPr>
        <w:t>transport</w:t>
      </w:r>
      <w:r w:rsidRPr="003A4CEB">
        <w:rPr>
          <w:lang w:val="nl-NL"/>
        </w:rPr>
        <w:t xml:space="preserve"> en distributie</w:t>
      </w:r>
      <w:r w:rsidRPr="003A4CEB">
        <w:rPr>
          <w:rFonts w:ascii="Calibri" w:eastAsia="Calibri" w:hAnsi="Calibri" w:cs="Times New Roman"/>
          <w:lang w:val="nl-NL"/>
        </w:rPr>
        <w:t xml:space="preserve">. </w:t>
      </w:r>
    </w:p>
    <w:p w:rsidR="003A4CEB" w:rsidRPr="003A4CEB" w:rsidRDefault="003A4CEB" w:rsidP="003A4CEB">
      <w:pPr>
        <w:spacing w:after="0"/>
        <w:ind w:firstLine="708"/>
        <w:jc w:val="both"/>
        <w:rPr>
          <w:lang w:val="nl-NL"/>
        </w:rPr>
      </w:pPr>
      <w:r w:rsidRPr="003A4CEB">
        <w:rPr>
          <w:lang w:val="nl-NL"/>
        </w:rPr>
        <w:t xml:space="preserve">Helemaal mee oneens </w:t>
      </w:r>
      <w:r w:rsidRPr="003A4CEB">
        <w:rPr>
          <w:lang w:val="nl-NL"/>
        </w:rPr>
        <w:tab/>
        <w:t xml:space="preserve"> </w:t>
      </w:r>
      <w:r w:rsidRPr="003A4CEB">
        <w:rPr>
          <w:lang w:val="nl-NL"/>
        </w:rPr>
        <w:tab/>
        <w:t xml:space="preserve"> 1</w:t>
      </w:r>
      <w:r w:rsidRPr="003A4CEB">
        <w:rPr>
          <w:lang w:val="nl-NL"/>
        </w:rPr>
        <w:tab/>
        <w:t>2</w:t>
      </w:r>
      <w:r w:rsidRPr="003A4CEB">
        <w:rPr>
          <w:lang w:val="nl-NL"/>
        </w:rPr>
        <w:tab/>
        <w:t>3</w:t>
      </w:r>
      <w:r w:rsidRPr="003A4CEB">
        <w:rPr>
          <w:lang w:val="nl-NL"/>
        </w:rPr>
        <w:tab/>
        <w:t>4</w:t>
      </w:r>
      <w:r w:rsidRPr="003A4CEB">
        <w:rPr>
          <w:lang w:val="nl-NL"/>
        </w:rPr>
        <w:tab/>
        <w:t>5</w:t>
      </w:r>
      <w:r w:rsidRPr="003A4CEB">
        <w:rPr>
          <w:lang w:val="nl-NL"/>
        </w:rPr>
        <w:tab/>
        <w:t>Helemaal mee eens</w:t>
      </w:r>
    </w:p>
    <w:p w:rsidR="003A4CEB" w:rsidRPr="003A4CEB" w:rsidRDefault="003A4CEB" w:rsidP="003A4CEB">
      <w:pPr>
        <w:spacing w:line="240" w:lineRule="auto"/>
        <w:jc w:val="both"/>
        <w:rPr>
          <w:b/>
          <w:lang w:val="nl-NL"/>
        </w:rPr>
      </w:pPr>
      <w:r w:rsidRPr="003A4CEB">
        <w:rPr>
          <w:b/>
          <w:lang w:val="nl-NL"/>
        </w:rPr>
        <w:t>Ter afsluiting worden enkele algemene vragen gesteld over de karakteristieken van uw onderneming</w:t>
      </w:r>
    </w:p>
    <w:p w:rsidR="003A4CEB" w:rsidRPr="003A4CEB" w:rsidRDefault="003A4CEB" w:rsidP="003A4CEB">
      <w:pPr>
        <w:spacing w:line="240" w:lineRule="auto"/>
        <w:jc w:val="both"/>
        <w:rPr>
          <w:lang w:val="nl-NL"/>
        </w:rPr>
      </w:pPr>
      <w:r w:rsidRPr="003A4CEB">
        <w:rPr>
          <w:lang w:val="nl-NL"/>
        </w:rPr>
        <w:t>40. Uw onderneming is een/ziet zichzelf vooral als:</w:t>
      </w:r>
    </w:p>
    <w:p w:rsidR="003A4CEB" w:rsidRPr="00CA0CB8" w:rsidRDefault="003A4CEB" w:rsidP="003A4CEB">
      <w:pPr>
        <w:pStyle w:val="Lijstalinea"/>
        <w:numPr>
          <w:ilvl w:val="0"/>
          <w:numId w:val="39"/>
        </w:numPr>
        <w:spacing w:before="0" w:line="240" w:lineRule="auto"/>
        <w:rPr>
          <w:rFonts w:ascii="Calibri" w:eastAsia="Calibri" w:hAnsi="Calibri" w:cs="Times New Roman"/>
        </w:rPr>
      </w:pPr>
      <w:r w:rsidRPr="00CA0CB8">
        <w:rPr>
          <w:rFonts w:ascii="Calibri" w:eastAsia="Calibri" w:hAnsi="Calibri" w:cs="Times New Roman"/>
        </w:rPr>
        <w:t>Transporteur</w:t>
      </w:r>
      <w:r w:rsidRPr="00CA0CB8">
        <w:t xml:space="preserve"> </w:t>
      </w:r>
    </w:p>
    <w:p w:rsidR="003A4CEB" w:rsidRPr="00CA0CB8" w:rsidRDefault="003A4CEB" w:rsidP="003A4CEB">
      <w:pPr>
        <w:pStyle w:val="Lijstalinea"/>
        <w:numPr>
          <w:ilvl w:val="0"/>
          <w:numId w:val="39"/>
        </w:numPr>
        <w:spacing w:before="0" w:line="240" w:lineRule="auto"/>
        <w:rPr>
          <w:rFonts w:ascii="Calibri" w:eastAsia="Calibri" w:hAnsi="Calibri" w:cs="Times New Roman"/>
        </w:rPr>
      </w:pPr>
      <w:r w:rsidRPr="005F261F">
        <w:rPr>
          <w:rFonts w:ascii="Calibri" w:eastAsia="Calibri" w:hAnsi="Calibri" w:cs="Times New Roman"/>
          <w:i/>
        </w:rPr>
        <w:t>Third party logistics provider</w:t>
      </w:r>
      <w:r w:rsidRPr="00CA0CB8">
        <w:rPr>
          <w:rFonts w:ascii="Calibri" w:eastAsia="Calibri" w:hAnsi="Calibri" w:cs="Times New Roman"/>
        </w:rPr>
        <w:t xml:space="preserve"> (</w:t>
      </w:r>
      <w:r w:rsidRPr="00CA0CB8">
        <w:t>3PL</w:t>
      </w:r>
      <w:r>
        <w:t xml:space="preserve"> /T</w:t>
      </w:r>
      <w:r w:rsidRPr="00CA0CB8">
        <w:rPr>
          <w:rFonts w:ascii="Calibri" w:eastAsia="Calibri" w:hAnsi="Calibri" w:cs="Times New Roman"/>
        </w:rPr>
        <w:t>PL)</w:t>
      </w:r>
      <w:r w:rsidRPr="00CA0CB8">
        <w:t xml:space="preserve"> </w:t>
      </w:r>
    </w:p>
    <w:p w:rsidR="003A4CEB" w:rsidRPr="00CA0CB8" w:rsidRDefault="003A4CEB" w:rsidP="003A4CEB">
      <w:pPr>
        <w:pStyle w:val="Lijstalinea"/>
        <w:numPr>
          <w:ilvl w:val="0"/>
          <w:numId w:val="39"/>
        </w:numPr>
        <w:spacing w:before="0" w:line="240" w:lineRule="auto"/>
      </w:pPr>
      <w:r w:rsidRPr="005F261F">
        <w:rPr>
          <w:rFonts w:ascii="Calibri" w:eastAsia="Calibri" w:hAnsi="Calibri" w:cs="Times New Roman"/>
          <w:i/>
        </w:rPr>
        <w:t>Fourth party logistics provider</w:t>
      </w:r>
      <w:r w:rsidRPr="00CA0CB8">
        <w:rPr>
          <w:rFonts w:ascii="Calibri" w:eastAsia="Calibri" w:hAnsi="Calibri" w:cs="Times New Roman"/>
        </w:rPr>
        <w:t xml:space="preserve"> (4PL)</w:t>
      </w:r>
      <w:r w:rsidRPr="00CA0CB8">
        <w:t xml:space="preserve"> </w:t>
      </w:r>
    </w:p>
    <w:p w:rsidR="003A4CEB" w:rsidRPr="003A4CEB" w:rsidRDefault="003A4CEB" w:rsidP="003A4CEB">
      <w:pPr>
        <w:spacing w:line="240" w:lineRule="auto"/>
        <w:rPr>
          <w:rFonts w:ascii="Calibri" w:eastAsia="Calibri" w:hAnsi="Calibri" w:cs="Times New Roman"/>
          <w:lang w:val="nl-NL"/>
        </w:rPr>
      </w:pPr>
      <w:r w:rsidRPr="003A4CEB">
        <w:rPr>
          <w:lang w:val="nl-NL"/>
        </w:rPr>
        <w:t xml:space="preserve">41. </w:t>
      </w:r>
      <w:r w:rsidRPr="003A4CEB">
        <w:rPr>
          <w:rFonts w:ascii="Calibri" w:eastAsia="Calibri" w:hAnsi="Calibri" w:cs="Times New Roman"/>
          <w:lang w:val="nl-NL"/>
        </w:rPr>
        <w:t>Hoeveel personeelsleden telt uw organisatie?</w:t>
      </w:r>
    </w:p>
    <w:p w:rsidR="003A4CEB" w:rsidRDefault="003A4CEB" w:rsidP="003A4CEB">
      <w:pPr>
        <w:pStyle w:val="Lijstalinea"/>
        <w:numPr>
          <w:ilvl w:val="0"/>
          <w:numId w:val="38"/>
        </w:numPr>
        <w:spacing w:before="0" w:line="240" w:lineRule="auto"/>
        <w:rPr>
          <w:rFonts w:ascii="Calibri" w:eastAsia="Calibri" w:hAnsi="Calibri" w:cs="Times New Roman"/>
        </w:rPr>
      </w:pPr>
      <w:r>
        <w:rPr>
          <w:rFonts w:ascii="Calibri" w:eastAsia="Calibri" w:hAnsi="Calibri" w:cs="Times New Roman"/>
        </w:rPr>
        <w:t>&lt;50</w:t>
      </w:r>
      <w:r>
        <w:t xml:space="preserve"> </w:t>
      </w:r>
    </w:p>
    <w:p w:rsidR="003A4CEB" w:rsidRDefault="003A4CEB" w:rsidP="003A4CEB">
      <w:pPr>
        <w:pStyle w:val="Lijstalinea"/>
        <w:numPr>
          <w:ilvl w:val="0"/>
          <w:numId w:val="38"/>
        </w:numPr>
        <w:spacing w:before="0" w:line="240" w:lineRule="auto"/>
        <w:rPr>
          <w:rFonts w:ascii="Calibri" w:eastAsia="Calibri" w:hAnsi="Calibri" w:cs="Times New Roman"/>
        </w:rPr>
      </w:pPr>
      <w:r>
        <w:rPr>
          <w:rFonts w:ascii="Calibri" w:eastAsia="Calibri" w:hAnsi="Calibri" w:cs="Times New Roman"/>
        </w:rPr>
        <w:t>50-200</w:t>
      </w:r>
    </w:p>
    <w:p w:rsidR="003A4CEB" w:rsidRDefault="003A4CEB" w:rsidP="003A4CEB">
      <w:pPr>
        <w:pStyle w:val="Lijstalinea"/>
        <w:numPr>
          <w:ilvl w:val="0"/>
          <w:numId w:val="38"/>
        </w:numPr>
        <w:spacing w:before="0" w:line="240" w:lineRule="auto"/>
        <w:rPr>
          <w:rFonts w:ascii="Calibri" w:eastAsia="Calibri" w:hAnsi="Calibri" w:cs="Times New Roman"/>
        </w:rPr>
      </w:pPr>
      <w:r>
        <w:rPr>
          <w:rFonts w:ascii="Calibri" w:eastAsia="Calibri" w:hAnsi="Calibri" w:cs="Times New Roman"/>
        </w:rPr>
        <w:t>201- 500</w:t>
      </w:r>
      <w:r>
        <w:t xml:space="preserve"> </w:t>
      </w:r>
    </w:p>
    <w:p w:rsidR="003A4CEB" w:rsidRDefault="003A4CEB" w:rsidP="003A4CEB">
      <w:pPr>
        <w:pStyle w:val="Lijstalinea"/>
        <w:numPr>
          <w:ilvl w:val="0"/>
          <w:numId w:val="38"/>
        </w:numPr>
        <w:spacing w:before="0" w:line="240" w:lineRule="auto"/>
        <w:rPr>
          <w:rFonts w:ascii="Calibri" w:eastAsia="Calibri" w:hAnsi="Calibri" w:cs="Times New Roman"/>
        </w:rPr>
      </w:pPr>
      <w:r>
        <w:rPr>
          <w:rFonts w:ascii="Calibri" w:eastAsia="Calibri" w:hAnsi="Calibri" w:cs="Times New Roman"/>
        </w:rPr>
        <w:t>501-1000</w:t>
      </w:r>
      <w:r>
        <w:t xml:space="preserve"> </w:t>
      </w:r>
    </w:p>
    <w:p w:rsidR="003A4CEB" w:rsidRDefault="003A4CEB" w:rsidP="003A4CEB">
      <w:pPr>
        <w:pStyle w:val="Lijstalinea"/>
        <w:numPr>
          <w:ilvl w:val="0"/>
          <w:numId w:val="38"/>
        </w:numPr>
        <w:spacing w:before="0" w:line="240" w:lineRule="auto"/>
        <w:rPr>
          <w:rFonts w:ascii="Calibri" w:eastAsia="Calibri" w:hAnsi="Calibri" w:cs="Times New Roman"/>
        </w:rPr>
      </w:pPr>
      <w:r>
        <w:rPr>
          <w:rFonts w:ascii="Calibri" w:eastAsia="Calibri" w:hAnsi="Calibri" w:cs="Times New Roman"/>
        </w:rPr>
        <w:t>1000&gt;</w:t>
      </w:r>
      <w:r>
        <w:t xml:space="preserve"> </w:t>
      </w:r>
    </w:p>
    <w:p w:rsidR="003A4CEB" w:rsidRPr="00E77652" w:rsidRDefault="003A4CEB" w:rsidP="003A4CEB">
      <w:pPr>
        <w:spacing w:line="240" w:lineRule="auto"/>
        <w:jc w:val="both"/>
        <w:rPr>
          <w:rFonts w:ascii="Calibri" w:eastAsia="Calibri" w:hAnsi="Calibri" w:cs="Times New Roman"/>
        </w:rPr>
      </w:pPr>
      <w:r>
        <w:t>42. Uw onderneming is vooral:</w:t>
      </w:r>
    </w:p>
    <w:p w:rsidR="003A4CEB" w:rsidRPr="003A4CEB" w:rsidRDefault="003A4CEB" w:rsidP="003A4CEB">
      <w:pPr>
        <w:pStyle w:val="Lijstalinea"/>
        <w:numPr>
          <w:ilvl w:val="0"/>
          <w:numId w:val="40"/>
        </w:numPr>
        <w:spacing w:before="0" w:line="240" w:lineRule="auto"/>
        <w:jc w:val="both"/>
        <w:rPr>
          <w:rFonts w:ascii="Calibri" w:eastAsia="Calibri" w:hAnsi="Calibri" w:cs="AdvPS405B6"/>
          <w:lang w:val="nl-NL"/>
        </w:rPr>
      </w:pPr>
      <w:r w:rsidRPr="003A4CEB">
        <w:rPr>
          <w:rFonts w:ascii="Calibri" w:eastAsia="Calibri" w:hAnsi="Calibri" w:cs="Times New Roman"/>
          <w:i/>
          <w:lang w:val="nl-NL"/>
        </w:rPr>
        <w:t>Asset based</w:t>
      </w:r>
      <w:r w:rsidRPr="003A4CEB">
        <w:rPr>
          <w:rFonts w:ascii="Calibri" w:eastAsia="Calibri" w:hAnsi="Calibri" w:cs="Times New Roman"/>
          <w:lang w:val="nl-NL"/>
        </w:rPr>
        <w:t xml:space="preserve">: </w:t>
      </w:r>
      <w:r w:rsidRPr="003A4CEB">
        <w:rPr>
          <w:rFonts w:ascii="Calibri" w:eastAsia="Calibri" w:hAnsi="Calibri" w:cs="AdvPS405B6"/>
          <w:lang w:val="nl-NL"/>
        </w:rPr>
        <w:t xml:space="preserve">onderneming die over bepaalde activa beschikken, zoals vrachtwagens, schepen, eigen opslagcapaciteit en andere fysieke eigendommen. </w:t>
      </w:r>
    </w:p>
    <w:p w:rsidR="003A4CEB" w:rsidRPr="003A4CEB" w:rsidRDefault="003A4CEB" w:rsidP="003A4CEB">
      <w:pPr>
        <w:pStyle w:val="Lijstalinea"/>
        <w:numPr>
          <w:ilvl w:val="0"/>
          <w:numId w:val="40"/>
        </w:numPr>
        <w:spacing w:before="0" w:line="240" w:lineRule="auto"/>
        <w:jc w:val="both"/>
        <w:rPr>
          <w:rFonts w:ascii="Calibri" w:eastAsia="Calibri" w:hAnsi="Calibri" w:cs="Times New Roman"/>
          <w:lang w:val="nl-NL"/>
        </w:rPr>
      </w:pPr>
      <w:r w:rsidRPr="003A4CEB">
        <w:rPr>
          <w:rFonts w:ascii="Calibri" w:eastAsia="Calibri" w:hAnsi="Calibri" w:cs="Times New Roman"/>
          <w:i/>
          <w:lang w:val="nl-NL"/>
        </w:rPr>
        <w:t>Non Asset based</w:t>
      </w:r>
      <w:r w:rsidRPr="003A4CEB">
        <w:rPr>
          <w:rFonts w:ascii="Calibri" w:eastAsia="Calibri" w:hAnsi="Calibri" w:cs="Times New Roman"/>
          <w:lang w:val="nl-NL"/>
        </w:rPr>
        <w:t>: beschikken niet over veel eigen activa en besteden het fysieke transport- en opslagproces dan ook uit. Het fundament onder dit soort ondernemingen is hun kennisniveau en kunde.</w:t>
      </w:r>
    </w:p>
    <w:p w:rsidR="003A4CEB" w:rsidRPr="00CA0CB8" w:rsidRDefault="003A4CEB" w:rsidP="003A4CEB">
      <w:pPr>
        <w:rPr>
          <w:rFonts w:ascii="Calibri" w:eastAsia="Calibri" w:hAnsi="Calibri" w:cs="Times New Roman"/>
          <w:b/>
        </w:rPr>
      </w:pPr>
      <w:r>
        <w:rPr>
          <w:b/>
        </w:rPr>
        <w:t>Einde vragenlijst</w:t>
      </w:r>
    </w:p>
    <w:tbl>
      <w:tblPr>
        <w:tblStyle w:val="Tabelraster"/>
        <w:tblW w:w="0" w:type="auto"/>
        <w:tblLook w:val="04A0"/>
      </w:tblPr>
      <w:tblGrid>
        <w:gridCol w:w="9212"/>
      </w:tblGrid>
      <w:tr w:rsidR="003A4CEB" w:rsidRPr="002752F8" w:rsidTr="003A4CEB">
        <w:tc>
          <w:tcPr>
            <w:tcW w:w="9212" w:type="dxa"/>
          </w:tcPr>
          <w:p w:rsidR="003A4CEB" w:rsidRPr="003A4CEB" w:rsidRDefault="003A4CEB" w:rsidP="003A4CEB">
            <w:pPr>
              <w:spacing w:line="360" w:lineRule="auto"/>
              <w:textAlignment w:val="top"/>
              <w:rPr>
                <w:b/>
                <w:lang w:val="nl-NL"/>
              </w:rPr>
            </w:pPr>
            <w:r w:rsidRPr="003A4CEB">
              <w:rPr>
                <w:lang w:val="nl-NL"/>
              </w:rPr>
              <w:t>Heeft u nog op- of aanmerkingen over deze vragenlijst?</w:t>
            </w:r>
          </w:p>
          <w:p w:rsidR="003A4CEB" w:rsidRPr="003A4CEB" w:rsidRDefault="003A4CEB" w:rsidP="003A4CEB">
            <w:pPr>
              <w:spacing w:line="360" w:lineRule="auto"/>
              <w:textAlignment w:val="top"/>
              <w:rPr>
                <w:b/>
                <w:lang w:val="nl-NL"/>
              </w:rPr>
            </w:pPr>
          </w:p>
          <w:p w:rsidR="003A4CEB" w:rsidRPr="003A4CEB" w:rsidRDefault="003A4CEB" w:rsidP="003A4CEB">
            <w:pPr>
              <w:spacing w:line="360" w:lineRule="auto"/>
              <w:textAlignment w:val="top"/>
              <w:rPr>
                <w:b/>
                <w:lang w:val="nl-NL"/>
              </w:rPr>
            </w:pPr>
          </w:p>
          <w:p w:rsidR="003A4CEB" w:rsidRPr="003A4CEB" w:rsidRDefault="003A4CEB" w:rsidP="003A4CEB">
            <w:pPr>
              <w:spacing w:line="360" w:lineRule="auto"/>
              <w:textAlignment w:val="top"/>
              <w:rPr>
                <w:b/>
                <w:lang w:val="nl-NL"/>
              </w:rPr>
            </w:pPr>
          </w:p>
          <w:p w:rsidR="003A4CEB" w:rsidRPr="003A4CEB" w:rsidRDefault="003A4CEB" w:rsidP="003A4CEB">
            <w:pPr>
              <w:spacing w:line="360" w:lineRule="auto"/>
              <w:textAlignment w:val="top"/>
              <w:rPr>
                <w:b/>
                <w:lang w:val="nl-NL"/>
              </w:rPr>
            </w:pPr>
          </w:p>
          <w:p w:rsidR="003A4CEB" w:rsidRPr="003A4CEB" w:rsidRDefault="003A4CEB" w:rsidP="003A4CEB">
            <w:pPr>
              <w:spacing w:line="360" w:lineRule="auto"/>
              <w:textAlignment w:val="top"/>
              <w:rPr>
                <w:b/>
                <w:lang w:val="nl-NL"/>
              </w:rPr>
            </w:pPr>
          </w:p>
          <w:p w:rsidR="003A4CEB" w:rsidRPr="003A4CEB" w:rsidRDefault="003A4CEB" w:rsidP="003A4CEB">
            <w:pPr>
              <w:spacing w:line="360" w:lineRule="auto"/>
              <w:textAlignment w:val="top"/>
              <w:rPr>
                <w:b/>
                <w:lang w:val="nl-NL"/>
              </w:rPr>
            </w:pPr>
          </w:p>
        </w:tc>
      </w:tr>
    </w:tbl>
    <w:p w:rsidR="003A4CEB" w:rsidRPr="003A4CEB" w:rsidRDefault="003A4CEB" w:rsidP="003A4CEB">
      <w:pPr>
        <w:spacing w:after="0" w:line="360" w:lineRule="auto"/>
        <w:textAlignment w:val="top"/>
        <w:rPr>
          <w:b/>
          <w:lang w:val="nl-NL"/>
        </w:rPr>
      </w:pPr>
    </w:p>
    <w:p w:rsidR="003A4CEB" w:rsidRPr="003A4CEB" w:rsidRDefault="003A4CEB" w:rsidP="003A4CEB">
      <w:pPr>
        <w:spacing w:after="0" w:line="360" w:lineRule="auto"/>
        <w:textAlignment w:val="top"/>
        <w:rPr>
          <w:b/>
          <w:lang w:val="nl-NL"/>
        </w:rPr>
      </w:pPr>
      <w:r w:rsidRPr="003A4CEB">
        <w:rPr>
          <w:b/>
          <w:lang w:val="nl-NL"/>
        </w:rPr>
        <w:t>Indien u interesse heeft in de resultaten van dit onderzoek kunt u hieronder uw e-mailadres opgeven:</w:t>
      </w:r>
    </w:p>
    <w:tbl>
      <w:tblPr>
        <w:tblStyle w:val="Tabelraster"/>
        <w:tblW w:w="0" w:type="auto"/>
        <w:tblLook w:val="04A0"/>
      </w:tblPr>
      <w:tblGrid>
        <w:gridCol w:w="9212"/>
      </w:tblGrid>
      <w:tr w:rsidR="003A4CEB" w:rsidRPr="002752F8" w:rsidTr="003A4CEB">
        <w:tc>
          <w:tcPr>
            <w:tcW w:w="9212" w:type="dxa"/>
          </w:tcPr>
          <w:p w:rsidR="003A4CEB" w:rsidRPr="003A4CEB" w:rsidRDefault="003A4CEB" w:rsidP="003A4CEB">
            <w:pPr>
              <w:spacing w:line="360" w:lineRule="auto"/>
              <w:textAlignment w:val="top"/>
              <w:rPr>
                <w:b/>
                <w:lang w:val="nl-NL"/>
              </w:rPr>
            </w:pPr>
          </w:p>
        </w:tc>
      </w:tr>
    </w:tbl>
    <w:p w:rsidR="003A4CEB" w:rsidRPr="003A4CEB" w:rsidRDefault="003A4CEB" w:rsidP="003A4CEB">
      <w:pPr>
        <w:spacing w:after="0" w:line="360" w:lineRule="auto"/>
        <w:textAlignment w:val="top"/>
        <w:rPr>
          <w:b/>
          <w:lang w:val="nl-NL"/>
        </w:rPr>
      </w:pPr>
      <w:r w:rsidRPr="003A4CEB">
        <w:rPr>
          <w:b/>
          <w:lang w:val="nl-NL"/>
        </w:rPr>
        <w:t xml:space="preserve"> </w:t>
      </w:r>
    </w:p>
    <w:p w:rsidR="003A4CEB" w:rsidRPr="003A4CEB" w:rsidRDefault="003A4CEB" w:rsidP="003A4CEB">
      <w:pPr>
        <w:spacing w:after="0" w:line="360" w:lineRule="auto"/>
        <w:textAlignment w:val="top"/>
        <w:rPr>
          <w:b/>
          <w:lang w:val="nl-NL"/>
        </w:rPr>
      </w:pPr>
      <w:r w:rsidRPr="003A4CEB">
        <w:rPr>
          <w:b/>
          <w:lang w:val="nl-NL"/>
        </w:rPr>
        <w:t>Bedankt voor uw medewerking!</w:t>
      </w:r>
    </w:p>
    <w:p w:rsidR="003A4CEB" w:rsidRPr="003A4CEB" w:rsidRDefault="003A4CEB" w:rsidP="003A4CEB">
      <w:pPr>
        <w:spacing w:after="0" w:line="360" w:lineRule="auto"/>
        <w:textAlignment w:val="top"/>
        <w:rPr>
          <w:b/>
          <w:lang w:val="nl-NL"/>
        </w:rPr>
      </w:pPr>
      <w:r w:rsidRPr="003A4CEB">
        <w:rPr>
          <w:b/>
          <w:lang w:val="nl-NL"/>
        </w:rPr>
        <w:t>Met vriendelijke groet,</w:t>
      </w:r>
    </w:p>
    <w:p w:rsidR="00CC56F7" w:rsidRPr="00B707B7" w:rsidRDefault="003A4CEB" w:rsidP="00B707B7">
      <w:pPr>
        <w:spacing w:after="0" w:line="360" w:lineRule="auto"/>
        <w:textAlignment w:val="top"/>
        <w:rPr>
          <w:b/>
        </w:rPr>
      </w:pPr>
      <w:r>
        <w:rPr>
          <w:b/>
        </w:rPr>
        <w:t>Lex Miechels</w:t>
      </w:r>
    </w:p>
    <w:sectPr w:rsidR="00CC56F7" w:rsidRPr="00B707B7" w:rsidSect="00057F30">
      <w:headerReference w:type="even" r:id="rId47"/>
      <w:headerReference w:type="default" r:id="rId48"/>
      <w:footerReference w:type="even" r:id="rId49"/>
      <w:footerReference w:type="default" r:id="rId50"/>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1A5C" w:rsidRDefault="00001A5C" w:rsidP="000731C8">
      <w:pPr>
        <w:spacing w:before="0" w:after="0" w:line="240" w:lineRule="auto"/>
      </w:pPr>
      <w:r>
        <w:separator/>
      </w:r>
    </w:p>
  </w:endnote>
  <w:endnote w:type="continuationSeparator" w:id="0">
    <w:p w:rsidR="00001A5C" w:rsidRDefault="00001A5C" w:rsidP="000731C8">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venir LT Std 55 Roman">
    <w:altName w:val="Avenir LT Std 55 Roman"/>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Roman">
    <w:panose1 w:val="00000000000000000000"/>
    <w:charset w:val="00"/>
    <w:family w:val="roman"/>
    <w:notTrueType/>
    <w:pitch w:val="default"/>
    <w:sig w:usb0="00000003" w:usb1="00000000" w:usb2="00000000" w:usb3="00000000" w:csb0="00000001" w:csb1="00000000"/>
  </w:font>
  <w:font w:name="AdvTimes">
    <w:panose1 w:val="00000000000000000000"/>
    <w:charset w:val="00"/>
    <w:family w:val="auto"/>
    <w:notTrueType/>
    <w:pitch w:val="default"/>
    <w:sig w:usb0="00000003" w:usb1="00000000" w:usb2="00000000" w:usb3="00000000" w:csb0="00000001" w:csb1="00000000"/>
  </w:font>
  <w:font w:name="AdvPS405B6">
    <w:panose1 w:val="00000000000000000000"/>
    <w:charset w:val="00"/>
    <w:family w:val="roman"/>
    <w:notTrueType/>
    <w:pitch w:val="default"/>
    <w:sig w:usb0="00000003" w:usb1="00000000" w:usb2="00000000" w:usb3="00000000" w:csb0="00000001" w:csb1="00000000"/>
  </w:font>
  <w:font w:name="Avenir LT Std 35 Light">
    <w:altName w:val="Avenir LT Std 35 Light"/>
    <w:panose1 w:val="00000000000000000000"/>
    <w:charset w:val="00"/>
    <w:family w:val="swiss"/>
    <w:notTrueType/>
    <w:pitch w:val="default"/>
    <w:sig w:usb0="00000003" w:usb1="00000000" w:usb2="00000000" w:usb3="00000000" w:csb0="00000001" w:csb1="00000000"/>
  </w:font>
  <w:font w:name="AdvPS405B7">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dvP405B6">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NewBaskervilleStd-Roman">
    <w:panose1 w:val="00000000000000000000"/>
    <w:charset w:val="00"/>
    <w:family w:val="roman"/>
    <w:notTrueType/>
    <w:pitch w:val="default"/>
    <w:sig w:usb0="00000003" w:usb1="00000000" w:usb2="00000000" w:usb3="00000000" w:csb0="00000001" w:csb1="00000000"/>
  </w:font>
  <w:font w:name="AvenirLTStd-Light">
    <w:panose1 w:val="00000000000000000000"/>
    <w:charset w:val="00"/>
    <w:family w:val="swiss"/>
    <w:notTrueType/>
    <w:pitch w:val="default"/>
    <w:sig w:usb0="00000003" w:usb1="00000000" w:usb2="00000000" w:usb3="00000000" w:csb0="00000001" w:csb1="00000000"/>
  </w:font>
  <w:font w:name="GaramondPage0a">
    <w:panose1 w:val="00000000000000000000"/>
    <w:charset w:val="00"/>
    <w:family w:val="auto"/>
    <w:notTrueType/>
    <w:pitch w:val="default"/>
    <w:sig w:usb0="00000003" w:usb1="00000000" w:usb2="00000000" w:usb3="00000000" w:csb0="00000001" w:csb1="00000000"/>
  </w:font>
  <w:font w:name="GaramondPage0b">
    <w:panose1 w:val="00000000000000000000"/>
    <w:charset w:val="00"/>
    <w:family w:val="auto"/>
    <w:notTrueType/>
    <w:pitch w:val="default"/>
    <w:sig w:usb0="00000003" w:usb1="00000000" w:usb2="00000000" w:usb3="00000000" w:csb0="00000001" w:csb1="00000000"/>
  </w:font>
  <w:font w:name="AdvP405B7">
    <w:panose1 w:val="00000000000000000000"/>
    <w:charset w:val="00"/>
    <w:family w:val="auto"/>
    <w:notTrueType/>
    <w:pitch w:val="default"/>
    <w:sig w:usb0="00000003" w:usb1="00000000" w:usb2="00000000" w:usb3="00000000" w:csb0="00000001" w:csb1="00000000"/>
  </w:font>
  <w:font w:name="Verdana,Italic">
    <w:panose1 w:val="00000000000000000000"/>
    <w:charset w:val="00"/>
    <w:family w:val="auto"/>
    <w:notTrueType/>
    <w:pitch w:val="default"/>
    <w:sig w:usb0="00000003" w:usb1="00000000" w:usb2="00000000" w:usb3="00000000" w:csb0="00000001" w:csb1="00000000"/>
  </w:font>
  <w:font w:name="Verdana,Bold">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2F8" w:rsidRDefault="002752F8" w:rsidP="00057F30">
    <w:pPr>
      <w:pStyle w:val="Voettekst"/>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99915"/>
      <w:docPartObj>
        <w:docPartGallery w:val="Page Numbers (Bottom of Page)"/>
        <w:docPartUnique/>
      </w:docPartObj>
    </w:sdtPr>
    <w:sdtContent>
      <w:p w:rsidR="002752F8" w:rsidRDefault="002752F8">
        <w:pPr>
          <w:pStyle w:val="Voettekst"/>
          <w:jc w:val="center"/>
        </w:pPr>
        <w:fldSimple w:instr=" PAGE   \* MERGEFORMAT ">
          <w:r w:rsidR="00E05597">
            <w:rPr>
              <w:noProof/>
            </w:rPr>
            <w:t>80</w:t>
          </w:r>
        </w:fldSimple>
      </w:p>
    </w:sdtContent>
  </w:sdt>
  <w:p w:rsidR="002752F8" w:rsidRDefault="002752F8">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1A5C" w:rsidRDefault="00001A5C" w:rsidP="000731C8">
      <w:pPr>
        <w:spacing w:before="0" w:after="0" w:line="240" w:lineRule="auto"/>
      </w:pPr>
      <w:r>
        <w:separator/>
      </w:r>
    </w:p>
  </w:footnote>
  <w:footnote w:type="continuationSeparator" w:id="0">
    <w:p w:rsidR="00001A5C" w:rsidRDefault="00001A5C" w:rsidP="000731C8">
      <w:pPr>
        <w:spacing w:before="0"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2F8" w:rsidRDefault="002752F8">
    <w:pPr>
      <w:pStyle w:val="Koptekst"/>
    </w:pPr>
    <w:r>
      <w:tab/>
    </w:r>
    <w:r>
      <w:tab/>
      <w:t xml:space="preserve">The strategic development of third party logistics providers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2F8" w:rsidRDefault="002752F8" w:rsidP="00057F30">
    <w:pPr>
      <w:pStyle w:val="Koptekst"/>
    </w:pPr>
    <w:r>
      <w:tab/>
    </w:r>
    <w:r>
      <w:tab/>
      <w:t xml:space="preserve">The strategic development of third party logistics providers </w:t>
    </w:r>
  </w:p>
  <w:p w:rsidR="002752F8" w:rsidRDefault="002752F8">
    <w:pPr>
      <w:pStyle w:val="Kopteks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3in;height:3in" o:bullet="t"/>
    </w:pict>
  </w:numPicBullet>
  <w:numPicBullet w:numPicBulletId="1">
    <w:pict>
      <v:shape id="_x0000_i1059" type="#_x0000_t75" style="width:3in;height:3in" o:bullet="t"/>
    </w:pict>
  </w:numPicBullet>
  <w:numPicBullet w:numPicBulletId="2">
    <w:pict>
      <v:shape id="_x0000_i1060" type="#_x0000_t75" style="width:3in;height:3in" o:bullet="t"/>
    </w:pict>
  </w:numPicBullet>
  <w:numPicBullet w:numPicBulletId="3">
    <w:pict>
      <v:shape id="_x0000_i1061" type="#_x0000_t75" style="width:3in;height:3in" o:bullet="t"/>
    </w:pict>
  </w:numPicBullet>
  <w:abstractNum w:abstractNumId="0">
    <w:nsid w:val="028D7CEC"/>
    <w:multiLevelType w:val="hybridMultilevel"/>
    <w:tmpl w:val="6A3C1930"/>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58A3DD4"/>
    <w:multiLevelType w:val="multilevel"/>
    <w:tmpl w:val="5212066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
    <w:nsid w:val="062F5F87"/>
    <w:multiLevelType w:val="multilevel"/>
    <w:tmpl w:val="5212066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
    <w:nsid w:val="0A965C7D"/>
    <w:multiLevelType w:val="hybridMultilevel"/>
    <w:tmpl w:val="A9A0022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111054D3"/>
    <w:multiLevelType w:val="hybridMultilevel"/>
    <w:tmpl w:val="7616CB6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1CD07D90"/>
    <w:multiLevelType w:val="multilevel"/>
    <w:tmpl w:val="82DEDEF4"/>
    <w:lvl w:ilvl="0">
      <w:start w:val="1"/>
      <w:numFmt w:val="bullet"/>
      <w:lvlText w:val=""/>
      <w:lvlPicBulletId w:val="2"/>
      <w:lvlJc w:val="left"/>
      <w:pPr>
        <w:tabs>
          <w:tab w:val="num" w:pos="720"/>
        </w:tabs>
        <w:ind w:left="720" w:hanging="360"/>
      </w:pPr>
      <w:rPr>
        <w:rFonts w:ascii="Symbol" w:hAnsi="Symbol" w:hint="default"/>
        <w:sz w:val="20"/>
      </w:rPr>
    </w:lvl>
    <w:lvl w:ilvl="1" w:tentative="1">
      <w:start w:val="1"/>
      <w:numFmt w:val="bullet"/>
      <w:lvlText w:val="o"/>
      <w:lvlPicBulletId w:val="3"/>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00E6525"/>
    <w:multiLevelType w:val="hybridMultilevel"/>
    <w:tmpl w:val="35B23E8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0B21606"/>
    <w:multiLevelType w:val="hybridMultilevel"/>
    <w:tmpl w:val="D0C005D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20B62CB1"/>
    <w:multiLevelType w:val="multilevel"/>
    <w:tmpl w:val="C310E930"/>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nsid w:val="2374604E"/>
    <w:multiLevelType w:val="multilevel"/>
    <w:tmpl w:val="5212066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0">
    <w:nsid w:val="23AC4800"/>
    <w:multiLevelType w:val="hybridMultilevel"/>
    <w:tmpl w:val="F418084E"/>
    <w:lvl w:ilvl="0" w:tplc="0413000F">
      <w:start w:val="1"/>
      <w:numFmt w:val="decimal"/>
      <w:lvlText w:val="%1."/>
      <w:lvlJc w:val="left"/>
      <w:pPr>
        <w:ind w:left="720" w:hanging="360"/>
      </w:pPr>
    </w:lvl>
    <w:lvl w:ilvl="1" w:tplc="0413000F">
      <w:start w:val="1"/>
      <w:numFmt w:val="decimal"/>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2750749A"/>
    <w:multiLevelType w:val="hybridMultilevel"/>
    <w:tmpl w:val="2FBCAF48"/>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27E36B6F"/>
    <w:multiLevelType w:val="hybridMultilevel"/>
    <w:tmpl w:val="4D04093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298A5040"/>
    <w:multiLevelType w:val="hybridMultilevel"/>
    <w:tmpl w:val="A79CC05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2DC22EF8"/>
    <w:multiLevelType w:val="hybridMultilevel"/>
    <w:tmpl w:val="BC348DA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2E8849E7"/>
    <w:multiLevelType w:val="hybridMultilevel"/>
    <w:tmpl w:val="4C408E40"/>
    <w:lvl w:ilvl="0" w:tplc="04130003">
      <w:start w:val="1"/>
      <w:numFmt w:val="bullet"/>
      <w:lvlText w:val="o"/>
      <w:lvlJc w:val="left"/>
      <w:pPr>
        <w:ind w:left="720" w:hanging="360"/>
      </w:pPr>
      <w:rPr>
        <w:rFonts w:ascii="Courier New" w:hAnsi="Courier New" w:cs="Courier New" w:hint="default"/>
      </w:rPr>
    </w:lvl>
    <w:lvl w:ilvl="1" w:tplc="9BC2FE9A">
      <w:numFmt w:val="bullet"/>
      <w:lvlText w:val=""/>
      <w:lvlJc w:val="left"/>
      <w:pPr>
        <w:ind w:left="1440" w:hanging="360"/>
      </w:pPr>
      <w:rPr>
        <w:rFonts w:ascii="Symbol" w:eastAsiaTheme="minorHAnsi" w:hAnsi="Symbol" w:cstheme="minorBidi"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2FAA3F82"/>
    <w:multiLevelType w:val="hybridMultilevel"/>
    <w:tmpl w:val="2DD820A0"/>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300A2DFF"/>
    <w:multiLevelType w:val="hybridMultilevel"/>
    <w:tmpl w:val="B2089208"/>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30C827B6"/>
    <w:multiLevelType w:val="hybridMultilevel"/>
    <w:tmpl w:val="5354432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335B6C07"/>
    <w:multiLevelType w:val="multilevel"/>
    <w:tmpl w:val="2458A454"/>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20">
    <w:nsid w:val="343A47C6"/>
    <w:multiLevelType w:val="multilevel"/>
    <w:tmpl w:val="8814F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657B4A"/>
    <w:multiLevelType w:val="hybridMultilevel"/>
    <w:tmpl w:val="52144A02"/>
    <w:lvl w:ilvl="0" w:tplc="04130003">
      <w:start w:val="1"/>
      <w:numFmt w:val="bullet"/>
      <w:lvlText w:val="o"/>
      <w:lvlJc w:val="left"/>
      <w:pPr>
        <w:ind w:left="1428" w:hanging="360"/>
      </w:pPr>
      <w:rPr>
        <w:rFonts w:ascii="Courier New" w:hAnsi="Courier New" w:cs="Courier New"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22">
    <w:nsid w:val="3A8B24B8"/>
    <w:multiLevelType w:val="multilevel"/>
    <w:tmpl w:val="E4146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C344FA8"/>
    <w:multiLevelType w:val="multilevel"/>
    <w:tmpl w:val="F11C7BB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4">
    <w:nsid w:val="3CFF3CB5"/>
    <w:multiLevelType w:val="hybridMultilevel"/>
    <w:tmpl w:val="452880E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3E16021B"/>
    <w:multiLevelType w:val="hybridMultilevel"/>
    <w:tmpl w:val="E0C8E2EE"/>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4435556A"/>
    <w:multiLevelType w:val="hybridMultilevel"/>
    <w:tmpl w:val="1F30F77A"/>
    <w:lvl w:ilvl="0" w:tplc="04130003">
      <w:start w:val="1"/>
      <w:numFmt w:val="bullet"/>
      <w:lvlText w:val="o"/>
      <w:lvlJc w:val="left"/>
      <w:pPr>
        <w:ind w:left="1428" w:hanging="360"/>
      </w:pPr>
      <w:rPr>
        <w:rFonts w:ascii="Courier New" w:hAnsi="Courier New" w:cs="Courier New"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27">
    <w:nsid w:val="48702E2B"/>
    <w:multiLevelType w:val="hybridMultilevel"/>
    <w:tmpl w:val="B992C9F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4B4D1883"/>
    <w:multiLevelType w:val="hybridMultilevel"/>
    <w:tmpl w:val="AB4E6B1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nsid w:val="4D847418"/>
    <w:multiLevelType w:val="hybridMultilevel"/>
    <w:tmpl w:val="300CCCB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54B43A0D"/>
    <w:multiLevelType w:val="multilevel"/>
    <w:tmpl w:val="843EB61E"/>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54158E3"/>
    <w:multiLevelType w:val="multilevel"/>
    <w:tmpl w:val="B8869A0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2">
    <w:nsid w:val="58F15C5D"/>
    <w:multiLevelType w:val="hybridMultilevel"/>
    <w:tmpl w:val="32F8B87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5BDF377E"/>
    <w:multiLevelType w:val="hybridMultilevel"/>
    <w:tmpl w:val="2A64831A"/>
    <w:lvl w:ilvl="0" w:tplc="FEE434F2">
      <w:start w:val="1"/>
      <w:numFmt w:val="bullet"/>
      <w:lvlText w:val="o"/>
      <w:lvlJc w:val="left"/>
      <w:pPr>
        <w:ind w:left="720" w:hanging="360"/>
      </w:pPr>
      <w:rPr>
        <w:rFonts w:ascii="Courier New" w:hAnsi="Courier New" w:cs="Courier New" w:hint="default"/>
        <w:color w:val="auto"/>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5EC85D79"/>
    <w:multiLevelType w:val="hybridMultilevel"/>
    <w:tmpl w:val="853A9228"/>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620F276D"/>
    <w:multiLevelType w:val="hybridMultilevel"/>
    <w:tmpl w:val="1DACAF1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nsid w:val="62397DB4"/>
    <w:multiLevelType w:val="hybridMultilevel"/>
    <w:tmpl w:val="8D207370"/>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651F2CC1"/>
    <w:multiLevelType w:val="hybridMultilevel"/>
    <w:tmpl w:val="674C31A6"/>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nsid w:val="67D47184"/>
    <w:multiLevelType w:val="hybridMultilevel"/>
    <w:tmpl w:val="6DE45F84"/>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nsid w:val="6C3C19C1"/>
    <w:multiLevelType w:val="hybridMultilevel"/>
    <w:tmpl w:val="6B2843C0"/>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nsid w:val="6F6709BC"/>
    <w:multiLevelType w:val="hybridMultilevel"/>
    <w:tmpl w:val="363CF5E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nsid w:val="760328D3"/>
    <w:multiLevelType w:val="multilevel"/>
    <w:tmpl w:val="C310E930"/>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2">
    <w:nsid w:val="78466E81"/>
    <w:multiLevelType w:val="hybridMultilevel"/>
    <w:tmpl w:val="18B4068E"/>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nsid w:val="7F152B0E"/>
    <w:multiLevelType w:val="hybridMultilevel"/>
    <w:tmpl w:val="D298C266"/>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nsid w:val="7FD02235"/>
    <w:multiLevelType w:val="hybridMultilevel"/>
    <w:tmpl w:val="04FED71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7"/>
  </w:num>
  <w:num w:numId="2">
    <w:abstractNumId w:val="17"/>
  </w:num>
  <w:num w:numId="3">
    <w:abstractNumId w:val="28"/>
  </w:num>
  <w:num w:numId="4">
    <w:abstractNumId w:val="14"/>
  </w:num>
  <w:num w:numId="5">
    <w:abstractNumId w:val="24"/>
  </w:num>
  <w:num w:numId="6">
    <w:abstractNumId w:val="35"/>
  </w:num>
  <w:num w:numId="7">
    <w:abstractNumId w:val="3"/>
  </w:num>
  <w:num w:numId="8">
    <w:abstractNumId w:val="7"/>
  </w:num>
  <w:num w:numId="9">
    <w:abstractNumId w:val="4"/>
  </w:num>
  <w:num w:numId="10">
    <w:abstractNumId w:val="10"/>
  </w:num>
  <w:num w:numId="11">
    <w:abstractNumId w:val="19"/>
  </w:num>
  <w:num w:numId="12">
    <w:abstractNumId w:val="1"/>
  </w:num>
  <w:num w:numId="13">
    <w:abstractNumId w:val="23"/>
  </w:num>
  <w:num w:numId="14">
    <w:abstractNumId w:val="9"/>
  </w:num>
  <w:num w:numId="15">
    <w:abstractNumId w:val="31"/>
  </w:num>
  <w:num w:numId="16">
    <w:abstractNumId w:val="44"/>
  </w:num>
  <w:num w:numId="17">
    <w:abstractNumId w:val="22"/>
  </w:num>
  <w:num w:numId="18">
    <w:abstractNumId w:val="43"/>
  </w:num>
  <w:num w:numId="19">
    <w:abstractNumId w:val="2"/>
  </w:num>
  <w:num w:numId="20">
    <w:abstractNumId w:val="41"/>
  </w:num>
  <w:num w:numId="21">
    <w:abstractNumId w:val="8"/>
  </w:num>
  <w:num w:numId="22">
    <w:abstractNumId w:val="20"/>
  </w:num>
  <w:num w:numId="23">
    <w:abstractNumId w:val="42"/>
  </w:num>
  <w:num w:numId="24">
    <w:abstractNumId w:val="15"/>
  </w:num>
  <w:num w:numId="25">
    <w:abstractNumId w:val="40"/>
  </w:num>
  <w:num w:numId="26">
    <w:abstractNumId w:val="27"/>
  </w:num>
  <w:num w:numId="27">
    <w:abstractNumId w:val="32"/>
  </w:num>
  <w:num w:numId="28">
    <w:abstractNumId w:val="11"/>
  </w:num>
  <w:num w:numId="29">
    <w:abstractNumId w:val="38"/>
  </w:num>
  <w:num w:numId="30">
    <w:abstractNumId w:val="25"/>
  </w:num>
  <w:num w:numId="31">
    <w:abstractNumId w:val="0"/>
  </w:num>
  <w:num w:numId="32">
    <w:abstractNumId w:val="34"/>
  </w:num>
  <w:num w:numId="33">
    <w:abstractNumId w:val="33"/>
  </w:num>
  <w:num w:numId="34">
    <w:abstractNumId w:val="18"/>
  </w:num>
  <w:num w:numId="35">
    <w:abstractNumId w:val="26"/>
  </w:num>
  <w:num w:numId="36">
    <w:abstractNumId w:val="21"/>
  </w:num>
  <w:num w:numId="37">
    <w:abstractNumId w:val="6"/>
  </w:num>
  <w:num w:numId="38">
    <w:abstractNumId w:val="16"/>
  </w:num>
  <w:num w:numId="39">
    <w:abstractNumId w:val="39"/>
  </w:num>
  <w:num w:numId="40">
    <w:abstractNumId w:val="36"/>
  </w:num>
  <w:num w:numId="41">
    <w:abstractNumId w:val="29"/>
  </w:num>
  <w:num w:numId="42">
    <w:abstractNumId w:val="13"/>
  </w:num>
  <w:num w:numId="43">
    <w:abstractNumId w:val="12"/>
  </w:num>
  <w:num w:numId="44">
    <w:abstractNumId w:val="30"/>
  </w:num>
  <w:num w:numId="4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00"/>
  <w:displayHorizontalDrawingGridEvery w:val="2"/>
  <w:characterSpacingControl w:val="doNotCompress"/>
  <w:hdrShapeDefaults>
    <o:shapedefaults v:ext="edit" spidmax="101378">
      <o:colormenu v:ext="edit" strokecolor="none"/>
    </o:shapedefaults>
  </w:hdrShapeDefaults>
  <w:footnotePr>
    <w:footnote w:id="-1"/>
    <w:footnote w:id="0"/>
  </w:footnotePr>
  <w:endnotePr>
    <w:endnote w:id="-1"/>
    <w:endnote w:id="0"/>
  </w:endnotePr>
  <w:compat>
    <w:useFELayout/>
  </w:compat>
  <w:rsids>
    <w:rsidRoot w:val="004B158C"/>
    <w:rsid w:val="00000FEE"/>
    <w:rsid w:val="00001A5C"/>
    <w:rsid w:val="000042FD"/>
    <w:rsid w:val="0000644A"/>
    <w:rsid w:val="00007179"/>
    <w:rsid w:val="0001031A"/>
    <w:rsid w:val="00010CB2"/>
    <w:rsid w:val="00011D3E"/>
    <w:rsid w:val="000124B3"/>
    <w:rsid w:val="00012B8E"/>
    <w:rsid w:val="00015D25"/>
    <w:rsid w:val="000225C5"/>
    <w:rsid w:val="0002659B"/>
    <w:rsid w:val="00032ECF"/>
    <w:rsid w:val="00034793"/>
    <w:rsid w:val="00036264"/>
    <w:rsid w:val="00037CFD"/>
    <w:rsid w:val="00037F7B"/>
    <w:rsid w:val="00040C7F"/>
    <w:rsid w:val="0004207E"/>
    <w:rsid w:val="00044FCB"/>
    <w:rsid w:val="00045488"/>
    <w:rsid w:val="00047D3B"/>
    <w:rsid w:val="00050A1C"/>
    <w:rsid w:val="0005209B"/>
    <w:rsid w:val="000548B4"/>
    <w:rsid w:val="00055293"/>
    <w:rsid w:val="0005578D"/>
    <w:rsid w:val="00055980"/>
    <w:rsid w:val="000565EC"/>
    <w:rsid w:val="00056C29"/>
    <w:rsid w:val="00057F30"/>
    <w:rsid w:val="000634A8"/>
    <w:rsid w:val="000651F5"/>
    <w:rsid w:val="0006658F"/>
    <w:rsid w:val="00066627"/>
    <w:rsid w:val="00066ADD"/>
    <w:rsid w:val="00067613"/>
    <w:rsid w:val="00067C15"/>
    <w:rsid w:val="0007102A"/>
    <w:rsid w:val="000731C8"/>
    <w:rsid w:val="0007370C"/>
    <w:rsid w:val="00074974"/>
    <w:rsid w:val="00075370"/>
    <w:rsid w:val="00077042"/>
    <w:rsid w:val="0007783E"/>
    <w:rsid w:val="00081C90"/>
    <w:rsid w:val="000820A0"/>
    <w:rsid w:val="00082F73"/>
    <w:rsid w:val="00085D2E"/>
    <w:rsid w:val="00086DB7"/>
    <w:rsid w:val="00087A65"/>
    <w:rsid w:val="00092A1E"/>
    <w:rsid w:val="00095D6D"/>
    <w:rsid w:val="0009779E"/>
    <w:rsid w:val="00097C88"/>
    <w:rsid w:val="000A1646"/>
    <w:rsid w:val="000A1922"/>
    <w:rsid w:val="000A65D6"/>
    <w:rsid w:val="000A6BDF"/>
    <w:rsid w:val="000A6F56"/>
    <w:rsid w:val="000A79AA"/>
    <w:rsid w:val="000B56DC"/>
    <w:rsid w:val="000C21EE"/>
    <w:rsid w:val="000C27C0"/>
    <w:rsid w:val="000C3126"/>
    <w:rsid w:val="000D0276"/>
    <w:rsid w:val="000D1E1E"/>
    <w:rsid w:val="000D3088"/>
    <w:rsid w:val="000D67AE"/>
    <w:rsid w:val="000D6D28"/>
    <w:rsid w:val="000E04EC"/>
    <w:rsid w:val="000E1556"/>
    <w:rsid w:val="000E365E"/>
    <w:rsid w:val="000F392A"/>
    <w:rsid w:val="000F4BFF"/>
    <w:rsid w:val="001014F5"/>
    <w:rsid w:val="001024E4"/>
    <w:rsid w:val="001046EF"/>
    <w:rsid w:val="00105F51"/>
    <w:rsid w:val="00106F86"/>
    <w:rsid w:val="001077D5"/>
    <w:rsid w:val="001152F7"/>
    <w:rsid w:val="001210AE"/>
    <w:rsid w:val="00121DE6"/>
    <w:rsid w:val="00122885"/>
    <w:rsid w:val="0012547B"/>
    <w:rsid w:val="00126E02"/>
    <w:rsid w:val="00130ECA"/>
    <w:rsid w:val="00131859"/>
    <w:rsid w:val="00134305"/>
    <w:rsid w:val="00135EA9"/>
    <w:rsid w:val="00141C68"/>
    <w:rsid w:val="00142D6B"/>
    <w:rsid w:val="001435B1"/>
    <w:rsid w:val="00143BFF"/>
    <w:rsid w:val="00147C41"/>
    <w:rsid w:val="001506D3"/>
    <w:rsid w:val="00152DC7"/>
    <w:rsid w:val="0015512F"/>
    <w:rsid w:val="0016180B"/>
    <w:rsid w:val="00164178"/>
    <w:rsid w:val="00164787"/>
    <w:rsid w:val="001655B6"/>
    <w:rsid w:val="001665FA"/>
    <w:rsid w:val="0017161E"/>
    <w:rsid w:val="00173642"/>
    <w:rsid w:val="00174BF0"/>
    <w:rsid w:val="001818E0"/>
    <w:rsid w:val="00182501"/>
    <w:rsid w:val="00183C99"/>
    <w:rsid w:val="00186A14"/>
    <w:rsid w:val="00187D98"/>
    <w:rsid w:val="00190975"/>
    <w:rsid w:val="0019177B"/>
    <w:rsid w:val="001918CA"/>
    <w:rsid w:val="00191EA5"/>
    <w:rsid w:val="00192DC0"/>
    <w:rsid w:val="00196033"/>
    <w:rsid w:val="001974E8"/>
    <w:rsid w:val="001A1DF5"/>
    <w:rsid w:val="001A5184"/>
    <w:rsid w:val="001A6B33"/>
    <w:rsid w:val="001A78CF"/>
    <w:rsid w:val="001A7A3C"/>
    <w:rsid w:val="001B258D"/>
    <w:rsid w:val="001B471E"/>
    <w:rsid w:val="001B5EC4"/>
    <w:rsid w:val="001B6F32"/>
    <w:rsid w:val="001C00AA"/>
    <w:rsid w:val="001C55C8"/>
    <w:rsid w:val="001D174C"/>
    <w:rsid w:val="001D1BDB"/>
    <w:rsid w:val="001D569C"/>
    <w:rsid w:val="001D607A"/>
    <w:rsid w:val="001E226C"/>
    <w:rsid w:val="001E2417"/>
    <w:rsid w:val="001F584F"/>
    <w:rsid w:val="001F5D02"/>
    <w:rsid w:val="001F5F00"/>
    <w:rsid w:val="00200512"/>
    <w:rsid w:val="002039F2"/>
    <w:rsid w:val="00205309"/>
    <w:rsid w:val="00210B00"/>
    <w:rsid w:val="00211660"/>
    <w:rsid w:val="002124C3"/>
    <w:rsid w:val="00213580"/>
    <w:rsid w:val="002140F1"/>
    <w:rsid w:val="00214C27"/>
    <w:rsid w:val="002177CD"/>
    <w:rsid w:val="00220438"/>
    <w:rsid w:val="0022209F"/>
    <w:rsid w:val="00222A0B"/>
    <w:rsid w:val="00224388"/>
    <w:rsid w:val="00233B37"/>
    <w:rsid w:val="00236316"/>
    <w:rsid w:val="00241209"/>
    <w:rsid w:val="00243588"/>
    <w:rsid w:val="00251632"/>
    <w:rsid w:val="00254898"/>
    <w:rsid w:val="00255155"/>
    <w:rsid w:val="00255FE3"/>
    <w:rsid w:val="002563B3"/>
    <w:rsid w:val="00257F59"/>
    <w:rsid w:val="00261451"/>
    <w:rsid w:val="0026509D"/>
    <w:rsid w:val="00271270"/>
    <w:rsid w:val="002752F8"/>
    <w:rsid w:val="0028135C"/>
    <w:rsid w:val="002816C3"/>
    <w:rsid w:val="002828E3"/>
    <w:rsid w:val="00282B67"/>
    <w:rsid w:val="00282F36"/>
    <w:rsid w:val="0029144C"/>
    <w:rsid w:val="002920B6"/>
    <w:rsid w:val="00297BB4"/>
    <w:rsid w:val="00297DB4"/>
    <w:rsid w:val="002A10D5"/>
    <w:rsid w:val="002A1D2A"/>
    <w:rsid w:val="002A4680"/>
    <w:rsid w:val="002A66C0"/>
    <w:rsid w:val="002C1EB4"/>
    <w:rsid w:val="002C24B8"/>
    <w:rsid w:val="002C6934"/>
    <w:rsid w:val="002C6C30"/>
    <w:rsid w:val="002C7CD7"/>
    <w:rsid w:val="002D14AD"/>
    <w:rsid w:val="002D2CE7"/>
    <w:rsid w:val="002D4115"/>
    <w:rsid w:val="002D4792"/>
    <w:rsid w:val="002D4FC5"/>
    <w:rsid w:val="002E1FA8"/>
    <w:rsid w:val="002E385C"/>
    <w:rsid w:val="002E48B9"/>
    <w:rsid w:val="002E5DEC"/>
    <w:rsid w:val="002E5EF8"/>
    <w:rsid w:val="002F02D9"/>
    <w:rsid w:val="002F15A7"/>
    <w:rsid w:val="002F2766"/>
    <w:rsid w:val="002F5723"/>
    <w:rsid w:val="002F5FE9"/>
    <w:rsid w:val="003019A0"/>
    <w:rsid w:val="00301B90"/>
    <w:rsid w:val="00304080"/>
    <w:rsid w:val="00305DEC"/>
    <w:rsid w:val="00307535"/>
    <w:rsid w:val="003109E9"/>
    <w:rsid w:val="00311862"/>
    <w:rsid w:val="003124FB"/>
    <w:rsid w:val="00312F7B"/>
    <w:rsid w:val="003137D5"/>
    <w:rsid w:val="00314DBA"/>
    <w:rsid w:val="00322DB9"/>
    <w:rsid w:val="00322DD5"/>
    <w:rsid w:val="003231D9"/>
    <w:rsid w:val="0032605F"/>
    <w:rsid w:val="0032720D"/>
    <w:rsid w:val="00327BA1"/>
    <w:rsid w:val="003331FC"/>
    <w:rsid w:val="00333945"/>
    <w:rsid w:val="00333ACF"/>
    <w:rsid w:val="00333F51"/>
    <w:rsid w:val="00335C9C"/>
    <w:rsid w:val="00341B92"/>
    <w:rsid w:val="0034474C"/>
    <w:rsid w:val="00344DF8"/>
    <w:rsid w:val="00345A27"/>
    <w:rsid w:val="00346541"/>
    <w:rsid w:val="003466D2"/>
    <w:rsid w:val="00346FD9"/>
    <w:rsid w:val="00352EDB"/>
    <w:rsid w:val="0035391C"/>
    <w:rsid w:val="0035468F"/>
    <w:rsid w:val="00356B9C"/>
    <w:rsid w:val="0036073A"/>
    <w:rsid w:val="00361203"/>
    <w:rsid w:val="00361559"/>
    <w:rsid w:val="0036383B"/>
    <w:rsid w:val="0037160E"/>
    <w:rsid w:val="00372932"/>
    <w:rsid w:val="003748D5"/>
    <w:rsid w:val="0037775D"/>
    <w:rsid w:val="00377ABD"/>
    <w:rsid w:val="00387D32"/>
    <w:rsid w:val="003911A0"/>
    <w:rsid w:val="00392009"/>
    <w:rsid w:val="0039245D"/>
    <w:rsid w:val="00395C3F"/>
    <w:rsid w:val="00396944"/>
    <w:rsid w:val="00397308"/>
    <w:rsid w:val="003973B6"/>
    <w:rsid w:val="003A0DEB"/>
    <w:rsid w:val="003A122B"/>
    <w:rsid w:val="003A15AB"/>
    <w:rsid w:val="003A4CEB"/>
    <w:rsid w:val="003A5678"/>
    <w:rsid w:val="003A6753"/>
    <w:rsid w:val="003B09FB"/>
    <w:rsid w:val="003B0EF5"/>
    <w:rsid w:val="003C250B"/>
    <w:rsid w:val="003C37D9"/>
    <w:rsid w:val="003C50FA"/>
    <w:rsid w:val="003C61A4"/>
    <w:rsid w:val="003C661B"/>
    <w:rsid w:val="003C6872"/>
    <w:rsid w:val="003D0E04"/>
    <w:rsid w:val="003D12A6"/>
    <w:rsid w:val="003D2399"/>
    <w:rsid w:val="003D2DBE"/>
    <w:rsid w:val="003D3DF5"/>
    <w:rsid w:val="003D509E"/>
    <w:rsid w:val="003D51C0"/>
    <w:rsid w:val="003D76FD"/>
    <w:rsid w:val="003E1CB1"/>
    <w:rsid w:val="003E3A92"/>
    <w:rsid w:val="003E3EB7"/>
    <w:rsid w:val="003E69FA"/>
    <w:rsid w:val="003F11BA"/>
    <w:rsid w:val="003F23AF"/>
    <w:rsid w:val="003F4CA1"/>
    <w:rsid w:val="003F6599"/>
    <w:rsid w:val="003F6C64"/>
    <w:rsid w:val="00401A5A"/>
    <w:rsid w:val="00402D61"/>
    <w:rsid w:val="004102FF"/>
    <w:rsid w:val="00410C15"/>
    <w:rsid w:val="00410F2D"/>
    <w:rsid w:val="0041423F"/>
    <w:rsid w:val="004147DD"/>
    <w:rsid w:val="00415B39"/>
    <w:rsid w:val="00416A4C"/>
    <w:rsid w:val="00427963"/>
    <w:rsid w:val="00433D5F"/>
    <w:rsid w:val="00435917"/>
    <w:rsid w:val="0043733B"/>
    <w:rsid w:val="00441341"/>
    <w:rsid w:val="00441BB4"/>
    <w:rsid w:val="00442851"/>
    <w:rsid w:val="00442CA8"/>
    <w:rsid w:val="00450E7A"/>
    <w:rsid w:val="0045259D"/>
    <w:rsid w:val="00452C57"/>
    <w:rsid w:val="00454832"/>
    <w:rsid w:val="00455389"/>
    <w:rsid w:val="004570E2"/>
    <w:rsid w:val="00461EB9"/>
    <w:rsid w:val="00462602"/>
    <w:rsid w:val="00462A53"/>
    <w:rsid w:val="0046365D"/>
    <w:rsid w:val="00464F25"/>
    <w:rsid w:val="00465B28"/>
    <w:rsid w:val="004704EE"/>
    <w:rsid w:val="00480DDC"/>
    <w:rsid w:val="00481695"/>
    <w:rsid w:val="00482A72"/>
    <w:rsid w:val="00483518"/>
    <w:rsid w:val="00484236"/>
    <w:rsid w:val="004879B4"/>
    <w:rsid w:val="00490D01"/>
    <w:rsid w:val="00493447"/>
    <w:rsid w:val="00493810"/>
    <w:rsid w:val="00493860"/>
    <w:rsid w:val="00493AFE"/>
    <w:rsid w:val="00495880"/>
    <w:rsid w:val="00496B08"/>
    <w:rsid w:val="00496FB0"/>
    <w:rsid w:val="004A1087"/>
    <w:rsid w:val="004A1960"/>
    <w:rsid w:val="004A4BED"/>
    <w:rsid w:val="004A7983"/>
    <w:rsid w:val="004B158C"/>
    <w:rsid w:val="004B2D6F"/>
    <w:rsid w:val="004B4079"/>
    <w:rsid w:val="004B41A6"/>
    <w:rsid w:val="004C0273"/>
    <w:rsid w:val="004C1942"/>
    <w:rsid w:val="004C1E4A"/>
    <w:rsid w:val="004C50AD"/>
    <w:rsid w:val="004D0B15"/>
    <w:rsid w:val="004D568D"/>
    <w:rsid w:val="004D7440"/>
    <w:rsid w:val="004E4390"/>
    <w:rsid w:val="004F0EC6"/>
    <w:rsid w:val="004F25B8"/>
    <w:rsid w:val="004F7A7C"/>
    <w:rsid w:val="005038C4"/>
    <w:rsid w:val="005077C7"/>
    <w:rsid w:val="00510439"/>
    <w:rsid w:val="00513139"/>
    <w:rsid w:val="00514237"/>
    <w:rsid w:val="00514E4E"/>
    <w:rsid w:val="00521731"/>
    <w:rsid w:val="005221DA"/>
    <w:rsid w:val="005243FD"/>
    <w:rsid w:val="0052448C"/>
    <w:rsid w:val="00524DBB"/>
    <w:rsid w:val="005253FF"/>
    <w:rsid w:val="00533A27"/>
    <w:rsid w:val="005343CE"/>
    <w:rsid w:val="00534DE4"/>
    <w:rsid w:val="00535C2A"/>
    <w:rsid w:val="005406A9"/>
    <w:rsid w:val="005422CB"/>
    <w:rsid w:val="00545908"/>
    <w:rsid w:val="00550C67"/>
    <w:rsid w:val="00551D93"/>
    <w:rsid w:val="00556419"/>
    <w:rsid w:val="00556F90"/>
    <w:rsid w:val="00557110"/>
    <w:rsid w:val="00560CD8"/>
    <w:rsid w:val="005622FE"/>
    <w:rsid w:val="00563A9A"/>
    <w:rsid w:val="00563BB0"/>
    <w:rsid w:val="00570CAC"/>
    <w:rsid w:val="00571E30"/>
    <w:rsid w:val="0057268A"/>
    <w:rsid w:val="0057301F"/>
    <w:rsid w:val="005743F7"/>
    <w:rsid w:val="00577FBD"/>
    <w:rsid w:val="00580421"/>
    <w:rsid w:val="00582EEC"/>
    <w:rsid w:val="00587638"/>
    <w:rsid w:val="00587F75"/>
    <w:rsid w:val="005900B0"/>
    <w:rsid w:val="00590360"/>
    <w:rsid w:val="00590513"/>
    <w:rsid w:val="00591F65"/>
    <w:rsid w:val="00592E57"/>
    <w:rsid w:val="00593FEE"/>
    <w:rsid w:val="005945D1"/>
    <w:rsid w:val="0059483F"/>
    <w:rsid w:val="00595FB8"/>
    <w:rsid w:val="005969F2"/>
    <w:rsid w:val="005A1885"/>
    <w:rsid w:val="005A64F2"/>
    <w:rsid w:val="005A68AB"/>
    <w:rsid w:val="005A7B02"/>
    <w:rsid w:val="005B3544"/>
    <w:rsid w:val="005C3BFF"/>
    <w:rsid w:val="005C6635"/>
    <w:rsid w:val="005C74C7"/>
    <w:rsid w:val="005D0771"/>
    <w:rsid w:val="005D14C5"/>
    <w:rsid w:val="005D60F4"/>
    <w:rsid w:val="005D64B5"/>
    <w:rsid w:val="005D657E"/>
    <w:rsid w:val="005E057C"/>
    <w:rsid w:val="005E5DAF"/>
    <w:rsid w:val="005E616D"/>
    <w:rsid w:val="005E67A5"/>
    <w:rsid w:val="005F0E14"/>
    <w:rsid w:val="005F4A30"/>
    <w:rsid w:val="005F4CBF"/>
    <w:rsid w:val="005F4F3E"/>
    <w:rsid w:val="005F6CB3"/>
    <w:rsid w:val="005F7EEB"/>
    <w:rsid w:val="00601560"/>
    <w:rsid w:val="00603CB3"/>
    <w:rsid w:val="00604115"/>
    <w:rsid w:val="00605795"/>
    <w:rsid w:val="00605F6C"/>
    <w:rsid w:val="006122FD"/>
    <w:rsid w:val="0061416C"/>
    <w:rsid w:val="00616663"/>
    <w:rsid w:val="00616F0D"/>
    <w:rsid w:val="00622BDE"/>
    <w:rsid w:val="006269E5"/>
    <w:rsid w:val="0063114A"/>
    <w:rsid w:val="00634BFA"/>
    <w:rsid w:val="00635099"/>
    <w:rsid w:val="006362F6"/>
    <w:rsid w:val="0063633A"/>
    <w:rsid w:val="006439B1"/>
    <w:rsid w:val="00644721"/>
    <w:rsid w:val="006448F3"/>
    <w:rsid w:val="0064502E"/>
    <w:rsid w:val="006452BC"/>
    <w:rsid w:val="00645495"/>
    <w:rsid w:val="00646006"/>
    <w:rsid w:val="0065093E"/>
    <w:rsid w:val="00652232"/>
    <w:rsid w:val="006542B1"/>
    <w:rsid w:val="0065733B"/>
    <w:rsid w:val="0065785A"/>
    <w:rsid w:val="006601A8"/>
    <w:rsid w:val="006602DD"/>
    <w:rsid w:val="00662FE4"/>
    <w:rsid w:val="0066372F"/>
    <w:rsid w:val="00670057"/>
    <w:rsid w:val="006705AB"/>
    <w:rsid w:val="006728F1"/>
    <w:rsid w:val="006733B7"/>
    <w:rsid w:val="00673AB5"/>
    <w:rsid w:val="006801ED"/>
    <w:rsid w:val="006812BA"/>
    <w:rsid w:val="00682B8F"/>
    <w:rsid w:val="00682D34"/>
    <w:rsid w:val="00683DDE"/>
    <w:rsid w:val="00683EAE"/>
    <w:rsid w:val="00684669"/>
    <w:rsid w:val="00685181"/>
    <w:rsid w:val="006861B7"/>
    <w:rsid w:val="00686571"/>
    <w:rsid w:val="00687171"/>
    <w:rsid w:val="00691780"/>
    <w:rsid w:val="00694427"/>
    <w:rsid w:val="0069510B"/>
    <w:rsid w:val="00695C7A"/>
    <w:rsid w:val="006A0147"/>
    <w:rsid w:val="006A02CC"/>
    <w:rsid w:val="006A1350"/>
    <w:rsid w:val="006A1682"/>
    <w:rsid w:val="006A18ED"/>
    <w:rsid w:val="006A191B"/>
    <w:rsid w:val="006A1C81"/>
    <w:rsid w:val="006A244D"/>
    <w:rsid w:val="006A3585"/>
    <w:rsid w:val="006A3AF8"/>
    <w:rsid w:val="006A4FB0"/>
    <w:rsid w:val="006A62E1"/>
    <w:rsid w:val="006A685E"/>
    <w:rsid w:val="006B1885"/>
    <w:rsid w:val="006B2AB9"/>
    <w:rsid w:val="006B3605"/>
    <w:rsid w:val="006B363B"/>
    <w:rsid w:val="006B4980"/>
    <w:rsid w:val="006B524F"/>
    <w:rsid w:val="006C2014"/>
    <w:rsid w:val="006C6DD4"/>
    <w:rsid w:val="006D2978"/>
    <w:rsid w:val="006D29C6"/>
    <w:rsid w:val="006D3971"/>
    <w:rsid w:val="006D45DA"/>
    <w:rsid w:val="006D6E49"/>
    <w:rsid w:val="006D754D"/>
    <w:rsid w:val="006E17FC"/>
    <w:rsid w:val="006E2D8A"/>
    <w:rsid w:val="006E44CB"/>
    <w:rsid w:val="006E52B5"/>
    <w:rsid w:val="006E563D"/>
    <w:rsid w:val="006E6B86"/>
    <w:rsid w:val="006F0EEA"/>
    <w:rsid w:val="006F25F4"/>
    <w:rsid w:val="006F2DB9"/>
    <w:rsid w:val="006F33B9"/>
    <w:rsid w:val="006F354A"/>
    <w:rsid w:val="006F5B32"/>
    <w:rsid w:val="006F7A10"/>
    <w:rsid w:val="00703E36"/>
    <w:rsid w:val="00711B16"/>
    <w:rsid w:val="0071617C"/>
    <w:rsid w:val="007276A4"/>
    <w:rsid w:val="00735A89"/>
    <w:rsid w:val="007364FD"/>
    <w:rsid w:val="00740753"/>
    <w:rsid w:val="0074458F"/>
    <w:rsid w:val="00746298"/>
    <w:rsid w:val="00751C05"/>
    <w:rsid w:val="00752A54"/>
    <w:rsid w:val="00754492"/>
    <w:rsid w:val="007547D9"/>
    <w:rsid w:val="00760C6F"/>
    <w:rsid w:val="00762243"/>
    <w:rsid w:val="00762DD5"/>
    <w:rsid w:val="007633AA"/>
    <w:rsid w:val="00766EA8"/>
    <w:rsid w:val="00772FEE"/>
    <w:rsid w:val="00773039"/>
    <w:rsid w:val="00782460"/>
    <w:rsid w:val="00782902"/>
    <w:rsid w:val="0078369B"/>
    <w:rsid w:val="007863B7"/>
    <w:rsid w:val="00793EB0"/>
    <w:rsid w:val="00795933"/>
    <w:rsid w:val="007971E1"/>
    <w:rsid w:val="007A4003"/>
    <w:rsid w:val="007A490D"/>
    <w:rsid w:val="007A4FC8"/>
    <w:rsid w:val="007B22AC"/>
    <w:rsid w:val="007B4EED"/>
    <w:rsid w:val="007C09B4"/>
    <w:rsid w:val="007C0CDE"/>
    <w:rsid w:val="007C15D5"/>
    <w:rsid w:val="007C33D0"/>
    <w:rsid w:val="007C359F"/>
    <w:rsid w:val="007C39FC"/>
    <w:rsid w:val="007C7BDE"/>
    <w:rsid w:val="007D0F6A"/>
    <w:rsid w:val="007D53B4"/>
    <w:rsid w:val="007D61CB"/>
    <w:rsid w:val="007E1733"/>
    <w:rsid w:val="007E221C"/>
    <w:rsid w:val="007E3262"/>
    <w:rsid w:val="007E5541"/>
    <w:rsid w:val="007E5930"/>
    <w:rsid w:val="007E6897"/>
    <w:rsid w:val="007E7A7A"/>
    <w:rsid w:val="007F0D8E"/>
    <w:rsid w:val="007F0FC5"/>
    <w:rsid w:val="007F4440"/>
    <w:rsid w:val="007F6CF8"/>
    <w:rsid w:val="00802FA5"/>
    <w:rsid w:val="00803547"/>
    <w:rsid w:val="00803734"/>
    <w:rsid w:val="008045D3"/>
    <w:rsid w:val="00807804"/>
    <w:rsid w:val="0080790A"/>
    <w:rsid w:val="00810541"/>
    <w:rsid w:val="00810CC2"/>
    <w:rsid w:val="00812FD6"/>
    <w:rsid w:val="00815018"/>
    <w:rsid w:val="00815BEC"/>
    <w:rsid w:val="0082144B"/>
    <w:rsid w:val="008218C3"/>
    <w:rsid w:val="00821BB3"/>
    <w:rsid w:val="00824192"/>
    <w:rsid w:val="00827F19"/>
    <w:rsid w:val="008321D1"/>
    <w:rsid w:val="008323AF"/>
    <w:rsid w:val="00833A6B"/>
    <w:rsid w:val="00834587"/>
    <w:rsid w:val="00843C82"/>
    <w:rsid w:val="00846E2C"/>
    <w:rsid w:val="00850477"/>
    <w:rsid w:val="00852D58"/>
    <w:rsid w:val="008554AA"/>
    <w:rsid w:val="0085586C"/>
    <w:rsid w:val="00857111"/>
    <w:rsid w:val="00857835"/>
    <w:rsid w:val="00864493"/>
    <w:rsid w:val="008645DB"/>
    <w:rsid w:val="008730DC"/>
    <w:rsid w:val="00873C16"/>
    <w:rsid w:val="00873EB4"/>
    <w:rsid w:val="00873F23"/>
    <w:rsid w:val="00875A97"/>
    <w:rsid w:val="00875CDB"/>
    <w:rsid w:val="008770D3"/>
    <w:rsid w:val="00877B10"/>
    <w:rsid w:val="008851C7"/>
    <w:rsid w:val="008860F3"/>
    <w:rsid w:val="00886820"/>
    <w:rsid w:val="0088706C"/>
    <w:rsid w:val="00893932"/>
    <w:rsid w:val="008941B1"/>
    <w:rsid w:val="00894806"/>
    <w:rsid w:val="008954CD"/>
    <w:rsid w:val="00896069"/>
    <w:rsid w:val="0089727C"/>
    <w:rsid w:val="008A0D11"/>
    <w:rsid w:val="008A20CE"/>
    <w:rsid w:val="008A785C"/>
    <w:rsid w:val="008A7BF9"/>
    <w:rsid w:val="008A7F33"/>
    <w:rsid w:val="008B4542"/>
    <w:rsid w:val="008B4D27"/>
    <w:rsid w:val="008B4E38"/>
    <w:rsid w:val="008B4F1D"/>
    <w:rsid w:val="008B5293"/>
    <w:rsid w:val="008B584B"/>
    <w:rsid w:val="008B66BF"/>
    <w:rsid w:val="008B7C95"/>
    <w:rsid w:val="008C4C5F"/>
    <w:rsid w:val="008C4C93"/>
    <w:rsid w:val="008C6BDD"/>
    <w:rsid w:val="008C6F3C"/>
    <w:rsid w:val="008D47C0"/>
    <w:rsid w:val="008D5EC8"/>
    <w:rsid w:val="008E06AD"/>
    <w:rsid w:val="008E7408"/>
    <w:rsid w:val="008E7680"/>
    <w:rsid w:val="008F1407"/>
    <w:rsid w:val="008F1CA2"/>
    <w:rsid w:val="008F1D89"/>
    <w:rsid w:val="00901543"/>
    <w:rsid w:val="00901838"/>
    <w:rsid w:val="009050E4"/>
    <w:rsid w:val="009103A3"/>
    <w:rsid w:val="00913161"/>
    <w:rsid w:val="00915179"/>
    <w:rsid w:val="00915C55"/>
    <w:rsid w:val="0092042F"/>
    <w:rsid w:val="00924A33"/>
    <w:rsid w:val="009263BF"/>
    <w:rsid w:val="00927DDF"/>
    <w:rsid w:val="0093027F"/>
    <w:rsid w:val="009315AD"/>
    <w:rsid w:val="0093226B"/>
    <w:rsid w:val="00932487"/>
    <w:rsid w:val="00934641"/>
    <w:rsid w:val="00934E19"/>
    <w:rsid w:val="0093536E"/>
    <w:rsid w:val="009354AE"/>
    <w:rsid w:val="00937E55"/>
    <w:rsid w:val="00940E1C"/>
    <w:rsid w:val="00941219"/>
    <w:rsid w:val="0094143D"/>
    <w:rsid w:val="0094247C"/>
    <w:rsid w:val="00943805"/>
    <w:rsid w:val="009441C1"/>
    <w:rsid w:val="009544F9"/>
    <w:rsid w:val="0096122D"/>
    <w:rsid w:val="0096404A"/>
    <w:rsid w:val="0096490D"/>
    <w:rsid w:val="0097033B"/>
    <w:rsid w:val="009743E5"/>
    <w:rsid w:val="009762B1"/>
    <w:rsid w:val="00976538"/>
    <w:rsid w:val="00977CFD"/>
    <w:rsid w:val="00980154"/>
    <w:rsid w:val="00980426"/>
    <w:rsid w:val="00984D93"/>
    <w:rsid w:val="00986506"/>
    <w:rsid w:val="00994B6A"/>
    <w:rsid w:val="009A0759"/>
    <w:rsid w:val="009A0BA9"/>
    <w:rsid w:val="009A2796"/>
    <w:rsid w:val="009A5E67"/>
    <w:rsid w:val="009A67D3"/>
    <w:rsid w:val="009A6ABF"/>
    <w:rsid w:val="009A7864"/>
    <w:rsid w:val="009A7E14"/>
    <w:rsid w:val="009B08AD"/>
    <w:rsid w:val="009B3FB9"/>
    <w:rsid w:val="009B64D0"/>
    <w:rsid w:val="009C0377"/>
    <w:rsid w:val="009C1B22"/>
    <w:rsid w:val="009C58CA"/>
    <w:rsid w:val="009C7420"/>
    <w:rsid w:val="009C79D7"/>
    <w:rsid w:val="009D0917"/>
    <w:rsid w:val="009D21AD"/>
    <w:rsid w:val="009D2831"/>
    <w:rsid w:val="009D3743"/>
    <w:rsid w:val="009E1AB3"/>
    <w:rsid w:val="009E414C"/>
    <w:rsid w:val="009E595B"/>
    <w:rsid w:val="009E6BCE"/>
    <w:rsid w:val="009E7FC1"/>
    <w:rsid w:val="009F2EA1"/>
    <w:rsid w:val="009F4EB0"/>
    <w:rsid w:val="009F5510"/>
    <w:rsid w:val="00A0250C"/>
    <w:rsid w:val="00A100AF"/>
    <w:rsid w:val="00A10C64"/>
    <w:rsid w:val="00A11F9F"/>
    <w:rsid w:val="00A13C32"/>
    <w:rsid w:val="00A21F6D"/>
    <w:rsid w:val="00A24ADC"/>
    <w:rsid w:val="00A24AEC"/>
    <w:rsid w:val="00A24F02"/>
    <w:rsid w:val="00A308FF"/>
    <w:rsid w:val="00A328F2"/>
    <w:rsid w:val="00A33FD2"/>
    <w:rsid w:val="00A4051B"/>
    <w:rsid w:val="00A40DFD"/>
    <w:rsid w:val="00A4190D"/>
    <w:rsid w:val="00A41E82"/>
    <w:rsid w:val="00A423AD"/>
    <w:rsid w:val="00A4285F"/>
    <w:rsid w:val="00A468B1"/>
    <w:rsid w:val="00A51F76"/>
    <w:rsid w:val="00A525E7"/>
    <w:rsid w:val="00A53568"/>
    <w:rsid w:val="00A557F9"/>
    <w:rsid w:val="00A563FA"/>
    <w:rsid w:val="00A56D71"/>
    <w:rsid w:val="00A57228"/>
    <w:rsid w:val="00A652F9"/>
    <w:rsid w:val="00A71731"/>
    <w:rsid w:val="00A71DC7"/>
    <w:rsid w:val="00A74459"/>
    <w:rsid w:val="00A77BB9"/>
    <w:rsid w:val="00A8211B"/>
    <w:rsid w:val="00A823AE"/>
    <w:rsid w:val="00A84EBB"/>
    <w:rsid w:val="00A84F32"/>
    <w:rsid w:val="00A86233"/>
    <w:rsid w:val="00A86696"/>
    <w:rsid w:val="00A90ED6"/>
    <w:rsid w:val="00A916A3"/>
    <w:rsid w:val="00A92C36"/>
    <w:rsid w:val="00AA16AA"/>
    <w:rsid w:val="00AA2B1F"/>
    <w:rsid w:val="00AA5DB7"/>
    <w:rsid w:val="00AB05BC"/>
    <w:rsid w:val="00AB3B5F"/>
    <w:rsid w:val="00AB4441"/>
    <w:rsid w:val="00AC1D5D"/>
    <w:rsid w:val="00AC2E2E"/>
    <w:rsid w:val="00AC2F44"/>
    <w:rsid w:val="00AC409E"/>
    <w:rsid w:val="00AC4A73"/>
    <w:rsid w:val="00AC4B3D"/>
    <w:rsid w:val="00AC4F2E"/>
    <w:rsid w:val="00AC5B7F"/>
    <w:rsid w:val="00AC5F7B"/>
    <w:rsid w:val="00AD004E"/>
    <w:rsid w:val="00AD1CCA"/>
    <w:rsid w:val="00AD2486"/>
    <w:rsid w:val="00AD49E1"/>
    <w:rsid w:val="00AD7AA3"/>
    <w:rsid w:val="00AD7D89"/>
    <w:rsid w:val="00AE2BA0"/>
    <w:rsid w:val="00AE2D17"/>
    <w:rsid w:val="00AE4764"/>
    <w:rsid w:val="00AF0097"/>
    <w:rsid w:val="00AF0F15"/>
    <w:rsid w:val="00AF34E0"/>
    <w:rsid w:val="00AF4B5B"/>
    <w:rsid w:val="00B01CDF"/>
    <w:rsid w:val="00B04D42"/>
    <w:rsid w:val="00B10223"/>
    <w:rsid w:val="00B112A5"/>
    <w:rsid w:val="00B165EA"/>
    <w:rsid w:val="00B21B29"/>
    <w:rsid w:val="00B21F51"/>
    <w:rsid w:val="00B24F98"/>
    <w:rsid w:val="00B25985"/>
    <w:rsid w:val="00B25A45"/>
    <w:rsid w:val="00B30F8E"/>
    <w:rsid w:val="00B31B34"/>
    <w:rsid w:val="00B35A41"/>
    <w:rsid w:val="00B40AAC"/>
    <w:rsid w:val="00B423C5"/>
    <w:rsid w:val="00B43E30"/>
    <w:rsid w:val="00B45331"/>
    <w:rsid w:val="00B51034"/>
    <w:rsid w:val="00B521E2"/>
    <w:rsid w:val="00B52BBB"/>
    <w:rsid w:val="00B53F89"/>
    <w:rsid w:val="00B55C81"/>
    <w:rsid w:val="00B56910"/>
    <w:rsid w:val="00B56F8F"/>
    <w:rsid w:val="00B57E85"/>
    <w:rsid w:val="00B615DC"/>
    <w:rsid w:val="00B632F6"/>
    <w:rsid w:val="00B63964"/>
    <w:rsid w:val="00B671AA"/>
    <w:rsid w:val="00B707AC"/>
    <w:rsid w:val="00B707B7"/>
    <w:rsid w:val="00B71D9B"/>
    <w:rsid w:val="00B73908"/>
    <w:rsid w:val="00B76DDF"/>
    <w:rsid w:val="00B834EF"/>
    <w:rsid w:val="00B841B4"/>
    <w:rsid w:val="00B851BC"/>
    <w:rsid w:val="00B85C6D"/>
    <w:rsid w:val="00B87A8E"/>
    <w:rsid w:val="00B902E3"/>
    <w:rsid w:val="00B90A58"/>
    <w:rsid w:val="00B935C5"/>
    <w:rsid w:val="00B93A2C"/>
    <w:rsid w:val="00B95465"/>
    <w:rsid w:val="00B9744E"/>
    <w:rsid w:val="00BA1DD9"/>
    <w:rsid w:val="00BA787F"/>
    <w:rsid w:val="00BB3965"/>
    <w:rsid w:val="00BB3E8B"/>
    <w:rsid w:val="00BB3FBF"/>
    <w:rsid w:val="00BB563A"/>
    <w:rsid w:val="00BB61C1"/>
    <w:rsid w:val="00BB6C45"/>
    <w:rsid w:val="00BB6C74"/>
    <w:rsid w:val="00BC3892"/>
    <w:rsid w:val="00BC4455"/>
    <w:rsid w:val="00BC57E9"/>
    <w:rsid w:val="00BD11C9"/>
    <w:rsid w:val="00BD29D3"/>
    <w:rsid w:val="00BD64BC"/>
    <w:rsid w:val="00BD69D8"/>
    <w:rsid w:val="00BE15A0"/>
    <w:rsid w:val="00BE35A2"/>
    <w:rsid w:val="00BE63D6"/>
    <w:rsid w:val="00BF0923"/>
    <w:rsid w:val="00BF0E4F"/>
    <w:rsid w:val="00BF1938"/>
    <w:rsid w:val="00C05322"/>
    <w:rsid w:val="00C057ED"/>
    <w:rsid w:val="00C130F1"/>
    <w:rsid w:val="00C15813"/>
    <w:rsid w:val="00C17E98"/>
    <w:rsid w:val="00C2075F"/>
    <w:rsid w:val="00C2114F"/>
    <w:rsid w:val="00C254FD"/>
    <w:rsid w:val="00C27208"/>
    <w:rsid w:val="00C324BF"/>
    <w:rsid w:val="00C3267A"/>
    <w:rsid w:val="00C35B2C"/>
    <w:rsid w:val="00C378B2"/>
    <w:rsid w:val="00C40B20"/>
    <w:rsid w:val="00C427F0"/>
    <w:rsid w:val="00C44AB4"/>
    <w:rsid w:val="00C464D2"/>
    <w:rsid w:val="00C467D1"/>
    <w:rsid w:val="00C46CC3"/>
    <w:rsid w:val="00C46D42"/>
    <w:rsid w:val="00C4758C"/>
    <w:rsid w:val="00C5182B"/>
    <w:rsid w:val="00C53EC3"/>
    <w:rsid w:val="00C6036D"/>
    <w:rsid w:val="00C63571"/>
    <w:rsid w:val="00C654E2"/>
    <w:rsid w:val="00C66E6B"/>
    <w:rsid w:val="00C73319"/>
    <w:rsid w:val="00C8159E"/>
    <w:rsid w:val="00C81AF0"/>
    <w:rsid w:val="00C83CE4"/>
    <w:rsid w:val="00C9475E"/>
    <w:rsid w:val="00C9619D"/>
    <w:rsid w:val="00CA0E4B"/>
    <w:rsid w:val="00CA12F3"/>
    <w:rsid w:val="00CA1931"/>
    <w:rsid w:val="00CB0B53"/>
    <w:rsid w:val="00CB161A"/>
    <w:rsid w:val="00CB2E79"/>
    <w:rsid w:val="00CB4C0A"/>
    <w:rsid w:val="00CC1C7C"/>
    <w:rsid w:val="00CC4287"/>
    <w:rsid w:val="00CC44F2"/>
    <w:rsid w:val="00CC4577"/>
    <w:rsid w:val="00CC56F7"/>
    <w:rsid w:val="00CC645B"/>
    <w:rsid w:val="00CD5115"/>
    <w:rsid w:val="00CD7325"/>
    <w:rsid w:val="00CD740F"/>
    <w:rsid w:val="00CE02B9"/>
    <w:rsid w:val="00CE2D36"/>
    <w:rsid w:val="00CE3894"/>
    <w:rsid w:val="00CE5DB2"/>
    <w:rsid w:val="00CF0B1A"/>
    <w:rsid w:val="00CF4C9A"/>
    <w:rsid w:val="00CF62C8"/>
    <w:rsid w:val="00CF7AE5"/>
    <w:rsid w:val="00CF7F33"/>
    <w:rsid w:val="00D000E7"/>
    <w:rsid w:val="00D005A1"/>
    <w:rsid w:val="00D01E69"/>
    <w:rsid w:val="00D02127"/>
    <w:rsid w:val="00D02DF4"/>
    <w:rsid w:val="00D03FE3"/>
    <w:rsid w:val="00D0655D"/>
    <w:rsid w:val="00D077A6"/>
    <w:rsid w:val="00D11803"/>
    <w:rsid w:val="00D13235"/>
    <w:rsid w:val="00D1384F"/>
    <w:rsid w:val="00D1563A"/>
    <w:rsid w:val="00D211B5"/>
    <w:rsid w:val="00D24C1F"/>
    <w:rsid w:val="00D2504C"/>
    <w:rsid w:val="00D25FE8"/>
    <w:rsid w:val="00D2647E"/>
    <w:rsid w:val="00D335FE"/>
    <w:rsid w:val="00D34854"/>
    <w:rsid w:val="00D34B3D"/>
    <w:rsid w:val="00D41210"/>
    <w:rsid w:val="00D4179E"/>
    <w:rsid w:val="00D47E37"/>
    <w:rsid w:val="00D50142"/>
    <w:rsid w:val="00D53EA5"/>
    <w:rsid w:val="00D54DF0"/>
    <w:rsid w:val="00D5799E"/>
    <w:rsid w:val="00D633ED"/>
    <w:rsid w:val="00D652BD"/>
    <w:rsid w:val="00D659B7"/>
    <w:rsid w:val="00D67F24"/>
    <w:rsid w:val="00D748A1"/>
    <w:rsid w:val="00D75164"/>
    <w:rsid w:val="00D751E7"/>
    <w:rsid w:val="00D757B2"/>
    <w:rsid w:val="00D81B70"/>
    <w:rsid w:val="00D81EF2"/>
    <w:rsid w:val="00D82F96"/>
    <w:rsid w:val="00D8525C"/>
    <w:rsid w:val="00D87CD2"/>
    <w:rsid w:val="00D95476"/>
    <w:rsid w:val="00DA066F"/>
    <w:rsid w:val="00DA1DEA"/>
    <w:rsid w:val="00DA2CFF"/>
    <w:rsid w:val="00DA2E96"/>
    <w:rsid w:val="00DA36F7"/>
    <w:rsid w:val="00DA5191"/>
    <w:rsid w:val="00DA5371"/>
    <w:rsid w:val="00DA561E"/>
    <w:rsid w:val="00DA6A07"/>
    <w:rsid w:val="00DA744B"/>
    <w:rsid w:val="00DB1678"/>
    <w:rsid w:val="00DB2B07"/>
    <w:rsid w:val="00DB43BA"/>
    <w:rsid w:val="00DB4608"/>
    <w:rsid w:val="00DC0222"/>
    <w:rsid w:val="00DC0978"/>
    <w:rsid w:val="00DC29E5"/>
    <w:rsid w:val="00DC2BAA"/>
    <w:rsid w:val="00DC30D8"/>
    <w:rsid w:val="00DC3B10"/>
    <w:rsid w:val="00DD2818"/>
    <w:rsid w:val="00DD3116"/>
    <w:rsid w:val="00DD3343"/>
    <w:rsid w:val="00DD6CDD"/>
    <w:rsid w:val="00DE0879"/>
    <w:rsid w:val="00DE18CE"/>
    <w:rsid w:val="00DE1C79"/>
    <w:rsid w:val="00DE1C87"/>
    <w:rsid w:val="00DE5677"/>
    <w:rsid w:val="00DE7168"/>
    <w:rsid w:val="00DF0626"/>
    <w:rsid w:val="00DF133F"/>
    <w:rsid w:val="00DF135B"/>
    <w:rsid w:val="00DF4500"/>
    <w:rsid w:val="00DF4B2A"/>
    <w:rsid w:val="00DF72BC"/>
    <w:rsid w:val="00E00276"/>
    <w:rsid w:val="00E0160B"/>
    <w:rsid w:val="00E01685"/>
    <w:rsid w:val="00E0388C"/>
    <w:rsid w:val="00E05597"/>
    <w:rsid w:val="00E066FD"/>
    <w:rsid w:val="00E0711C"/>
    <w:rsid w:val="00E07A81"/>
    <w:rsid w:val="00E15738"/>
    <w:rsid w:val="00E1631C"/>
    <w:rsid w:val="00E1631D"/>
    <w:rsid w:val="00E17CA4"/>
    <w:rsid w:val="00E240AD"/>
    <w:rsid w:val="00E26C27"/>
    <w:rsid w:val="00E312F4"/>
    <w:rsid w:val="00E313A3"/>
    <w:rsid w:val="00E32248"/>
    <w:rsid w:val="00E32413"/>
    <w:rsid w:val="00E34C98"/>
    <w:rsid w:val="00E35EF5"/>
    <w:rsid w:val="00E45E19"/>
    <w:rsid w:val="00E46225"/>
    <w:rsid w:val="00E46BBB"/>
    <w:rsid w:val="00E472CE"/>
    <w:rsid w:val="00E5519D"/>
    <w:rsid w:val="00E60154"/>
    <w:rsid w:val="00E6016D"/>
    <w:rsid w:val="00E60AD2"/>
    <w:rsid w:val="00E702AC"/>
    <w:rsid w:val="00E72219"/>
    <w:rsid w:val="00E736DC"/>
    <w:rsid w:val="00E747A8"/>
    <w:rsid w:val="00E80993"/>
    <w:rsid w:val="00E81089"/>
    <w:rsid w:val="00E82BDC"/>
    <w:rsid w:val="00E90AB5"/>
    <w:rsid w:val="00EA08FA"/>
    <w:rsid w:val="00EA1F80"/>
    <w:rsid w:val="00EA4E7C"/>
    <w:rsid w:val="00EA4EC8"/>
    <w:rsid w:val="00EA6C46"/>
    <w:rsid w:val="00EB05A8"/>
    <w:rsid w:val="00EB12E4"/>
    <w:rsid w:val="00EB7E4F"/>
    <w:rsid w:val="00EC058E"/>
    <w:rsid w:val="00EC09CA"/>
    <w:rsid w:val="00EC3D5E"/>
    <w:rsid w:val="00EC507A"/>
    <w:rsid w:val="00ED0353"/>
    <w:rsid w:val="00ED5A98"/>
    <w:rsid w:val="00ED6483"/>
    <w:rsid w:val="00EE460A"/>
    <w:rsid w:val="00EF41C9"/>
    <w:rsid w:val="00EF51BB"/>
    <w:rsid w:val="00EF698A"/>
    <w:rsid w:val="00F0230B"/>
    <w:rsid w:val="00F02950"/>
    <w:rsid w:val="00F04D40"/>
    <w:rsid w:val="00F15668"/>
    <w:rsid w:val="00F17238"/>
    <w:rsid w:val="00F21AEE"/>
    <w:rsid w:val="00F24FEC"/>
    <w:rsid w:val="00F26771"/>
    <w:rsid w:val="00F27371"/>
    <w:rsid w:val="00F3002F"/>
    <w:rsid w:val="00F34D26"/>
    <w:rsid w:val="00F35342"/>
    <w:rsid w:val="00F36499"/>
    <w:rsid w:val="00F36BDD"/>
    <w:rsid w:val="00F36C19"/>
    <w:rsid w:val="00F378B0"/>
    <w:rsid w:val="00F4571F"/>
    <w:rsid w:val="00F513DE"/>
    <w:rsid w:val="00F5664C"/>
    <w:rsid w:val="00F56830"/>
    <w:rsid w:val="00F61A7D"/>
    <w:rsid w:val="00F61EA4"/>
    <w:rsid w:val="00F714CC"/>
    <w:rsid w:val="00F71CD8"/>
    <w:rsid w:val="00F72833"/>
    <w:rsid w:val="00F72A84"/>
    <w:rsid w:val="00F73045"/>
    <w:rsid w:val="00F748ED"/>
    <w:rsid w:val="00F82F81"/>
    <w:rsid w:val="00F860B3"/>
    <w:rsid w:val="00F876FD"/>
    <w:rsid w:val="00F92534"/>
    <w:rsid w:val="00F94355"/>
    <w:rsid w:val="00FA0043"/>
    <w:rsid w:val="00FA0BDF"/>
    <w:rsid w:val="00FA123A"/>
    <w:rsid w:val="00FA5EC1"/>
    <w:rsid w:val="00FA669C"/>
    <w:rsid w:val="00FB63AC"/>
    <w:rsid w:val="00FC0D24"/>
    <w:rsid w:val="00FC1096"/>
    <w:rsid w:val="00FC6787"/>
    <w:rsid w:val="00FD63B8"/>
    <w:rsid w:val="00FE23BA"/>
    <w:rsid w:val="00FE4362"/>
    <w:rsid w:val="00FE5D25"/>
    <w:rsid w:val="00FE6D38"/>
    <w:rsid w:val="00FE75A0"/>
    <w:rsid w:val="00FE7CAD"/>
    <w:rsid w:val="00FF04E2"/>
    <w:rsid w:val="00FF0C8E"/>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1378">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731C8"/>
    <w:rPr>
      <w:sz w:val="20"/>
      <w:szCs w:val="20"/>
    </w:rPr>
  </w:style>
  <w:style w:type="paragraph" w:styleId="Kop1">
    <w:name w:val="heading 1"/>
    <w:basedOn w:val="Standaard"/>
    <w:next w:val="Standaard"/>
    <w:link w:val="Kop1Char"/>
    <w:uiPriority w:val="9"/>
    <w:qFormat/>
    <w:rsid w:val="000731C8"/>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Kop2">
    <w:name w:val="heading 2"/>
    <w:basedOn w:val="Standaard"/>
    <w:next w:val="Standaard"/>
    <w:link w:val="Kop2Char"/>
    <w:uiPriority w:val="9"/>
    <w:unhideWhenUsed/>
    <w:qFormat/>
    <w:rsid w:val="000731C8"/>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Kop3">
    <w:name w:val="heading 3"/>
    <w:basedOn w:val="Standaard"/>
    <w:next w:val="Standaard"/>
    <w:link w:val="Kop3Char"/>
    <w:uiPriority w:val="9"/>
    <w:unhideWhenUsed/>
    <w:qFormat/>
    <w:rsid w:val="000731C8"/>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Kop4">
    <w:name w:val="heading 4"/>
    <w:basedOn w:val="Standaard"/>
    <w:next w:val="Standaard"/>
    <w:link w:val="Kop4Char"/>
    <w:uiPriority w:val="9"/>
    <w:semiHidden/>
    <w:unhideWhenUsed/>
    <w:qFormat/>
    <w:rsid w:val="000731C8"/>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Kop5">
    <w:name w:val="heading 5"/>
    <w:basedOn w:val="Standaard"/>
    <w:next w:val="Standaard"/>
    <w:link w:val="Kop5Char"/>
    <w:uiPriority w:val="9"/>
    <w:semiHidden/>
    <w:unhideWhenUsed/>
    <w:qFormat/>
    <w:rsid w:val="000731C8"/>
    <w:pPr>
      <w:pBdr>
        <w:bottom w:val="single" w:sz="6" w:space="1" w:color="4F81BD" w:themeColor="accent1"/>
      </w:pBdr>
      <w:spacing w:before="300" w:after="0"/>
      <w:outlineLvl w:val="4"/>
    </w:pPr>
    <w:rPr>
      <w:caps/>
      <w:color w:val="365F91" w:themeColor="accent1" w:themeShade="BF"/>
      <w:spacing w:val="10"/>
      <w:sz w:val="22"/>
      <w:szCs w:val="22"/>
    </w:rPr>
  </w:style>
  <w:style w:type="paragraph" w:styleId="Kop6">
    <w:name w:val="heading 6"/>
    <w:basedOn w:val="Standaard"/>
    <w:next w:val="Standaard"/>
    <w:link w:val="Kop6Char"/>
    <w:uiPriority w:val="9"/>
    <w:semiHidden/>
    <w:unhideWhenUsed/>
    <w:qFormat/>
    <w:rsid w:val="000731C8"/>
    <w:pPr>
      <w:pBdr>
        <w:bottom w:val="dotted" w:sz="6" w:space="1" w:color="4F81BD" w:themeColor="accent1"/>
      </w:pBdr>
      <w:spacing w:before="300" w:after="0"/>
      <w:outlineLvl w:val="5"/>
    </w:pPr>
    <w:rPr>
      <w:caps/>
      <w:color w:val="365F91" w:themeColor="accent1" w:themeShade="BF"/>
      <w:spacing w:val="10"/>
      <w:sz w:val="22"/>
      <w:szCs w:val="22"/>
    </w:rPr>
  </w:style>
  <w:style w:type="paragraph" w:styleId="Kop7">
    <w:name w:val="heading 7"/>
    <w:basedOn w:val="Standaard"/>
    <w:next w:val="Standaard"/>
    <w:link w:val="Kop7Char"/>
    <w:uiPriority w:val="9"/>
    <w:semiHidden/>
    <w:unhideWhenUsed/>
    <w:qFormat/>
    <w:rsid w:val="000731C8"/>
    <w:pPr>
      <w:spacing w:before="300" w:after="0"/>
      <w:outlineLvl w:val="6"/>
    </w:pPr>
    <w:rPr>
      <w:caps/>
      <w:color w:val="365F91" w:themeColor="accent1" w:themeShade="BF"/>
      <w:spacing w:val="10"/>
      <w:sz w:val="22"/>
      <w:szCs w:val="22"/>
    </w:rPr>
  </w:style>
  <w:style w:type="paragraph" w:styleId="Kop8">
    <w:name w:val="heading 8"/>
    <w:basedOn w:val="Standaard"/>
    <w:next w:val="Standaard"/>
    <w:link w:val="Kop8Char"/>
    <w:uiPriority w:val="9"/>
    <w:semiHidden/>
    <w:unhideWhenUsed/>
    <w:qFormat/>
    <w:rsid w:val="000731C8"/>
    <w:pPr>
      <w:spacing w:before="300" w:after="0"/>
      <w:outlineLvl w:val="7"/>
    </w:pPr>
    <w:rPr>
      <w:caps/>
      <w:spacing w:val="10"/>
      <w:sz w:val="18"/>
      <w:szCs w:val="18"/>
    </w:rPr>
  </w:style>
  <w:style w:type="paragraph" w:styleId="Kop9">
    <w:name w:val="heading 9"/>
    <w:basedOn w:val="Standaard"/>
    <w:next w:val="Standaard"/>
    <w:link w:val="Kop9Char"/>
    <w:uiPriority w:val="9"/>
    <w:semiHidden/>
    <w:unhideWhenUsed/>
    <w:qFormat/>
    <w:rsid w:val="000731C8"/>
    <w:pPr>
      <w:spacing w:before="300" w:after="0"/>
      <w:outlineLvl w:val="8"/>
    </w:pPr>
    <w:rPr>
      <w:i/>
      <w:caps/>
      <w:spacing w:val="10"/>
      <w:sz w:val="18"/>
      <w:szCs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0731C8"/>
    <w:pPr>
      <w:spacing w:before="720"/>
    </w:pPr>
    <w:rPr>
      <w:caps/>
      <w:color w:val="4F81BD" w:themeColor="accent1"/>
      <w:spacing w:val="10"/>
      <w:kern w:val="28"/>
      <w:sz w:val="52"/>
      <w:szCs w:val="52"/>
    </w:rPr>
  </w:style>
  <w:style w:type="character" w:customStyle="1" w:styleId="TitelChar">
    <w:name w:val="Titel Char"/>
    <w:basedOn w:val="Standaardalinea-lettertype"/>
    <w:link w:val="Titel"/>
    <w:uiPriority w:val="10"/>
    <w:rsid w:val="000731C8"/>
    <w:rPr>
      <w:caps/>
      <w:color w:val="4F81BD" w:themeColor="accent1"/>
      <w:spacing w:val="10"/>
      <w:kern w:val="28"/>
      <w:sz w:val="52"/>
      <w:szCs w:val="52"/>
    </w:rPr>
  </w:style>
  <w:style w:type="character" w:customStyle="1" w:styleId="hps">
    <w:name w:val="hps"/>
    <w:basedOn w:val="Standaardalinea-lettertype"/>
    <w:rsid w:val="00395C3F"/>
  </w:style>
  <w:style w:type="paragraph" w:styleId="Lijstalinea">
    <w:name w:val="List Paragraph"/>
    <w:basedOn w:val="Standaard"/>
    <w:uiPriority w:val="34"/>
    <w:qFormat/>
    <w:rsid w:val="000731C8"/>
    <w:pPr>
      <w:ind w:left="720"/>
      <w:contextualSpacing/>
    </w:pPr>
  </w:style>
  <w:style w:type="character" w:styleId="Hyperlink">
    <w:name w:val="Hyperlink"/>
    <w:basedOn w:val="Standaardalinea-lettertype"/>
    <w:uiPriority w:val="99"/>
    <w:unhideWhenUsed/>
    <w:rsid w:val="007B22AC"/>
    <w:rPr>
      <w:color w:val="0000FF" w:themeColor="hyperlink"/>
      <w:u w:val="single"/>
    </w:rPr>
  </w:style>
  <w:style w:type="paragraph" w:styleId="Subtitel">
    <w:name w:val="Subtitle"/>
    <w:basedOn w:val="Standaard"/>
    <w:next w:val="Standaard"/>
    <w:link w:val="SubtitelChar"/>
    <w:uiPriority w:val="11"/>
    <w:qFormat/>
    <w:rsid w:val="000731C8"/>
    <w:pPr>
      <w:spacing w:after="1000" w:line="240" w:lineRule="auto"/>
    </w:pPr>
    <w:rPr>
      <w:caps/>
      <w:color w:val="595959" w:themeColor="text1" w:themeTint="A6"/>
      <w:spacing w:val="10"/>
      <w:sz w:val="24"/>
      <w:szCs w:val="24"/>
    </w:rPr>
  </w:style>
  <w:style w:type="character" w:customStyle="1" w:styleId="SubtitelChar">
    <w:name w:val="Subtitel Char"/>
    <w:basedOn w:val="Standaardalinea-lettertype"/>
    <w:link w:val="Subtitel"/>
    <w:uiPriority w:val="11"/>
    <w:rsid w:val="000731C8"/>
    <w:rPr>
      <w:caps/>
      <w:color w:val="595959" w:themeColor="text1" w:themeTint="A6"/>
      <w:spacing w:val="10"/>
      <w:sz w:val="24"/>
      <w:szCs w:val="24"/>
    </w:rPr>
  </w:style>
  <w:style w:type="paragraph" w:styleId="Bijschrift">
    <w:name w:val="caption"/>
    <w:basedOn w:val="Standaard"/>
    <w:next w:val="Standaard"/>
    <w:uiPriority w:val="35"/>
    <w:unhideWhenUsed/>
    <w:qFormat/>
    <w:rsid w:val="000731C8"/>
    <w:rPr>
      <w:b/>
      <w:bCs/>
      <w:color w:val="365F91" w:themeColor="accent1" w:themeShade="BF"/>
      <w:sz w:val="16"/>
      <w:szCs w:val="16"/>
    </w:rPr>
  </w:style>
  <w:style w:type="paragraph" w:styleId="Normaalweb">
    <w:name w:val="Normal (Web)"/>
    <w:basedOn w:val="Standaard"/>
    <w:uiPriority w:val="99"/>
    <w:semiHidden/>
    <w:unhideWhenUsed/>
    <w:rsid w:val="00DA36F7"/>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Kop1Char">
    <w:name w:val="Kop 1 Char"/>
    <w:basedOn w:val="Standaardalinea-lettertype"/>
    <w:link w:val="Kop1"/>
    <w:uiPriority w:val="9"/>
    <w:rsid w:val="000731C8"/>
    <w:rPr>
      <w:b/>
      <w:bCs/>
      <w:caps/>
      <w:color w:val="FFFFFF" w:themeColor="background1"/>
      <w:spacing w:val="15"/>
      <w:shd w:val="clear" w:color="auto" w:fill="4F81BD" w:themeFill="accent1"/>
    </w:rPr>
  </w:style>
  <w:style w:type="paragraph" w:styleId="Kopvaninhoudsopgave">
    <w:name w:val="TOC Heading"/>
    <w:basedOn w:val="Kop1"/>
    <w:next w:val="Standaard"/>
    <w:uiPriority w:val="39"/>
    <w:semiHidden/>
    <w:unhideWhenUsed/>
    <w:qFormat/>
    <w:rsid w:val="000731C8"/>
    <w:pPr>
      <w:outlineLvl w:val="9"/>
    </w:pPr>
  </w:style>
  <w:style w:type="paragraph" w:styleId="Inhopg2">
    <w:name w:val="toc 2"/>
    <w:basedOn w:val="Standaard"/>
    <w:next w:val="Standaard"/>
    <w:autoRedefine/>
    <w:uiPriority w:val="39"/>
    <w:unhideWhenUsed/>
    <w:rsid w:val="009263BF"/>
    <w:pPr>
      <w:spacing w:after="100"/>
      <w:ind w:left="220"/>
    </w:pPr>
  </w:style>
  <w:style w:type="paragraph" w:styleId="Inhopg1">
    <w:name w:val="toc 1"/>
    <w:basedOn w:val="Standaard"/>
    <w:next w:val="Standaard"/>
    <w:autoRedefine/>
    <w:uiPriority w:val="39"/>
    <w:unhideWhenUsed/>
    <w:rsid w:val="00694427"/>
    <w:pPr>
      <w:tabs>
        <w:tab w:val="right" w:leader="dot" w:pos="9062"/>
      </w:tabs>
      <w:spacing w:after="100"/>
    </w:pPr>
  </w:style>
  <w:style w:type="paragraph" w:styleId="Inhopg3">
    <w:name w:val="toc 3"/>
    <w:basedOn w:val="Standaard"/>
    <w:next w:val="Standaard"/>
    <w:autoRedefine/>
    <w:uiPriority w:val="39"/>
    <w:unhideWhenUsed/>
    <w:rsid w:val="009263BF"/>
    <w:pPr>
      <w:spacing w:after="100"/>
      <w:ind w:left="440"/>
    </w:pPr>
  </w:style>
  <w:style w:type="paragraph" w:styleId="Geenafstand">
    <w:name w:val="No Spacing"/>
    <w:basedOn w:val="Standaard"/>
    <w:link w:val="GeenafstandChar"/>
    <w:uiPriority w:val="1"/>
    <w:qFormat/>
    <w:rsid w:val="000731C8"/>
    <w:pPr>
      <w:spacing w:before="0" w:after="0" w:line="240" w:lineRule="auto"/>
    </w:pPr>
  </w:style>
  <w:style w:type="character" w:customStyle="1" w:styleId="GeenafstandChar">
    <w:name w:val="Geen afstand Char"/>
    <w:basedOn w:val="Standaardalinea-lettertype"/>
    <w:link w:val="Geenafstand"/>
    <w:uiPriority w:val="1"/>
    <w:rsid w:val="000731C8"/>
    <w:rPr>
      <w:sz w:val="20"/>
      <w:szCs w:val="20"/>
    </w:rPr>
  </w:style>
  <w:style w:type="character" w:customStyle="1" w:styleId="Kop2Char">
    <w:name w:val="Kop 2 Char"/>
    <w:basedOn w:val="Standaardalinea-lettertype"/>
    <w:link w:val="Kop2"/>
    <w:uiPriority w:val="9"/>
    <w:rsid w:val="000731C8"/>
    <w:rPr>
      <w:caps/>
      <w:spacing w:val="15"/>
      <w:shd w:val="clear" w:color="auto" w:fill="DBE5F1" w:themeFill="accent1" w:themeFillTint="33"/>
    </w:rPr>
  </w:style>
  <w:style w:type="character" w:customStyle="1" w:styleId="Kop3Char">
    <w:name w:val="Kop 3 Char"/>
    <w:basedOn w:val="Standaardalinea-lettertype"/>
    <w:link w:val="Kop3"/>
    <w:uiPriority w:val="9"/>
    <w:rsid w:val="000731C8"/>
    <w:rPr>
      <w:caps/>
      <w:color w:val="243F60" w:themeColor="accent1" w:themeShade="7F"/>
      <w:spacing w:val="15"/>
    </w:rPr>
  </w:style>
  <w:style w:type="character" w:customStyle="1" w:styleId="Kop4Char">
    <w:name w:val="Kop 4 Char"/>
    <w:basedOn w:val="Standaardalinea-lettertype"/>
    <w:link w:val="Kop4"/>
    <w:uiPriority w:val="9"/>
    <w:semiHidden/>
    <w:rsid w:val="000731C8"/>
    <w:rPr>
      <w:caps/>
      <w:color w:val="365F91" w:themeColor="accent1" w:themeShade="BF"/>
      <w:spacing w:val="10"/>
    </w:rPr>
  </w:style>
  <w:style w:type="character" w:customStyle="1" w:styleId="Kop5Char">
    <w:name w:val="Kop 5 Char"/>
    <w:basedOn w:val="Standaardalinea-lettertype"/>
    <w:link w:val="Kop5"/>
    <w:uiPriority w:val="9"/>
    <w:semiHidden/>
    <w:rsid w:val="000731C8"/>
    <w:rPr>
      <w:caps/>
      <w:color w:val="365F91" w:themeColor="accent1" w:themeShade="BF"/>
      <w:spacing w:val="10"/>
    </w:rPr>
  </w:style>
  <w:style w:type="character" w:customStyle="1" w:styleId="Kop6Char">
    <w:name w:val="Kop 6 Char"/>
    <w:basedOn w:val="Standaardalinea-lettertype"/>
    <w:link w:val="Kop6"/>
    <w:uiPriority w:val="9"/>
    <w:semiHidden/>
    <w:rsid w:val="000731C8"/>
    <w:rPr>
      <w:caps/>
      <w:color w:val="365F91" w:themeColor="accent1" w:themeShade="BF"/>
      <w:spacing w:val="10"/>
    </w:rPr>
  </w:style>
  <w:style w:type="character" w:customStyle="1" w:styleId="Kop7Char">
    <w:name w:val="Kop 7 Char"/>
    <w:basedOn w:val="Standaardalinea-lettertype"/>
    <w:link w:val="Kop7"/>
    <w:uiPriority w:val="9"/>
    <w:semiHidden/>
    <w:rsid w:val="000731C8"/>
    <w:rPr>
      <w:caps/>
      <w:color w:val="365F91" w:themeColor="accent1" w:themeShade="BF"/>
      <w:spacing w:val="10"/>
    </w:rPr>
  </w:style>
  <w:style w:type="character" w:customStyle="1" w:styleId="Kop8Char">
    <w:name w:val="Kop 8 Char"/>
    <w:basedOn w:val="Standaardalinea-lettertype"/>
    <w:link w:val="Kop8"/>
    <w:uiPriority w:val="9"/>
    <w:semiHidden/>
    <w:rsid w:val="000731C8"/>
    <w:rPr>
      <w:caps/>
      <w:spacing w:val="10"/>
      <w:sz w:val="18"/>
      <w:szCs w:val="18"/>
    </w:rPr>
  </w:style>
  <w:style w:type="character" w:customStyle="1" w:styleId="Kop9Char">
    <w:name w:val="Kop 9 Char"/>
    <w:basedOn w:val="Standaardalinea-lettertype"/>
    <w:link w:val="Kop9"/>
    <w:uiPriority w:val="9"/>
    <w:semiHidden/>
    <w:rsid w:val="000731C8"/>
    <w:rPr>
      <w:i/>
      <w:caps/>
      <w:spacing w:val="10"/>
      <w:sz w:val="18"/>
      <w:szCs w:val="18"/>
    </w:rPr>
  </w:style>
  <w:style w:type="character" w:styleId="Zwaar">
    <w:name w:val="Strong"/>
    <w:uiPriority w:val="22"/>
    <w:qFormat/>
    <w:rsid w:val="000731C8"/>
    <w:rPr>
      <w:b/>
      <w:bCs/>
    </w:rPr>
  </w:style>
  <w:style w:type="character" w:styleId="Nadruk">
    <w:name w:val="Emphasis"/>
    <w:uiPriority w:val="20"/>
    <w:qFormat/>
    <w:rsid w:val="000731C8"/>
    <w:rPr>
      <w:caps/>
      <w:color w:val="243F60" w:themeColor="accent1" w:themeShade="7F"/>
      <w:spacing w:val="5"/>
    </w:rPr>
  </w:style>
  <w:style w:type="paragraph" w:styleId="Citaat">
    <w:name w:val="Quote"/>
    <w:basedOn w:val="Standaard"/>
    <w:next w:val="Standaard"/>
    <w:link w:val="CitaatChar"/>
    <w:uiPriority w:val="29"/>
    <w:qFormat/>
    <w:rsid w:val="000731C8"/>
    <w:rPr>
      <w:i/>
      <w:iCs/>
    </w:rPr>
  </w:style>
  <w:style w:type="character" w:customStyle="1" w:styleId="CitaatChar">
    <w:name w:val="Citaat Char"/>
    <w:basedOn w:val="Standaardalinea-lettertype"/>
    <w:link w:val="Citaat"/>
    <w:uiPriority w:val="29"/>
    <w:rsid w:val="000731C8"/>
    <w:rPr>
      <w:i/>
      <w:iCs/>
      <w:sz w:val="20"/>
      <w:szCs w:val="20"/>
    </w:rPr>
  </w:style>
  <w:style w:type="paragraph" w:styleId="Duidelijkcitaat">
    <w:name w:val="Intense Quote"/>
    <w:basedOn w:val="Standaard"/>
    <w:next w:val="Standaard"/>
    <w:link w:val="DuidelijkcitaatChar"/>
    <w:uiPriority w:val="30"/>
    <w:qFormat/>
    <w:rsid w:val="000731C8"/>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DuidelijkcitaatChar">
    <w:name w:val="Duidelijk citaat Char"/>
    <w:basedOn w:val="Standaardalinea-lettertype"/>
    <w:link w:val="Duidelijkcitaat"/>
    <w:uiPriority w:val="30"/>
    <w:rsid w:val="000731C8"/>
    <w:rPr>
      <w:i/>
      <w:iCs/>
      <w:color w:val="4F81BD" w:themeColor="accent1"/>
      <w:sz w:val="20"/>
      <w:szCs w:val="20"/>
    </w:rPr>
  </w:style>
  <w:style w:type="character" w:styleId="Subtielebenadrukking">
    <w:name w:val="Subtle Emphasis"/>
    <w:uiPriority w:val="19"/>
    <w:qFormat/>
    <w:rsid w:val="000731C8"/>
    <w:rPr>
      <w:i/>
      <w:iCs/>
      <w:color w:val="243F60" w:themeColor="accent1" w:themeShade="7F"/>
    </w:rPr>
  </w:style>
  <w:style w:type="character" w:styleId="Intensievebenadrukking">
    <w:name w:val="Intense Emphasis"/>
    <w:uiPriority w:val="21"/>
    <w:qFormat/>
    <w:rsid w:val="000731C8"/>
    <w:rPr>
      <w:b/>
      <w:bCs/>
      <w:caps/>
      <w:color w:val="243F60" w:themeColor="accent1" w:themeShade="7F"/>
      <w:spacing w:val="10"/>
    </w:rPr>
  </w:style>
  <w:style w:type="character" w:styleId="Subtieleverwijzing">
    <w:name w:val="Subtle Reference"/>
    <w:uiPriority w:val="31"/>
    <w:qFormat/>
    <w:rsid w:val="000731C8"/>
    <w:rPr>
      <w:b/>
      <w:bCs/>
      <w:color w:val="4F81BD" w:themeColor="accent1"/>
    </w:rPr>
  </w:style>
  <w:style w:type="character" w:styleId="Intensieveverwijzing">
    <w:name w:val="Intense Reference"/>
    <w:uiPriority w:val="32"/>
    <w:qFormat/>
    <w:rsid w:val="000731C8"/>
    <w:rPr>
      <w:b/>
      <w:bCs/>
      <w:i/>
      <w:iCs/>
      <w:caps/>
      <w:color w:val="4F81BD" w:themeColor="accent1"/>
    </w:rPr>
  </w:style>
  <w:style w:type="character" w:styleId="Titelvanboek">
    <w:name w:val="Book Title"/>
    <w:uiPriority w:val="33"/>
    <w:qFormat/>
    <w:rsid w:val="000731C8"/>
    <w:rPr>
      <w:b/>
      <w:bCs/>
      <w:i/>
      <w:iCs/>
      <w:spacing w:val="9"/>
    </w:rPr>
  </w:style>
  <w:style w:type="table" w:customStyle="1" w:styleId="MediumList21">
    <w:name w:val="Medium List 21"/>
    <w:basedOn w:val="Standaardtabel"/>
    <w:uiPriority w:val="66"/>
    <w:rsid w:val="00F71CD8"/>
    <w:pPr>
      <w:spacing w:before="0"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Koptekst">
    <w:name w:val="header"/>
    <w:basedOn w:val="Standaard"/>
    <w:link w:val="KoptekstChar"/>
    <w:uiPriority w:val="99"/>
    <w:unhideWhenUsed/>
    <w:rsid w:val="000731C8"/>
    <w:pPr>
      <w:tabs>
        <w:tab w:val="center" w:pos="4536"/>
        <w:tab w:val="right" w:pos="9072"/>
      </w:tabs>
      <w:spacing w:before="0" w:after="0" w:line="240" w:lineRule="auto"/>
    </w:pPr>
  </w:style>
  <w:style w:type="character" w:customStyle="1" w:styleId="KoptekstChar">
    <w:name w:val="Koptekst Char"/>
    <w:basedOn w:val="Standaardalinea-lettertype"/>
    <w:link w:val="Koptekst"/>
    <w:uiPriority w:val="99"/>
    <w:rsid w:val="000731C8"/>
    <w:rPr>
      <w:sz w:val="20"/>
      <w:szCs w:val="20"/>
    </w:rPr>
  </w:style>
  <w:style w:type="paragraph" w:styleId="Voettekst">
    <w:name w:val="footer"/>
    <w:basedOn w:val="Standaard"/>
    <w:link w:val="VoettekstChar"/>
    <w:uiPriority w:val="99"/>
    <w:unhideWhenUsed/>
    <w:rsid w:val="000731C8"/>
    <w:pPr>
      <w:tabs>
        <w:tab w:val="center" w:pos="4536"/>
        <w:tab w:val="right" w:pos="9072"/>
      </w:tabs>
      <w:spacing w:before="0" w:after="0" w:line="240" w:lineRule="auto"/>
    </w:pPr>
  </w:style>
  <w:style w:type="character" w:customStyle="1" w:styleId="VoettekstChar">
    <w:name w:val="Voettekst Char"/>
    <w:basedOn w:val="Standaardalinea-lettertype"/>
    <w:link w:val="Voettekst"/>
    <w:uiPriority w:val="99"/>
    <w:rsid w:val="000731C8"/>
    <w:rPr>
      <w:sz w:val="20"/>
      <w:szCs w:val="20"/>
    </w:rPr>
  </w:style>
  <w:style w:type="paragraph" w:styleId="Lijstmetafbeeldingen">
    <w:name w:val="table of figures"/>
    <w:basedOn w:val="Standaard"/>
    <w:next w:val="Standaard"/>
    <w:uiPriority w:val="99"/>
    <w:unhideWhenUsed/>
    <w:rsid w:val="006D2978"/>
    <w:pPr>
      <w:spacing w:after="0"/>
    </w:pPr>
  </w:style>
  <w:style w:type="paragraph" w:styleId="Bibliografie">
    <w:name w:val="Bibliography"/>
    <w:basedOn w:val="Standaard"/>
    <w:next w:val="Standaard"/>
    <w:uiPriority w:val="37"/>
    <w:unhideWhenUsed/>
    <w:rsid w:val="008F1407"/>
  </w:style>
  <w:style w:type="character" w:styleId="GevolgdeHyperlink">
    <w:name w:val="FollowedHyperlink"/>
    <w:basedOn w:val="Standaardalinea-lettertype"/>
    <w:uiPriority w:val="99"/>
    <w:semiHidden/>
    <w:unhideWhenUsed/>
    <w:rsid w:val="00934E19"/>
    <w:rPr>
      <w:color w:val="800080" w:themeColor="followedHyperlink"/>
      <w:u w:val="single"/>
    </w:rPr>
  </w:style>
  <w:style w:type="table" w:styleId="Tabelraster">
    <w:name w:val="Table Grid"/>
    <w:basedOn w:val="Standaardtabel"/>
    <w:uiPriority w:val="59"/>
    <w:rsid w:val="00387D32"/>
    <w:pPr>
      <w:spacing w:before="0"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chtearcering-accent5">
    <w:name w:val="Light Shading Accent 5"/>
    <w:basedOn w:val="Standaardtabel"/>
    <w:uiPriority w:val="60"/>
    <w:rsid w:val="00387D32"/>
    <w:pPr>
      <w:spacing w:before="0"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chtelijst-accent4">
    <w:name w:val="Light List Accent 4"/>
    <w:basedOn w:val="Standaardtabel"/>
    <w:uiPriority w:val="61"/>
    <w:rsid w:val="00236316"/>
    <w:pPr>
      <w:spacing w:before="0"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chtelijst-accent6">
    <w:name w:val="Light List Accent 6"/>
    <w:basedOn w:val="Standaardtabel"/>
    <w:uiPriority w:val="61"/>
    <w:rsid w:val="00236316"/>
    <w:pPr>
      <w:spacing w:before="0"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List1">
    <w:name w:val="Light List1"/>
    <w:basedOn w:val="Standaardtabel"/>
    <w:uiPriority w:val="61"/>
    <w:rsid w:val="00DA5191"/>
    <w:pPr>
      <w:spacing w:before="0"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Pa4">
    <w:name w:val="Pa4"/>
    <w:basedOn w:val="Standaard"/>
    <w:next w:val="Standaard"/>
    <w:uiPriority w:val="99"/>
    <w:rsid w:val="00E32413"/>
    <w:pPr>
      <w:autoSpaceDE w:val="0"/>
      <w:autoSpaceDN w:val="0"/>
      <w:adjustRightInd w:val="0"/>
      <w:spacing w:before="0" w:after="0" w:line="261" w:lineRule="atLeast"/>
    </w:pPr>
    <w:rPr>
      <w:rFonts w:ascii="Avenir LT Std 55 Roman" w:hAnsi="Avenir LT Std 55 Roman"/>
      <w:sz w:val="24"/>
      <w:szCs w:val="24"/>
      <w:lang w:val="nl-NL" w:bidi="ar-SA"/>
    </w:rPr>
  </w:style>
  <w:style w:type="paragraph" w:customStyle="1" w:styleId="Pa2">
    <w:name w:val="Pa2"/>
    <w:basedOn w:val="Standaard"/>
    <w:next w:val="Standaard"/>
    <w:uiPriority w:val="99"/>
    <w:rsid w:val="00E32413"/>
    <w:pPr>
      <w:autoSpaceDE w:val="0"/>
      <w:autoSpaceDN w:val="0"/>
      <w:adjustRightInd w:val="0"/>
      <w:spacing w:before="0" w:after="0" w:line="191" w:lineRule="atLeast"/>
    </w:pPr>
    <w:rPr>
      <w:rFonts w:ascii="Avenir LT Std 55 Roman" w:hAnsi="Avenir LT Std 55 Roman"/>
      <w:sz w:val="24"/>
      <w:szCs w:val="24"/>
      <w:lang w:val="nl-NL" w:bidi="ar-SA"/>
    </w:rPr>
  </w:style>
  <w:style w:type="paragraph" w:customStyle="1" w:styleId="Pa3">
    <w:name w:val="Pa3"/>
    <w:basedOn w:val="Standaard"/>
    <w:next w:val="Standaard"/>
    <w:uiPriority w:val="99"/>
    <w:rsid w:val="00E32413"/>
    <w:pPr>
      <w:autoSpaceDE w:val="0"/>
      <w:autoSpaceDN w:val="0"/>
      <w:adjustRightInd w:val="0"/>
      <w:spacing w:before="0" w:after="0" w:line="221" w:lineRule="atLeast"/>
    </w:pPr>
    <w:rPr>
      <w:rFonts w:ascii="Avenir LT Std 55 Roman" w:hAnsi="Avenir LT Std 55 Roman"/>
      <w:sz w:val="24"/>
      <w:szCs w:val="24"/>
      <w:lang w:val="nl-NL" w:bidi="ar-SA"/>
    </w:rPr>
  </w:style>
  <w:style w:type="character" w:styleId="Tekstvantijdelijkeaanduiding">
    <w:name w:val="Placeholder Text"/>
    <w:basedOn w:val="Standaardalinea-lettertype"/>
    <w:uiPriority w:val="99"/>
    <w:semiHidden/>
    <w:rsid w:val="00126E02"/>
    <w:rPr>
      <w:color w:val="808080"/>
    </w:rPr>
  </w:style>
  <w:style w:type="character" w:customStyle="1" w:styleId="atn">
    <w:name w:val="atn"/>
    <w:basedOn w:val="Standaardalinea-lettertype"/>
    <w:rsid w:val="00A4285F"/>
  </w:style>
  <w:style w:type="table" w:styleId="Gemiddeldearcering1-accent6">
    <w:name w:val="Medium Shading 1 Accent 6"/>
    <w:basedOn w:val="Standaardtabel"/>
    <w:uiPriority w:val="63"/>
    <w:rsid w:val="001152F7"/>
    <w:pPr>
      <w:spacing w:before="0"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LightGrid-Accent11">
    <w:name w:val="Light Grid - Accent 11"/>
    <w:basedOn w:val="Standaardtabel"/>
    <w:uiPriority w:val="62"/>
    <w:rsid w:val="004C50AD"/>
    <w:pPr>
      <w:spacing w:before="0"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Pa6">
    <w:name w:val="Pa6"/>
    <w:basedOn w:val="Standaard"/>
    <w:next w:val="Standaard"/>
    <w:uiPriority w:val="99"/>
    <w:rsid w:val="00762DD5"/>
    <w:pPr>
      <w:autoSpaceDE w:val="0"/>
      <w:autoSpaceDN w:val="0"/>
      <w:adjustRightInd w:val="0"/>
      <w:spacing w:before="0" w:after="0" w:line="191" w:lineRule="atLeast"/>
    </w:pPr>
    <w:rPr>
      <w:rFonts w:ascii="Avenir LT Std 55 Roman" w:eastAsiaTheme="minorHAnsi" w:hAnsi="Avenir LT Std 55 Roman"/>
      <w:sz w:val="24"/>
      <w:szCs w:val="24"/>
      <w:lang w:val="nl-NL" w:bidi="ar-SA"/>
    </w:rPr>
  </w:style>
  <w:style w:type="character" w:customStyle="1" w:styleId="gt-icon-text1">
    <w:name w:val="gt-icon-text1"/>
    <w:basedOn w:val="Standaardalinea-lettertype"/>
    <w:rsid w:val="0066372F"/>
  </w:style>
  <w:style w:type="table" w:customStyle="1" w:styleId="LightGrid-Accent12">
    <w:name w:val="Light Grid - Accent 12"/>
    <w:basedOn w:val="Standaardtabel"/>
    <w:uiPriority w:val="62"/>
    <w:rsid w:val="00E736DC"/>
    <w:pPr>
      <w:spacing w:before="0"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List-Accent11">
    <w:name w:val="Light List - Accent 11"/>
    <w:basedOn w:val="Standaardtabel"/>
    <w:uiPriority w:val="61"/>
    <w:rsid w:val="00E736DC"/>
    <w:pPr>
      <w:spacing w:before="0"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MediumShading2-Accent11">
    <w:name w:val="Medium Shading 2 - Accent 11"/>
    <w:basedOn w:val="Standaardtabel"/>
    <w:uiPriority w:val="64"/>
    <w:rsid w:val="00AC5F7B"/>
    <w:pPr>
      <w:spacing w:before="0"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raster3-accent1">
    <w:name w:val="Medium Grid 3 Accent 1"/>
    <w:basedOn w:val="Standaardtabel"/>
    <w:uiPriority w:val="69"/>
    <w:rsid w:val="00AC5F7B"/>
    <w:pPr>
      <w:spacing w:before="0"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Kleurrijkraster-accent1">
    <w:name w:val="Colorful Grid Accent 1"/>
    <w:basedOn w:val="Standaardtabel"/>
    <w:uiPriority w:val="73"/>
    <w:rsid w:val="00AC5F7B"/>
    <w:pPr>
      <w:spacing w:before="0"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emiddeldelijst2-accent6">
    <w:name w:val="Medium List 2 Accent 6"/>
    <w:basedOn w:val="Standaardtabel"/>
    <w:uiPriority w:val="66"/>
    <w:rsid w:val="00815018"/>
    <w:pPr>
      <w:spacing w:before="0"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Lichtearcering-accent6">
    <w:name w:val="Light Shading Accent 6"/>
    <w:basedOn w:val="Standaardtabel"/>
    <w:uiPriority w:val="60"/>
    <w:rsid w:val="003A6753"/>
    <w:pPr>
      <w:spacing w:before="0"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Gemiddeldraster2-accent6">
    <w:name w:val="Medium Grid 2 Accent 6"/>
    <w:basedOn w:val="Standaardtabel"/>
    <w:uiPriority w:val="68"/>
    <w:rsid w:val="00AC4B3D"/>
    <w:pPr>
      <w:spacing w:before="0"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paragraph" w:styleId="Ballontekst">
    <w:name w:val="Balloon Text"/>
    <w:basedOn w:val="Standaard"/>
    <w:link w:val="BallontekstChar"/>
    <w:uiPriority w:val="99"/>
    <w:semiHidden/>
    <w:unhideWhenUsed/>
    <w:rsid w:val="00C464D2"/>
    <w:pPr>
      <w:spacing w:before="0"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464D2"/>
    <w:rPr>
      <w:rFonts w:ascii="Tahoma" w:hAnsi="Tahoma" w:cs="Tahoma"/>
      <w:sz w:val="16"/>
      <w:szCs w:val="16"/>
    </w:rPr>
  </w:style>
  <w:style w:type="paragraph" w:customStyle="1" w:styleId="ecxmsonormal">
    <w:name w:val="ecxmsonormal"/>
    <w:basedOn w:val="Standaard"/>
    <w:rsid w:val="000042FD"/>
    <w:pPr>
      <w:spacing w:before="0" w:after="324" w:line="240" w:lineRule="auto"/>
    </w:pPr>
    <w:rPr>
      <w:rFonts w:ascii="Times New Roman" w:eastAsia="Times New Roman" w:hAnsi="Times New Roman" w:cs="Times New Roman"/>
      <w:sz w:val="24"/>
      <w:szCs w:val="24"/>
      <w:lang w:val="nl-NL" w:eastAsia="nl-NL" w:bidi="ar-SA"/>
    </w:rPr>
  </w:style>
  <w:style w:type="table" w:styleId="Gemiddeldraster3-accent6">
    <w:name w:val="Medium Grid 3 Accent 6"/>
    <w:basedOn w:val="Standaardtabel"/>
    <w:uiPriority w:val="69"/>
    <w:rsid w:val="001B5EC4"/>
    <w:pPr>
      <w:spacing w:before="0"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s>
</file>

<file path=word/webSettings.xml><?xml version="1.0" encoding="utf-8"?>
<w:webSettings xmlns:r="http://schemas.openxmlformats.org/officeDocument/2006/relationships" xmlns:w="http://schemas.openxmlformats.org/wordprocessingml/2006/main">
  <w:divs>
    <w:div w:id="58020828">
      <w:bodyDiv w:val="1"/>
      <w:marLeft w:val="0"/>
      <w:marRight w:val="0"/>
      <w:marTop w:val="0"/>
      <w:marBottom w:val="0"/>
      <w:divBdr>
        <w:top w:val="none" w:sz="0" w:space="0" w:color="auto"/>
        <w:left w:val="none" w:sz="0" w:space="0" w:color="auto"/>
        <w:bottom w:val="none" w:sz="0" w:space="0" w:color="auto"/>
        <w:right w:val="none" w:sz="0" w:space="0" w:color="auto"/>
      </w:divBdr>
      <w:divsChild>
        <w:div w:id="1036547040">
          <w:marLeft w:val="0"/>
          <w:marRight w:val="0"/>
          <w:marTop w:val="0"/>
          <w:marBottom w:val="0"/>
          <w:divBdr>
            <w:top w:val="none" w:sz="0" w:space="0" w:color="auto"/>
            <w:left w:val="none" w:sz="0" w:space="0" w:color="auto"/>
            <w:bottom w:val="none" w:sz="0" w:space="0" w:color="auto"/>
            <w:right w:val="none" w:sz="0" w:space="0" w:color="auto"/>
          </w:divBdr>
          <w:divsChild>
            <w:div w:id="1567296788">
              <w:marLeft w:val="0"/>
              <w:marRight w:val="0"/>
              <w:marTop w:val="0"/>
              <w:marBottom w:val="0"/>
              <w:divBdr>
                <w:top w:val="none" w:sz="0" w:space="0" w:color="auto"/>
                <w:left w:val="none" w:sz="0" w:space="0" w:color="auto"/>
                <w:bottom w:val="none" w:sz="0" w:space="0" w:color="auto"/>
                <w:right w:val="none" w:sz="0" w:space="0" w:color="auto"/>
              </w:divBdr>
              <w:divsChild>
                <w:div w:id="940798836">
                  <w:marLeft w:val="0"/>
                  <w:marRight w:val="0"/>
                  <w:marTop w:val="0"/>
                  <w:marBottom w:val="0"/>
                  <w:divBdr>
                    <w:top w:val="none" w:sz="0" w:space="0" w:color="auto"/>
                    <w:left w:val="none" w:sz="0" w:space="0" w:color="auto"/>
                    <w:bottom w:val="none" w:sz="0" w:space="0" w:color="auto"/>
                    <w:right w:val="none" w:sz="0" w:space="0" w:color="auto"/>
                  </w:divBdr>
                  <w:divsChild>
                    <w:div w:id="1161698728">
                      <w:marLeft w:val="0"/>
                      <w:marRight w:val="0"/>
                      <w:marTop w:val="0"/>
                      <w:marBottom w:val="0"/>
                      <w:divBdr>
                        <w:top w:val="none" w:sz="0" w:space="0" w:color="auto"/>
                        <w:left w:val="none" w:sz="0" w:space="0" w:color="auto"/>
                        <w:bottom w:val="none" w:sz="0" w:space="0" w:color="auto"/>
                        <w:right w:val="none" w:sz="0" w:space="0" w:color="auto"/>
                      </w:divBdr>
                      <w:divsChild>
                        <w:div w:id="1384595085">
                          <w:marLeft w:val="0"/>
                          <w:marRight w:val="0"/>
                          <w:marTop w:val="0"/>
                          <w:marBottom w:val="0"/>
                          <w:divBdr>
                            <w:top w:val="none" w:sz="0" w:space="0" w:color="auto"/>
                            <w:left w:val="none" w:sz="0" w:space="0" w:color="auto"/>
                            <w:bottom w:val="none" w:sz="0" w:space="0" w:color="auto"/>
                            <w:right w:val="none" w:sz="0" w:space="0" w:color="auto"/>
                          </w:divBdr>
                          <w:divsChild>
                            <w:div w:id="2107843442">
                              <w:marLeft w:val="0"/>
                              <w:marRight w:val="0"/>
                              <w:marTop w:val="0"/>
                              <w:marBottom w:val="0"/>
                              <w:divBdr>
                                <w:top w:val="none" w:sz="0" w:space="0" w:color="auto"/>
                                <w:left w:val="none" w:sz="0" w:space="0" w:color="auto"/>
                                <w:bottom w:val="none" w:sz="0" w:space="0" w:color="auto"/>
                                <w:right w:val="none" w:sz="0" w:space="0" w:color="auto"/>
                              </w:divBdr>
                              <w:divsChild>
                                <w:div w:id="14320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310827">
      <w:bodyDiv w:val="1"/>
      <w:marLeft w:val="0"/>
      <w:marRight w:val="0"/>
      <w:marTop w:val="0"/>
      <w:marBottom w:val="0"/>
      <w:divBdr>
        <w:top w:val="none" w:sz="0" w:space="0" w:color="auto"/>
        <w:left w:val="none" w:sz="0" w:space="0" w:color="auto"/>
        <w:bottom w:val="none" w:sz="0" w:space="0" w:color="auto"/>
        <w:right w:val="none" w:sz="0" w:space="0" w:color="auto"/>
      </w:divBdr>
      <w:divsChild>
        <w:div w:id="742221241">
          <w:marLeft w:val="0"/>
          <w:marRight w:val="0"/>
          <w:marTop w:val="0"/>
          <w:marBottom w:val="0"/>
          <w:divBdr>
            <w:top w:val="none" w:sz="0" w:space="0" w:color="auto"/>
            <w:left w:val="none" w:sz="0" w:space="0" w:color="auto"/>
            <w:bottom w:val="none" w:sz="0" w:space="0" w:color="auto"/>
            <w:right w:val="none" w:sz="0" w:space="0" w:color="auto"/>
          </w:divBdr>
          <w:divsChild>
            <w:div w:id="903182349">
              <w:marLeft w:val="0"/>
              <w:marRight w:val="0"/>
              <w:marTop w:val="0"/>
              <w:marBottom w:val="0"/>
              <w:divBdr>
                <w:top w:val="none" w:sz="0" w:space="0" w:color="auto"/>
                <w:left w:val="none" w:sz="0" w:space="0" w:color="auto"/>
                <w:bottom w:val="none" w:sz="0" w:space="0" w:color="auto"/>
                <w:right w:val="none" w:sz="0" w:space="0" w:color="auto"/>
              </w:divBdr>
              <w:divsChild>
                <w:div w:id="1130199016">
                  <w:marLeft w:val="0"/>
                  <w:marRight w:val="0"/>
                  <w:marTop w:val="0"/>
                  <w:marBottom w:val="0"/>
                  <w:divBdr>
                    <w:top w:val="none" w:sz="0" w:space="0" w:color="auto"/>
                    <w:left w:val="none" w:sz="0" w:space="0" w:color="auto"/>
                    <w:bottom w:val="none" w:sz="0" w:space="0" w:color="auto"/>
                    <w:right w:val="none" w:sz="0" w:space="0" w:color="auto"/>
                  </w:divBdr>
                  <w:divsChild>
                    <w:div w:id="45418632">
                      <w:marLeft w:val="0"/>
                      <w:marRight w:val="0"/>
                      <w:marTop w:val="0"/>
                      <w:marBottom w:val="0"/>
                      <w:divBdr>
                        <w:top w:val="none" w:sz="0" w:space="0" w:color="auto"/>
                        <w:left w:val="none" w:sz="0" w:space="0" w:color="auto"/>
                        <w:bottom w:val="none" w:sz="0" w:space="0" w:color="auto"/>
                        <w:right w:val="none" w:sz="0" w:space="0" w:color="auto"/>
                      </w:divBdr>
                      <w:divsChild>
                        <w:div w:id="176192617">
                          <w:marLeft w:val="0"/>
                          <w:marRight w:val="0"/>
                          <w:marTop w:val="0"/>
                          <w:marBottom w:val="0"/>
                          <w:divBdr>
                            <w:top w:val="none" w:sz="0" w:space="0" w:color="auto"/>
                            <w:left w:val="none" w:sz="0" w:space="0" w:color="auto"/>
                            <w:bottom w:val="none" w:sz="0" w:space="0" w:color="auto"/>
                            <w:right w:val="none" w:sz="0" w:space="0" w:color="auto"/>
                          </w:divBdr>
                          <w:divsChild>
                            <w:div w:id="2043282069">
                              <w:marLeft w:val="0"/>
                              <w:marRight w:val="0"/>
                              <w:marTop w:val="0"/>
                              <w:marBottom w:val="0"/>
                              <w:divBdr>
                                <w:top w:val="none" w:sz="0" w:space="0" w:color="auto"/>
                                <w:left w:val="none" w:sz="0" w:space="0" w:color="auto"/>
                                <w:bottom w:val="none" w:sz="0" w:space="0" w:color="auto"/>
                                <w:right w:val="none" w:sz="0" w:space="0" w:color="auto"/>
                              </w:divBdr>
                              <w:divsChild>
                                <w:div w:id="1265379154">
                                  <w:marLeft w:val="0"/>
                                  <w:marRight w:val="0"/>
                                  <w:marTop w:val="0"/>
                                  <w:marBottom w:val="0"/>
                                  <w:divBdr>
                                    <w:top w:val="none" w:sz="0" w:space="0" w:color="auto"/>
                                    <w:left w:val="none" w:sz="0" w:space="0" w:color="auto"/>
                                    <w:bottom w:val="none" w:sz="0" w:space="0" w:color="auto"/>
                                    <w:right w:val="none" w:sz="0" w:space="0" w:color="auto"/>
                                  </w:divBdr>
                                  <w:divsChild>
                                    <w:div w:id="158479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664341">
      <w:bodyDiv w:val="1"/>
      <w:marLeft w:val="0"/>
      <w:marRight w:val="0"/>
      <w:marTop w:val="0"/>
      <w:marBottom w:val="0"/>
      <w:divBdr>
        <w:top w:val="none" w:sz="0" w:space="0" w:color="auto"/>
        <w:left w:val="none" w:sz="0" w:space="0" w:color="auto"/>
        <w:bottom w:val="none" w:sz="0" w:space="0" w:color="auto"/>
        <w:right w:val="none" w:sz="0" w:space="0" w:color="auto"/>
      </w:divBdr>
      <w:divsChild>
        <w:div w:id="1637369557">
          <w:marLeft w:val="0"/>
          <w:marRight w:val="0"/>
          <w:marTop w:val="0"/>
          <w:marBottom w:val="0"/>
          <w:divBdr>
            <w:top w:val="none" w:sz="0" w:space="0" w:color="auto"/>
            <w:left w:val="none" w:sz="0" w:space="0" w:color="auto"/>
            <w:bottom w:val="none" w:sz="0" w:space="0" w:color="auto"/>
            <w:right w:val="none" w:sz="0" w:space="0" w:color="auto"/>
          </w:divBdr>
          <w:divsChild>
            <w:div w:id="463816982">
              <w:marLeft w:val="0"/>
              <w:marRight w:val="0"/>
              <w:marTop w:val="0"/>
              <w:marBottom w:val="0"/>
              <w:divBdr>
                <w:top w:val="none" w:sz="0" w:space="0" w:color="auto"/>
                <w:left w:val="none" w:sz="0" w:space="0" w:color="auto"/>
                <w:bottom w:val="none" w:sz="0" w:space="0" w:color="auto"/>
                <w:right w:val="none" w:sz="0" w:space="0" w:color="auto"/>
              </w:divBdr>
              <w:divsChild>
                <w:div w:id="143282823">
                  <w:marLeft w:val="0"/>
                  <w:marRight w:val="0"/>
                  <w:marTop w:val="0"/>
                  <w:marBottom w:val="0"/>
                  <w:divBdr>
                    <w:top w:val="none" w:sz="0" w:space="0" w:color="auto"/>
                    <w:left w:val="none" w:sz="0" w:space="0" w:color="auto"/>
                    <w:bottom w:val="none" w:sz="0" w:space="0" w:color="auto"/>
                    <w:right w:val="none" w:sz="0" w:space="0" w:color="auto"/>
                  </w:divBdr>
                  <w:divsChild>
                    <w:div w:id="399786936">
                      <w:marLeft w:val="0"/>
                      <w:marRight w:val="0"/>
                      <w:marTop w:val="0"/>
                      <w:marBottom w:val="0"/>
                      <w:divBdr>
                        <w:top w:val="none" w:sz="0" w:space="0" w:color="auto"/>
                        <w:left w:val="none" w:sz="0" w:space="0" w:color="auto"/>
                        <w:bottom w:val="none" w:sz="0" w:space="0" w:color="auto"/>
                        <w:right w:val="none" w:sz="0" w:space="0" w:color="auto"/>
                      </w:divBdr>
                      <w:divsChild>
                        <w:div w:id="1066756231">
                          <w:marLeft w:val="0"/>
                          <w:marRight w:val="0"/>
                          <w:marTop w:val="0"/>
                          <w:marBottom w:val="0"/>
                          <w:divBdr>
                            <w:top w:val="none" w:sz="0" w:space="0" w:color="auto"/>
                            <w:left w:val="none" w:sz="0" w:space="0" w:color="auto"/>
                            <w:bottom w:val="none" w:sz="0" w:space="0" w:color="auto"/>
                            <w:right w:val="none" w:sz="0" w:space="0" w:color="auto"/>
                          </w:divBdr>
                          <w:divsChild>
                            <w:div w:id="1608195122">
                              <w:marLeft w:val="0"/>
                              <w:marRight w:val="0"/>
                              <w:marTop w:val="0"/>
                              <w:marBottom w:val="0"/>
                              <w:divBdr>
                                <w:top w:val="none" w:sz="0" w:space="0" w:color="auto"/>
                                <w:left w:val="none" w:sz="0" w:space="0" w:color="auto"/>
                                <w:bottom w:val="none" w:sz="0" w:space="0" w:color="auto"/>
                                <w:right w:val="none" w:sz="0" w:space="0" w:color="auto"/>
                              </w:divBdr>
                              <w:divsChild>
                                <w:div w:id="744104825">
                                  <w:marLeft w:val="0"/>
                                  <w:marRight w:val="0"/>
                                  <w:marTop w:val="0"/>
                                  <w:marBottom w:val="0"/>
                                  <w:divBdr>
                                    <w:top w:val="none" w:sz="0" w:space="0" w:color="auto"/>
                                    <w:left w:val="none" w:sz="0" w:space="0" w:color="auto"/>
                                    <w:bottom w:val="none" w:sz="0" w:space="0" w:color="auto"/>
                                    <w:right w:val="none" w:sz="0" w:space="0" w:color="auto"/>
                                  </w:divBdr>
                                </w:div>
                              </w:divsChild>
                            </w:div>
                            <w:div w:id="1993675271">
                              <w:marLeft w:val="0"/>
                              <w:marRight w:val="0"/>
                              <w:marTop w:val="240"/>
                              <w:marBottom w:val="0"/>
                              <w:divBdr>
                                <w:top w:val="none" w:sz="0" w:space="0" w:color="auto"/>
                                <w:left w:val="none" w:sz="0" w:space="0" w:color="auto"/>
                                <w:bottom w:val="none" w:sz="0" w:space="0" w:color="auto"/>
                                <w:right w:val="none" w:sz="0" w:space="0" w:color="auto"/>
                              </w:divBdr>
                              <w:divsChild>
                                <w:div w:id="1252394970">
                                  <w:marLeft w:val="0"/>
                                  <w:marRight w:val="0"/>
                                  <w:marTop w:val="0"/>
                                  <w:marBottom w:val="0"/>
                                  <w:divBdr>
                                    <w:top w:val="none" w:sz="0" w:space="0" w:color="auto"/>
                                    <w:left w:val="none" w:sz="0" w:space="0" w:color="auto"/>
                                    <w:bottom w:val="none" w:sz="0" w:space="0" w:color="auto"/>
                                    <w:right w:val="none" w:sz="0" w:space="0" w:color="auto"/>
                                  </w:divBdr>
                                </w:div>
                                <w:div w:id="1180583303">
                                  <w:marLeft w:val="0"/>
                                  <w:marRight w:val="0"/>
                                  <w:marTop w:val="0"/>
                                  <w:marBottom w:val="0"/>
                                  <w:divBdr>
                                    <w:top w:val="none" w:sz="0" w:space="0" w:color="auto"/>
                                    <w:left w:val="none" w:sz="0" w:space="0" w:color="auto"/>
                                    <w:bottom w:val="none" w:sz="0" w:space="0" w:color="auto"/>
                                    <w:right w:val="none" w:sz="0" w:space="0" w:color="auto"/>
                                  </w:divBdr>
                                </w:div>
                              </w:divsChild>
                            </w:div>
                            <w:div w:id="768503624">
                              <w:marLeft w:val="0"/>
                              <w:marRight w:val="0"/>
                              <w:marTop w:val="0"/>
                              <w:marBottom w:val="0"/>
                              <w:divBdr>
                                <w:top w:val="none" w:sz="0" w:space="0" w:color="auto"/>
                                <w:left w:val="none" w:sz="0" w:space="0" w:color="auto"/>
                                <w:bottom w:val="none" w:sz="0" w:space="0" w:color="auto"/>
                                <w:right w:val="none" w:sz="0" w:space="0" w:color="auto"/>
                              </w:divBdr>
                            </w:div>
                            <w:div w:id="1297446999">
                              <w:marLeft w:val="0"/>
                              <w:marRight w:val="0"/>
                              <w:marTop w:val="240"/>
                              <w:marBottom w:val="0"/>
                              <w:divBdr>
                                <w:top w:val="none" w:sz="0" w:space="0" w:color="auto"/>
                                <w:left w:val="none" w:sz="0" w:space="0" w:color="auto"/>
                                <w:bottom w:val="none" w:sz="0" w:space="0" w:color="auto"/>
                                <w:right w:val="none" w:sz="0" w:space="0" w:color="auto"/>
                              </w:divBdr>
                            </w:div>
                            <w:div w:id="1279727606">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1203220">
      <w:bodyDiv w:val="1"/>
      <w:marLeft w:val="0"/>
      <w:marRight w:val="0"/>
      <w:marTop w:val="0"/>
      <w:marBottom w:val="0"/>
      <w:divBdr>
        <w:top w:val="none" w:sz="0" w:space="0" w:color="auto"/>
        <w:left w:val="none" w:sz="0" w:space="0" w:color="auto"/>
        <w:bottom w:val="none" w:sz="0" w:space="0" w:color="auto"/>
        <w:right w:val="none" w:sz="0" w:space="0" w:color="auto"/>
      </w:divBdr>
      <w:divsChild>
        <w:div w:id="586770766">
          <w:marLeft w:val="0"/>
          <w:marRight w:val="0"/>
          <w:marTop w:val="0"/>
          <w:marBottom w:val="0"/>
          <w:divBdr>
            <w:top w:val="none" w:sz="0" w:space="0" w:color="auto"/>
            <w:left w:val="none" w:sz="0" w:space="0" w:color="auto"/>
            <w:bottom w:val="none" w:sz="0" w:space="0" w:color="auto"/>
            <w:right w:val="none" w:sz="0" w:space="0" w:color="auto"/>
          </w:divBdr>
          <w:divsChild>
            <w:div w:id="1349140592">
              <w:marLeft w:val="0"/>
              <w:marRight w:val="0"/>
              <w:marTop w:val="0"/>
              <w:marBottom w:val="0"/>
              <w:divBdr>
                <w:top w:val="none" w:sz="0" w:space="0" w:color="auto"/>
                <w:left w:val="none" w:sz="0" w:space="0" w:color="auto"/>
                <w:bottom w:val="none" w:sz="0" w:space="0" w:color="auto"/>
                <w:right w:val="none" w:sz="0" w:space="0" w:color="auto"/>
              </w:divBdr>
              <w:divsChild>
                <w:div w:id="1984890872">
                  <w:marLeft w:val="0"/>
                  <w:marRight w:val="0"/>
                  <w:marTop w:val="0"/>
                  <w:marBottom w:val="0"/>
                  <w:divBdr>
                    <w:top w:val="none" w:sz="0" w:space="0" w:color="auto"/>
                    <w:left w:val="none" w:sz="0" w:space="0" w:color="auto"/>
                    <w:bottom w:val="none" w:sz="0" w:space="0" w:color="auto"/>
                    <w:right w:val="none" w:sz="0" w:space="0" w:color="auto"/>
                  </w:divBdr>
                  <w:divsChild>
                    <w:div w:id="1394741819">
                      <w:marLeft w:val="0"/>
                      <w:marRight w:val="0"/>
                      <w:marTop w:val="0"/>
                      <w:marBottom w:val="0"/>
                      <w:divBdr>
                        <w:top w:val="none" w:sz="0" w:space="0" w:color="auto"/>
                        <w:left w:val="none" w:sz="0" w:space="0" w:color="auto"/>
                        <w:bottom w:val="none" w:sz="0" w:space="0" w:color="auto"/>
                        <w:right w:val="none" w:sz="0" w:space="0" w:color="auto"/>
                      </w:divBdr>
                      <w:divsChild>
                        <w:div w:id="1742093332">
                          <w:marLeft w:val="0"/>
                          <w:marRight w:val="0"/>
                          <w:marTop w:val="0"/>
                          <w:marBottom w:val="0"/>
                          <w:divBdr>
                            <w:top w:val="none" w:sz="0" w:space="0" w:color="auto"/>
                            <w:left w:val="none" w:sz="0" w:space="0" w:color="auto"/>
                            <w:bottom w:val="none" w:sz="0" w:space="0" w:color="auto"/>
                            <w:right w:val="none" w:sz="0" w:space="0" w:color="auto"/>
                          </w:divBdr>
                          <w:divsChild>
                            <w:div w:id="1696736421">
                              <w:marLeft w:val="0"/>
                              <w:marRight w:val="0"/>
                              <w:marTop w:val="0"/>
                              <w:marBottom w:val="0"/>
                              <w:divBdr>
                                <w:top w:val="none" w:sz="0" w:space="0" w:color="auto"/>
                                <w:left w:val="none" w:sz="0" w:space="0" w:color="auto"/>
                                <w:bottom w:val="none" w:sz="0" w:space="0" w:color="auto"/>
                                <w:right w:val="none" w:sz="0" w:space="0" w:color="auto"/>
                              </w:divBdr>
                              <w:divsChild>
                                <w:div w:id="116886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9141740">
      <w:bodyDiv w:val="1"/>
      <w:marLeft w:val="0"/>
      <w:marRight w:val="0"/>
      <w:marTop w:val="0"/>
      <w:marBottom w:val="0"/>
      <w:divBdr>
        <w:top w:val="none" w:sz="0" w:space="0" w:color="auto"/>
        <w:left w:val="none" w:sz="0" w:space="0" w:color="auto"/>
        <w:bottom w:val="none" w:sz="0" w:space="0" w:color="auto"/>
        <w:right w:val="none" w:sz="0" w:space="0" w:color="auto"/>
      </w:divBdr>
      <w:divsChild>
        <w:div w:id="1102073865">
          <w:marLeft w:val="0"/>
          <w:marRight w:val="0"/>
          <w:marTop w:val="0"/>
          <w:marBottom w:val="0"/>
          <w:divBdr>
            <w:top w:val="none" w:sz="0" w:space="0" w:color="auto"/>
            <w:left w:val="none" w:sz="0" w:space="0" w:color="auto"/>
            <w:bottom w:val="none" w:sz="0" w:space="0" w:color="auto"/>
            <w:right w:val="none" w:sz="0" w:space="0" w:color="auto"/>
          </w:divBdr>
          <w:divsChild>
            <w:div w:id="464978015">
              <w:marLeft w:val="0"/>
              <w:marRight w:val="0"/>
              <w:marTop w:val="0"/>
              <w:marBottom w:val="0"/>
              <w:divBdr>
                <w:top w:val="none" w:sz="0" w:space="0" w:color="auto"/>
                <w:left w:val="none" w:sz="0" w:space="0" w:color="auto"/>
                <w:bottom w:val="none" w:sz="0" w:space="0" w:color="auto"/>
                <w:right w:val="none" w:sz="0" w:space="0" w:color="auto"/>
              </w:divBdr>
              <w:divsChild>
                <w:div w:id="887455734">
                  <w:marLeft w:val="0"/>
                  <w:marRight w:val="0"/>
                  <w:marTop w:val="0"/>
                  <w:marBottom w:val="0"/>
                  <w:divBdr>
                    <w:top w:val="none" w:sz="0" w:space="0" w:color="auto"/>
                    <w:left w:val="none" w:sz="0" w:space="0" w:color="auto"/>
                    <w:bottom w:val="none" w:sz="0" w:space="0" w:color="auto"/>
                    <w:right w:val="none" w:sz="0" w:space="0" w:color="auto"/>
                  </w:divBdr>
                  <w:divsChild>
                    <w:div w:id="68308228">
                      <w:marLeft w:val="0"/>
                      <w:marRight w:val="0"/>
                      <w:marTop w:val="0"/>
                      <w:marBottom w:val="0"/>
                      <w:divBdr>
                        <w:top w:val="none" w:sz="0" w:space="0" w:color="auto"/>
                        <w:left w:val="none" w:sz="0" w:space="0" w:color="auto"/>
                        <w:bottom w:val="none" w:sz="0" w:space="0" w:color="auto"/>
                        <w:right w:val="none" w:sz="0" w:space="0" w:color="auto"/>
                      </w:divBdr>
                      <w:divsChild>
                        <w:div w:id="936985451">
                          <w:marLeft w:val="0"/>
                          <w:marRight w:val="0"/>
                          <w:marTop w:val="0"/>
                          <w:marBottom w:val="0"/>
                          <w:divBdr>
                            <w:top w:val="none" w:sz="0" w:space="0" w:color="auto"/>
                            <w:left w:val="none" w:sz="0" w:space="0" w:color="auto"/>
                            <w:bottom w:val="none" w:sz="0" w:space="0" w:color="auto"/>
                            <w:right w:val="none" w:sz="0" w:space="0" w:color="auto"/>
                          </w:divBdr>
                          <w:divsChild>
                            <w:div w:id="1175458922">
                              <w:marLeft w:val="0"/>
                              <w:marRight w:val="0"/>
                              <w:marTop w:val="0"/>
                              <w:marBottom w:val="0"/>
                              <w:divBdr>
                                <w:top w:val="none" w:sz="0" w:space="0" w:color="auto"/>
                                <w:left w:val="none" w:sz="0" w:space="0" w:color="auto"/>
                                <w:bottom w:val="none" w:sz="0" w:space="0" w:color="auto"/>
                                <w:right w:val="none" w:sz="0" w:space="0" w:color="auto"/>
                              </w:divBdr>
                              <w:divsChild>
                                <w:div w:id="22422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0182554">
      <w:bodyDiv w:val="1"/>
      <w:marLeft w:val="0"/>
      <w:marRight w:val="0"/>
      <w:marTop w:val="0"/>
      <w:marBottom w:val="0"/>
      <w:divBdr>
        <w:top w:val="none" w:sz="0" w:space="0" w:color="auto"/>
        <w:left w:val="none" w:sz="0" w:space="0" w:color="auto"/>
        <w:bottom w:val="none" w:sz="0" w:space="0" w:color="auto"/>
        <w:right w:val="none" w:sz="0" w:space="0" w:color="auto"/>
      </w:divBdr>
      <w:divsChild>
        <w:div w:id="984355258">
          <w:marLeft w:val="0"/>
          <w:marRight w:val="0"/>
          <w:marTop w:val="0"/>
          <w:marBottom w:val="0"/>
          <w:divBdr>
            <w:top w:val="none" w:sz="0" w:space="0" w:color="auto"/>
            <w:left w:val="none" w:sz="0" w:space="0" w:color="auto"/>
            <w:bottom w:val="none" w:sz="0" w:space="0" w:color="auto"/>
            <w:right w:val="none" w:sz="0" w:space="0" w:color="auto"/>
          </w:divBdr>
          <w:divsChild>
            <w:div w:id="1169098400">
              <w:marLeft w:val="0"/>
              <w:marRight w:val="0"/>
              <w:marTop w:val="0"/>
              <w:marBottom w:val="0"/>
              <w:divBdr>
                <w:top w:val="none" w:sz="0" w:space="0" w:color="auto"/>
                <w:left w:val="none" w:sz="0" w:space="0" w:color="auto"/>
                <w:bottom w:val="none" w:sz="0" w:space="0" w:color="auto"/>
                <w:right w:val="none" w:sz="0" w:space="0" w:color="auto"/>
              </w:divBdr>
              <w:divsChild>
                <w:div w:id="95566313">
                  <w:marLeft w:val="0"/>
                  <w:marRight w:val="0"/>
                  <w:marTop w:val="0"/>
                  <w:marBottom w:val="0"/>
                  <w:divBdr>
                    <w:top w:val="none" w:sz="0" w:space="0" w:color="auto"/>
                    <w:left w:val="none" w:sz="0" w:space="0" w:color="auto"/>
                    <w:bottom w:val="none" w:sz="0" w:space="0" w:color="auto"/>
                    <w:right w:val="none" w:sz="0" w:space="0" w:color="auto"/>
                  </w:divBdr>
                  <w:divsChild>
                    <w:div w:id="54819909">
                      <w:marLeft w:val="0"/>
                      <w:marRight w:val="0"/>
                      <w:marTop w:val="0"/>
                      <w:marBottom w:val="0"/>
                      <w:divBdr>
                        <w:top w:val="none" w:sz="0" w:space="0" w:color="auto"/>
                        <w:left w:val="none" w:sz="0" w:space="0" w:color="auto"/>
                        <w:bottom w:val="none" w:sz="0" w:space="0" w:color="auto"/>
                        <w:right w:val="none" w:sz="0" w:space="0" w:color="auto"/>
                      </w:divBdr>
                      <w:divsChild>
                        <w:div w:id="321585445">
                          <w:marLeft w:val="0"/>
                          <w:marRight w:val="0"/>
                          <w:marTop w:val="0"/>
                          <w:marBottom w:val="0"/>
                          <w:divBdr>
                            <w:top w:val="none" w:sz="0" w:space="0" w:color="auto"/>
                            <w:left w:val="none" w:sz="0" w:space="0" w:color="auto"/>
                            <w:bottom w:val="none" w:sz="0" w:space="0" w:color="auto"/>
                            <w:right w:val="none" w:sz="0" w:space="0" w:color="auto"/>
                          </w:divBdr>
                          <w:divsChild>
                            <w:div w:id="1295791475">
                              <w:marLeft w:val="0"/>
                              <w:marRight w:val="0"/>
                              <w:marTop w:val="0"/>
                              <w:marBottom w:val="0"/>
                              <w:divBdr>
                                <w:top w:val="none" w:sz="0" w:space="0" w:color="auto"/>
                                <w:left w:val="none" w:sz="0" w:space="0" w:color="auto"/>
                                <w:bottom w:val="none" w:sz="0" w:space="0" w:color="auto"/>
                                <w:right w:val="none" w:sz="0" w:space="0" w:color="auto"/>
                              </w:divBdr>
                              <w:divsChild>
                                <w:div w:id="83036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4017737">
      <w:bodyDiv w:val="1"/>
      <w:marLeft w:val="0"/>
      <w:marRight w:val="0"/>
      <w:marTop w:val="0"/>
      <w:marBottom w:val="0"/>
      <w:divBdr>
        <w:top w:val="none" w:sz="0" w:space="0" w:color="auto"/>
        <w:left w:val="none" w:sz="0" w:space="0" w:color="auto"/>
        <w:bottom w:val="none" w:sz="0" w:space="0" w:color="auto"/>
        <w:right w:val="none" w:sz="0" w:space="0" w:color="auto"/>
      </w:divBdr>
      <w:divsChild>
        <w:div w:id="1944528048">
          <w:marLeft w:val="0"/>
          <w:marRight w:val="0"/>
          <w:marTop w:val="0"/>
          <w:marBottom w:val="0"/>
          <w:divBdr>
            <w:top w:val="none" w:sz="0" w:space="0" w:color="auto"/>
            <w:left w:val="none" w:sz="0" w:space="0" w:color="auto"/>
            <w:bottom w:val="none" w:sz="0" w:space="0" w:color="auto"/>
            <w:right w:val="none" w:sz="0" w:space="0" w:color="auto"/>
          </w:divBdr>
          <w:divsChild>
            <w:div w:id="1242837295">
              <w:marLeft w:val="0"/>
              <w:marRight w:val="0"/>
              <w:marTop w:val="0"/>
              <w:marBottom w:val="0"/>
              <w:divBdr>
                <w:top w:val="none" w:sz="0" w:space="0" w:color="auto"/>
                <w:left w:val="none" w:sz="0" w:space="0" w:color="auto"/>
                <w:bottom w:val="none" w:sz="0" w:space="0" w:color="auto"/>
                <w:right w:val="none" w:sz="0" w:space="0" w:color="auto"/>
              </w:divBdr>
              <w:divsChild>
                <w:div w:id="141547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810358">
      <w:bodyDiv w:val="1"/>
      <w:marLeft w:val="0"/>
      <w:marRight w:val="0"/>
      <w:marTop w:val="0"/>
      <w:marBottom w:val="0"/>
      <w:divBdr>
        <w:top w:val="none" w:sz="0" w:space="0" w:color="auto"/>
        <w:left w:val="none" w:sz="0" w:space="0" w:color="auto"/>
        <w:bottom w:val="none" w:sz="0" w:space="0" w:color="auto"/>
        <w:right w:val="none" w:sz="0" w:space="0" w:color="auto"/>
      </w:divBdr>
      <w:divsChild>
        <w:div w:id="1156410566">
          <w:marLeft w:val="0"/>
          <w:marRight w:val="0"/>
          <w:marTop w:val="0"/>
          <w:marBottom w:val="0"/>
          <w:divBdr>
            <w:top w:val="none" w:sz="0" w:space="0" w:color="auto"/>
            <w:left w:val="none" w:sz="0" w:space="0" w:color="auto"/>
            <w:bottom w:val="none" w:sz="0" w:space="0" w:color="auto"/>
            <w:right w:val="none" w:sz="0" w:space="0" w:color="auto"/>
          </w:divBdr>
          <w:divsChild>
            <w:div w:id="581328958">
              <w:marLeft w:val="0"/>
              <w:marRight w:val="0"/>
              <w:marTop w:val="0"/>
              <w:marBottom w:val="0"/>
              <w:divBdr>
                <w:top w:val="none" w:sz="0" w:space="0" w:color="auto"/>
                <w:left w:val="none" w:sz="0" w:space="0" w:color="auto"/>
                <w:bottom w:val="none" w:sz="0" w:space="0" w:color="auto"/>
                <w:right w:val="none" w:sz="0" w:space="0" w:color="auto"/>
              </w:divBdr>
              <w:divsChild>
                <w:div w:id="1698237225">
                  <w:marLeft w:val="0"/>
                  <w:marRight w:val="0"/>
                  <w:marTop w:val="0"/>
                  <w:marBottom w:val="0"/>
                  <w:divBdr>
                    <w:top w:val="none" w:sz="0" w:space="0" w:color="auto"/>
                    <w:left w:val="none" w:sz="0" w:space="0" w:color="auto"/>
                    <w:bottom w:val="none" w:sz="0" w:space="0" w:color="auto"/>
                    <w:right w:val="none" w:sz="0" w:space="0" w:color="auto"/>
                  </w:divBdr>
                  <w:divsChild>
                    <w:div w:id="849953803">
                      <w:marLeft w:val="0"/>
                      <w:marRight w:val="0"/>
                      <w:marTop w:val="0"/>
                      <w:marBottom w:val="0"/>
                      <w:divBdr>
                        <w:top w:val="none" w:sz="0" w:space="0" w:color="auto"/>
                        <w:left w:val="none" w:sz="0" w:space="0" w:color="auto"/>
                        <w:bottom w:val="none" w:sz="0" w:space="0" w:color="auto"/>
                        <w:right w:val="none" w:sz="0" w:space="0" w:color="auto"/>
                      </w:divBdr>
                      <w:divsChild>
                        <w:div w:id="1309364885">
                          <w:marLeft w:val="0"/>
                          <w:marRight w:val="0"/>
                          <w:marTop w:val="0"/>
                          <w:marBottom w:val="0"/>
                          <w:divBdr>
                            <w:top w:val="none" w:sz="0" w:space="0" w:color="auto"/>
                            <w:left w:val="none" w:sz="0" w:space="0" w:color="auto"/>
                            <w:bottom w:val="none" w:sz="0" w:space="0" w:color="auto"/>
                            <w:right w:val="none" w:sz="0" w:space="0" w:color="auto"/>
                          </w:divBdr>
                          <w:divsChild>
                            <w:div w:id="1438406984">
                              <w:marLeft w:val="0"/>
                              <w:marRight w:val="0"/>
                              <w:marTop w:val="0"/>
                              <w:marBottom w:val="0"/>
                              <w:divBdr>
                                <w:top w:val="none" w:sz="0" w:space="0" w:color="auto"/>
                                <w:left w:val="none" w:sz="0" w:space="0" w:color="auto"/>
                                <w:bottom w:val="none" w:sz="0" w:space="0" w:color="auto"/>
                                <w:right w:val="none" w:sz="0" w:space="0" w:color="auto"/>
                              </w:divBdr>
                              <w:divsChild>
                                <w:div w:id="162654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1155497">
      <w:bodyDiv w:val="1"/>
      <w:marLeft w:val="0"/>
      <w:marRight w:val="0"/>
      <w:marTop w:val="0"/>
      <w:marBottom w:val="0"/>
      <w:divBdr>
        <w:top w:val="none" w:sz="0" w:space="0" w:color="auto"/>
        <w:left w:val="none" w:sz="0" w:space="0" w:color="auto"/>
        <w:bottom w:val="none" w:sz="0" w:space="0" w:color="auto"/>
        <w:right w:val="none" w:sz="0" w:space="0" w:color="auto"/>
      </w:divBdr>
      <w:divsChild>
        <w:div w:id="481041083">
          <w:marLeft w:val="0"/>
          <w:marRight w:val="0"/>
          <w:marTop w:val="0"/>
          <w:marBottom w:val="0"/>
          <w:divBdr>
            <w:top w:val="none" w:sz="0" w:space="0" w:color="auto"/>
            <w:left w:val="none" w:sz="0" w:space="0" w:color="auto"/>
            <w:bottom w:val="none" w:sz="0" w:space="0" w:color="auto"/>
            <w:right w:val="none" w:sz="0" w:space="0" w:color="auto"/>
          </w:divBdr>
          <w:divsChild>
            <w:div w:id="107546805">
              <w:marLeft w:val="0"/>
              <w:marRight w:val="0"/>
              <w:marTop w:val="0"/>
              <w:marBottom w:val="0"/>
              <w:divBdr>
                <w:top w:val="none" w:sz="0" w:space="0" w:color="auto"/>
                <w:left w:val="none" w:sz="0" w:space="0" w:color="auto"/>
                <w:bottom w:val="none" w:sz="0" w:space="0" w:color="auto"/>
                <w:right w:val="none" w:sz="0" w:space="0" w:color="auto"/>
              </w:divBdr>
              <w:divsChild>
                <w:div w:id="1297686717">
                  <w:marLeft w:val="0"/>
                  <w:marRight w:val="0"/>
                  <w:marTop w:val="0"/>
                  <w:marBottom w:val="0"/>
                  <w:divBdr>
                    <w:top w:val="none" w:sz="0" w:space="0" w:color="auto"/>
                    <w:left w:val="none" w:sz="0" w:space="0" w:color="auto"/>
                    <w:bottom w:val="none" w:sz="0" w:space="0" w:color="auto"/>
                    <w:right w:val="none" w:sz="0" w:space="0" w:color="auto"/>
                  </w:divBdr>
                  <w:divsChild>
                    <w:div w:id="806243909">
                      <w:marLeft w:val="0"/>
                      <w:marRight w:val="0"/>
                      <w:marTop w:val="0"/>
                      <w:marBottom w:val="0"/>
                      <w:divBdr>
                        <w:top w:val="none" w:sz="0" w:space="0" w:color="auto"/>
                        <w:left w:val="none" w:sz="0" w:space="0" w:color="auto"/>
                        <w:bottom w:val="none" w:sz="0" w:space="0" w:color="auto"/>
                        <w:right w:val="none" w:sz="0" w:space="0" w:color="auto"/>
                      </w:divBdr>
                      <w:divsChild>
                        <w:div w:id="950019072">
                          <w:marLeft w:val="0"/>
                          <w:marRight w:val="0"/>
                          <w:marTop w:val="0"/>
                          <w:marBottom w:val="0"/>
                          <w:divBdr>
                            <w:top w:val="none" w:sz="0" w:space="0" w:color="auto"/>
                            <w:left w:val="none" w:sz="0" w:space="0" w:color="auto"/>
                            <w:bottom w:val="none" w:sz="0" w:space="0" w:color="auto"/>
                            <w:right w:val="none" w:sz="0" w:space="0" w:color="auto"/>
                          </w:divBdr>
                          <w:divsChild>
                            <w:div w:id="1693803395">
                              <w:marLeft w:val="0"/>
                              <w:marRight w:val="0"/>
                              <w:marTop w:val="0"/>
                              <w:marBottom w:val="0"/>
                              <w:divBdr>
                                <w:top w:val="none" w:sz="0" w:space="0" w:color="auto"/>
                                <w:left w:val="none" w:sz="0" w:space="0" w:color="auto"/>
                                <w:bottom w:val="none" w:sz="0" w:space="0" w:color="auto"/>
                                <w:right w:val="none" w:sz="0" w:space="0" w:color="auto"/>
                              </w:divBdr>
                              <w:divsChild>
                                <w:div w:id="71847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0599521">
      <w:bodyDiv w:val="1"/>
      <w:marLeft w:val="0"/>
      <w:marRight w:val="0"/>
      <w:marTop w:val="0"/>
      <w:marBottom w:val="0"/>
      <w:divBdr>
        <w:top w:val="none" w:sz="0" w:space="0" w:color="auto"/>
        <w:left w:val="none" w:sz="0" w:space="0" w:color="auto"/>
        <w:bottom w:val="none" w:sz="0" w:space="0" w:color="auto"/>
        <w:right w:val="none" w:sz="0" w:space="0" w:color="auto"/>
      </w:divBdr>
      <w:divsChild>
        <w:div w:id="751900697">
          <w:marLeft w:val="0"/>
          <w:marRight w:val="0"/>
          <w:marTop w:val="0"/>
          <w:marBottom w:val="0"/>
          <w:divBdr>
            <w:top w:val="none" w:sz="0" w:space="0" w:color="auto"/>
            <w:left w:val="none" w:sz="0" w:space="0" w:color="auto"/>
            <w:bottom w:val="none" w:sz="0" w:space="0" w:color="auto"/>
            <w:right w:val="none" w:sz="0" w:space="0" w:color="auto"/>
          </w:divBdr>
          <w:divsChild>
            <w:div w:id="175269256">
              <w:marLeft w:val="0"/>
              <w:marRight w:val="0"/>
              <w:marTop w:val="0"/>
              <w:marBottom w:val="0"/>
              <w:divBdr>
                <w:top w:val="none" w:sz="0" w:space="0" w:color="auto"/>
                <w:left w:val="none" w:sz="0" w:space="0" w:color="auto"/>
                <w:bottom w:val="none" w:sz="0" w:space="0" w:color="auto"/>
                <w:right w:val="none" w:sz="0" w:space="0" w:color="auto"/>
              </w:divBdr>
              <w:divsChild>
                <w:div w:id="1300693286">
                  <w:marLeft w:val="0"/>
                  <w:marRight w:val="0"/>
                  <w:marTop w:val="0"/>
                  <w:marBottom w:val="0"/>
                  <w:divBdr>
                    <w:top w:val="none" w:sz="0" w:space="0" w:color="auto"/>
                    <w:left w:val="none" w:sz="0" w:space="0" w:color="auto"/>
                    <w:bottom w:val="none" w:sz="0" w:space="0" w:color="auto"/>
                    <w:right w:val="none" w:sz="0" w:space="0" w:color="auto"/>
                  </w:divBdr>
                  <w:divsChild>
                    <w:div w:id="1008870197">
                      <w:marLeft w:val="0"/>
                      <w:marRight w:val="0"/>
                      <w:marTop w:val="0"/>
                      <w:marBottom w:val="0"/>
                      <w:divBdr>
                        <w:top w:val="none" w:sz="0" w:space="0" w:color="auto"/>
                        <w:left w:val="none" w:sz="0" w:space="0" w:color="auto"/>
                        <w:bottom w:val="none" w:sz="0" w:space="0" w:color="auto"/>
                        <w:right w:val="none" w:sz="0" w:space="0" w:color="auto"/>
                      </w:divBdr>
                      <w:divsChild>
                        <w:div w:id="2057389086">
                          <w:marLeft w:val="0"/>
                          <w:marRight w:val="0"/>
                          <w:marTop w:val="0"/>
                          <w:marBottom w:val="0"/>
                          <w:divBdr>
                            <w:top w:val="none" w:sz="0" w:space="0" w:color="auto"/>
                            <w:left w:val="none" w:sz="0" w:space="0" w:color="auto"/>
                            <w:bottom w:val="none" w:sz="0" w:space="0" w:color="auto"/>
                            <w:right w:val="none" w:sz="0" w:space="0" w:color="auto"/>
                          </w:divBdr>
                          <w:divsChild>
                            <w:div w:id="1815759507">
                              <w:marLeft w:val="0"/>
                              <w:marRight w:val="0"/>
                              <w:marTop w:val="0"/>
                              <w:marBottom w:val="0"/>
                              <w:divBdr>
                                <w:top w:val="none" w:sz="0" w:space="0" w:color="auto"/>
                                <w:left w:val="none" w:sz="0" w:space="0" w:color="auto"/>
                                <w:bottom w:val="none" w:sz="0" w:space="0" w:color="auto"/>
                                <w:right w:val="none" w:sz="0" w:space="0" w:color="auto"/>
                              </w:divBdr>
                              <w:divsChild>
                                <w:div w:id="58087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5225235">
      <w:bodyDiv w:val="1"/>
      <w:marLeft w:val="0"/>
      <w:marRight w:val="0"/>
      <w:marTop w:val="0"/>
      <w:marBottom w:val="0"/>
      <w:divBdr>
        <w:top w:val="none" w:sz="0" w:space="0" w:color="auto"/>
        <w:left w:val="none" w:sz="0" w:space="0" w:color="auto"/>
        <w:bottom w:val="none" w:sz="0" w:space="0" w:color="auto"/>
        <w:right w:val="none" w:sz="0" w:space="0" w:color="auto"/>
      </w:divBdr>
      <w:divsChild>
        <w:div w:id="1524126546">
          <w:marLeft w:val="0"/>
          <w:marRight w:val="0"/>
          <w:marTop w:val="0"/>
          <w:marBottom w:val="0"/>
          <w:divBdr>
            <w:top w:val="none" w:sz="0" w:space="0" w:color="auto"/>
            <w:left w:val="none" w:sz="0" w:space="0" w:color="auto"/>
            <w:bottom w:val="none" w:sz="0" w:space="0" w:color="auto"/>
            <w:right w:val="none" w:sz="0" w:space="0" w:color="auto"/>
          </w:divBdr>
          <w:divsChild>
            <w:div w:id="1916013961">
              <w:marLeft w:val="0"/>
              <w:marRight w:val="0"/>
              <w:marTop w:val="0"/>
              <w:marBottom w:val="0"/>
              <w:divBdr>
                <w:top w:val="none" w:sz="0" w:space="0" w:color="auto"/>
                <w:left w:val="none" w:sz="0" w:space="0" w:color="auto"/>
                <w:bottom w:val="none" w:sz="0" w:space="0" w:color="auto"/>
                <w:right w:val="none" w:sz="0" w:space="0" w:color="auto"/>
              </w:divBdr>
              <w:divsChild>
                <w:div w:id="123215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915568">
      <w:bodyDiv w:val="1"/>
      <w:marLeft w:val="0"/>
      <w:marRight w:val="0"/>
      <w:marTop w:val="0"/>
      <w:marBottom w:val="0"/>
      <w:divBdr>
        <w:top w:val="none" w:sz="0" w:space="0" w:color="auto"/>
        <w:left w:val="none" w:sz="0" w:space="0" w:color="auto"/>
        <w:bottom w:val="none" w:sz="0" w:space="0" w:color="auto"/>
        <w:right w:val="none" w:sz="0" w:space="0" w:color="auto"/>
      </w:divBdr>
      <w:divsChild>
        <w:div w:id="820386665">
          <w:marLeft w:val="0"/>
          <w:marRight w:val="0"/>
          <w:marTop w:val="0"/>
          <w:marBottom w:val="0"/>
          <w:divBdr>
            <w:top w:val="none" w:sz="0" w:space="0" w:color="auto"/>
            <w:left w:val="none" w:sz="0" w:space="0" w:color="auto"/>
            <w:bottom w:val="none" w:sz="0" w:space="0" w:color="auto"/>
            <w:right w:val="none" w:sz="0" w:space="0" w:color="auto"/>
          </w:divBdr>
          <w:divsChild>
            <w:div w:id="1095632491">
              <w:marLeft w:val="0"/>
              <w:marRight w:val="0"/>
              <w:marTop w:val="0"/>
              <w:marBottom w:val="0"/>
              <w:divBdr>
                <w:top w:val="none" w:sz="0" w:space="0" w:color="auto"/>
                <w:left w:val="none" w:sz="0" w:space="0" w:color="auto"/>
                <w:bottom w:val="none" w:sz="0" w:space="0" w:color="auto"/>
                <w:right w:val="none" w:sz="0" w:space="0" w:color="auto"/>
              </w:divBdr>
              <w:divsChild>
                <w:div w:id="1368290280">
                  <w:marLeft w:val="0"/>
                  <w:marRight w:val="0"/>
                  <w:marTop w:val="0"/>
                  <w:marBottom w:val="0"/>
                  <w:divBdr>
                    <w:top w:val="none" w:sz="0" w:space="0" w:color="auto"/>
                    <w:left w:val="none" w:sz="0" w:space="0" w:color="auto"/>
                    <w:bottom w:val="none" w:sz="0" w:space="0" w:color="auto"/>
                    <w:right w:val="none" w:sz="0" w:space="0" w:color="auto"/>
                  </w:divBdr>
                  <w:divsChild>
                    <w:div w:id="419303464">
                      <w:marLeft w:val="0"/>
                      <w:marRight w:val="0"/>
                      <w:marTop w:val="0"/>
                      <w:marBottom w:val="0"/>
                      <w:divBdr>
                        <w:top w:val="none" w:sz="0" w:space="0" w:color="auto"/>
                        <w:left w:val="none" w:sz="0" w:space="0" w:color="auto"/>
                        <w:bottom w:val="none" w:sz="0" w:space="0" w:color="auto"/>
                        <w:right w:val="none" w:sz="0" w:space="0" w:color="auto"/>
                      </w:divBdr>
                      <w:divsChild>
                        <w:div w:id="1036125538">
                          <w:marLeft w:val="0"/>
                          <w:marRight w:val="0"/>
                          <w:marTop w:val="0"/>
                          <w:marBottom w:val="0"/>
                          <w:divBdr>
                            <w:top w:val="none" w:sz="0" w:space="0" w:color="auto"/>
                            <w:left w:val="none" w:sz="0" w:space="0" w:color="auto"/>
                            <w:bottom w:val="none" w:sz="0" w:space="0" w:color="auto"/>
                            <w:right w:val="none" w:sz="0" w:space="0" w:color="auto"/>
                          </w:divBdr>
                          <w:divsChild>
                            <w:div w:id="346979929">
                              <w:marLeft w:val="0"/>
                              <w:marRight w:val="0"/>
                              <w:marTop w:val="0"/>
                              <w:marBottom w:val="0"/>
                              <w:divBdr>
                                <w:top w:val="none" w:sz="0" w:space="0" w:color="auto"/>
                                <w:left w:val="none" w:sz="0" w:space="0" w:color="auto"/>
                                <w:bottom w:val="none" w:sz="0" w:space="0" w:color="auto"/>
                                <w:right w:val="none" w:sz="0" w:space="0" w:color="auto"/>
                              </w:divBdr>
                              <w:divsChild>
                                <w:div w:id="57501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9200052">
      <w:bodyDiv w:val="1"/>
      <w:marLeft w:val="0"/>
      <w:marRight w:val="0"/>
      <w:marTop w:val="0"/>
      <w:marBottom w:val="0"/>
      <w:divBdr>
        <w:top w:val="none" w:sz="0" w:space="0" w:color="auto"/>
        <w:left w:val="none" w:sz="0" w:space="0" w:color="auto"/>
        <w:bottom w:val="none" w:sz="0" w:space="0" w:color="auto"/>
        <w:right w:val="none" w:sz="0" w:space="0" w:color="auto"/>
      </w:divBdr>
      <w:divsChild>
        <w:div w:id="1093548257">
          <w:marLeft w:val="0"/>
          <w:marRight w:val="0"/>
          <w:marTop w:val="0"/>
          <w:marBottom w:val="0"/>
          <w:divBdr>
            <w:top w:val="none" w:sz="0" w:space="0" w:color="auto"/>
            <w:left w:val="none" w:sz="0" w:space="0" w:color="auto"/>
            <w:bottom w:val="none" w:sz="0" w:space="0" w:color="auto"/>
            <w:right w:val="none" w:sz="0" w:space="0" w:color="auto"/>
          </w:divBdr>
          <w:divsChild>
            <w:div w:id="1676834682">
              <w:marLeft w:val="0"/>
              <w:marRight w:val="0"/>
              <w:marTop w:val="0"/>
              <w:marBottom w:val="0"/>
              <w:divBdr>
                <w:top w:val="none" w:sz="0" w:space="0" w:color="auto"/>
                <w:left w:val="none" w:sz="0" w:space="0" w:color="auto"/>
                <w:bottom w:val="none" w:sz="0" w:space="0" w:color="auto"/>
                <w:right w:val="none" w:sz="0" w:space="0" w:color="auto"/>
              </w:divBdr>
              <w:divsChild>
                <w:div w:id="386147920">
                  <w:marLeft w:val="0"/>
                  <w:marRight w:val="0"/>
                  <w:marTop w:val="0"/>
                  <w:marBottom w:val="0"/>
                  <w:divBdr>
                    <w:top w:val="none" w:sz="0" w:space="0" w:color="auto"/>
                    <w:left w:val="none" w:sz="0" w:space="0" w:color="auto"/>
                    <w:bottom w:val="none" w:sz="0" w:space="0" w:color="auto"/>
                    <w:right w:val="none" w:sz="0" w:space="0" w:color="auto"/>
                  </w:divBdr>
                  <w:divsChild>
                    <w:div w:id="883785577">
                      <w:marLeft w:val="0"/>
                      <w:marRight w:val="0"/>
                      <w:marTop w:val="0"/>
                      <w:marBottom w:val="0"/>
                      <w:divBdr>
                        <w:top w:val="none" w:sz="0" w:space="0" w:color="auto"/>
                        <w:left w:val="none" w:sz="0" w:space="0" w:color="auto"/>
                        <w:bottom w:val="none" w:sz="0" w:space="0" w:color="auto"/>
                        <w:right w:val="none" w:sz="0" w:space="0" w:color="auto"/>
                      </w:divBdr>
                      <w:divsChild>
                        <w:div w:id="745302014">
                          <w:marLeft w:val="0"/>
                          <w:marRight w:val="0"/>
                          <w:marTop w:val="0"/>
                          <w:marBottom w:val="0"/>
                          <w:divBdr>
                            <w:top w:val="none" w:sz="0" w:space="0" w:color="auto"/>
                            <w:left w:val="none" w:sz="0" w:space="0" w:color="auto"/>
                            <w:bottom w:val="none" w:sz="0" w:space="0" w:color="auto"/>
                            <w:right w:val="none" w:sz="0" w:space="0" w:color="auto"/>
                          </w:divBdr>
                          <w:divsChild>
                            <w:div w:id="1311984269">
                              <w:marLeft w:val="0"/>
                              <w:marRight w:val="0"/>
                              <w:marTop w:val="0"/>
                              <w:marBottom w:val="0"/>
                              <w:divBdr>
                                <w:top w:val="none" w:sz="0" w:space="0" w:color="auto"/>
                                <w:left w:val="none" w:sz="0" w:space="0" w:color="auto"/>
                                <w:bottom w:val="none" w:sz="0" w:space="0" w:color="auto"/>
                                <w:right w:val="none" w:sz="0" w:space="0" w:color="auto"/>
                              </w:divBdr>
                              <w:divsChild>
                                <w:div w:id="167943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5632346">
      <w:bodyDiv w:val="1"/>
      <w:marLeft w:val="0"/>
      <w:marRight w:val="0"/>
      <w:marTop w:val="0"/>
      <w:marBottom w:val="0"/>
      <w:divBdr>
        <w:top w:val="none" w:sz="0" w:space="0" w:color="auto"/>
        <w:left w:val="none" w:sz="0" w:space="0" w:color="auto"/>
        <w:bottom w:val="none" w:sz="0" w:space="0" w:color="auto"/>
        <w:right w:val="none" w:sz="0" w:space="0" w:color="auto"/>
      </w:divBdr>
      <w:divsChild>
        <w:div w:id="1445998473">
          <w:marLeft w:val="0"/>
          <w:marRight w:val="0"/>
          <w:marTop w:val="0"/>
          <w:marBottom w:val="0"/>
          <w:divBdr>
            <w:top w:val="none" w:sz="0" w:space="0" w:color="auto"/>
            <w:left w:val="none" w:sz="0" w:space="0" w:color="auto"/>
            <w:bottom w:val="none" w:sz="0" w:space="0" w:color="auto"/>
            <w:right w:val="none" w:sz="0" w:space="0" w:color="auto"/>
          </w:divBdr>
          <w:divsChild>
            <w:div w:id="372003948">
              <w:marLeft w:val="0"/>
              <w:marRight w:val="0"/>
              <w:marTop w:val="0"/>
              <w:marBottom w:val="0"/>
              <w:divBdr>
                <w:top w:val="none" w:sz="0" w:space="0" w:color="auto"/>
                <w:left w:val="none" w:sz="0" w:space="0" w:color="auto"/>
                <w:bottom w:val="none" w:sz="0" w:space="0" w:color="auto"/>
                <w:right w:val="none" w:sz="0" w:space="0" w:color="auto"/>
              </w:divBdr>
              <w:divsChild>
                <w:div w:id="2137944663">
                  <w:marLeft w:val="0"/>
                  <w:marRight w:val="0"/>
                  <w:marTop w:val="0"/>
                  <w:marBottom w:val="0"/>
                  <w:divBdr>
                    <w:top w:val="none" w:sz="0" w:space="0" w:color="auto"/>
                    <w:left w:val="none" w:sz="0" w:space="0" w:color="auto"/>
                    <w:bottom w:val="none" w:sz="0" w:space="0" w:color="auto"/>
                    <w:right w:val="none" w:sz="0" w:space="0" w:color="auto"/>
                  </w:divBdr>
                  <w:divsChild>
                    <w:div w:id="2066444659">
                      <w:marLeft w:val="0"/>
                      <w:marRight w:val="0"/>
                      <w:marTop w:val="0"/>
                      <w:marBottom w:val="0"/>
                      <w:divBdr>
                        <w:top w:val="none" w:sz="0" w:space="0" w:color="auto"/>
                        <w:left w:val="none" w:sz="0" w:space="0" w:color="auto"/>
                        <w:bottom w:val="none" w:sz="0" w:space="0" w:color="auto"/>
                        <w:right w:val="none" w:sz="0" w:space="0" w:color="auto"/>
                      </w:divBdr>
                      <w:divsChild>
                        <w:div w:id="718280832">
                          <w:marLeft w:val="0"/>
                          <w:marRight w:val="0"/>
                          <w:marTop w:val="0"/>
                          <w:marBottom w:val="0"/>
                          <w:divBdr>
                            <w:top w:val="none" w:sz="0" w:space="0" w:color="auto"/>
                            <w:left w:val="none" w:sz="0" w:space="0" w:color="auto"/>
                            <w:bottom w:val="none" w:sz="0" w:space="0" w:color="auto"/>
                            <w:right w:val="none" w:sz="0" w:space="0" w:color="auto"/>
                          </w:divBdr>
                          <w:divsChild>
                            <w:div w:id="1885753447">
                              <w:marLeft w:val="0"/>
                              <w:marRight w:val="0"/>
                              <w:marTop w:val="0"/>
                              <w:marBottom w:val="0"/>
                              <w:divBdr>
                                <w:top w:val="none" w:sz="0" w:space="0" w:color="auto"/>
                                <w:left w:val="none" w:sz="0" w:space="0" w:color="auto"/>
                                <w:bottom w:val="none" w:sz="0" w:space="0" w:color="auto"/>
                                <w:right w:val="none" w:sz="0" w:space="0" w:color="auto"/>
                              </w:divBdr>
                              <w:divsChild>
                                <w:div w:id="85461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8852240">
      <w:bodyDiv w:val="1"/>
      <w:marLeft w:val="0"/>
      <w:marRight w:val="0"/>
      <w:marTop w:val="0"/>
      <w:marBottom w:val="0"/>
      <w:divBdr>
        <w:top w:val="none" w:sz="0" w:space="0" w:color="auto"/>
        <w:left w:val="none" w:sz="0" w:space="0" w:color="auto"/>
        <w:bottom w:val="none" w:sz="0" w:space="0" w:color="auto"/>
        <w:right w:val="none" w:sz="0" w:space="0" w:color="auto"/>
      </w:divBdr>
      <w:divsChild>
        <w:div w:id="542984271">
          <w:marLeft w:val="0"/>
          <w:marRight w:val="0"/>
          <w:marTop w:val="0"/>
          <w:marBottom w:val="0"/>
          <w:divBdr>
            <w:top w:val="none" w:sz="0" w:space="0" w:color="auto"/>
            <w:left w:val="none" w:sz="0" w:space="0" w:color="auto"/>
            <w:bottom w:val="none" w:sz="0" w:space="0" w:color="auto"/>
            <w:right w:val="none" w:sz="0" w:space="0" w:color="auto"/>
          </w:divBdr>
          <w:divsChild>
            <w:div w:id="860243270">
              <w:marLeft w:val="0"/>
              <w:marRight w:val="0"/>
              <w:marTop w:val="0"/>
              <w:marBottom w:val="0"/>
              <w:divBdr>
                <w:top w:val="none" w:sz="0" w:space="0" w:color="auto"/>
                <w:left w:val="none" w:sz="0" w:space="0" w:color="auto"/>
                <w:bottom w:val="none" w:sz="0" w:space="0" w:color="auto"/>
                <w:right w:val="none" w:sz="0" w:space="0" w:color="auto"/>
              </w:divBdr>
              <w:divsChild>
                <w:div w:id="1073504608">
                  <w:marLeft w:val="0"/>
                  <w:marRight w:val="0"/>
                  <w:marTop w:val="0"/>
                  <w:marBottom w:val="0"/>
                  <w:divBdr>
                    <w:top w:val="none" w:sz="0" w:space="0" w:color="auto"/>
                    <w:left w:val="none" w:sz="0" w:space="0" w:color="auto"/>
                    <w:bottom w:val="none" w:sz="0" w:space="0" w:color="auto"/>
                    <w:right w:val="none" w:sz="0" w:space="0" w:color="auto"/>
                  </w:divBdr>
                  <w:divsChild>
                    <w:div w:id="903106847">
                      <w:marLeft w:val="0"/>
                      <w:marRight w:val="0"/>
                      <w:marTop w:val="0"/>
                      <w:marBottom w:val="0"/>
                      <w:divBdr>
                        <w:top w:val="none" w:sz="0" w:space="0" w:color="auto"/>
                        <w:left w:val="none" w:sz="0" w:space="0" w:color="auto"/>
                        <w:bottom w:val="none" w:sz="0" w:space="0" w:color="auto"/>
                        <w:right w:val="none" w:sz="0" w:space="0" w:color="auto"/>
                      </w:divBdr>
                      <w:divsChild>
                        <w:div w:id="1548030818">
                          <w:marLeft w:val="0"/>
                          <w:marRight w:val="0"/>
                          <w:marTop w:val="0"/>
                          <w:marBottom w:val="0"/>
                          <w:divBdr>
                            <w:top w:val="none" w:sz="0" w:space="0" w:color="auto"/>
                            <w:left w:val="none" w:sz="0" w:space="0" w:color="auto"/>
                            <w:bottom w:val="none" w:sz="0" w:space="0" w:color="auto"/>
                            <w:right w:val="none" w:sz="0" w:space="0" w:color="auto"/>
                          </w:divBdr>
                          <w:divsChild>
                            <w:div w:id="205484821">
                              <w:marLeft w:val="0"/>
                              <w:marRight w:val="0"/>
                              <w:marTop w:val="0"/>
                              <w:marBottom w:val="0"/>
                              <w:divBdr>
                                <w:top w:val="none" w:sz="0" w:space="0" w:color="auto"/>
                                <w:left w:val="none" w:sz="0" w:space="0" w:color="auto"/>
                                <w:bottom w:val="none" w:sz="0" w:space="0" w:color="auto"/>
                                <w:right w:val="none" w:sz="0" w:space="0" w:color="auto"/>
                              </w:divBdr>
                              <w:divsChild>
                                <w:div w:id="1552186287">
                                  <w:marLeft w:val="0"/>
                                  <w:marRight w:val="0"/>
                                  <w:marTop w:val="0"/>
                                  <w:marBottom w:val="0"/>
                                  <w:divBdr>
                                    <w:top w:val="none" w:sz="0" w:space="0" w:color="auto"/>
                                    <w:left w:val="none" w:sz="0" w:space="0" w:color="auto"/>
                                    <w:bottom w:val="none" w:sz="0" w:space="0" w:color="auto"/>
                                    <w:right w:val="none" w:sz="0" w:space="0" w:color="auto"/>
                                  </w:divBdr>
                                </w:div>
                              </w:divsChild>
                            </w:div>
                            <w:div w:id="2144156626">
                              <w:marLeft w:val="0"/>
                              <w:marRight w:val="0"/>
                              <w:marTop w:val="240"/>
                              <w:marBottom w:val="0"/>
                              <w:divBdr>
                                <w:top w:val="none" w:sz="0" w:space="0" w:color="auto"/>
                                <w:left w:val="none" w:sz="0" w:space="0" w:color="auto"/>
                                <w:bottom w:val="none" w:sz="0" w:space="0" w:color="auto"/>
                                <w:right w:val="none" w:sz="0" w:space="0" w:color="auto"/>
                              </w:divBdr>
                              <w:divsChild>
                                <w:div w:id="428282672">
                                  <w:marLeft w:val="0"/>
                                  <w:marRight w:val="0"/>
                                  <w:marTop w:val="0"/>
                                  <w:marBottom w:val="0"/>
                                  <w:divBdr>
                                    <w:top w:val="none" w:sz="0" w:space="0" w:color="auto"/>
                                    <w:left w:val="none" w:sz="0" w:space="0" w:color="auto"/>
                                    <w:bottom w:val="none" w:sz="0" w:space="0" w:color="auto"/>
                                    <w:right w:val="none" w:sz="0" w:space="0" w:color="auto"/>
                                  </w:divBdr>
                                </w:div>
                                <w:div w:id="774985787">
                                  <w:marLeft w:val="0"/>
                                  <w:marRight w:val="0"/>
                                  <w:marTop w:val="0"/>
                                  <w:marBottom w:val="0"/>
                                  <w:divBdr>
                                    <w:top w:val="none" w:sz="0" w:space="0" w:color="auto"/>
                                    <w:left w:val="none" w:sz="0" w:space="0" w:color="auto"/>
                                    <w:bottom w:val="none" w:sz="0" w:space="0" w:color="auto"/>
                                    <w:right w:val="none" w:sz="0" w:space="0" w:color="auto"/>
                                  </w:divBdr>
                                </w:div>
                              </w:divsChild>
                            </w:div>
                            <w:div w:id="112408892">
                              <w:marLeft w:val="0"/>
                              <w:marRight w:val="0"/>
                              <w:marTop w:val="0"/>
                              <w:marBottom w:val="0"/>
                              <w:divBdr>
                                <w:top w:val="none" w:sz="0" w:space="0" w:color="auto"/>
                                <w:left w:val="none" w:sz="0" w:space="0" w:color="auto"/>
                                <w:bottom w:val="none" w:sz="0" w:space="0" w:color="auto"/>
                                <w:right w:val="none" w:sz="0" w:space="0" w:color="auto"/>
                              </w:divBdr>
                            </w:div>
                            <w:div w:id="1364135633">
                              <w:marLeft w:val="0"/>
                              <w:marRight w:val="0"/>
                              <w:marTop w:val="240"/>
                              <w:marBottom w:val="0"/>
                              <w:divBdr>
                                <w:top w:val="none" w:sz="0" w:space="0" w:color="auto"/>
                                <w:left w:val="none" w:sz="0" w:space="0" w:color="auto"/>
                                <w:bottom w:val="none" w:sz="0" w:space="0" w:color="auto"/>
                                <w:right w:val="none" w:sz="0" w:space="0" w:color="auto"/>
                              </w:divBdr>
                            </w:div>
                            <w:div w:id="29651188">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0537040">
      <w:bodyDiv w:val="1"/>
      <w:marLeft w:val="0"/>
      <w:marRight w:val="0"/>
      <w:marTop w:val="0"/>
      <w:marBottom w:val="0"/>
      <w:divBdr>
        <w:top w:val="none" w:sz="0" w:space="0" w:color="auto"/>
        <w:left w:val="none" w:sz="0" w:space="0" w:color="auto"/>
        <w:bottom w:val="none" w:sz="0" w:space="0" w:color="auto"/>
        <w:right w:val="none" w:sz="0" w:space="0" w:color="auto"/>
      </w:divBdr>
      <w:divsChild>
        <w:div w:id="593829224">
          <w:marLeft w:val="0"/>
          <w:marRight w:val="0"/>
          <w:marTop w:val="0"/>
          <w:marBottom w:val="0"/>
          <w:divBdr>
            <w:top w:val="none" w:sz="0" w:space="0" w:color="auto"/>
            <w:left w:val="none" w:sz="0" w:space="0" w:color="auto"/>
            <w:bottom w:val="none" w:sz="0" w:space="0" w:color="auto"/>
            <w:right w:val="none" w:sz="0" w:space="0" w:color="auto"/>
          </w:divBdr>
          <w:divsChild>
            <w:div w:id="1822506569">
              <w:marLeft w:val="0"/>
              <w:marRight w:val="0"/>
              <w:marTop w:val="0"/>
              <w:marBottom w:val="150"/>
              <w:divBdr>
                <w:top w:val="single" w:sz="6" w:space="0" w:color="666666"/>
                <w:left w:val="single" w:sz="6" w:space="0" w:color="DDDDDD"/>
                <w:bottom w:val="single" w:sz="6" w:space="0" w:color="DDDDDD"/>
                <w:right w:val="single" w:sz="6" w:space="0" w:color="DDDDDD"/>
              </w:divBdr>
              <w:divsChild>
                <w:div w:id="196701047">
                  <w:marLeft w:val="0"/>
                  <w:marRight w:val="0"/>
                  <w:marTop w:val="0"/>
                  <w:marBottom w:val="0"/>
                  <w:divBdr>
                    <w:top w:val="none" w:sz="0" w:space="0" w:color="auto"/>
                    <w:left w:val="none" w:sz="0" w:space="0" w:color="auto"/>
                    <w:bottom w:val="none" w:sz="0" w:space="0" w:color="auto"/>
                    <w:right w:val="none" w:sz="0" w:space="0" w:color="auto"/>
                  </w:divBdr>
                  <w:divsChild>
                    <w:div w:id="1790509410">
                      <w:marLeft w:val="0"/>
                      <w:marRight w:val="0"/>
                      <w:marTop w:val="0"/>
                      <w:marBottom w:val="240"/>
                      <w:divBdr>
                        <w:top w:val="none" w:sz="0" w:space="0" w:color="auto"/>
                        <w:left w:val="none" w:sz="0" w:space="0" w:color="auto"/>
                        <w:bottom w:val="none" w:sz="0" w:space="0" w:color="auto"/>
                        <w:right w:val="none" w:sz="0" w:space="0" w:color="auto"/>
                      </w:divBdr>
                      <w:divsChild>
                        <w:div w:id="1158111849">
                          <w:marLeft w:val="0"/>
                          <w:marRight w:val="0"/>
                          <w:marTop w:val="0"/>
                          <w:marBottom w:val="0"/>
                          <w:divBdr>
                            <w:top w:val="none" w:sz="0" w:space="0" w:color="auto"/>
                            <w:left w:val="none" w:sz="0" w:space="0" w:color="auto"/>
                            <w:bottom w:val="none" w:sz="0" w:space="0" w:color="auto"/>
                            <w:right w:val="none" w:sz="0" w:space="0" w:color="auto"/>
                          </w:divBdr>
                          <w:divsChild>
                            <w:div w:id="759444412">
                              <w:marLeft w:val="1"/>
                              <w:marRight w:val="0"/>
                              <w:marTop w:val="0"/>
                              <w:marBottom w:val="0"/>
                              <w:divBdr>
                                <w:top w:val="none" w:sz="0" w:space="0" w:color="auto"/>
                                <w:left w:val="none" w:sz="0" w:space="0" w:color="auto"/>
                                <w:bottom w:val="none" w:sz="0" w:space="0" w:color="auto"/>
                                <w:right w:val="none" w:sz="0" w:space="0" w:color="auto"/>
                              </w:divBdr>
                              <w:divsChild>
                                <w:div w:id="445270379">
                                  <w:marLeft w:val="0"/>
                                  <w:marRight w:val="0"/>
                                  <w:marTop w:val="0"/>
                                  <w:marBottom w:val="0"/>
                                  <w:divBdr>
                                    <w:top w:val="none" w:sz="0" w:space="0" w:color="auto"/>
                                    <w:left w:val="none" w:sz="0" w:space="0" w:color="auto"/>
                                    <w:bottom w:val="none" w:sz="0" w:space="0" w:color="auto"/>
                                    <w:right w:val="none" w:sz="0" w:space="0" w:color="auto"/>
                                  </w:divBdr>
                                  <w:divsChild>
                                    <w:div w:id="1742218340">
                                      <w:marLeft w:val="150"/>
                                      <w:marRight w:val="-300"/>
                                      <w:marTop w:val="0"/>
                                      <w:marBottom w:val="0"/>
                                      <w:divBdr>
                                        <w:top w:val="none" w:sz="0" w:space="0" w:color="auto"/>
                                        <w:left w:val="none" w:sz="0" w:space="0" w:color="auto"/>
                                        <w:bottom w:val="none" w:sz="0" w:space="0" w:color="auto"/>
                                        <w:right w:val="none" w:sz="0" w:space="0" w:color="auto"/>
                                      </w:divBdr>
                                      <w:divsChild>
                                        <w:div w:id="84216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0326078">
      <w:bodyDiv w:val="1"/>
      <w:marLeft w:val="0"/>
      <w:marRight w:val="0"/>
      <w:marTop w:val="0"/>
      <w:marBottom w:val="0"/>
      <w:divBdr>
        <w:top w:val="none" w:sz="0" w:space="0" w:color="auto"/>
        <w:left w:val="none" w:sz="0" w:space="0" w:color="auto"/>
        <w:bottom w:val="none" w:sz="0" w:space="0" w:color="auto"/>
        <w:right w:val="none" w:sz="0" w:space="0" w:color="auto"/>
      </w:divBdr>
      <w:divsChild>
        <w:div w:id="324019063">
          <w:marLeft w:val="0"/>
          <w:marRight w:val="0"/>
          <w:marTop w:val="0"/>
          <w:marBottom w:val="0"/>
          <w:divBdr>
            <w:top w:val="none" w:sz="0" w:space="0" w:color="auto"/>
            <w:left w:val="none" w:sz="0" w:space="0" w:color="auto"/>
            <w:bottom w:val="none" w:sz="0" w:space="0" w:color="auto"/>
            <w:right w:val="none" w:sz="0" w:space="0" w:color="auto"/>
          </w:divBdr>
          <w:divsChild>
            <w:div w:id="296378125">
              <w:marLeft w:val="0"/>
              <w:marRight w:val="0"/>
              <w:marTop w:val="0"/>
              <w:marBottom w:val="0"/>
              <w:divBdr>
                <w:top w:val="none" w:sz="0" w:space="0" w:color="auto"/>
                <w:left w:val="none" w:sz="0" w:space="0" w:color="auto"/>
                <w:bottom w:val="none" w:sz="0" w:space="0" w:color="auto"/>
                <w:right w:val="none" w:sz="0" w:space="0" w:color="auto"/>
              </w:divBdr>
              <w:divsChild>
                <w:div w:id="466240320">
                  <w:marLeft w:val="0"/>
                  <w:marRight w:val="0"/>
                  <w:marTop w:val="0"/>
                  <w:marBottom w:val="0"/>
                  <w:divBdr>
                    <w:top w:val="none" w:sz="0" w:space="0" w:color="auto"/>
                    <w:left w:val="none" w:sz="0" w:space="0" w:color="auto"/>
                    <w:bottom w:val="none" w:sz="0" w:space="0" w:color="auto"/>
                    <w:right w:val="none" w:sz="0" w:space="0" w:color="auto"/>
                  </w:divBdr>
                  <w:divsChild>
                    <w:div w:id="430734972">
                      <w:marLeft w:val="0"/>
                      <w:marRight w:val="0"/>
                      <w:marTop w:val="0"/>
                      <w:marBottom w:val="0"/>
                      <w:divBdr>
                        <w:top w:val="none" w:sz="0" w:space="0" w:color="auto"/>
                        <w:left w:val="none" w:sz="0" w:space="0" w:color="auto"/>
                        <w:bottom w:val="none" w:sz="0" w:space="0" w:color="auto"/>
                        <w:right w:val="none" w:sz="0" w:space="0" w:color="auto"/>
                      </w:divBdr>
                      <w:divsChild>
                        <w:div w:id="1189291495">
                          <w:marLeft w:val="0"/>
                          <w:marRight w:val="0"/>
                          <w:marTop w:val="0"/>
                          <w:marBottom w:val="0"/>
                          <w:divBdr>
                            <w:top w:val="none" w:sz="0" w:space="0" w:color="auto"/>
                            <w:left w:val="none" w:sz="0" w:space="0" w:color="auto"/>
                            <w:bottom w:val="none" w:sz="0" w:space="0" w:color="auto"/>
                            <w:right w:val="none" w:sz="0" w:space="0" w:color="auto"/>
                          </w:divBdr>
                          <w:divsChild>
                            <w:div w:id="434715397">
                              <w:marLeft w:val="0"/>
                              <w:marRight w:val="0"/>
                              <w:marTop w:val="0"/>
                              <w:marBottom w:val="0"/>
                              <w:divBdr>
                                <w:top w:val="none" w:sz="0" w:space="0" w:color="auto"/>
                                <w:left w:val="none" w:sz="0" w:space="0" w:color="auto"/>
                                <w:bottom w:val="none" w:sz="0" w:space="0" w:color="auto"/>
                                <w:right w:val="none" w:sz="0" w:space="0" w:color="auto"/>
                              </w:divBdr>
                              <w:divsChild>
                                <w:div w:id="1866363903">
                                  <w:marLeft w:val="0"/>
                                  <w:marRight w:val="0"/>
                                  <w:marTop w:val="0"/>
                                  <w:marBottom w:val="0"/>
                                  <w:divBdr>
                                    <w:top w:val="none" w:sz="0" w:space="0" w:color="auto"/>
                                    <w:left w:val="none" w:sz="0" w:space="0" w:color="auto"/>
                                    <w:bottom w:val="none" w:sz="0" w:space="0" w:color="auto"/>
                                    <w:right w:val="none" w:sz="0" w:space="0" w:color="auto"/>
                                  </w:divBdr>
                                  <w:divsChild>
                                    <w:div w:id="1416439366">
                                      <w:marLeft w:val="0"/>
                                      <w:marRight w:val="0"/>
                                      <w:marTop w:val="0"/>
                                      <w:marBottom w:val="0"/>
                                      <w:divBdr>
                                        <w:top w:val="none" w:sz="0" w:space="0" w:color="auto"/>
                                        <w:left w:val="none" w:sz="0" w:space="0" w:color="auto"/>
                                        <w:bottom w:val="none" w:sz="0" w:space="0" w:color="auto"/>
                                        <w:right w:val="none" w:sz="0" w:space="0" w:color="auto"/>
                                      </w:divBdr>
                                      <w:divsChild>
                                        <w:div w:id="1343047927">
                                          <w:marLeft w:val="0"/>
                                          <w:marRight w:val="0"/>
                                          <w:marTop w:val="0"/>
                                          <w:marBottom w:val="0"/>
                                          <w:divBdr>
                                            <w:top w:val="none" w:sz="0" w:space="0" w:color="auto"/>
                                            <w:left w:val="none" w:sz="0" w:space="0" w:color="auto"/>
                                            <w:bottom w:val="none" w:sz="0" w:space="0" w:color="auto"/>
                                            <w:right w:val="none" w:sz="0" w:space="0" w:color="auto"/>
                                          </w:divBdr>
                                          <w:divsChild>
                                            <w:div w:id="1283659059">
                                              <w:marLeft w:val="0"/>
                                              <w:marRight w:val="0"/>
                                              <w:marTop w:val="0"/>
                                              <w:marBottom w:val="0"/>
                                              <w:divBdr>
                                                <w:top w:val="none" w:sz="0" w:space="0" w:color="auto"/>
                                                <w:left w:val="none" w:sz="0" w:space="0" w:color="auto"/>
                                                <w:bottom w:val="none" w:sz="0" w:space="0" w:color="auto"/>
                                                <w:right w:val="none" w:sz="0" w:space="0" w:color="auto"/>
                                              </w:divBdr>
                                              <w:divsChild>
                                                <w:div w:id="1494490303">
                                                  <w:marLeft w:val="0"/>
                                                  <w:marRight w:val="90"/>
                                                  <w:marTop w:val="0"/>
                                                  <w:marBottom w:val="0"/>
                                                  <w:divBdr>
                                                    <w:top w:val="none" w:sz="0" w:space="0" w:color="auto"/>
                                                    <w:left w:val="none" w:sz="0" w:space="0" w:color="auto"/>
                                                    <w:bottom w:val="none" w:sz="0" w:space="0" w:color="auto"/>
                                                    <w:right w:val="none" w:sz="0" w:space="0" w:color="auto"/>
                                                  </w:divBdr>
                                                  <w:divsChild>
                                                    <w:div w:id="673646491">
                                                      <w:marLeft w:val="0"/>
                                                      <w:marRight w:val="0"/>
                                                      <w:marTop w:val="0"/>
                                                      <w:marBottom w:val="0"/>
                                                      <w:divBdr>
                                                        <w:top w:val="none" w:sz="0" w:space="0" w:color="auto"/>
                                                        <w:left w:val="none" w:sz="0" w:space="0" w:color="auto"/>
                                                        <w:bottom w:val="none" w:sz="0" w:space="0" w:color="auto"/>
                                                        <w:right w:val="none" w:sz="0" w:space="0" w:color="auto"/>
                                                      </w:divBdr>
                                                      <w:divsChild>
                                                        <w:div w:id="983970834">
                                                          <w:marLeft w:val="0"/>
                                                          <w:marRight w:val="0"/>
                                                          <w:marTop w:val="0"/>
                                                          <w:marBottom w:val="0"/>
                                                          <w:divBdr>
                                                            <w:top w:val="none" w:sz="0" w:space="0" w:color="auto"/>
                                                            <w:left w:val="none" w:sz="0" w:space="0" w:color="auto"/>
                                                            <w:bottom w:val="none" w:sz="0" w:space="0" w:color="auto"/>
                                                            <w:right w:val="none" w:sz="0" w:space="0" w:color="auto"/>
                                                          </w:divBdr>
                                                          <w:divsChild>
                                                            <w:div w:id="2091656109">
                                                              <w:marLeft w:val="0"/>
                                                              <w:marRight w:val="0"/>
                                                              <w:marTop w:val="0"/>
                                                              <w:marBottom w:val="0"/>
                                                              <w:divBdr>
                                                                <w:top w:val="none" w:sz="0" w:space="0" w:color="auto"/>
                                                                <w:left w:val="none" w:sz="0" w:space="0" w:color="auto"/>
                                                                <w:bottom w:val="none" w:sz="0" w:space="0" w:color="auto"/>
                                                                <w:right w:val="none" w:sz="0" w:space="0" w:color="auto"/>
                                                              </w:divBdr>
                                                              <w:divsChild>
                                                                <w:div w:id="821501694">
                                                                  <w:marLeft w:val="0"/>
                                                                  <w:marRight w:val="0"/>
                                                                  <w:marTop w:val="0"/>
                                                                  <w:marBottom w:val="105"/>
                                                                  <w:divBdr>
                                                                    <w:top w:val="single" w:sz="6" w:space="0" w:color="EDEDED"/>
                                                                    <w:left w:val="single" w:sz="6" w:space="0" w:color="EDEDED"/>
                                                                    <w:bottom w:val="single" w:sz="6" w:space="0" w:color="EDEDED"/>
                                                                    <w:right w:val="single" w:sz="6" w:space="0" w:color="EDEDED"/>
                                                                  </w:divBdr>
                                                                  <w:divsChild>
                                                                    <w:div w:id="248001234">
                                                                      <w:marLeft w:val="0"/>
                                                                      <w:marRight w:val="0"/>
                                                                      <w:marTop w:val="0"/>
                                                                      <w:marBottom w:val="0"/>
                                                                      <w:divBdr>
                                                                        <w:top w:val="none" w:sz="0" w:space="0" w:color="auto"/>
                                                                        <w:left w:val="none" w:sz="0" w:space="0" w:color="auto"/>
                                                                        <w:bottom w:val="none" w:sz="0" w:space="0" w:color="auto"/>
                                                                        <w:right w:val="none" w:sz="0" w:space="0" w:color="auto"/>
                                                                      </w:divBdr>
                                                                      <w:divsChild>
                                                                        <w:div w:id="157042903">
                                                                          <w:marLeft w:val="0"/>
                                                                          <w:marRight w:val="0"/>
                                                                          <w:marTop w:val="0"/>
                                                                          <w:marBottom w:val="0"/>
                                                                          <w:divBdr>
                                                                            <w:top w:val="none" w:sz="0" w:space="0" w:color="auto"/>
                                                                            <w:left w:val="none" w:sz="0" w:space="0" w:color="auto"/>
                                                                            <w:bottom w:val="none" w:sz="0" w:space="0" w:color="auto"/>
                                                                            <w:right w:val="none" w:sz="0" w:space="0" w:color="auto"/>
                                                                          </w:divBdr>
                                                                          <w:divsChild>
                                                                            <w:div w:id="835195942">
                                                                              <w:marLeft w:val="0"/>
                                                                              <w:marRight w:val="0"/>
                                                                              <w:marTop w:val="0"/>
                                                                              <w:marBottom w:val="0"/>
                                                                              <w:divBdr>
                                                                                <w:top w:val="none" w:sz="0" w:space="0" w:color="auto"/>
                                                                                <w:left w:val="none" w:sz="0" w:space="0" w:color="auto"/>
                                                                                <w:bottom w:val="none" w:sz="0" w:space="0" w:color="auto"/>
                                                                                <w:right w:val="none" w:sz="0" w:space="0" w:color="auto"/>
                                                                              </w:divBdr>
                                                                              <w:divsChild>
                                                                                <w:div w:id="565457868">
                                                                                  <w:marLeft w:val="180"/>
                                                                                  <w:marRight w:val="180"/>
                                                                                  <w:marTop w:val="0"/>
                                                                                  <w:marBottom w:val="0"/>
                                                                                  <w:divBdr>
                                                                                    <w:top w:val="none" w:sz="0" w:space="0" w:color="auto"/>
                                                                                    <w:left w:val="none" w:sz="0" w:space="0" w:color="auto"/>
                                                                                    <w:bottom w:val="none" w:sz="0" w:space="0" w:color="auto"/>
                                                                                    <w:right w:val="none" w:sz="0" w:space="0" w:color="auto"/>
                                                                                  </w:divBdr>
                                                                                  <w:divsChild>
                                                                                    <w:div w:id="1371413640">
                                                                                      <w:marLeft w:val="0"/>
                                                                                      <w:marRight w:val="0"/>
                                                                                      <w:marTop w:val="0"/>
                                                                                      <w:marBottom w:val="0"/>
                                                                                      <w:divBdr>
                                                                                        <w:top w:val="none" w:sz="0" w:space="0" w:color="auto"/>
                                                                                        <w:left w:val="none" w:sz="0" w:space="0" w:color="auto"/>
                                                                                        <w:bottom w:val="none" w:sz="0" w:space="0" w:color="auto"/>
                                                                                        <w:right w:val="none" w:sz="0" w:space="0" w:color="auto"/>
                                                                                      </w:divBdr>
                                                                                      <w:divsChild>
                                                                                        <w:div w:id="39115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3607030">
      <w:bodyDiv w:val="1"/>
      <w:marLeft w:val="0"/>
      <w:marRight w:val="0"/>
      <w:marTop w:val="0"/>
      <w:marBottom w:val="0"/>
      <w:divBdr>
        <w:top w:val="none" w:sz="0" w:space="0" w:color="auto"/>
        <w:left w:val="none" w:sz="0" w:space="0" w:color="auto"/>
        <w:bottom w:val="none" w:sz="0" w:space="0" w:color="auto"/>
        <w:right w:val="none" w:sz="0" w:space="0" w:color="auto"/>
      </w:divBdr>
      <w:divsChild>
        <w:div w:id="1383674714">
          <w:marLeft w:val="0"/>
          <w:marRight w:val="0"/>
          <w:marTop w:val="0"/>
          <w:marBottom w:val="0"/>
          <w:divBdr>
            <w:top w:val="none" w:sz="0" w:space="0" w:color="auto"/>
            <w:left w:val="none" w:sz="0" w:space="0" w:color="auto"/>
            <w:bottom w:val="none" w:sz="0" w:space="0" w:color="auto"/>
            <w:right w:val="none" w:sz="0" w:space="0" w:color="auto"/>
          </w:divBdr>
          <w:divsChild>
            <w:div w:id="811600201">
              <w:marLeft w:val="0"/>
              <w:marRight w:val="0"/>
              <w:marTop w:val="0"/>
              <w:marBottom w:val="0"/>
              <w:divBdr>
                <w:top w:val="none" w:sz="0" w:space="0" w:color="auto"/>
                <w:left w:val="none" w:sz="0" w:space="0" w:color="auto"/>
                <w:bottom w:val="none" w:sz="0" w:space="0" w:color="auto"/>
                <w:right w:val="none" w:sz="0" w:space="0" w:color="auto"/>
              </w:divBdr>
              <w:divsChild>
                <w:div w:id="1311012453">
                  <w:marLeft w:val="0"/>
                  <w:marRight w:val="0"/>
                  <w:marTop w:val="0"/>
                  <w:marBottom w:val="0"/>
                  <w:divBdr>
                    <w:top w:val="none" w:sz="0" w:space="0" w:color="auto"/>
                    <w:left w:val="none" w:sz="0" w:space="0" w:color="auto"/>
                    <w:bottom w:val="none" w:sz="0" w:space="0" w:color="auto"/>
                    <w:right w:val="none" w:sz="0" w:space="0" w:color="auto"/>
                  </w:divBdr>
                  <w:divsChild>
                    <w:div w:id="1242980584">
                      <w:marLeft w:val="0"/>
                      <w:marRight w:val="0"/>
                      <w:marTop w:val="0"/>
                      <w:marBottom w:val="0"/>
                      <w:divBdr>
                        <w:top w:val="none" w:sz="0" w:space="0" w:color="auto"/>
                        <w:left w:val="none" w:sz="0" w:space="0" w:color="auto"/>
                        <w:bottom w:val="none" w:sz="0" w:space="0" w:color="auto"/>
                        <w:right w:val="none" w:sz="0" w:space="0" w:color="auto"/>
                      </w:divBdr>
                      <w:divsChild>
                        <w:div w:id="282734374">
                          <w:marLeft w:val="0"/>
                          <w:marRight w:val="0"/>
                          <w:marTop w:val="0"/>
                          <w:marBottom w:val="0"/>
                          <w:divBdr>
                            <w:top w:val="none" w:sz="0" w:space="0" w:color="auto"/>
                            <w:left w:val="none" w:sz="0" w:space="0" w:color="auto"/>
                            <w:bottom w:val="none" w:sz="0" w:space="0" w:color="auto"/>
                            <w:right w:val="none" w:sz="0" w:space="0" w:color="auto"/>
                          </w:divBdr>
                          <w:divsChild>
                            <w:div w:id="1517184678">
                              <w:marLeft w:val="0"/>
                              <w:marRight w:val="0"/>
                              <w:marTop w:val="0"/>
                              <w:marBottom w:val="0"/>
                              <w:divBdr>
                                <w:top w:val="none" w:sz="0" w:space="0" w:color="auto"/>
                                <w:left w:val="none" w:sz="0" w:space="0" w:color="auto"/>
                                <w:bottom w:val="none" w:sz="0" w:space="0" w:color="auto"/>
                                <w:right w:val="none" w:sz="0" w:space="0" w:color="auto"/>
                              </w:divBdr>
                              <w:divsChild>
                                <w:div w:id="1552352242">
                                  <w:marLeft w:val="0"/>
                                  <w:marRight w:val="0"/>
                                  <w:marTop w:val="0"/>
                                  <w:marBottom w:val="0"/>
                                  <w:divBdr>
                                    <w:top w:val="none" w:sz="0" w:space="0" w:color="auto"/>
                                    <w:left w:val="none" w:sz="0" w:space="0" w:color="auto"/>
                                    <w:bottom w:val="none" w:sz="0" w:space="0" w:color="auto"/>
                                    <w:right w:val="none" w:sz="0" w:space="0" w:color="auto"/>
                                  </w:divBdr>
                                  <w:divsChild>
                                    <w:div w:id="646710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1777675">
      <w:bodyDiv w:val="1"/>
      <w:marLeft w:val="0"/>
      <w:marRight w:val="0"/>
      <w:marTop w:val="0"/>
      <w:marBottom w:val="0"/>
      <w:divBdr>
        <w:top w:val="none" w:sz="0" w:space="0" w:color="auto"/>
        <w:left w:val="none" w:sz="0" w:space="0" w:color="auto"/>
        <w:bottom w:val="none" w:sz="0" w:space="0" w:color="auto"/>
        <w:right w:val="none" w:sz="0" w:space="0" w:color="auto"/>
      </w:divBdr>
      <w:divsChild>
        <w:div w:id="1306548945">
          <w:marLeft w:val="0"/>
          <w:marRight w:val="0"/>
          <w:marTop w:val="0"/>
          <w:marBottom w:val="0"/>
          <w:divBdr>
            <w:top w:val="none" w:sz="0" w:space="0" w:color="auto"/>
            <w:left w:val="none" w:sz="0" w:space="0" w:color="auto"/>
            <w:bottom w:val="none" w:sz="0" w:space="0" w:color="auto"/>
            <w:right w:val="none" w:sz="0" w:space="0" w:color="auto"/>
          </w:divBdr>
          <w:divsChild>
            <w:div w:id="2131121784">
              <w:marLeft w:val="0"/>
              <w:marRight w:val="0"/>
              <w:marTop w:val="0"/>
              <w:marBottom w:val="0"/>
              <w:divBdr>
                <w:top w:val="none" w:sz="0" w:space="0" w:color="auto"/>
                <w:left w:val="none" w:sz="0" w:space="0" w:color="auto"/>
                <w:bottom w:val="none" w:sz="0" w:space="0" w:color="auto"/>
                <w:right w:val="none" w:sz="0" w:space="0" w:color="auto"/>
              </w:divBdr>
              <w:divsChild>
                <w:div w:id="547960218">
                  <w:marLeft w:val="0"/>
                  <w:marRight w:val="0"/>
                  <w:marTop w:val="0"/>
                  <w:marBottom w:val="0"/>
                  <w:divBdr>
                    <w:top w:val="none" w:sz="0" w:space="0" w:color="auto"/>
                    <w:left w:val="none" w:sz="0" w:space="0" w:color="auto"/>
                    <w:bottom w:val="none" w:sz="0" w:space="0" w:color="auto"/>
                    <w:right w:val="none" w:sz="0" w:space="0" w:color="auto"/>
                  </w:divBdr>
                  <w:divsChild>
                    <w:div w:id="845901365">
                      <w:marLeft w:val="0"/>
                      <w:marRight w:val="0"/>
                      <w:marTop w:val="0"/>
                      <w:marBottom w:val="0"/>
                      <w:divBdr>
                        <w:top w:val="none" w:sz="0" w:space="0" w:color="auto"/>
                        <w:left w:val="none" w:sz="0" w:space="0" w:color="auto"/>
                        <w:bottom w:val="none" w:sz="0" w:space="0" w:color="auto"/>
                        <w:right w:val="none" w:sz="0" w:space="0" w:color="auto"/>
                      </w:divBdr>
                      <w:divsChild>
                        <w:div w:id="2087720829">
                          <w:marLeft w:val="0"/>
                          <w:marRight w:val="0"/>
                          <w:marTop w:val="0"/>
                          <w:marBottom w:val="0"/>
                          <w:divBdr>
                            <w:top w:val="none" w:sz="0" w:space="0" w:color="auto"/>
                            <w:left w:val="none" w:sz="0" w:space="0" w:color="auto"/>
                            <w:bottom w:val="none" w:sz="0" w:space="0" w:color="auto"/>
                            <w:right w:val="none" w:sz="0" w:space="0" w:color="auto"/>
                          </w:divBdr>
                          <w:divsChild>
                            <w:div w:id="696590485">
                              <w:marLeft w:val="0"/>
                              <w:marRight w:val="0"/>
                              <w:marTop w:val="0"/>
                              <w:marBottom w:val="0"/>
                              <w:divBdr>
                                <w:top w:val="none" w:sz="0" w:space="0" w:color="auto"/>
                                <w:left w:val="none" w:sz="0" w:space="0" w:color="auto"/>
                                <w:bottom w:val="none" w:sz="0" w:space="0" w:color="auto"/>
                                <w:right w:val="none" w:sz="0" w:space="0" w:color="auto"/>
                              </w:divBdr>
                              <w:divsChild>
                                <w:div w:id="94222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8186736">
      <w:bodyDiv w:val="1"/>
      <w:marLeft w:val="0"/>
      <w:marRight w:val="0"/>
      <w:marTop w:val="0"/>
      <w:marBottom w:val="0"/>
      <w:divBdr>
        <w:top w:val="none" w:sz="0" w:space="0" w:color="auto"/>
        <w:left w:val="none" w:sz="0" w:space="0" w:color="auto"/>
        <w:bottom w:val="none" w:sz="0" w:space="0" w:color="auto"/>
        <w:right w:val="none" w:sz="0" w:space="0" w:color="auto"/>
      </w:divBdr>
      <w:divsChild>
        <w:div w:id="1868643250">
          <w:marLeft w:val="0"/>
          <w:marRight w:val="0"/>
          <w:marTop w:val="0"/>
          <w:marBottom w:val="0"/>
          <w:divBdr>
            <w:top w:val="none" w:sz="0" w:space="0" w:color="auto"/>
            <w:left w:val="none" w:sz="0" w:space="0" w:color="auto"/>
            <w:bottom w:val="none" w:sz="0" w:space="0" w:color="auto"/>
            <w:right w:val="none" w:sz="0" w:space="0" w:color="auto"/>
          </w:divBdr>
          <w:divsChild>
            <w:div w:id="170216346">
              <w:marLeft w:val="0"/>
              <w:marRight w:val="0"/>
              <w:marTop w:val="0"/>
              <w:marBottom w:val="0"/>
              <w:divBdr>
                <w:top w:val="none" w:sz="0" w:space="0" w:color="auto"/>
                <w:left w:val="none" w:sz="0" w:space="0" w:color="auto"/>
                <w:bottom w:val="none" w:sz="0" w:space="0" w:color="auto"/>
                <w:right w:val="none" w:sz="0" w:space="0" w:color="auto"/>
              </w:divBdr>
              <w:divsChild>
                <w:div w:id="1892228889">
                  <w:marLeft w:val="0"/>
                  <w:marRight w:val="0"/>
                  <w:marTop w:val="0"/>
                  <w:marBottom w:val="0"/>
                  <w:divBdr>
                    <w:top w:val="none" w:sz="0" w:space="0" w:color="auto"/>
                    <w:left w:val="none" w:sz="0" w:space="0" w:color="auto"/>
                    <w:bottom w:val="none" w:sz="0" w:space="0" w:color="auto"/>
                    <w:right w:val="none" w:sz="0" w:space="0" w:color="auto"/>
                  </w:divBdr>
                  <w:divsChild>
                    <w:div w:id="1244953535">
                      <w:marLeft w:val="0"/>
                      <w:marRight w:val="0"/>
                      <w:marTop w:val="0"/>
                      <w:marBottom w:val="0"/>
                      <w:divBdr>
                        <w:top w:val="none" w:sz="0" w:space="0" w:color="auto"/>
                        <w:left w:val="none" w:sz="0" w:space="0" w:color="auto"/>
                        <w:bottom w:val="none" w:sz="0" w:space="0" w:color="auto"/>
                        <w:right w:val="none" w:sz="0" w:space="0" w:color="auto"/>
                      </w:divBdr>
                      <w:divsChild>
                        <w:div w:id="1514491538">
                          <w:marLeft w:val="0"/>
                          <w:marRight w:val="0"/>
                          <w:marTop w:val="0"/>
                          <w:marBottom w:val="0"/>
                          <w:divBdr>
                            <w:top w:val="none" w:sz="0" w:space="0" w:color="auto"/>
                            <w:left w:val="none" w:sz="0" w:space="0" w:color="auto"/>
                            <w:bottom w:val="none" w:sz="0" w:space="0" w:color="auto"/>
                            <w:right w:val="none" w:sz="0" w:space="0" w:color="auto"/>
                          </w:divBdr>
                          <w:divsChild>
                            <w:div w:id="1240794480">
                              <w:marLeft w:val="0"/>
                              <w:marRight w:val="0"/>
                              <w:marTop w:val="0"/>
                              <w:marBottom w:val="0"/>
                              <w:divBdr>
                                <w:top w:val="none" w:sz="0" w:space="0" w:color="auto"/>
                                <w:left w:val="none" w:sz="0" w:space="0" w:color="auto"/>
                                <w:bottom w:val="none" w:sz="0" w:space="0" w:color="auto"/>
                                <w:right w:val="none" w:sz="0" w:space="0" w:color="auto"/>
                              </w:divBdr>
                              <w:divsChild>
                                <w:div w:id="1573155166">
                                  <w:marLeft w:val="0"/>
                                  <w:marRight w:val="0"/>
                                  <w:marTop w:val="0"/>
                                  <w:marBottom w:val="0"/>
                                  <w:divBdr>
                                    <w:top w:val="none" w:sz="0" w:space="0" w:color="auto"/>
                                    <w:left w:val="none" w:sz="0" w:space="0" w:color="auto"/>
                                    <w:bottom w:val="none" w:sz="0" w:space="0" w:color="auto"/>
                                    <w:right w:val="none" w:sz="0" w:space="0" w:color="auto"/>
                                  </w:divBdr>
                                </w:div>
                              </w:divsChild>
                            </w:div>
                            <w:div w:id="1918514829">
                              <w:marLeft w:val="0"/>
                              <w:marRight w:val="0"/>
                              <w:marTop w:val="240"/>
                              <w:marBottom w:val="0"/>
                              <w:divBdr>
                                <w:top w:val="none" w:sz="0" w:space="0" w:color="auto"/>
                                <w:left w:val="none" w:sz="0" w:space="0" w:color="auto"/>
                                <w:bottom w:val="none" w:sz="0" w:space="0" w:color="auto"/>
                                <w:right w:val="none" w:sz="0" w:space="0" w:color="auto"/>
                              </w:divBdr>
                              <w:divsChild>
                                <w:div w:id="502361724">
                                  <w:marLeft w:val="0"/>
                                  <w:marRight w:val="0"/>
                                  <w:marTop w:val="0"/>
                                  <w:marBottom w:val="0"/>
                                  <w:divBdr>
                                    <w:top w:val="none" w:sz="0" w:space="0" w:color="auto"/>
                                    <w:left w:val="none" w:sz="0" w:space="0" w:color="auto"/>
                                    <w:bottom w:val="none" w:sz="0" w:space="0" w:color="auto"/>
                                    <w:right w:val="none" w:sz="0" w:space="0" w:color="auto"/>
                                  </w:divBdr>
                                </w:div>
                                <w:div w:id="721053032">
                                  <w:marLeft w:val="0"/>
                                  <w:marRight w:val="0"/>
                                  <w:marTop w:val="0"/>
                                  <w:marBottom w:val="0"/>
                                  <w:divBdr>
                                    <w:top w:val="none" w:sz="0" w:space="0" w:color="auto"/>
                                    <w:left w:val="none" w:sz="0" w:space="0" w:color="auto"/>
                                    <w:bottom w:val="none" w:sz="0" w:space="0" w:color="auto"/>
                                    <w:right w:val="none" w:sz="0" w:space="0" w:color="auto"/>
                                  </w:divBdr>
                                </w:div>
                              </w:divsChild>
                            </w:div>
                            <w:div w:id="1596791610">
                              <w:marLeft w:val="0"/>
                              <w:marRight w:val="0"/>
                              <w:marTop w:val="0"/>
                              <w:marBottom w:val="0"/>
                              <w:divBdr>
                                <w:top w:val="none" w:sz="0" w:space="0" w:color="auto"/>
                                <w:left w:val="none" w:sz="0" w:space="0" w:color="auto"/>
                                <w:bottom w:val="none" w:sz="0" w:space="0" w:color="auto"/>
                                <w:right w:val="none" w:sz="0" w:space="0" w:color="auto"/>
                              </w:divBdr>
                            </w:div>
                            <w:div w:id="76706736">
                              <w:marLeft w:val="0"/>
                              <w:marRight w:val="0"/>
                              <w:marTop w:val="240"/>
                              <w:marBottom w:val="0"/>
                              <w:divBdr>
                                <w:top w:val="none" w:sz="0" w:space="0" w:color="auto"/>
                                <w:left w:val="none" w:sz="0" w:space="0" w:color="auto"/>
                                <w:bottom w:val="none" w:sz="0" w:space="0" w:color="auto"/>
                                <w:right w:val="none" w:sz="0" w:space="0" w:color="auto"/>
                              </w:divBdr>
                            </w:div>
                            <w:div w:id="1185555658">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8620658">
      <w:bodyDiv w:val="1"/>
      <w:marLeft w:val="0"/>
      <w:marRight w:val="0"/>
      <w:marTop w:val="0"/>
      <w:marBottom w:val="0"/>
      <w:divBdr>
        <w:top w:val="none" w:sz="0" w:space="0" w:color="auto"/>
        <w:left w:val="none" w:sz="0" w:space="0" w:color="auto"/>
        <w:bottom w:val="none" w:sz="0" w:space="0" w:color="auto"/>
        <w:right w:val="none" w:sz="0" w:space="0" w:color="auto"/>
      </w:divBdr>
      <w:divsChild>
        <w:div w:id="1657684434">
          <w:marLeft w:val="0"/>
          <w:marRight w:val="0"/>
          <w:marTop w:val="0"/>
          <w:marBottom w:val="0"/>
          <w:divBdr>
            <w:top w:val="none" w:sz="0" w:space="0" w:color="auto"/>
            <w:left w:val="none" w:sz="0" w:space="0" w:color="auto"/>
            <w:bottom w:val="none" w:sz="0" w:space="0" w:color="auto"/>
            <w:right w:val="none" w:sz="0" w:space="0" w:color="auto"/>
          </w:divBdr>
          <w:divsChild>
            <w:div w:id="1595477">
              <w:marLeft w:val="0"/>
              <w:marRight w:val="0"/>
              <w:marTop w:val="0"/>
              <w:marBottom w:val="0"/>
              <w:divBdr>
                <w:top w:val="none" w:sz="0" w:space="0" w:color="auto"/>
                <w:left w:val="none" w:sz="0" w:space="0" w:color="auto"/>
                <w:bottom w:val="none" w:sz="0" w:space="0" w:color="auto"/>
                <w:right w:val="none" w:sz="0" w:space="0" w:color="auto"/>
              </w:divBdr>
              <w:divsChild>
                <w:div w:id="1471360867">
                  <w:marLeft w:val="0"/>
                  <w:marRight w:val="0"/>
                  <w:marTop w:val="0"/>
                  <w:marBottom w:val="0"/>
                  <w:divBdr>
                    <w:top w:val="none" w:sz="0" w:space="0" w:color="auto"/>
                    <w:left w:val="none" w:sz="0" w:space="0" w:color="auto"/>
                    <w:bottom w:val="none" w:sz="0" w:space="0" w:color="auto"/>
                    <w:right w:val="none" w:sz="0" w:space="0" w:color="auto"/>
                  </w:divBdr>
                  <w:divsChild>
                    <w:div w:id="196508563">
                      <w:marLeft w:val="0"/>
                      <w:marRight w:val="0"/>
                      <w:marTop w:val="0"/>
                      <w:marBottom w:val="0"/>
                      <w:divBdr>
                        <w:top w:val="none" w:sz="0" w:space="0" w:color="auto"/>
                        <w:left w:val="none" w:sz="0" w:space="0" w:color="auto"/>
                        <w:bottom w:val="none" w:sz="0" w:space="0" w:color="auto"/>
                        <w:right w:val="none" w:sz="0" w:space="0" w:color="auto"/>
                      </w:divBdr>
                      <w:divsChild>
                        <w:div w:id="266229780">
                          <w:marLeft w:val="0"/>
                          <w:marRight w:val="0"/>
                          <w:marTop w:val="0"/>
                          <w:marBottom w:val="0"/>
                          <w:divBdr>
                            <w:top w:val="none" w:sz="0" w:space="0" w:color="auto"/>
                            <w:left w:val="none" w:sz="0" w:space="0" w:color="auto"/>
                            <w:bottom w:val="none" w:sz="0" w:space="0" w:color="auto"/>
                            <w:right w:val="none" w:sz="0" w:space="0" w:color="auto"/>
                          </w:divBdr>
                          <w:divsChild>
                            <w:div w:id="44527904">
                              <w:marLeft w:val="0"/>
                              <w:marRight w:val="0"/>
                              <w:marTop w:val="0"/>
                              <w:marBottom w:val="0"/>
                              <w:divBdr>
                                <w:top w:val="none" w:sz="0" w:space="0" w:color="auto"/>
                                <w:left w:val="none" w:sz="0" w:space="0" w:color="auto"/>
                                <w:bottom w:val="none" w:sz="0" w:space="0" w:color="auto"/>
                                <w:right w:val="none" w:sz="0" w:space="0" w:color="auto"/>
                              </w:divBdr>
                              <w:divsChild>
                                <w:div w:id="105561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3522398">
      <w:bodyDiv w:val="1"/>
      <w:marLeft w:val="0"/>
      <w:marRight w:val="0"/>
      <w:marTop w:val="0"/>
      <w:marBottom w:val="0"/>
      <w:divBdr>
        <w:top w:val="none" w:sz="0" w:space="0" w:color="auto"/>
        <w:left w:val="none" w:sz="0" w:space="0" w:color="auto"/>
        <w:bottom w:val="none" w:sz="0" w:space="0" w:color="auto"/>
        <w:right w:val="none" w:sz="0" w:space="0" w:color="auto"/>
      </w:divBdr>
      <w:divsChild>
        <w:div w:id="160660657">
          <w:marLeft w:val="0"/>
          <w:marRight w:val="0"/>
          <w:marTop w:val="0"/>
          <w:marBottom w:val="0"/>
          <w:divBdr>
            <w:top w:val="none" w:sz="0" w:space="0" w:color="auto"/>
            <w:left w:val="none" w:sz="0" w:space="0" w:color="auto"/>
            <w:bottom w:val="none" w:sz="0" w:space="0" w:color="auto"/>
            <w:right w:val="none" w:sz="0" w:space="0" w:color="auto"/>
          </w:divBdr>
          <w:divsChild>
            <w:div w:id="1170214683">
              <w:marLeft w:val="0"/>
              <w:marRight w:val="0"/>
              <w:marTop w:val="0"/>
              <w:marBottom w:val="0"/>
              <w:divBdr>
                <w:top w:val="none" w:sz="0" w:space="0" w:color="auto"/>
                <w:left w:val="none" w:sz="0" w:space="0" w:color="auto"/>
                <w:bottom w:val="none" w:sz="0" w:space="0" w:color="auto"/>
                <w:right w:val="none" w:sz="0" w:space="0" w:color="auto"/>
              </w:divBdr>
              <w:divsChild>
                <w:div w:id="1913854626">
                  <w:marLeft w:val="0"/>
                  <w:marRight w:val="0"/>
                  <w:marTop w:val="0"/>
                  <w:marBottom w:val="0"/>
                  <w:divBdr>
                    <w:top w:val="none" w:sz="0" w:space="0" w:color="auto"/>
                    <w:left w:val="none" w:sz="0" w:space="0" w:color="auto"/>
                    <w:bottom w:val="none" w:sz="0" w:space="0" w:color="auto"/>
                    <w:right w:val="none" w:sz="0" w:space="0" w:color="auto"/>
                  </w:divBdr>
                  <w:divsChild>
                    <w:div w:id="1612854389">
                      <w:marLeft w:val="0"/>
                      <w:marRight w:val="0"/>
                      <w:marTop w:val="0"/>
                      <w:marBottom w:val="0"/>
                      <w:divBdr>
                        <w:top w:val="none" w:sz="0" w:space="0" w:color="auto"/>
                        <w:left w:val="none" w:sz="0" w:space="0" w:color="auto"/>
                        <w:bottom w:val="none" w:sz="0" w:space="0" w:color="auto"/>
                        <w:right w:val="none" w:sz="0" w:space="0" w:color="auto"/>
                      </w:divBdr>
                      <w:divsChild>
                        <w:div w:id="1772965679">
                          <w:marLeft w:val="0"/>
                          <w:marRight w:val="0"/>
                          <w:marTop w:val="0"/>
                          <w:marBottom w:val="0"/>
                          <w:divBdr>
                            <w:top w:val="none" w:sz="0" w:space="0" w:color="auto"/>
                            <w:left w:val="none" w:sz="0" w:space="0" w:color="auto"/>
                            <w:bottom w:val="none" w:sz="0" w:space="0" w:color="auto"/>
                            <w:right w:val="none" w:sz="0" w:space="0" w:color="auto"/>
                          </w:divBdr>
                          <w:divsChild>
                            <w:div w:id="7952176">
                              <w:marLeft w:val="0"/>
                              <w:marRight w:val="0"/>
                              <w:marTop w:val="0"/>
                              <w:marBottom w:val="0"/>
                              <w:divBdr>
                                <w:top w:val="none" w:sz="0" w:space="0" w:color="auto"/>
                                <w:left w:val="none" w:sz="0" w:space="0" w:color="auto"/>
                                <w:bottom w:val="none" w:sz="0" w:space="0" w:color="auto"/>
                                <w:right w:val="none" w:sz="0" w:space="0" w:color="auto"/>
                              </w:divBdr>
                              <w:divsChild>
                                <w:div w:id="64851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7880526">
      <w:bodyDiv w:val="1"/>
      <w:marLeft w:val="0"/>
      <w:marRight w:val="0"/>
      <w:marTop w:val="0"/>
      <w:marBottom w:val="0"/>
      <w:divBdr>
        <w:top w:val="none" w:sz="0" w:space="0" w:color="auto"/>
        <w:left w:val="none" w:sz="0" w:space="0" w:color="auto"/>
        <w:bottom w:val="none" w:sz="0" w:space="0" w:color="auto"/>
        <w:right w:val="none" w:sz="0" w:space="0" w:color="auto"/>
      </w:divBdr>
      <w:divsChild>
        <w:div w:id="2146006085">
          <w:marLeft w:val="0"/>
          <w:marRight w:val="0"/>
          <w:marTop w:val="0"/>
          <w:marBottom w:val="0"/>
          <w:divBdr>
            <w:top w:val="none" w:sz="0" w:space="0" w:color="auto"/>
            <w:left w:val="none" w:sz="0" w:space="0" w:color="auto"/>
            <w:bottom w:val="none" w:sz="0" w:space="0" w:color="auto"/>
            <w:right w:val="none" w:sz="0" w:space="0" w:color="auto"/>
          </w:divBdr>
          <w:divsChild>
            <w:div w:id="172035933">
              <w:marLeft w:val="0"/>
              <w:marRight w:val="0"/>
              <w:marTop w:val="0"/>
              <w:marBottom w:val="0"/>
              <w:divBdr>
                <w:top w:val="none" w:sz="0" w:space="0" w:color="auto"/>
                <w:left w:val="none" w:sz="0" w:space="0" w:color="auto"/>
                <w:bottom w:val="none" w:sz="0" w:space="0" w:color="auto"/>
                <w:right w:val="none" w:sz="0" w:space="0" w:color="auto"/>
              </w:divBdr>
              <w:divsChild>
                <w:div w:id="189537185">
                  <w:marLeft w:val="0"/>
                  <w:marRight w:val="0"/>
                  <w:marTop w:val="0"/>
                  <w:marBottom w:val="0"/>
                  <w:divBdr>
                    <w:top w:val="none" w:sz="0" w:space="0" w:color="auto"/>
                    <w:left w:val="none" w:sz="0" w:space="0" w:color="auto"/>
                    <w:bottom w:val="none" w:sz="0" w:space="0" w:color="auto"/>
                    <w:right w:val="none" w:sz="0" w:space="0" w:color="auto"/>
                  </w:divBdr>
                  <w:divsChild>
                    <w:div w:id="1177958824">
                      <w:marLeft w:val="0"/>
                      <w:marRight w:val="0"/>
                      <w:marTop w:val="0"/>
                      <w:marBottom w:val="0"/>
                      <w:divBdr>
                        <w:top w:val="none" w:sz="0" w:space="0" w:color="auto"/>
                        <w:left w:val="none" w:sz="0" w:space="0" w:color="auto"/>
                        <w:bottom w:val="none" w:sz="0" w:space="0" w:color="auto"/>
                        <w:right w:val="none" w:sz="0" w:space="0" w:color="auto"/>
                      </w:divBdr>
                      <w:divsChild>
                        <w:div w:id="523907394">
                          <w:marLeft w:val="0"/>
                          <w:marRight w:val="0"/>
                          <w:marTop w:val="0"/>
                          <w:marBottom w:val="0"/>
                          <w:divBdr>
                            <w:top w:val="none" w:sz="0" w:space="0" w:color="auto"/>
                            <w:left w:val="none" w:sz="0" w:space="0" w:color="auto"/>
                            <w:bottom w:val="none" w:sz="0" w:space="0" w:color="auto"/>
                            <w:right w:val="none" w:sz="0" w:space="0" w:color="auto"/>
                          </w:divBdr>
                          <w:divsChild>
                            <w:div w:id="1298102706">
                              <w:marLeft w:val="0"/>
                              <w:marRight w:val="0"/>
                              <w:marTop w:val="0"/>
                              <w:marBottom w:val="0"/>
                              <w:divBdr>
                                <w:top w:val="none" w:sz="0" w:space="0" w:color="auto"/>
                                <w:left w:val="none" w:sz="0" w:space="0" w:color="auto"/>
                                <w:bottom w:val="none" w:sz="0" w:space="0" w:color="auto"/>
                                <w:right w:val="none" w:sz="0" w:space="0" w:color="auto"/>
                              </w:divBdr>
                            </w:div>
                            <w:div w:id="858852237">
                              <w:marLeft w:val="0"/>
                              <w:marRight w:val="0"/>
                              <w:marTop w:val="0"/>
                              <w:marBottom w:val="0"/>
                              <w:divBdr>
                                <w:top w:val="none" w:sz="0" w:space="0" w:color="auto"/>
                                <w:left w:val="none" w:sz="0" w:space="0" w:color="auto"/>
                                <w:bottom w:val="none" w:sz="0" w:space="0" w:color="auto"/>
                                <w:right w:val="none" w:sz="0" w:space="0" w:color="auto"/>
                              </w:divBdr>
                              <w:divsChild>
                                <w:div w:id="1731537244">
                                  <w:marLeft w:val="0"/>
                                  <w:marRight w:val="0"/>
                                  <w:marTop w:val="0"/>
                                  <w:marBottom w:val="0"/>
                                  <w:divBdr>
                                    <w:top w:val="none" w:sz="0" w:space="0" w:color="auto"/>
                                    <w:left w:val="none" w:sz="0" w:space="0" w:color="auto"/>
                                    <w:bottom w:val="none" w:sz="0" w:space="0" w:color="auto"/>
                                    <w:right w:val="none" w:sz="0" w:space="0" w:color="auto"/>
                                  </w:divBdr>
                                  <w:divsChild>
                                    <w:div w:id="99877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733704">
      <w:bodyDiv w:val="1"/>
      <w:marLeft w:val="0"/>
      <w:marRight w:val="0"/>
      <w:marTop w:val="0"/>
      <w:marBottom w:val="0"/>
      <w:divBdr>
        <w:top w:val="none" w:sz="0" w:space="0" w:color="auto"/>
        <w:left w:val="none" w:sz="0" w:space="0" w:color="auto"/>
        <w:bottom w:val="none" w:sz="0" w:space="0" w:color="auto"/>
        <w:right w:val="none" w:sz="0" w:space="0" w:color="auto"/>
      </w:divBdr>
      <w:divsChild>
        <w:div w:id="2116749991">
          <w:marLeft w:val="0"/>
          <w:marRight w:val="0"/>
          <w:marTop w:val="0"/>
          <w:marBottom w:val="0"/>
          <w:divBdr>
            <w:top w:val="none" w:sz="0" w:space="0" w:color="auto"/>
            <w:left w:val="none" w:sz="0" w:space="0" w:color="auto"/>
            <w:bottom w:val="none" w:sz="0" w:space="0" w:color="auto"/>
            <w:right w:val="none" w:sz="0" w:space="0" w:color="auto"/>
          </w:divBdr>
          <w:divsChild>
            <w:div w:id="367145240">
              <w:marLeft w:val="0"/>
              <w:marRight w:val="0"/>
              <w:marTop w:val="0"/>
              <w:marBottom w:val="0"/>
              <w:divBdr>
                <w:top w:val="none" w:sz="0" w:space="0" w:color="auto"/>
                <w:left w:val="none" w:sz="0" w:space="0" w:color="auto"/>
                <w:bottom w:val="none" w:sz="0" w:space="0" w:color="auto"/>
                <w:right w:val="none" w:sz="0" w:space="0" w:color="auto"/>
              </w:divBdr>
              <w:divsChild>
                <w:div w:id="173964057">
                  <w:marLeft w:val="0"/>
                  <w:marRight w:val="0"/>
                  <w:marTop w:val="0"/>
                  <w:marBottom w:val="0"/>
                  <w:divBdr>
                    <w:top w:val="none" w:sz="0" w:space="0" w:color="auto"/>
                    <w:left w:val="none" w:sz="0" w:space="0" w:color="auto"/>
                    <w:bottom w:val="none" w:sz="0" w:space="0" w:color="auto"/>
                    <w:right w:val="none" w:sz="0" w:space="0" w:color="auto"/>
                  </w:divBdr>
                  <w:divsChild>
                    <w:div w:id="1820266734">
                      <w:marLeft w:val="0"/>
                      <w:marRight w:val="0"/>
                      <w:marTop w:val="0"/>
                      <w:marBottom w:val="0"/>
                      <w:divBdr>
                        <w:top w:val="none" w:sz="0" w:space="0" w:color="auto"/>
                        <w:left w:val="none" w:sz="0" w:space="0" w:color="auto"/>
                        <w:bottom w:val="none" w:sz="0" w:space="0" w:color="auto"/>
                        <w:right w:val="none" w:sz="0" w:space="0" w:color="auto"/>
                      </w:divBdr>
                      <w:divsChild>
                        <w:div w:id="1111052603">
                          <w:marLeft w:val="0"/>
                          <w:marRight w:val="0"/>
                          <w:marTop w:val="0"/>
                          <w:marBottom w:val="0"/>
                          <w:divBdr>
                            <w:top w:val="none" w:sz="0" w:space="0" w:color="auto"/>
                            <w:left w:val="none" w:sz="0" w:space="0" w:color="auto"/>
                            <w:bottom w:val="none" w:sz="0" w:space="0" w:color="auto"/>
                            <w:right w:val="none" w:sz="0" w:space="0" w:color="auto"/>
                          </w:divBdr>
                          <w:divsChild>
                            <w:div w:id="1190493081">
                              <w:marLeft w:val="0"/>
                              <w:marRight w:val="0"/>
                              <w:marTop w:val="0"/>
                              <w:marBottom w:val="0"/>
                              <w:divBdr>
                                <w:top w:val="none" w:sz="0" w:space="0" w:color="auto"/>
                                <w:left w:val="none" w:sz="0" w:space="0" w:color="auto"/>
                                <w:bottom w:val="none" w:sz="0" w:space="0" w:color="auto"/>
                                <w:right w:val="none" w:sz="0" w:space="0" w:color="auto"/>
                              </w:divBdr>
                              <w:divsChild>
                                <w:div w:id="158017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7413670">
      <w:bodyDiv w:val="1"/>
      <w:marLeft w:val="0"/>
      <w:marRight w:val="0"/>
      <w:marTop w:val="0"/>
      <w:marBottom w:val="0"/>
      <w:divBdr>
        <w:top w:val="none" w:sz="0" w:space="0" w:color="auto"/>
        <w:left w:val="none" w:sz="0" w:space="0" w:color="auto"/>
        <w:bottom w:val="none" w:sz="0" w:space="0" w:color="auto"/>
        <w:right w:val="none" w:sz="0" w:space="0" w:color="auto"/>
      </w:divBdr>
      <w:divsChild>
        <w:div w:id="1449470233">
          <w:marLeft w:val="0"/>
          <w:marRight w:val="0"/>
          <w:marTop w:val="0"/>
          <w:marBottom w:val="0"/>
          <w:divBdr>
            <w:top w:val="none" w:sz="0" w:space="0" w:color="auto"/>
            <w:left w:val="none" w:sz="0" w:space="0" w:color="auto"/>
            <w:bottom w:val="none" w:sz="0" w:space="0" w:color="auto"/>
            <w:right w:val="none" w:sz="0" w:space="0" w:color="auto"/>
          </w:divBdr>
          <w:divsChild>
            <w:div w:id="876161012">
              <w:marLeft w:val="0"/>
              <w:marRight w:val="0"/>
              <w:marTop w:val="0"/>
              <w:marBottom w:val="0"/>
              <w:divBdr>
                <w:top w:val="none" w:sz="0" w:space="0" w:color="auto"/>
                <w:left w:val="none" w:sz="0" w:space="0" w:color="auto"/>
                <w:bottom w:val="none" w:sz="0" w:space="0" w:color="auto"/>
                <w:right w:val="none" w:sz="0" w:space="0" w:color="auto"/>
              </w:divBdr>
              <w:divsChild>
                <w:div w:id="1324238047">
                  <w:marLeft w:val="0"/>
                  <w:marRight w:val="0"/>
                  <w:marTop w:val="0"/>
                  <w:marBottom w:val="0"/>
                  <w:divBdr>
                    <w:top w:val="none" w:sz="0" w:space="0" w:color="auto"/>
                    <w:left w:val="none" w:sz="0" w:space="0" w:color="auto"/>
                    <w:bottom w:val="none" w:sz="0" w:space="0" w:color="auto"/>
                    <w:right w:val="none" w:sz="0" w:space="0" w:color="auto"/>
                  </w:divBdr>
                  <w:divsChild>
                    <w:div w:id="446971190">
                      <w:marLeft w:val="0"/>
                      <w:marRight w:val="0"/>
                      <w:marTop w:val="0"/>
                      <w:marBottom w:val="0"/>
                      <w:divBdr>
                        <w:top w:val="none" w:sz="0" w:space="0" w:color="auto"/>
                        <w:left w:val="none" w:sz="0" w:space="0" w:color="auto"/>
                        <w:bottom w:val="none" w:sz="0" w:space="0" w:color="auto"/>
                        <w:right w:val="none" w:sz="0" w:space="0" w:color="auto"/>
                      </w:divBdr>
                      <w:divsChild>
                        <w:div w:id="1016887962">
                          <w:marLeft w:val="0"/>
                          <w:marRight w:val="0"/>
                          <w:marTop w:val="0"/>
                          <w:marBottom w:val="0"/>
                          <w:divBdr>
                            <w:top w:val="none" w:sz="0" w:space="0" w:color="auto"/>
                            <w:left w:val="none" w:sz="0" w:space="0" w:color="auto"/>
                            <w:bottom w:val="none" w:sz="0" w:space="0" w:color="auto"/>
                            <w:right w:val="none" w:sz="0" w:space="0" w:color="auto"/>
                          </w:divBdr>
                          <w:divsChild>
                            <w:div w:id="1740590887">
                              <w:marLeft w:val="0"/>
                              <w:marRight w:val="0"/>
                              <w:marTop w:val="0"/>
                              <w:marBottom w:val="0"/>
                              <w:divBdr>
                                <w:top w:val="none" w:sz="0" w:space="0" w:color="auto"/>
                                <w:left w:val="none" w:sz="0" w:space="0" w:color="auto"/>
                                <w:bottom w:val="none" w:sz="0" w:space="0" w:color="auto"/>
                                <w:right w:val="none" w:sz="0" w:space="0" w:color="auto"/>
                              </w:divBdr>
                              <w:divsChild>
                                <w:div w:id="186162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725254">
      <w:bodyDiv w:val="1"/>
      <w:marLeft w:val="0"/>
      <w:marRight w:val="0"/>
      <w:marTop w:val="0"/>
      <w:marBottom w:val="0"/>
      <w:divBdr>
        <w:top w:val="none" w:sz="0" w:space="0" w:color="auto"/>
        <w:left w:val="none" w:sz="0" w:space="0" w:color="auto"/>
        <w:bottom w:val="none" w:sz="0" w:space="0" w:color="auto"/>
        <w:right w:val="none" w:sz="0" w:space="0" w:color="auto"/>
      </w:divBdr>
      <w:divsChild>
        <w:div w:id="610403160">
          <w:marLeft w:val="0"/>
          <w:marRight w:val="0"/>
          <w:marTop w:val="0"/>
          <w:marBottom w:val="0"/>
          <w:divBdr>
            <w:top w:val="none" w:sz="0" w:space="0" w:color="auto"/>
            <w:left w:val="none" w:sz="0" w:space="0" w:color="auto"/>
            <w:bottom w:val="none" w:sz="0" w:space="0" w:color="auto"/>
            <w:right w:val="none" w:sz="0" w:space="0" w:color="auto"/>
          </w:divBdr>
          <w:divsChild>
            <w:div w:id="1188521695">
              <w:marLeft w:val="0"/>
              <w:marRight w:val="0"/>
              <w:marTop w:val="0"/>
              <w:marBottom w:val="0"/>
              <w:divBdr>
                <w:top w:val="none" w:sz="0" w:space="0" w:color="auto"/>
                <w:left w:val="none" w:sz="0" w:space="0" w:color="auto"/>
                <w:bottom w:val="none" w:sz="0" w:space="0" w:color="auto"/>
                <w:right w:val="none" w:sz="0" w:space="0" w:color="auto"/>
              </w:divBdr>
              <w:divsChild>
                <w:div w:id="205074">
                  <w:marLeft w:val="0"/>
                  <w:marRight w:val="0"/>
                  <w:marTop w:val="0"/>
                  <w:marBottom w:val="0"/>
                  <w:divBdr>
                    <w:top w:val="none" w:sz="0" w:space="0" w:color="auto"/>
                    <w:left w:val="none" w:sz="0" w:space="0" w:color="auto"/>
                    <w:bottom w:val="none" w:sz="0" w:space="0" w:color="auto"/>
                    <w:right w:val="none" w:sz="0" w:space="0" w:color="auto"/>
                  </w:divBdr>
                  <w:divsChild>
                    <w:div w:id="1224877892">
                      <w:marLeft w:val="-135"/>
                      <w:marRight w:val="0"/>
                      <w:marTop w:val="0"/>
                      <w:marBottom w:val="0"/>
                      <w:divBdr>
                        <w:top w:val="none" w:sz="0" w:space="0" w:color="auto"/>
                        <w:left w:val="none" w:sz="0" w:space="0" w:color="auto"/>
                        <w:bottom w:val="none" w:sz="0" w:space="0" w:color="auto"/>
                        <w:right w:val="none" w:sz="0" w:space="0" w:color="auto"/>
                      </w:divBdr>
                      <w:divsChild>
                        <w:div w:id="2143379378">
                          <w:marLeft w:val="0"/>
                          <w:marRight w:val="0"/>
                          <w:marTop w:val="0"/>
                          <w:marBottom w:val="0"/>
                          <w:divBdr>
                            <w:top w:val="none" w:sz="0" w:space="0" w:color="auto"/>
                            <w:left w:val="none" w:sz="0" w:space="0" w:color="auto"/>
                            <w:bottom w:val="none" w:sz="0" w:space="0" w:color="auto"/>
                            <w:right w:val="none" w:sz="0" w:space="0" w:color="auto"/>
                          </w:divBdr>
                          <w:divsChild>
                            <w:div w:id="779488804">
                              <w:marLeft w:val="0"/>
                              <w:marRight w:val="0"/>
                              <w:marTop w:val="0"/>
                              <w:marBottom w:val="0"/>
                              <w:divBdr>
                                <w:top w:val="single" w:sz="6" w:space="0" w:color="CCCCCC"/>
                                <w:left w:val="single" w:sz="6" w:space="0" w:color="CCCCCC"/>
                                <w:bottom w:val="single" w:sz="6" w:space="0" w:color="CCCCCC"/>
                                <w:right w:val="single" w:sz="6" w:space="0" w:color="CCCCCC"/>
                              </w:divBdr>
                              <w:divsChild>
                                <w:div w:id="994262325">
                                  <w:marLeft w:val="0"/>
                                  <w:marRight w:val="0"/>
                                  <w:marTop w:val="0"/>
                                  <w:marBottom w:val="0"/>
                                  <w:divBdr>
                                    <w:top w:val="none" w:sz="0" w:space="0" w:color="auto"/>
                                    <w:left w:val="none" w:sz="0" w:space="0" w:color="auto"/>
                                    <w:bottom w:val="none" w:sz="0" w:space="0" w:color="auto"/>
                                    <w:right w:val="none" w:sz="0" w:space="0" w:color="auto"/>
                                  </w:divBdr>
                                  <w:divsChild>
                                    <w:div w:id="65891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7286297">
      <w:bodyDiv w:val="1"/>
      <w:marLeft w:val="0"/>
      <w:marRight w:val="0"/>
      <w:marTop w:val="0"/>
      <w:marBottom w:val="0"/>
      <w:divBdr>
        <w:top w:val="none" w:sz="0" w:space="0" w:color="auto"/>
        <w:left w:val="none" w:sz="0" w:space="0" w:color="auto"/>
        <w:bottom w:val="none" w:sz="0" w:space="0" w:color="auto"/>
        <w:right w:val="none" w:sz="0" w:space="0" w:color="auto"/>
      </w:divBdr>
      <w:divsChild>
        <w:div w:id="499928404">
          <w:marLeft w:val="0"/>
          <w:marRight w:val="0"/>
          <w:marTop w:val="0"/>
          <w:marBottom w:val="0"/>
          <w:divBdr>
            <w:top w:val="none" w:sz="0" w:space="0" w:color="auto"/>
            <w:left w:val="none" w:sz="0" w:space="0" w:color="auto"/>
            <w:bottom w:val="none" w:sz="0" w:space="0" w:color="auto"/>
            <w:right w:val="none" w:sz="0" w:space="0" w:color="auto"/>
          </w:divBdr>
          <w:divsChild>
            <w:div w:id="776027097">
              <w:marLeft w:val="0"/>
              <w:marRight w:val="0"/>
              <w:marTop w:val="0"/>
              <w:marBottom w:val="0"/>
              <w:divBdr>
                <w:top w:val="none" w:sz="0" w:space="0" w:color="auto"/>
                <w:left w:val="none" w:sz="0" w:space="0" w:color="auto"/>
                <w:bottom w:val="none" w:sz="0" w:space="0" w:color="auto"/>
                <w:right w:val="none" w:sz="0" w:space="0" w:color="auto"/>
              </w:divBdr>
              <w:divsChild>
                <w:div w:id="477957432">
                  <w:marLeft w:val="0"/>
                  <w:marRight w:val="0"/>
                  <w:marTop w:val="0"/>
                  <w:marBottom w:val="0"/>
                  <w:divBdr>
                    <w:top w:val="none" w:sz="0" w:space="0" w:color="auto"/>
                    <w:left w:val="none" w:sz="0" w:space="0" w:color="auto"/>
                    <w:bottom w:val="none" w:sz="0" w:space="0" w:color="auto"/>
                    <w:right w:val="none" w:sz="0" w:space="0" w:color="auto"/>
                  </w:divBdr>
                  <w:divsChild>
                    <w:div w:id="1243300783">
                      <w:marLeft w:val="0"/>
                      <w:marRight w:val="0"/>
                      <w:marTop w:val="0"/>
                      <w:marBottom w:val="0"/>
                      <w:divBdr>
                        <w:top w:val="none" w:sz="0" w:space="0" w:color="auto"/>
                        <w:left w:val="none" w:sz="0" w:space="0" w:color="auto"/>
                        <w:bottom w:val="none" w:sz="0" w:space="0" w:color="auto"/>
                        <w:right w:val="none" w:sz="0" w:space="0" w:color="auto"/>
                      </w:divBdr>
                      <w:divsChild>
                        <w:div w:id="1117019448">
                          <w:marLeft w:val="0"/>
                          <w:marRight w:val="0"/>
                          <w:marTop w:val="0"/>
                          <w:marBottom w:val="0"/>
                          <w:divBdr>
                            <w:top w:val="none" w:sz="0" w:space="0" w:color="auto"/>
                            <w:left w:val="none" w:sz="0" w:space="0" w:color="auto"/>
                            <w:bottom w:val="none" w:sz="0" w:space="0" w:color="auto"/>
                            <w:right w:val="none" w:sz="0" w:space="0" w:color="auto"/>
                          </w:divBdr>
                          <w:divsChild>
                            <w:div w:id="633633922">
                              <w:marLeft w:val="0"/>
                              <w:marRight w:val="0"/>
                              <w:marTop w:val="0"/>
                              <w:marBottom w:val="0"/>
                              <w:divBdr>
                                <w:top w:val="none" w:sz="0" w:space="0" w:color="auto"/>
                                <w:left w:val="none" w:sz="0" w:space="0" w:color="auto"/>
                                <w:bottom w:val="none" w:sz="0" w:space="0" w:color="auto"/>
                                <w:right w:val="none" w:sz="0" w:space="0" w:color="auto"/>
                              </w:divBdr>
                              <w:divsChild>
                                <w:div w:id="658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7364170">
      <w:bodyDiv w:val="1"/>
      <w:marLeft w:val="0"/>
      <w:marRight w:val="0"/>
      <w:marTop w:val="0"/>
      <w:marBottom w:val="0"/>
      <w:divBdr>
        <w:top w:val="none" w:sz="0" w:space="0" w:color="auto"/>
        <w:left w:val="none" w:sz="0" w:space="0" w:color="auto"/>
        <w:bottom w:val="none" w:sz="0" w:space="0" w:color="auto"/>
        <w:right w:val="none" w:sz="0" w:space="0" w:color="auto"/>
      </w:divBdr>
      <w:divsChild>
        <w:div w:id="1663698546">
          <w:marLeft w:val="0"/>
          <w:marRight w:val="0"/>
          <w:marTop w:val="0"/>
          <w:marBottom w:val="0"/>
          <w:divBdr>
            <w:top w:val="none" w:sz="0" w:space="0" w:color="auto"/>
            <w:left w:val="none" w:sz="0" w:space="0" w:color="auto"/>
            <w:bottom w:val="none" w:sz="0" w:space="0" w:color="auto"/>
            <w:right w:val="none" w:sz="0" w:space="0" w:color="auto"/>
          </w:divBdr>
          <w:divsChild>
            <w:div w:id="847333397">
              <w:marLeft w:val="0"/>
              <w:marRight w:val="0"/>
              <w:marTop w:val="0"/>
              <w:marBottom w:val="0"/>
              <w:divBdr>
                <w:top w:val="none" w:sz="0" w:space="0" w:color="auto"/>
                <w:left w:val="none" w:sz="0" w:space="0" w:color="auto"/>
                <w:bottom w:val="none" w:sz="0" w:space="0" w:color="auto"/>
                <w:right w:val="none" w:sz="0" w:space="0" w:color="auto"/>
              </w:divBdr>
              <w:divsChild>
                <w:div w:id="1545210251">
                  <w:marLeft w:val="0"/>
                  <w:marRight w:val="0"/>
                  <w:marTop w:val="0"/>
                  <w:marBottom w:val="0"/>
                  <w:divBdr>
                    <w:top w:val="none" w:sz="0" w:space="0" w:color="auto"/>
                    <w:left w:val="none" w:sz="0" w:space="0" w:color="auto"/>
                    <w:bottom w:val="none" w:sz="0" w:space="0" w:color="auto"/>
                    <w:right w:val="none" w:sz="0" w:space="0" w:color="auto"/>
                  </w:divBdr>
                  <w:divsChild>
                    <w:div w:id="1546135570">
                      <w:marLeft w:val="0"/>
                      <w:marRight w:val="0"/>
                      <w:marTop w:val="0"/>
                      <w:marBottom w:val="0"/>
                      <w:divBdr>
                        <w:top w:val="none" w:sz="0" w:space="0" w:color="auto"/>
                        <w:left w:val="none" w:sz="0" w:space="0" w:color="auto"/>
                        <w:bottom w:val="none" w:sz="0" w:space="0" w:color="auto"/>
                        <w:right w:val="none" w:sz="0" w:space="0" w:color="auto"/>
                      </w:divBdr>
                      <w:divsChild>
                        <w:div w:id="1888254870">
                          <w:marLeft w:val="0"/>
                          <w:marRight w:val="0"/>
                          <w:marTop w:val="0"/>
                          <w:marBottom w:val="0"/>
                          <w:divBdr>
                            <w:top w:val="none" w:sz="0" w:space="0" w:color="auto"/>
                            <w:left w:val="none" w:sz="0" w:space="0" w:color="auto"/>
                            <w:bottom w:val="none" w:sz="0" w:space="0" w:color="auto"/>
                            <w:right w:val="none" w:sz="0" w:space="0" w:color="auto"/>
                          </w:divBdr>
                          <w:divsChild>
                            <w:div w:id="1323044504">
                              <w:marLeft w:val="0"/>
                              <w:marRight w:val="0"/>
                              <w:marTop w:val="0"/>
                              <w:marBottom w:val="0"/>
                              <w:divBdr>
                                <w:top w:val="none" w:sz="0" w:space="0" w:color="auto"/>
                                <w:left w:val="none" w:sz="0" w:space="0" w:color="auto"/>
                                <w:bottom w:val="none" w:sz="0" w:space="0" w:color="auto"/>
                                <w:right w:val="none" w:sz="0" w:space="0" w:color="auto"/>
                              </w:divBdr>
                              <w:divsChild>
                                <w:div w:id="37219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8369390">
      <w:bodyDiv w:val="1"/>
      <w:marLeft w:val="0"/>
      <w:marRight w:val="0"/>
      <w:marTop w:val="0"/>
      <w:marBottom w:val="0"/>
      <w:divBdr>
        <w:top w:val="none" w:sz="0" w:space="0" w:color="auto"/>
        <w:left w:val="none" w:sz="0" w:space="0" w:color="auto"/>
        <w:bottom w:val="none" w:sz="0" w:space="0" w:color="auto"/>
        <w:right w:val="none" w:sz="0" w:space="0" w:color="auto"/>
      </w:divBdr>
      <w:divsChild>
        <w:div w:id="641470307">
          <w:marLeft w:val="0"/>
          <w:marRight w:val="0"/>
          <w:marTop w:val="0"/>
          <w:marBottom w:val="0"/>
          <w:divBdr>
            <w:top w:val="none" w:sz="0" w:space="0" w:color="auto"/>
            <w:left w:val="none" w:sz="0" w:space="0" w:color="auto"/>
            <w:bottom w:val="none" w:sz="0" w:space="0" w:color="auto"/>
            <w:right w:val="none" w:sz="0" w:space="0" w:color="auto"/>
          </w:divBdr>
          <w:divsChild>
            <w:div w:id="1981032709">
              <w:marLeft w:val="0"/>
              <w:marRight w:val="0"/>
              <w:marTop w:val="0"/>
              <w:marBottom w:val="0"/>
              <w:divBdr>
                <w:top w:val="none" w:sz="0" w:space="0" w:color="auto"/>
                <w:left w:val="none" w:sz="0" w:space="0" w:color="auto"/>
                <w:bottom w:val="none" w:sz="0" w:space="0" w:color="auto"/>
                <w:right w:val="none" w:sz="0" w:space="0" w:color="auto"/>
              </w:divBdr>
              <w:divsChild>
                <w:div w:id="907615948">
                  <w:marLeft w:val="0"/>
                  <w:marRight w:val="0"/>
                  <w:marTop w:val="0"/>
                  <w:marBottom w:val="0"/>
                  <w:divBdr>
                    <w:top w:val="none" w:sz="0" w:space="0" w:color="auto"/>
                    <w:left w:val="none" w:sz="0" w:space="0" w:color="auto"/>
                    <w:bottom w:val="none" w:sz="0" w:space="0" w:color="auto"/>
                    <w:right w:val="none" w:sz="0" w:space="0" w:color="auto"/>
                  </w:divBdr>
                  <w:divsChild>
                    <w:div w:id="1689019751">
                      <w:marLeft w:val="0"/>
                      <w:marRight w:val="0"/>
                      <w:marTop w:val="0"/>
                      <w:marBottom w:val="0"/>
                      <w:divBdr>
                        <w:top w:val="none" w:sz="0" w:space="0" w:color="auto"/>
                        <w:left w:val="none" w:sz="0" w:space="0" w:color="auto"/>
                        <w:bottom w:val="none" w:sz="0" w:space="0" w:color="auto"/>
                        <w:right w:val="none" w:sz="0" w:space="0" w:color="auto"/>
                      </w:divBdr>
                      <w:divsChild>
                        <w:div w:id="633757512">
                          <w:marLeft w:val="0"/>
                          <w:marRight w:val="0"/>
                          <w:marTop w:val="0"/>
                          <w:marBottom w:val="0"/>
                          <w:divBdr>
                            <w:top w:val="none" w:sz="0" w:space="0" w:color="auto"/>
                            <w:left w:val="none" w:sz="0" w:space="0" w:color="auto"/>
                            <w:bottom w:val="none" w:sz="0" w:space="0" w:color="auto"/>
                            <w:right w:val="none" w:sz="0" w:space="0" w:color="auto"/>
                          </w:divBdr>
                          <w:divsChild>
                            <w:div w:id="1312489997">
                              <w:marLeft w:val="0"/>
                              <w:marRight w:val="0"/>
                              <w:marTop w:val="0"/>
                              <w:marBottom w:val="0"/>
                              <w:divBdr>
                                <w:top w:val="none" w:sz="0" w:space="0" w:color="auto"/>
                                <w:left w:val="none" w:sz="0" w:space="0" w:color="auto"/>
                                <w:bottom w:val="none" w:sz="0" w:space="0" w:color="auto"/>
                                <w:right w:val="none" w:sz="0" w:space="0" w:color="auto"/>
                              </w:divBdr>
                              <w:divsChild>
                                <w:div w:id="166069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9366602">
      <w:bodyDiv w:val="1"/>
      <w:marLeft w:val="0"/>
      <w:marRight w:val="0"/>
      <w:marTop w:val="0"/>
      <w:marBottom w:val="0"/>
      <w:divBdr>
        <w:top w:val="none" w:sz="0" w:space="0" w:color="auto"/>
        <w:left w:val="none" w:sz="0" w:space="0" w:color="auto"/>
        <w:bottom w:val="none" w:sz="0" w:space="0" w:color="auto"/>
        <w:right w:val="none" w:sz="0" w:space="0" w:color="auto"/>
      </w:divBdr>
      <w:divsChild>
        <w:div w:id="1004166793">
          <w:marLeft w:val="0"/>
          <w:marRight w:val="0"/>
          <w:marTop w:val="0"/>
          <w:marBottom w:val="0"/>
          <w:divBdr>
            <w:top w:val="none" w:sz="0" w:space="0" w:color="auto"/>
            <w:left w:val="none" w:sz="0" w:space="0" w:color="auto"/>
            <w:bottom w:val="none" w:sz="0" w:space="0" w:color="auto"/>
            <w:right w:val="none" w:sz="0" w:space="0" w:color="auto"/>
          </w:divBdr>
          <w:divsChild>
            <w:div w:id="1963069890">
              <w:marLeft w:val="0"/>
              <w:marRight w:val="0"/>
              <w:marTop w:val="0"/>
              <w:marBottom w:val="0"/>
              <w:divBdr>
                <w:top w:val="none" w:sz="0" w:space="0" w:color="auto"/>
                <w:left w:val="none" w:sz="0" w:space="0" w:color="auto"/>
                <w:bottom w:val="none" w:sz="0" w:space="0" w:color="auto"/>
                <w:right w:val="none" w:sz="0" w:space="0" w:color="auto"/>
              </w:divBdr>
              <w:divsChild>
                <w:div w:id="397437702">
                  <w:marLeft w:val="0"/>
                  <w:marRight w:val="0"/>
                  <w:marTop w:val="0"/>
                  <w:marBottom w:val="0"/>
                  <w:divBdr>
                    <w:top w:val="none" w:sz="0" w:space="0" w:color="auto"/>
                    <w:left w:val="none" w:sz="0" w:space="0" w:color="auto"/>
                    <w:bottom w:val="none" w:sz="0" w:space="0" w:color="auto"/>
                    <w:right w:val="none" w:sz="0" w:space="0" w:color="auto"/>
                  </w:divBdr>
                  <w:divsChild>
                    <w:div w:id="256332863">
                      <w:marLeft w:val="0"/>
                      <w:marRight w:val="0"/>
                      <w:marTop w:val="0"/>
                      <w:marBottom w:val="0"/>
                      <w:divBdr>
                        <w:top w:val="none" w:sz="0" w:space="0" w:color="auto"/>
                        <w:left w:val="none" w:sz="0" w:space="0" w:color="auto"/>
                        <w:bottom w:val="none" w:sz="0" w:space="0" w:color="auto"/>
                        <w:right w:val="none" w:sz="0" w:space="0" w:color="auto"/>
                      </w:divBdr>
                      <w:divsChild>
                        <w:div w:id="2123454711">
                          <w:marLeft w:val="0"/>
                          <w:marRight w:val="0"/>
                          <w:marTop w:val="0"/>
                          <w:marBottom w:val="0"/>
                          <w:divBdr>
                            <w:top w:val="none" w:sz="0" w:space="0" w:color="auto"/>
                            <w:left w:val="none" w:sz="0" w:space="0" w:color="auto"/>
                            <w:bottom w:val="none" w:sz="0" w:space="0" w:color="auto"/>
                            <w:right w:val="none" w:sz="0" w:space="0" w:color="auto"/>
                          </w:divBdr>
                          <w:divsChild>
                            <w:div w:id="1362896482">
                              <w:marLeft w:val="0"/>
                              <w:marRight w:val="0"/>
                              <w:marTop w:val="0"/>
                              <w:marBottom w:val="0"/>
                              <w:divBdr>
                                <w:top w:val="none" w:sz="0" w:space="0" w:color="auto"/>
                                <w:left w:val="none" w:sz="0" w:space="0" w:color="auto"/>
                                <w:bottom w:val="none" w:sz="0" w:space="0" w:color="auto"/>
                                <w:right w:val="none" w:sz="0" w:space="0" w:color="auto"/>
                              </w:divBdr>
                              <w:divsChild>
                                <w:div w:id="5355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9390977">
      <w:bodyDiv w:val="1"/>
      <w:marLeft w:val="0"/>
      <w:marRight w:val="0"/>
      <w:marTop w:val="0"/>
      <w:marBottom w:val="0"/>
      <w:divBdr>
        <w:top w:val="none" w:sz="0" w:space="0" w:color="auto"/>
        <w:left w:val="none" w:sz="0" w:space="0" w:color="auto"/>
        <w:bottom w:val="none" w:sz="0" w:space="0" w:color="auto"/>
        <w:right w:val="none" w:sz="0" w:space="0" w:color="auto"/>
      </w:divBdr>
      <w:divsChild>
        <w:div w:id="248855531">
          <w:marLeft w:val="0"/>
          <w:marRight w:val="0"/>
          <w:marTop w:val="0"/>
          <w:marBottom w:val="0"/>
          <w:divBdr>
            <w:top w:val="none" w:sz="0" w:space="0" w:color="auto"/>
            <w:left w:val="none" w:sz="0" w:space="0" w:color="auto"/>
            <w:bottom w:val="none" w:sz="0" w:space="0" w:color="auto"/>
            <w:right w:val="none" w:sz="0" w:space="0" w:color="auto"/>
          </w:divBdr>
          <w:divsChild>
            <w:div w:id="2007321168">
              <w:marLeft w:val="0"/>
              <w:marRight w:val="0"/>
              <w:marTop w:val="0"/>
              <w:marBottom w:val="0"/>
              <w:divBdr>
                <w:top w:val="none" w:sz="0" w:space="0" w:color="auto"/>
                <w:left w:val="none" w:sz="0" w:space="0" w:color="auto"/>
                <w:bottom w:val="none" w:sz="0" w:space="0" w:color="auto"/>
                <w:right w:val="none" w:sz="0" w:space="0" w:color="auto"/>
              </w:divBdr>
              <w:divsChild>
                <w:div w:id="944966570">
                  <w:marLeft w:val="0"/>
                  <w:marRight w:val="0"/>
                  <w:marTop w:val="0"/>
                  <w:marBottom w:val="0"/>
                  <w:divBdr>
                    <w:top w:val="none" w:sz="0" w:space="0" w:color="auto"/>
                    <w:left w:val="none" w:sz="0" w:space="0" w:color="auto"/>
                    <w:bottom w:val="none" w:sz="0" w:space="0" w:color="auto"/>
                    <w:right w:val="none" w:sz="0" w:space="0" w:color="auto"/>
                  </w:divBdr>
                  <w:divsChild>
                    <w:div w:id="1321041723">
                      <w:marLeft w:val="0"/>
                      <w:marRight w:val="0"/>
                      <w:marTop w:val="0"/>
                      <w:marBottom w:val="0"/>
                      <w:divBdr>
                        <w:top w:val="none" w:sz="0" w:space="0" w:color="auto"/>
                        <w:left w:val="none" w:sz="0" w:space="0" w:color="auto"/>
                        <w:bottom w:val="none" w:sz="0" w:space="0" w:color="auto"/>
                        <w:right w:val="none" w:sz="0" w:space="0" w:color="auto"/>
                      </w:divBdr>
                      <w:divsChild>
                        <w:div w:id="800419096">
                          <w:marLeft w:val="0"/>
                          <w:marRight w:val="0"/>
                          <w:marTop w:val="0"/>
                          <w:marBottom w:val="0"/>
                          <w:divBdr>
                            <w:top w:val="none" w:sz="0" w:space="0" w:color="auto"/>
                            <w:left w:val="none" w:sz="0" w:space="0" w:color="auto"/>
                            <w:bottom w:val="none" w:sz="0" w:space="0" w:color="auto"/>
                            <w:right w:val="none" w:sz="0" w:space="0" w:color="auto"/>
                          </w:divBdr>
                          <w:divsChild>
                            <w:div w:id="767963077">
                              <w:marLeft w:val="0"/>
                              <w:marRight w:val="0"/>
                              <w:marTop w:val="0"/>
                              <w:marBottom w:val="0"/>
                              <w:divBdr>
                                <w:top w:val="none" w:sz="0" w:space="0" w:color="auto"/>
                                <w:left w:val="none" w:sz="0" w:space="0" w:color="auto"/>
                                <w:bottom w:val="none" w:sz="0" w:space="0" w:color="auto"/>
                                <w:right w:val="none" w:sz="0" w:space="0" w:color="auto"/>
                              </w:divBdr>
                              <w:divsChild>
                                <w:div w:id="133275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7374180">
      <w:bodyDiv w:val="1"/>
      <w:marLeft w:val="0"/>
      <w:marRight w:val="0"/>
      <w:marTop w:val="150"/>
      <w:marBottom w:val="150"/>
      <w:divBdr>
        <w:top w:val="none" w:sz="0" w:space="0" w:color="auto"/>
        <w:left w:val="none" w:sz="0" w:space="0" w:color="auto"/>
        <w:bottom w:val="none" w:sz="0" w:space="0" w:color="auto"/>
        <w:right w:val="none" w:sz="0" w:space="0" w:color="auto"/>
      </w:divBdr>
      <w:divsChild>
        <w:div w:id="1686008812">
          <w:marLeft w:val="0"/>
          <w:marRight w:val="0"/>
          <w:marTop w:val="0"/>
          <w:marBottom w:val="0"/>
          <w:divBdr>
            <w:top w:val="single" w:sz="6" w:space="0" w:color="999999"/>
            <w:left w:val="single" w:sz="6" w:space="0" w:color="999999"/>
            <w:bottom w:val="single" w:sz="6" w:space="0" w:color="999999"/>
            <w:right w:val="single" w:sz="6" w:space="0" w:color="999999"/>
          </w:divBdr>
          <w:divsChild>
            <w:div w:id="165537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720909">
      <w:bodyDiv w:val="1"/>
      <w:marLeft w:val="0"/>
      <w:marRight w:val="0"/>
      <w:marTop w:val="0"/>
      <w:marBottom w:val="0"/>
      <w:divBdr>
        <w:top w:val="none" w:sz="0" w:space="0" w:color="auto"/>
        <w:left w:val="none" w:sz="0" w:space="0" w:color="auto"/>
        <w:bottom w:val="none" w:sz="0" w:space="0" w:color="auto"/>
        <w:right w:val="none" w:sz="0" w:space="0" w:color="auto"/>
      </w:divBdr>
      <w:divsChild>
        <w:div w:id="1865094291">
          <w:marLeft w:val="0"/>
          <w:marRight w:val="0"/>
          <w:marTop w:val="0"/>
          <w:marBottom w:val="0"/>
          <w:divBdr>
            <w:top w:val="none" w:sz="0" w:space="0" w:color="auto"/>
            <w:left w:val="none" w:sz="0" w:space="0" w:color="auto"/>
            <w:bottom w:val="none" w:sz="0" w:space="0" w:color="auto"/>
            <w:right w:val="none" w:sz="0" w:space="0" w:color="auto"/>
          </w:divBdr>
          <w:divsChild>
            <w:div w:id="579215121">
              <w:marLeft w:val="0"/>
              <w:marRight w:val="0"/>
              <w:marTop w:val="0"/>
              <w:marBottom w:val="0"/>
              <w:divBdr>
                <w:top w:val="none" w:sz="0" w:space="0" w:color="auto"/>
                <w:left w:val="none" w:sz="0" w:space="0" w:color="auto"/>
                <w:bottom w:val="none" w:sz="0" w:space="0" w:color="auto"/>
                <w:right w:val="none" w:sz="0" w:space="0" w:color="auto"/>
              </w:divBdr>
              <w:divsChild>
                <w:div w:id="1395348173">
                  <w:marLeft w:val="0"/>
                  <w:marRight w:val="0"/>
                  <w:marTop w:val="0"/>
                  <w:marBottom w:val="0"/>
                  <w:divBdr>
                    <w:top w:val="none" w:sz="0" w:space="0" w:color="auto"/>
                    <w:left w:val="none" w:sz="0" w:space="0" w:color="auto"/>
                    <w:bottom w:val="none" w:sz="0" w:space="0" w:color="auto"/>
                    <w:right w:val="none" w:sz="0" w:space="0" w:color="auto"/>
                  </w:divBdr>
                  <w:divsChild>
                    <w:div w:id="1812937497">
                      <w:marLeft w:val="0"/>
                      <w:marRight w:val="0"/>
                      <w:marTop w:val="0"/>
                      <w:marBottom w:val="0"/>
                      <w:divBdr>
                        <w:top w:val="none" w:sz="0" w:space="0" w:color="auto"/>
                        <w:left w:val="none" w:sz="0" w:space="0" w:color="auto"/>
                        <w:bottom w:val="none" w:sz="0" w:space="0" w:color="auto"/>
                        <w:right w:val="none" w:sz="0" w:space="0" w:color="auto"/>
                      </w:divBdr>
                      <w:divsChild>
                        <w:div w:id="117262470">
                          <w:marLeft w:val="0"/>
                          <w:marRight w:val="0"/>
                          <w:marTop w:val="0"/>
                          <w:marBottom w:val="0"/>
                          <w:divBdr>
                            <w:top w:val="none" w:sz="0" w:space="0" w:color="auto"/>
                            <w:left w:val="none" w:sz="0" w:space="0" w:color="auto"/>
                            <w:bottom w:val="none" w:sz="0" w:space="0" w:color="auto"/>
                            <w:right w:val="none" w:sz="0" w:space="0" w:color="auto"/>
                          </w:divBdr>
                          <w:divsChild>
                            <w:div w:id="1430539443">
                              <w:marLeft w:val="0"/>
                              <w:marRight w:val="0"/>
                              <w:marTop w:val="0"/>
                              <w:marBottom w:val="0"/>
                              <w:divBdr>
                                <w:top w:val="none" w:sz="0" w:space="0" w:color="auto"/>
                                <w:left w:val="none" w:sz="0" w:space="0" w:color="auto"/>
                                <w:bottom w:val="none" w:sz="0" w:space="0" w:color="auto"/>
                                <w:right w:val="none" w:sz="0" w:space="0" w:color="auto"/>
                              </w:divBdr>
                              <w:divsChild>
                                <w:div w:id="77614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2096445">
      <w:bodyDiv w:val="1"/>
      <w:marLeft w:val="0"/>
      <w:marRight w:val="0"/>
      <w:marTop w:val="0"/>
      <w:marBottom w:val="0"/>
      <w:divBdr>
        <w:top w:val="none" w:sz="0" w:space="0" w:color="auto"/>
        <w:left w:val="none" w:sz="0" w:space="0" w:color="auto"/>
        <w:bottom w:val="none" w:sz="0" w:space="0" w:color="auto"/>
        <w:right w:val="none" w:sz="0" w:space="0" w:color="auto"/>
      </w:divBdr>
      <w:divsChild>
        <w:div w:id="894858160">
          <w:marLeft w:val="0"/>
          <w:marRight w:val="0"/>
          <w:marTop w:val="0"/>
          <w:marBottom w:val="0"/>
          <w:divBdr>
            <w:top w:val="none" w:sz="0" w:space="0" w:color="auto"/>
            <w:left w:val="none" w:sz="0" w:space="0" w:color="auto"/>
            <w:bottom w:val="none" w:sz="0" w:space="0" w:color="auto"/>
            <w:right w:val="none" w:sz="0" w:space="0" w:color="auto"/>
          </w:divBdr>
          <w:divsChild>
            <w:div w:id="404694463">
              <w:marLeft w:val="0"/>
              <w:marRight w:val="0"/>
              <w:marTop w:val="0"/>
              <w:marBottom w:val="0"/>
              <w:divBdr>
                <w:top w:val="none" w:sz="0" w:space="0" w:color="auto"/>
                <w:left w:val="none" w:sz="0" w:space="0" w:color="auto"/>
                <w:bottom w:val="none" w:sz="0" w:space="0" w:color="auto"/>
                <w:right w:val="none" w:sz="0" w:space="0" w:color="auto"/>
              </w:divBdr>
              <w:divsChild>
                <w:div w:id="162161555">
                  <w:marLeft w:val="0"/>
                  <w:marRight w:val="0"/>
                  <w:marTop w:val="0"/>
                  <w:marBottom w:val="0"/>
                  <w:divBdr>
                    <w:top w:val="none" w:sz="0" w:space="0" w:color="auto"/>
                    <w:left w:val="none" w:sz="0" w:space="0" w:color="auto"/>
                    <w:bottom w:val="none" w:sz="0" w:space="0" w:color="auto"/>
                    <w:right w:val="none" w:sz="0" w:space="0" w:color="auto"/>
                  </w:divBdr>
                  <w:divsChild>
                    <w:div w:id="257175716">
                      <w:marLeft w:val="0"/>
                      <w:marRight w:val="0"/>
                      <w:marTop w:val="0"/>
                      <w:marBottom w:val="0"/>
                      <w:divBdr>
                        <w:top w:val="none" w:sz="0" w:space="0" w:color="auto"/>
                        <w:left w:val="none" w:sz="0" w:space="0" w:color="auto"/>
                        <w:bottom w:val="none" w:sz="0" w:space="0" w:color="auto"/>
                        <w:right w:val="none" w:sz="0" w:space="0" w:color="auto"/>
                      </w:divBdr>
                      <w:divsChild>
                        <w:div w:id="634674787">
                          <w:marLeft w:val="0"/>
                          <w:marRight w:val="0"/>
                          <w:marTop w:val="0"/>
                          <w:marBottom w:val="0"/>
                          <w:divBdr>
                            <w:top w:val="none" w:sz="0" w:space="0" w:color="auto"/>
                            <w:left w:val="none" w:sz="0" w:space="0" w:color="auto"/>
                            <w:bottom w:val="none" w:sz="0" w:space="0" w:color="auto"/>
                            <w:right w:val="none" w:sz="0" w:space="0" w:color="auto"/>
                          </w:divBdr>
                          <w:divsChild>
                            <w:div w:id="1070037769">
                              <w:marLeft w:val="0"/>
                              <w:marRight w:val="0"/>
                              <w:marTop w:val="0"/>
                              <w:marBottom w:val="0"/>
                              <w:divBdr>
                                <w:top w:val="none" w:sz="0" w:space="0" w:color="auto"/>
                                <w:left w:val="none" w:sz="0" w:space="0" w:color="auto"/>
                                <w:bottom w:val="none" w:sz="0" w:space="0" w:color="auto"/>
                                <w:right w:val="none" w:sz="0" w:space="0" w:color="auto"/>
                              </w:divBdr>
                              <w:divsChild>
                                <w:div w:id="13260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723887">
      <w:bodyDiv w:val="1"/>
      <w:marLeft w:val="0"/>
      <w:marRight w:val="0"/>
      <w:marTop w:val="0"/>
      <w:marBottom w:val="0"/>
      <w:divBdr>
        <w:top w:val="none" w:sz="0" w:space="0" w:color="auto"/>
        <w:left w:val="none" w:sz="0" w:space="0" w:color="auto"/>
        <w:bottom w:val="none" w:sz="0" w:space="0" w:color="auto"/>
        <w:right w:val="none" w:sz="0" w:space="0" w:color="auto"/>
      </w:divBdr>
      <w:divsChild>
        <w:div w:id="217396687">
          <w:marLeft w:val="0"/>
          <w:marRight w:val="0"/>
          <w:marTop w:val="0"/>
          <w:marBottom w:val="0"/>
          <w:divBdr>
            <w:top w:val="none" w:sz="0" w:space="0" w:color="auto"/>
            <w:left w:val="none" w:sz="0" w:space="0" w:color="auto"/>
            <w:bottom w:val="none" w:sz="0" w:space="0" w:color="auto"/>
            <w:right w:val="none" w:sz="0" w:space="0" w:color="auto"/>
          </w:divBdr>
          <w:divsChild>
            <w:div w:id="1088312366">
              <w:marLeft w:val="0"/>
              <w:marRight w:val="0"/>
              <w:marTop w:val="0"/>
              <w:marBottom w:val="0"/>
              <w:divBdr>
                <w:top w:val="none" w:sz="0" w:space="0" w:color="auto"/>
                <w:left w:val="none" w:sz="0" w:space="0" w:color="auto"/>
                <w:bottom w:val="none" w:sz="0" w:space="0" w:color="auto"/>
                <w:right w:val="none" w:sz="0" w:space="0" w:color="auto"/>
              </w:divBdr>
              <w:divsChild>
                <w:div w:id="652217600">
                  <w:marLeft w:val="0"/>
                  <w:marRight w:val="0"/>
                  <w:marTop w:val="0"/>
                  <w:marBottom w:val="0"/>
                  <w:divBdr>
                    <w:top w:val="none" w:sz="0" w:space="0" w:color="auto"/>
                    <w:left w:val="none" w:sz="0" w:space="0" w:color="auto"/>
                    <w:bottom w:val="none" w:sz="0" w:space="0" w:color="auto"/>
                    <w:right w:val="none" w:sz="0" w:space="0" w:color="auto"/>
                  </w:divBdr>
                  <w:divsChild>
                    <w:div w:id="1256984655">
                      <w:marLeft w:val="0"/>
                      <w:marRight w:val="0"/>
                      <w:marTop w:val="0"/>
                      <w:marBottom w:val="0"/>
                      <w:divBdr>
                        <w:top w:val="none" w:sz="0" w:space="0" w:color="auto"/>
                        <w:left w:val="none" w:sz="0" w:space="0" w:color="auto"/>
                        <w:bottom w:val="none" w:sz="0" w:space="0" w:color="auto"/>
                        <w:right w:val="none" w:sz="0" w:space="0" w:color="auto"/>
                      </w:divBdr>
                      <w:divsChild>
                        <w:div w:id="1220089219">
                          <w:marLeft w:val="0"/>
                          <w:marRight w:val="0"/>
                          <w:marTop w:val="0"/>
                          <w:marBottom w:val="0"/>
                          <w:divBdr>
                            <w:top w:val="none" w:sz="0" w:space="0" w:color="auto"/>
                            <w:left w:val="none" w:sz="0" w:space="0" w:color="auto"/>
                            <w:bottom w:val="none" w:sz="0" w:space="0" w:color="auto"/>
                            <w:right w:val="none" w:sz="0" w:space="0" w:color="auto"/>
                          </w:divBdr>
                          <w:divsChild>
                            <w:div w:id="960721880">
                              <w:marLeft w:val="0"/>
                              <w:marRight w:val="0"/>
                              <w:marTop w:val="0"/>
                              <w:marBottom w:val="0"/>
                              <w:divBdr>
                                <w:top w:val="none" w:sz="0" w:space="0" w:color="auto"/>
                                <w:left w:val="none" w:sz="0" w:space="0" w:color="auto"/>
                                <w:bottom w:val="none" w:sz="0" w:space="0" w:color="auto"/>
                                <w:right w:val="none" w:sz="0" w:space="0" w:color="auto"/>
                              </w:divBdr>
                              <w:divsChild>
                                <w:div w:id="13599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7216165">
      <w:bodyDiv w:val="1"/>
      <w:marLeft w:val="0"/>
      <w:marRight w:val="0"/>
      <w:marTop w:val="0"/>
      <w:marBottom w:val="0"/>
      <w:divBdr>
        <w:top w:val="none" w:sz="0" w:space="0" w:color="auto"/>
        <w:left w:val="none" w:sz="0" w:space="0" w:color="auto"/>
        <w:bottom w:val="none" w:sz="0" w:space="0" w:color="auto"/>
        <w:right w:val="none" w:sz="0" w:space="0" w:color="auto"/>
      </w:divBdr>
      <w:divsChild>
        <w:div w:id="2054232538">
          <w:marLeft w:val="0"/>
          <w:marRight w:val="0"/>
          <w:marTop w:val="0"/>
          <w:marBottom w:val="0"/>
          <w:divBdr>
            <w:top w:val="none" w:sz="0" w:space="0" w:color="auto"/>
            <w:left w:val="none" w:sz="0" w:space="0" w:color="auto"/>
            <w:bottom w:val="none" w:sz="0" w:space="0" w:color="auto"/>
            <w:right w:val="none" w:sz="0" w:space="0" w:color="auto"/>
          </w:divBdr>
          <w:divsChild>
            <w:div w:id="1846043942">
              <w:marLeft w:val="0"/>
              <w:marRight w:val="0"/>
              <w:marTop w:val="0"/>
              <w:marBottom w:val="0"/>
              <w:divBdr>
                <w:top w:val="none" w:sz="0" w:space="0" w:color="auto"/>
                <w:left w:val="none" w:sz="0" w:space="0" w:color="auto"/>
                <w:bottom w:val="none" w:sz="0" w:space="0" w:color="auto"/>
                <w:right w:val="none" w:sz="0" w:space="0" w:color="auto"/>
              </w:divBdr>
              <w:divsChild>
                <w:div w:id="728574765">
                  <w:marLeft w:val="0"/>
                  <w:marRight w:val="0"/>
                  <w:marTop w:val="0"/>
                  <w:marBottom w:val="0"/>
                  <w:divBdr>
                    <w:top w:val="none" w:sz="0" w:space="0" w:color="auto"/>
                    <w:left w:val="none" w:sz="0" w:space="0" w:color="auto"/>
                    <w:bottom w:val="none" w:sz="0" w:space="0" w:color="auto"/>
                    <w:right w:val="none" w:sz="0" w:space="0" w:color="auto"/>
                  </w:divBdr>
                  <w:divsChild>
                    <w:div w:id="767769618">
                      <w:marLeft w:val="0"/>
                      <w:marRight w:val="0"/>
                      <w:marTop w:val="0"/>
                      <w:marBottom w:val="0"/>
                      <w:divBdr>
                        <w:top w:val="none" w:sz="0" w:space="0" w:color="auto"/>
                        <w:left w:val="none" w:sz="0" w:space="0" w:color="auto"/>
                        <w:bottom w:val="none" w:sz="0" w:space="0" w:color="auto"/>
                        <w:right w:val="none" w:sz="0" w:space="0" w:color="auto"/>
                      </w:divBdr>
                      <w:divsChild>
                        <w:div w:id="2087149683">
                          <w:marLeft w:val="0"/>
                          <w:marRight w:val="0"/>
                          <w:marTop w:val="0"/>
                          <w:marBottom w:val="0"/>
                          <w:divBdr>
                            <w:top w:val="none" w:sz="0" w:space="0" w:color="auto"/>
                            <w:left w:val="none" w:sz="0" w:space="0" w:color="auto"/>
                            <w:bottom w:val="none" w:sz="0" w:space="0" w:color="auto"/>
                            <w:right w:val="none" w:sz="0" w:space="0" w:color="auto"/>
                          </w:divBdr>
                          <w:divsChild>
                            <w:div w:id="658460310">
                              <w:marLeft w:val="0"/>
                              <w:marRight w:val="0"/>
                              <w:marTop w:val="0"/>
                              <w:marBottom w:val="0"/>
                              <w:divBdr>
                                <w:top w:val="none" w:sz="0" w:space="0" w:color="auto"/>
                                <w:left w:val="none" w:sz="0" w:space="0" w:color="auto"/>
                                <w:bottom w:val="none" w:sz="0" w:space="0" w:color="auto"/>
                                <w:right w:val="none" w:sz="0" w:space="0" w:color="auto"/>
                              </w:divBdr>
                              <w:divsChild>
                                <w:div w:id="15600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8326459">
      <w:bodyDiv w:val="1"/>
      <w:marLeft w:val="0"/>
      <w:marRight w:val="0"/>
      <w:marTop w:val="0"/>
      <w:marBottom w:val="0"/>
      <w:divBdr>
        <w:top w:val="none" w:sz="0" w:space="0" w:color="auto"/>
        <w:left w:val="none" w:sz="0" w:space="0" w:color="auto"/>
        <w:bottom w:val="none" w:sz="0" w:space="0" w:color="auto"/>
        <w:right w:val="none" w:sz="0" w:space="0" w:color="auto"/>
      </w:divBdr>
      <w:divsChild>
        <w:div w:id="1088429834">
          <w:marLeft w:val="0"/>
          <w:marRight w:val="0"/>
          <w:marTop w:val="0"/>
          <w:marBottom w:val="0"/>
          <w:divBdr>
            <w:top w:val="none" w:sz="0" w:space="0" w:color="auto"/>
            <w:left w:val="none" w:sz="0" w:space="0" w:color="auto"/>
            <w:bottom w:val="none" w:sz="0" w:space="0" w:color="auto"/>
            <w:right w:val="none" w:sz="0" w:space="0" w:color="auto"/>
          </w:divBdr>
          <w:divsChild>
            <w:div w:id="1290089467">
              <w:marLeft w:val="0"/>
              <w:marRight w:val="0"/>
              <w:marTop w:val="0"/>
              <w:marBottom w:val="0"/>
              <w:divBdr>
                <w:top w:val="none" w:sz="0" w:space="0" w:color="auto"/>
                <w:left w:val="none" w:sz="0" w:space="0" w:color="auto"/>
                <w:bottom w:val="none" w:sz="0" w:space="0" w:color="auto"/>
                <w:right w:val="none" w:sz="0" w:space="0" w:color="auto"/>
              </w:divBdr>
              <w:divsChild>
                <w:div w:id="1693461209">
                  <w:marLeft w:val="0"/>
                  <w:marRight w:val="0"/>
                  <w:marTop w:val="0"/>
                  <w:marBottom w:val="0"/>
                  <w:divBdr>
                    <w:top w:val="none" w:sz="0" w:space="0" w:color="auto"/>
                    <w:left w:val="none" w:sz="0" w:space="0" w:color="auto"/>
                    <w:bottom w:val="none" w:sz="0" w:space="0" w:color="auto"/>
                    <w:right w:val="none" w:sz="0" w:space="0" w:color="auto"/>
                  </w:divBdr>
                  <w:divsChild>
                    <w:div w:id="1502741200">
                      <w:marLeft w:val="0"/>
                      <w:marRight w:val="0"/>
                      <w:marTop w:val="0"/>
                      <w:marBottom w:val="0"/>
                      <w:divBdr>
                        <w:top w:val="none" w:sz="0" w:space="0" w:color="auto"/>
                        <w:left w:val="none" w:sz="0" w:space="0" w:color="auto"/>
                        <w:bottom w:val="none" w:sz="0" w:space="0" w:color="auto"/>
                        <w:right w:val="none" w:sz="0" w:space="0" w:color="auto"/>
                      </w:divBdr>
                      <w:divsChild>
                        <w:div w:id="479619712">
                          <w:marLeft w:val="0"/>
                          <w:marRight w:val="0"/>
                          <w:marTop w:val="0"/>
                          <w:marBottom w:val="0"/>
                          <w:divBdr>
                            <w:top w:val="none" w:sz="0" w:space="0" w:color="auto"/>
                            <w:left w:val="none" w:sz="0" w:space="0" w:color="auto"/>
                            <w:bottom w:val="none" w:sz="0" w:space="0" w:color="auto"/>
                            <w:right w:val="none" w:sz="0" w:space="0" w:color="auto"/>
                          </w:divBdr>
                          <w:divsChild>
                            <w:div w:id="1912613755">
                              <w:marLeft w:val="0"/>
                              <w:marRight w:val="0"/>
                              <w:marTop w:val="0"/>
                              <w:marBottom w:val="0"/>
                              <w:divBdr>
                                <w:top w:val="none" w:sz="0" w:space="0" w:color="auto"/>
                                <w:left w:val="none" w:sz="0" w:space="0" w:color="auto"/>
                                <w:bottom w:val="none" w:sz="0" w:space="0" w:color="auto"/>
                                <w:right w:val="none" w:sz="0" w:space="0" w:color="auto"/>
                              </w:divBdr>
                              <w:divsChild>
                                <w:div w:id="21805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6531258">
      <w:bodyDiv w:val="1"/>
      <w:marLeft w:val="0"/>
      <w:marRight w:val="0"/>
      <w:marTop w:val="0"/>
      <w:marBottom w:val="0"/>
      <w:divBdr>
        <w:top w:val="none" w:sz="0" w:space="0" w:color="auto"/>
        <w:left w:val="none" w:sz="0" w:space="0" w:color="auto"/>
        <w:bottom w:val="none" w:sz="0" w:space="0" w:color="auto"/>
        <w:right w:val="none" w:sz="0" w:space="0" w:color="auto"/>
      </w:divBdr>
      <w:divsChild>
        <w:div w:id="992639664">
          <w:marLeft w:val="0"/>
          <w:marRight w:val="0"/>
          <w:marTop w:val="0"/>
          <w:marBottom w:val="0"/>
          <w:divBdr>
            <w:top w:val="none" w:sz="0" w:space="0" w:color="auto"/>
            <w:left w:val="none" w:sz="0" w:space="0" w:color="auto"/>
            <w:bottom w:val="none" w:sz="0" w:space="0" w:color="auto"/>
            <w:right w:val="none" w:sz="0" w:space="0" w:color="auto"/>
          </w:divBdr>
          <w:divsChild>
            <w:div w:id="587888540">
              <w:marLeft w:val="0"/>
              <w:marRight w:val="0"/>
              <w:marTop w:val="0"/>
              <w:marBottom w:val="0"/>
              <w:divBdr>
                <w:top w:val="none" w:sz="0" w:space="0" w:color="auto"/>
                <w:left w:val="none" w:sz="0" w:space="0" w:color="auto"/>
                <w:bottom w:val="none" w:sz="0" w:space="0" w:color="auto"/>
                <w:right w:val="none" w:sz="0" w:space="0" w:color="auto"/>
              </w:divBdr>
              <w:divsChild>
                <w:div w:id="787357008">
                  <w:marLeft w:val="0"/>
                  <w:marRight w:val="0"/>
                  <w:marTop w:val="0"/>
                  <w:marBottom w:val="0"/>
                  <w:divBdr>
                    <w:top w:val="none" w:sz="0" w:space="0" w:color="auto"/>
                    <w:left w:val="none" w:sz="0" w:space="0" w:color="auto"/>
                    <w:bottom w:val="none" w:sz="0" w:space="0" w:color="auto"/>
                    <w:right w:val="none" w:sz="0" w:space="0" w:color="auto"/>
                  </w:divBdr>
                  <w:divsChild>
                    <w:div w:id="17851183">
                      <w:marLeft w:val="0"/>
                      <w:marRight w:val="0"/>
                      <w:marTop w:val="0"/>
                      <w:marBottom w:val="0"/>
                      <w:divBdr>
                        <w:top w:val="none" w:sz="0" w:space="0" w:color="auto"/>
                        <w:left w:val="none" w:sz="0" w:space="0" w:color="auto"/>
                        <w:bottom w:val="none" w:sz="0" w:space="0" w:color="auto"/>
                        <w:right w:val="none" w:sz="0" w:space="0" w:color="auto"/>
                      </w:divBdr>
                      <w:divsChild>
                        <w:div w:id="2076007771">
                          <w:marLeft w:val="0"/>
                          <w:marRight w:val="0"/>
                          <w:marTop w:val="0"/>
                          <w:marBottom w:val="0"/>
                          <w:divBdr>
                            <w:top w:val="none" w:sz="0" w:space="0" w:color="auto"/>
                            <w:left w:val="none" w:sz="0" w:space="0" w:color="auto"/>
                            <w:bottom w:val="none" w:sz="0" w:space="0" w:color="auto"/>
                            <w:right w:val="none" w:sz="0" w:space="0" w:color="auto"/>
                          </w:divBdr>
                          <w:divsChild>
                            <w:div w:id="569847851">
                              <w:marLeft w:val="0"/>
                              <w:marRight w:val="0"/>
                              <w:marTop w:val="0"/>
                              <w:marBottom w:val="0"/>
                              <w:divBdr>
                                <w:top w:val="none" w:sz="0" w:space="0" w:color="auto"/>
                                <w:left w:val="none" w:sz="0" w:space="0" w:color="auto"/>
                                <w:bottom w:val="none" w:sz="0" w:space="0" w:color="auto"/>
                                <w:right w:val="none" w:sz="0" w:space="0" w:color="auto"/>
                              </w:divBdr>
                              <w:divsChild>
                                <w:div w:id="129270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8613767">
      <w:bodyDiv w:val="1"/>
      <w:marLeft w:val="0"/>
      <w:marRight w:val="0"/>
      <w:marTop w:val="0"/>
      <w:marBottom w:val="0"/>
      <w:divBdr>
        <w:top w:val="none" w:sz="0" w:space="0" w:color="auto"/>
        <w:left w:val="none" w:sz="0" w:space="0" w:color="auto"/>
        <w:bottom w:val="none" w:sz="0" w:space="0" w:color="auto"/>
        <w:right w:val="none" w:sz="0" w:space="0" w:color="auto"/>
      </w:divBdr>
      <w:divsChild>
        <w:div w:id="1444768501">
          <w:marLeft w:val="0"/>
          <w:marRight w:val="0"/>
          <w:marTop w:val="0"/>
          <w:marBottom w:val="0"/>
          <w:divBdr>
            <w:top w:val="none" w:sz="0" w:space="0" w:color="auto"/>
            <w:left w:val="none" w:sz="0" w:space="0" w:color="auto"/>
            <w:bottom w:val="none" w:sz="0" w:space="0" w:color="auto"/>
            <w:right w:val="none" w:sz="0" w:space="0" w:color="auto"/>
          </w:divBdr>
          <w:divsChild>
            <w:div w:id="1031226014">
              <w:marLeft w:val="0"/>
              <w:marRight w:val="0"/>
              <w:marTop w:val="0"/>
              <w:marBottom w:val="0"/>
              <w:divBdr>
                <w:top w:val="none" w:sz="0" w:space="0" w:color="auto"/>
                <w:left w:val="none" w:sz="0" w:space="0" w:color="auto"/>
                <w:bottom w:val="none" w:sz="0" w:space="0" w:color="auto"/>
                <w:right w:val="none" w:sz="0" w:space="0" w:color="auto"/>
              </w:divBdr>
              <w:divsChild>
                <w:div w:id="351339772">
                  <w:marLeft w:val="0"/>
                  <w:marRight w:val="0"/>
                  <w:marTop w:val="0"/>
                  <w:marBottom w:val="0"/>
                  <w:divBdr>
                    <w:top w:val="none" w:sz="0" w:space="0" w:color="auto"/>
                    <w:left w:val="none" w:sz="0" w:space="0" w:color="auto"/>
                    <w:bottom w:val="none" w:sz="0" w:space="0" w:color="auto"/>
                    <w:right w:val="none" w:sz="0" w:space="0" w:color="auto"/>
                  </w:divBdr>
                  <w:divsChild>
                    <w:div w:id="673801724">
                      <w:marLeft w:val="0"/>
                      <w:marRight w:val="0"/>
                      <w:marTop w:val="0"/>
                      <w:marBottom w:val="0"/>
                      <w:divBdr>
                        <w:top w:val="none" w:sz="0" w:space="0" w:color="auto"/>
                        <w:left w:val="none" w:sz="0" w:space="0" w:color="auto"/>
                        <w:bottom w:val="none" w:sz="0" w:space="0" w:color="auto"/>
                        <w:right w:val="none" w:sz="0" w:space="0" w:color="auto"/>
                      </w:divBdr>
                      <w:divsChild>
                        <w:div w:id="1427070920">
                          <w:marLeft w:val="0"/>
                          <w:marRight w:val="0"/>
                          <w:marTop w:val="0"/>
                          <w:marBottom w:val="0"/>
                          <w:divBdr>
                            <w:top w:val="none" w:sz="0" w:space="0" w:color="auto"/>
                            <w:left w:val="none" w:sz="0" w:space="0" w:color="auto"/>
                            <w:bottom w:val="none" w:sz="0" w:space="0" w:color="auto"/>
                            <w:right w:val="none" w:sz="0" w:space="0" w:color="auto"/>
                          </w:divBdr>
                          <w:divsChild>
                            <w:div w:id="1697659383">
                              <w:marLeft w:val="0"/>
                              <w:marRight w:val="0"/>
                              <w:marTop w:val="0"/>
                              <w:marBottom w:val="0"/>
                              <w:divBdr>
                                <w:top w:val="none" w:sz="0" w:space="0" w:color="auto"/>
                                <w:left w:val="none" w:sz="0" w:space="0" w:color="auto"/>
                                <w:bottom w:val="none" w:sz="0" w:space="0" w:color="auto"/>
                                <w:right w:val="none" w:sz="0" w:space="0" w:color="auto"/>
                              </w:divBdr>
                              <w:divsChild>
                                <w:div w:id="16216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8593884">
      <w:bodyDiv w:val="1"/>
      <w:marLeft w:val="0"/>
      <w:marRight w:val="0"/>
      <w:marTop w:val="0"/>
      <w:marBottom w:val="0"/>
      <w:divBdr>
        <w:top w:val="none" w:sz="0" w:space="0" w:color="auto"/>
        <w:left w:val="none" w:sz="0" w:space="0" w:color="auto"/>
        <w:bottom w:val="none" w:sz="0" w:space="0" w:color="auto"/>
        <w:right w:val="none" w:sz="0" w:space="0" w:color="auto"/>
      </w:divBdr>
      <w:divsChild>
        <w:div w:id="38750813">
          <w:marLeft w:val="0"/>
          <w:marRight w:val="0"/>
          <w:marTop w:val="0"/>
          <w:marBottom w:val="0"/>
          <w:divBdr>
            <w:top w:val="none" w:sz="0" w:space="0" w:color="auto"/>
            <w:left w:val="none" w:sz="0" w:space="0" w:color="auto"/>
            <w:bottom w:val="none" w:sz="0" w:space="0" w:color="auto"/>
            <w:right w:val="none" w:sz="0" w:space="0" w:color="auto"/>
          </w:divBdr>
          <w:divsChild>
            <w:div w:id="181474295">
              <w:marLeft w:val="0"/>
              <w:marRight w:val="0"/>
              <w:marTop w:val="0"/>
              <w:marBottom w:val="0"/>
              <w:divBdr>
                <w:top w:val="none" w:sz="0" w:space="0" w:color="auto"/>
                <w:left w:val="none" w:sz="0" w:space="0" w:color="auto"/>
                <w:bottom w:val="none" w:sz="0" w:space="0" w:color="auto"/>
                <w:right w:val="none" w:sz="0" w:space="0" w:color="auto"/>
              </w:divBdr>
              <w:divsChild>
                <w:div w:id="1878395087">
                  <w:marLeft w:val="0"/>
                  <w:marRight w:val="0"/>
                  <w:marTop w:val="0"/>
                  <w:marBottom w:val="0"/>
                  <w:divBdr>
                    <w:top w:val="none" w:sz="0" w:space="0" w:color="auto"/>
                    <w:left w:val="none" w:sz="0" w:space="0" w:color="auto"/>
                    <w:bottom w:val="none" w:sz="0" w:space="0" w:color="auto"/>
                    <w:right w:val="none" w:sz="0" w:space="0" w:color="auto"/>
                  </w:divBdr>
                  <w:divsChild>
                    <w:div w:id="1267152436">
                      <w:marLeft w:val="0"/>
                      <w:marRight w:val="0"/>
                      <w:marTop w:val="0"/>
                      <w:marBottom w:val="0"/>
                      <w:divBdr>
                        <w:top w:val="none" w:sz="0" w:space="0" w:color="auto"/>
                        <w:left w:val="none" w:sz="0" w:space="0" w:color="auto"/>
                        <w:bottom w:val="none" w:sz="0" w:space="0" w:color="auto"/>
                        <w:right w:val="none" w:sz="0" w:space="0" w:color="auto"/>
                      </w:divBdr>
                      <w:divsChild>
                        <w:div w:id="1968002109">
                          <w:marLeft w:val="0"/>
                          <w:marRight w:val="0"/>
                          <w:marTop w:val="0"/>
                          <w:marBottom w:val="0"/>
                          <w:divBdr>
                            <w:top w:val="none" w:sz="0" w:space="0" w:color="auto"/>
                            <w:left w:val="none" w:sz="0" w:space="0" w:color="auto"/>
                            <w:bottom w:val="none" w:sz="0" w:space="0" w:color="auto"/>
                            <w:right w:val="none" w:sz="0" w:space="0" w:color="auto"/>
                          </w:divBdr>
                          <w:divsChild>
                            <w:div w:id="1295212183">
                              <w:marLeft w:val="0"/>
                              <w:marRight w:val="0"/>
                              <w:marTop w:val="0"/>
                              <w:marBottom w:val="0"/>
                              <w:divBdr>
                                <w:top w:val="none" w:sz="0" w:space="0" w:color="auto"/>
                                <w:left w:val="none" w:sz="0" w:space="0" w:color="auto"/>
                                <w:bottom w:val="none" w:sz="0" w:space="0" w:color="auto"/>
                                <w:right w:val="none" w:sz="0" w:space="0" w:color="auto"/>
                              </w:divBdr>
                              <w:divsChild>
                                <w:div w:id="87670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0624851">
      <w:bodyDiv w:val="1"/>
      <w:marLeft w:val="0"/>
      <w:marRight w:val="0"/>
      <w:marTop w:val="0"/>
      <w:marBottom w:val="0"/>
      <w:divBdr>
        <w:top w:val="none" w:sz="0" w:space="0" w:color="auto"/>
        <w:left w:val="none" w:sz="0" w:space="0" w:color="auto"/>
        <w:bottom w:val="none" w:sz="0" w:space="0" w:color="auto"/>
        <w:right w:val="none" w:sz="0" w:space="0" w:color="auto"/>
      </w:divBdr>
      <w:divsChild>
        <w:div w:id="1560631592">
          <w:marLeft w:val="0"/>
          <w:marRight w:val="0"/>
          <w:marTop w:val="0"/>
          <w:marBottom w:val="0"/>
          <w:divBdr>
            <w:top w:val="none" w:sz="0" w:space="0" w:color="auto"/>
            <w:left w:val="none" w:sz="0" w:space="0" w:color="auto"/>
            <w:bottom w:val="none" w:sz="0" w:space="0" w:color="auto"/>
            <w:right w:val="none" w:sz="0" w:space="0" w:color="auto"/>
          </w:divBdr>
          <w:divsChild>
            <w:div w:id="1677612677">
              <w:marLeft w:val="0"/>
              <w:marRight w:val="0"/>
              <w:marTop w:val="0"/>
              <w:marBottom w:val="0"/>
              <w:divBdr>
                <w:top w:val="none" w:sz="0" w:space="0" w:color="auto"/>
                <w:left w:val="none" w:sz="0" w:space="0" w:color="auto"/>
                <w:bottom w:val="none" w:sz="0" w:space="0" w:color="auto"/>
                <w:right w:val="none" w:sz="0" w:space="0" w:color="auto"/>
              </w:divBdr>
              <w:divsChild>
                <w:div w:id="1107122345">
                  <w:marLeft w:val="0"/>
                  <w:marRight w:val="0"/>
                  <w:marTop w:val="0"/>
                  <w:marBottom w:val="0"/>
                  <w:divBdr>
                    <w:top w:val="none" w:sz="0" w:space="0" w:color="auto"/>
                    <w:left w:val="none" w:sz="0" w:space="0" w:color="auto"/>
                    <w:bottom w:val="none" w:sz="0" w:space="0" w:color="auto"/>
                    <w:right w:val="none" w:sz="0" w:space="0" w:color="auto"/>
                  </w:divBdr>
                  <w:divsChild>
                    <w:div w:id="150655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627539">
      <w:bodyDiv w:val="1"/>
      <w:marLeft w:val="0"/>
      <w:marRight w:val="0"/>
      <w:marTop w:val="0"/>
      <w:marBottom w:val="0"/>
      <w:divBdr>
        <w:top w:val="none" w:sz="0" w:space="0" w:color="auto"/>
        <w:left w:val="none" w:sz="0" w:space="0" w:color="auto"/>
        <w:bottom w:val="none" w:sz="0" w:space="0" w:color="auto"/>
        <w:right w:val="none" w:sz="0" w:space="0" w:color="auto"/>
      </w:divBdr>
      <w:divsChild>
        <w:div w:id="403718385">
          <w:marLeft w:val="0"/>
          <w:marRight w:val="0"/>
          <w:marTop w:val="0"/>
          <w:marBottom w:val="0"/>
          <w:divBdr>
            <w:top w:val="none" w:sz="0" w:space="0" w:color="auto"/>
            <w:left w:val="none" w:sz="0" w:space="0" w:color="auto"/>
            <w:bottom w:val="none" w:sz="0" w:space="0" w:color="auto"/>
            <w:right w:val="none" w:sz="0" w:space="0" w:color="auto"/>
          </w:divBdr>
          <w:divsChild>
            <w:div w:id="1498686771">
              <w:marLeft w:val="0"/>
              <w:marRight w:val="0"/>
              <w:marTop w:val="0"/>
              <w:marBottom w:val="0"/>
              <w:divBdr>
                <w:top w:val="none" w:sz="0" w:space="0" w:color="auto"/>
                <w:left w:val="none" w:sz="0" w:space="0" w:color="auto"/>
                <w:bottom w:val="none" w:sz="0" w:space="0" w:color="auto"/>
                <w:right w:val="none" w:sz="0" w:space="0" w:color="auto"/>
              </w:divBdr>
              <w:divsChild>
                <w:div w:id="1296522072">
                  <w:marLeft w:val="0"/>
                  <w:marRight w:val="0"/>
                  <w:marTop w:val="0"/>
                  <w:marBottom w:val="0"/>
                  <w:divBdr>
                    <w:top w:val="none" w:sz="0" w:space="0" w:color="auto"/>
                    <w:left w:val="none" w:sz="0" w:space="0" w:color="auto"/>
                    <w:bottom w:val="none" w:sz="0" w:space="0" w:color="auto"/>
                    <w:right w:val="none" w:sz="0" w:space="0" w:color="auto"/>
                  </w:divBdr>
                  <w:divsChild>
                    <w:div w:id="597373110">
                      <w:marLeft w:val="0"/>
                      <w:marRight w:val="0"/>
                      <w:marTop w:val="0"/>
                      <w:marBottom w:val="0"/>
                      <w:divBdr>
                        <w:top w:val="none" w:sz="0" w:space="0" w:color="auto"/>
                        <w:left w:val="none" w:sz="0" w:space="0" w:color="auto"/>
                        <w:bottom w:val="none" w:sz="0" w:space="0" w:color="auto"/>
                        <w:right w:val="none" w:sz="0" w:space="0" w:color="auto"/>
                      </w:divBdr>
                      <w:divsChild>
                        <w:div w:id="1430809825">
                          <w:marLeft w:val="0"/>
                          <w:marRight w:val="0"/>
                          <w:marTop w:val="0"/>
                          <w:marBottom w:val="0"/>
                          <w:divBdr>
                            <w:top w:val="none" w:sz="0" w:space="0" w:color="auto"/>
                            <w:left w:val="none" w:sz="0" w:space="0" w:color="auto"/>
                            <w:bottom w:val="none" w:sz="0" w:space="0" w:color="auto"/>
                            <w:right w:val="none" w:sz="0" w:space="0" w:color="auto"/>
                          </w:divBdr>
                          <w:divsChild>
                            <w:div w:id="1329745644">
                              <w:marLeft w:val="0"/>
                              <w:marRight w:val="0"/>
                              <w:marTop w:val="0"/>
                              <w:marBottom w:val="0"/>
                              <w:divBdr>
                                <w:top w:val="none" w:sz="0" w:space="0" w:color="auto"/>
                                <w:left w:val="none" w:sz="0" w:space="0" w:color="auto"/>
                                <w:bottom w:val="none" w:sz="0" w:space="0" w:color="auto"/>
                                <w:right w:val="none" w:sz="0" w:space="0" w:color="auto"/>
                              </w:divBdr>
                              <w:divsChild>
                                <w:div w:id="108849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9576065">
      <w:bodyDiv w:val="1"/>
      <w:marLeft w:val="0"/>
      <w:marRight w:val="0"/>
      <w:marTop w:val="0"/>
      <w:marBottom w:val="0"/>
      <w:divBdr>
        <w:top w:val="none" w:sz="0" w:space="0" w:color="auto"/>
        <w:left w:val="none" w:sz="0" w:space="0" w:color="auto"/>
        <w:bottom w:val="none" w:sz="0" w:space="0" w:color="auto"/>
        <w:right w:val="none" w:sz="0" w:space="0" w:color="auto"/>
      </w:divBdr>
      <w:divsChild>
        <w:div w:id="1821539403">
          <w:marLeft w:val="0"/>
          <w:marRight w:val="0"/>
          <w:marTop w:val="0"/>
          <w:marBottom w:val="0"/>
          <w:divBdr>
            <w:top w:val="none" w:sz="0" w:space="0" w:color="auto"/>
            <w:left w:val="none" w:sz="0" w:space="0" w:color="auto"/>
            <w:bottom w:val="none" w:sz="0" w:space="0" w:color="auto"/>
            <w:right w:val="none" w:sz="0" w:space="0" w:color="auto"/>
          </w:divBdr>
          <w:divsChild>
            <w:div w:id="554589440">
              <w:marLeft w:val="0"/>
              <w:marRight w:val="0"/>
              <w:marTop w:val="0"/>
              <w:marBottom w:val="0"/>
              <w:divBdr>
                <w:top w:val="none" w:sz="0" w:space="0" w:color="auto"/>
                <w:left w:val="none" w:sz="0" w:space="0" w:color="auto"/>
                <w:bottom w:val="none" w:sz="0" w:space="0" w:color="auto"/>
                <w:right w:val="none" w:sz="0" w:space="0" w:color="auto"/>
              </w:divBdr>
              <w:divsChild>
                <w:div w:id="1717002111">
                  <w:marLeft w:val="0"/>
                  <w:marRight w:val="0"/>
                  <w:marTop w:val="0"/>
                  <w:marBottom w:val="0"/>
                  <w:divBdr>
                    <w:top w:val="none" w:sz="0" w:space="0" w:color="auto"/>
                    <w:left w:val="none" w:sz="0" w:space="0" w:color="auto"/>
                    <w:bottom w:val="none" w:sz="0" w:space="0" w:color="auto"/>
                    <w:right w:val="none" w:sz="0" w:space="0" w:color="auto"/>
                  </w:divBdr>
                  <w:divsChild>
                    <w:div w:id="1827896471">
                      <w:marLeft w:val="0"/>
                      <w:marRight w:val="0"/>
                      <w:marTop w:val="0"/>
                      <w:marBottom w:val="0"/>
                      <w:divBdr>
                        <w:top w:val="none" w:sz="0" w:space="0" w:color="auto"/>
                        <w:left w:val="none" w:sz="0" w:space="0" w:color="auto"/>
                        <w:bottom w:val="none" w:sz="0" w:space="0" w:color="auto"/>
                        <w:right w:val="none" w:sz="0" w:space="0" w:color="auto"/>
                      </w:divBdr>
                      <w:divsChild>
                        <w:div w:id="478495988">
                          <w:marLeft w:val="0"/>
                          <w:marRight w:val="0"/>
                          <w:marTop w:val="0"/>
                          <w:marBottom w:val="0"/>
                          <w:divBdr>
                            <w:top w:val="none" w:sz="0" w:space="0" w:color="auto"/>
                            <w:left w:val="none" w:sz="0" w:space="0" w:color="auto"/>
                            <w:bottom w:val="none" w:sz="0" w:space="0" w:color="auto"/>
                            <w:right w:val="none" w:sz="0" w:space="0" w:color="auto"/>
                          </w:divBdr>
                          <w:divsChild>
                            <w:div w:id="489951851">
                              <w:marLeft w:val="0"/>
                              <w:marRight w:val="0"/>
                              <w:marTop w:val="0"/>
                              <w:marBottom w:val="0"/>
                              <w:divBdr>
                                <w:top w:val="none" w:sz="0" w:space="0" w:color="auto"/>
                                <w:left w:val="none" w:sz="0" w:space="0" w:color="auto"/>
                                <w:bottom w:val="none" w:sz="0" w:space="0" w:color="auto"/>
                                <w:right w:val="none" w:sz="0" w:space="0" w:color="auto"/>
                              </w:divBdr>
                              <w:divsChild>
                                <w:div w:id="53674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0586367">
      <w:bodyDiv w:val="1"/>
      <w:marLeft w:val="0"/>
      <w:marRight w:val="0"/>
      <w:marTop w:val="0"/>
      <w:marBottom w:val="0"/>
      <w:divBdr>
        <w:top w:val="none" w:sz="0" w:space="0" w:color="auto"/>
        <w:left w:val="none" w:sz="0" w:space="0" w:color="auto"/>
        <w:bottom w:val="none" w:sz="0" w:space="0" w:color="auto"/>
        <w:right w:val="none" w:sz="0" w:space="0" w:color="auto"/>
      </w:divBdr>
      <w:divsChild>
        <w:div w:id="914751651">
          <w:marLeft w:val="0"/>
          <w:marRight w:val="0"/>
          <w:marTop w:val="0"/>
          <w:marBottom w:val="0"/>
          <w:divBdr>
            <w:top w:val="none" w:sz="0" w:space="0" w:color="auto"/>
            <w:left w:val="none" w:sz="0" w:space="0" w:color="auto"/>
            <w:bottom w:val="none" w:sz="0" w:space="0" w:color="auto"/>
            <w:right w:val="none" w:sz="0" w:space="0" w:color="auto"/>
          </w:divBdr>
          <w:divsChild>
            <w:div w:id="303000325">
              <w:marLeft w:val="0"/>
              <w:marRight w:val="0"/>
              <w:marTop w:val="0"/>
              <w:marBottom w:val="0"/>
              <w:divBdr>
                <w:top w:val="none" w:sz="0" w:space="0" w:color="auto"/>
                <w:left w:val="none" w:sz="0" w:space="0" w:color="auto"/>
                <w:bottom w:val="none" w:sz="0" w:space="0" w:color="auto"/>
                <w:right w:val="none" w:sz="0" w:space="0" w:color="auto"/>
              </w:divBdr>
              <w:divsChild>
                <w:div w:id="721560132">
                  <w:marLeft w:val="0"/>
                  <w:marRight w:val="0"/>
                  <w:marTop w:val="0"/>
                  <w:marBottom w:val="0"/>
                  <w:divBdr>
                    <w:top w:val="none" w:sz="0" w:space="0" w:color="auto"/>
                    <w:left w:val="none" w:sz="0" w:space="0" w:color="auto"/>
                    <w:bottom w:val="none" w:sz="0" w:space="0" w:color="auto"/>
                    <w:right w:val="none" w:sz="0" w:space="0" w:color="auto"/>
                  </w:divBdr>
                  <w:divsChild>
                    <w:div w:id="900092421">
                      <w:marLeft w:val="0"/>
                      <w:marRight w:val="0"/>
                      <w:marTop w:val="0"/>
                      <w:marBottom w:val="0"/>
                      <w:divBdr>
                        <w:top w:val="none" w:sz="0" w:space="0" w:color="auto"/>
                        <w:left w:val="none" w:sz="0" w:space="0" w:color="auto"/>
                        <w:bottom w:val="none" w:sz="0" w:space="0" w:color="auto"/>
                        <w:right w:val="none" w:sz="0" w:space="0" w:color="auto"/>
                      </w:divBdr>
                      <w:divsChild>
                        <w:div w:id="2026664132">
                          <w:marLeft w:val="0"/>
                          <w:marRight w:val="0"/>
                          <w:marTop w:val="0"/>
                          <w:marBottom w:val="0"/>
                          <w:divBdr>
                            <w:top w:val="none" w:sz="0" w:space="0" w:color="auto"/>
                            <w:left w:val="none" w:sz="0" w:space="0" w:color="auto"/>
                            <w:bottom w:val="none" w:sz="0" w:space="0" w:color="auto"/>
                            <w:right w:val="none" w:sz="0" w:space="0" w:color="auto"/>
                          </w:divBdr>
                          <w:divsChild>
                            <w:div w:id="544026797">
                              <w:marLeft w:val="0"/>
                              <w:marRight w:val="0"/>
                              <w:marTop w:val="0"/>
                              <w:marBottom w:val="0"/>
                              <w:divBdr>
                                <w:top w:val="none" w:sz="0" w:space="0" w:color="auto"/>
                                <w:left w:val="none" w:sz="0" w:space="0" w:color="auto"/>
                                <w:bottom w:val="none" w:sz="0" w:space="0" w:color="auto"/>
                                <w:right w:val="none" w:sz="0" w:space="0" w:color="auto"/>
                              </w:divBdr>
                              <w:divsChild>
                                <w:div w:id="121218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4693901">
      <w:bodyDiv w:val="1"/>
      <w:marLeft w:val="0"/>
      <w:marRight w:val="0"/>
      <w:marTop w:val="0"/>
      <w:marBottom w:val="0"/>
      <w:divBdr>
        <w:top w:val="none" w:sz="0" w:space="0" w:color="auto"/>
        <w:left w:val="none" w:sz="0" w:space="0" w:color="auto"/>
        <w:bottom w:val="none" w:sz="0" w:space="0" w:color="auto"/>
        <w:right w:val="none" w:sz="0" w:space="0" w:color="auto"/>
      </w:divBdr>
      <w:divsChild>
        <w:div w:id="2066295984">
          <w:marLeft w:val="0"/>
          <w:marRight w:val="0"/>
          <w:marTop w:val="0"/>
          <w:marBottom w:val="0"/>
          <w:divBdr>
            <w:top w:val="none" w:sz="0" w:space="0" w:color="auto"/>
            <w:left w:val="none" w:sz="0" w:space="0" w:color="auto"/>
            <w:bottom w:val="none" w:sz="0" w:space="0" w:color="auto"/>
            <w:right w:val="none" w:sz="0" w:space="0" w:color="auto"/>
          </w:divBdr>
          <w:divsChild>
            <w:div w:id="1181045432">
              <w:marLeft w:val="0"/>
              <w:marRight w:val="0"/>
              <w:marTop w:val="0"/>
              <w:marBottom w:val="0"/>
              <w:divBdr>
                <w:top w:val="none" w:sz="0" w:space="0" w:color="auto"/>
                <w:left w:val="none" w:sz="0" w:space="0" w:color="auto"/>
                <w:bottom w:val="none" w:sz="0" w:space="0" w:color="auto"/>
                <w:right w:val="none" w:sz="0" w:space="0" w:color="auto"/>
              </w:divBdr>
              <w:divsChild>
                <w:div w:id="1409306925">
                  <w:marLeft w:val="0"/>
                  <w:marRight w:val="0"/>
                  <w:marTop w:val="0"/>
                  <w:marBottom w:val="0"/>
                  <w:divBdr>
                    <w:top w:val="none" w:sz="0" w:space="0" w:color="auto"/>
                    <w:left w:val="none" w:sz="0" w:space="0" w:color="auto"/>
                    <w:bottom w:val="none" w:sz="0" w:space="0" w:color="auto"/>
                    <w:right w:val="none" w:sz="0" w:space="0" w:color="auto"/>
                  </w:divBdr>
                  <w:divsChild>
                    <w:div w:id="1117022154">
                      <w:marLeft w:val="0"/>
                      <w:marRight w:val="0"/>
                      <w:marTop w:val="0"/>
                      <w:marBottom w:val="0"/>
                      <w:divBdr>
                        <w:top w:val="none" w:sz="0" w:space="0" w:color="auto"/>
                        <w:left w:val="none" w:sz="0" w:space="0" w:color="auto"/>
                        <w:bottom w:val="none" w:sz="0" w:space="0" w:color="auto"/>
                        <w:right w:val="none" w:sz="0" w:space="0" w:color="auto"/>
                      </w:divBdr>
                      <w:divsChild>
                        <w:div w:id="978534006">
                          <w:marLeft w:val="0"/>
                          <w:marRight w:val="0"/>
                          <w:marTop w:val="0"/>
                          <w:marBottom w:val="0"/>
                          <w:divBdr>
                            <w:top w:val="none" w:sz="0" w:space="0" w:color="auto"/>
                            <w:left w:val="none" w:sz="0" w:space="0" w:color="auto"/>
                            <w:bottom w:val="none" w:sz="0" w:space="0" w:color="auto"/>
                            <w:right w:val="none" w:sz="0" w:space="0" w:color="auto"/>
                          </w:divBdr>
                          <w:divsChild>
                            <w:div w:id="1857426138">
                              <w:marLeft w:val="0"/>
                              <w:marRight w:val="0"/>
                              <w:marTop w:val="0"/>
                              <w:marBottom w:val="0"/>
                              <w:divBdr>
                                <w:top w:val="none" w:sz="0" w:space="0" w:color="auto"/>
                                <w:left w:val="none" w:sz="0" w:space="0" w:color="auto"/>
                                <w:bottom w:val="none" w:sz="0" w:space="0" w:color="auto"/>
                                <w:right w:val="none" w:sz="0" w:space="0" w:color="auto"/>
                              </w:divBdr>
                              <w:divsChild>
                                <w:div w:id="35816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image" Target="media/image3.png"/><Relationship Id="rId39" Type="http://schemas.openxmlformats.org/officeDocument/2006/relationships/chart" Target="charts/chart2.xml"/><Relationship Id="rId3" Type="http://schemas.openxmlformats.org/officeDocument/2006/relationships/numbering" Target="numbering.xml"/><Relationship Id="rId21" Type="http://schemas.openxmlformats.org/officeDocument/2006/relationships/diagramData" Target="diagrams/data3.xml"/><Relationship Id="rId34" Type="http://schemas.openxmlformats.org/officeDocument/2006/relationships/diagramLayout" Target="diagrams/layout4.xml"/><Relationship Id="rId42" Type="http://schemas.openxmlformats.org/officeDocument/2006/relationships/chart" Target="charts/chart5.xml"/><Relationship Id="rId47" Type="http://schemas.openxmlformats.org/officeDocument/2006/relationships/header" Target="header1.xml"/><Relationship Id="rId50"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microsoft.com/office/2007/relationships/diagramDrawing" Target="diagrams/drawing3.xml"/><Relationship Id="rId33" Type="http://schemas.openxmlformats.org/officeDocument/2006/relationships/diagramData" Target="diagrams/data4.xml"/><Relationship Id="rId38" Type="http://schemas.openxmlformats.org/officeDocument/2006/relationships/chart" Target="charts/chart1.xml"/><Relationship Id="rId46" Type="http://schemas.openxmlformats.org/officeDocument/2006/relationships/image" Target="media/image11.jpeg"/><Relationship Id="rId2" Type="http://schemas.openxmlformats.org/officeDocument/2006/relationships/customXml" Target="../customXml/item2.xml"/><Relationship Id="rId16" Type="http://schemas.openxmlformats.org/officeDocument/2006/relationships/diagramQuickStyle" Target="diagrams/quickStyle2.xml"/><Relationship Id="rId20" Type="http://schemas.openxmlformats.org/officeDocument/2006/relationships/image" Target="media/image2.png"/><Relationship Id="rId29" Type="http://schemas.openxmlformats.org/officeDocument/2006/relationships/image" Target="media/image6.png"/><Relationship Id="rId41" Type="http://schemas.openxmlformats.org/officeDocument/2006/relationships/chart" Target="charts/chart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diagramColors" Target="diagrams/colors3.xml"/><Relationship Id="rId32" Type="http://schemas.openxmlformats.org/officeDocument/2006/relationships/image" Target="media/image9.png"/><Relationship Id="rId37" Type="http://schemas.microsoft.com/office/2007/relationships/diagramDrawing" Target="diagrams/drawing4.xml"/><Relationship Id="rId40" Type="http://schemas.openxmlformats.org/officeDocument/2006/relationships/chart" Target="charts/chart3.xml"/><Relationship Id="rId45" Type="http://schemas.openxmlformats.org/officeDocument/2006/relationships/hyperlink" Target="http://www.google.nl/imgres?imgurl=http://www.jongemediator.nl/wordpress/wp-content/uploads/erasmus-universiteit-rotterdam.jpg&amp;imgrefurl=http://www.jongemediator.nl/voor-studenten/erasmus-universiteit-rotterdam/&amp;usg=__Th2G66o0tGaZIsTiXjVc-vK6oO8=&amp;h=318&amp;w=1330&amp;sz=102&amp;hl=nl&amp;start=1&amp;zoom=1&amp;tbnid=fXUADYUKIUvYOM:&amp;tbnh=36&amp;tbnw=150&amp;ei=atcBTsP3Ds6VOpi4zJ0O&amp;prev=/search?q=erasmus+universiteit&amp;um=1&amp;hl=nl&amp;rlz=1I7DANL_nl&amp;biw=1659&amp;bih=856&amp;tbm=isch&amp;um=1&amp;itbs=1" TargetMode="External"/><Relationship Id="rId5" Type="http://schemas.openxmlformats.org/officeDocument/2006/relationships/settings" Target="settings.xml"/><Relationship Id="rId15" Type="http://schemas.openxmlformats.org/officeDocument/2006/relationships/diagramLayout" Target="diagrams/layout2.xml"/><Relationship Id="rId23" Type="http://schemas.openxmlformats.org/officeDocument/2006/relationships/diagramQuickStyle" Target="diagrams/quickStyle3.xml"/><Relationship Id="rId28" Type="http://schemas.openxmlformats.org/officeDocument/2006/relationships/image" Target="media/image5.png"/><Relationship Id="rId36" Type="http://schemas.openxmlformats.org/officeDocument/2006/relationships/diagramColors" Target="diagrams/colors4.xml"/><Relationship Id="rId49" Type="http://schemas.openxmlformats.org/officeDocument/2006/relationships/footer" Target="footer1.xml"/><Relationship Id="rId10" Type="http://schemas.openxmlformats.org/officeDocument/2006/relationships/diagramLayout" Target="diagrams/layout1.xml"/><Relationship Id="rId19" Type="http://schemas.openxmlformats.org/officeDocument/2006/relationships/image" Target="media/image1.png"/><Relationship Id="rId31" Type="http://schemas.openxmlformats.org/officeDocument/2006/relationships/image" Target="media/image8.png"/><Relationship Id="rId44" Type="http://schemas.openxmlformats.org/officeDocument/2006/relationships/image" Target="media/image10.jpeg"/><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Layout" Target="diagrams/layout3.xm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diagramQuickStyle" Target="diagrams/quickStyle4.xml"/><Relationship Id="rId43" Type="http://schemas.openxmlformats.org/officeDocument/2006/relationships/chart" Target="charts/chart6.xml"/><Relationship Id="rId48" Type="http://schemas.openxmlformats.org/officeDocument/2006/relationships/header" Target="header2.xml"/><Relationship Id="rId8" Type="http://schemas.openxmlformats.org/officeDocument/2006/relationships/endnotes" Target="endnotes.xml"/><Relationship Id="rId51"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Computer%20Lex\Desktop\scriptie%2019%20juli%202011\Heilige%203-eenheid_11_7\figuren%20scriptie.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Computer%20Lex\Desktop\scriptie%2019%20juli%202011\Heilige%203-eenheid_11_7\figuren%20scriptie.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Computer%20Lex\Desktop\scriptie%2019%20juli%202011\Heilige%203-eenheid_11_7\figuren%20scriptie.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Computer%20Lex\Desktop\scriptie%2019%20juli%202011\Heilige%203-eenheid_11_7\figuren%20scripti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style val="16"/>
  <c:chart>
    <c:title>
      <c:tx>
        <c:rich>
          <a:bodyPr/>
          <a:lstStyle/>
          <a:p>
            <a:pPr>
              <a:defRPr/>
            </a:pPr>
            <a:r>
              <a:rPr lang="nl-NL"/>
              <a:t>Size of the parties involved</a:t>
            </a:r>
          </a:p>
        </c:rich>
      </c:tx>
    </c:title>
    <c:plotArea>
      <c:layout>
        <c:manualLayout>
          <c:layoutTarget val="inner"/>
          <c:xMode val="edge"/>
          <c:yMode val="edge"/>
          <c:x val="0.15927063995049473"/>
          <c:y val="0.18639000832221331"/>
          <c:w val="0.61867101978106465"/>
          <c:h val="0.31694689898173367"/>
        </c:manualLayout>
      </c:layout>
      <c:barChart>
        <c:barDir val="col"/>
        <c:grouping val="clustered"/>
        <c:ser>
          <c:idx val="0"/>
          <c:order val="0"/>
          <c:tx>
            <c:strRef>
              <c:f>Sheet1!$D$2</c:f>
              <c:strCache>
                <c:ptCount val="1"/>
                <c:pt idx="0">
                  <c:v>TPL Provider</c:v>
                </c:pt>
              </c:strCache>
            </c:strRef>
          </c:tx>
          <c:cat>
            <c:strRef>
              <c:f>Sheet1!$C$3:$C$8</c:f>
              <c:strCache>
                <c:ptCount val="6"/>
                <c:pt idx="0">
                  <c:v>&lt;50</c:v>
                </c:pt>
                <c:pt idx="1">
                  <c:v>50-200</c:v>
                </c:pt>
                <c:pt idx="2">
                  <c:v>201-500</c:v>
                </c:pt>
                <c:pt idx="3">
                  <c:v>501-1000</c:v>
                </c:pt>
                <c:pt idx="4">
                  <c:v>1000&gt;</c:v>
                </c:pt>
                <c:pt idx="5">
                  <c:v>Unknown/highly diverse</c:v>
                </c:pt>
              </c:strCache>
            </c:strRef>
          </c:cat>
          <c:val>
            <c:numRef>
              <c:f>Sheet1!$D$3:$D$8</c:f>
              <c:numCache>
                <c:formatCode>0%</c:formatCode>
                <c:ptCount val="6"/>
                <c:pt idx="0">
                  <c:v>0.12000000000000002</c:v>
                </c:pt>
                <c:pt idx="1">
                  <c:v>0.4</c:v>
                </c:pt>
                <c:pt idx="2">
                  <c:v>0.2</c:v>
                </c:pt>
                <c:pt idx="3">
                  <c:v>0.12000000000000002</c:v>
                </c:pt>
                <c:pt idx="4">
                  <c:v>0.16000000000000011</c:v>
                </c:pt>
                <c:pt idx="5">
                  <c:v>0</c:v>
                </c:pt>
              </c:numCache>
            </c:numRef>
          </c:val>
        </c:ser>
        <c:ser>
          <c:idx val="1"/>
          <c:order val="1"/>
          <c:tx>
            <c:strRef>
              <c:f>Sheet1!$E$2</c:f>
              <c:strCache>
                <c:ptCount val="1"/>
                <c:pt idx="0">
                  <c:v>Customer</c:v>
                </c:pt>
              </c:strCache>
            </c:strRef>
          </c:tx>
          <c:cat>
            <c:strRef>
              <c:f>Sheet1!$C$3:$C$8</c:f>
              <c:strCache>
                <c:ptCount val="6"/>
                <c:pt idx="0">
                  <c:v>&lt;50</c:v>
                </c:pt>
                <c:pt idx="1">
                  <c:v>50-200</c:v>
                </c:pt>
                <c:pt idx="2">
                  <c:v>201-500</c:v>
                </c:pt>
                <c:pt idx="3">
                  <c:v>501-1000</c:v>
                </c:pt>
                <c:pt idx="4">
                  <c:v>1000&gt;</c:v>
                </c:pt>
                <c:pt idx="5">
                  <c:v>Unknown/highly diverse</c:v>
                </c:pt>
              </c:strCache>
            </c:strRef>
          </c:cat>
          <c:val>
            <c:numRef>
              <c:f>Sheet1!$E$3:$E$8</c:f>
              <c:numCache>
                <c:formatCode>0%</c:formatCode>
                <c:ptCount val="6"/>
                <c:pt idx="0">
                  <c:v>0.22200000000000011</c:v>
                </c:pt>
                <c:pt idx="1">
                  <c:v>0.37000000000000038</c:v>
                </c:pt>
                <c:pt idx="2">
                  <c:v>7.4000000000000149E-2</c:v>
                </c:pt>
                <c:pt idx="3">
                  <c:v>0.11100000000000006</c:v>
                </c:pt>
                <c:pt idx="4">
                  <c:v>0</c:v>
                </c:pt>
                <c:pt idx="5">
                  <c:v>0.22200000000000011</c:v>
                </c:pt>
              </c:numCache>
            </c:numRef>
          </c:val>
        </c:ser>
        <c:axId val="103232256"/>
        <c:axId val="103234176"/>
      </c:barChart>
      <c:catAx>
        <c:axId val="103232256"/>
        <c:scaling>
          <c:orientation val="minMax"/>
        </c:scaling>
        <c:axPos val="b"/>
        <c:title>
          <c:tx>
            <c:rich>
              <a:bodyPr/>
              <a:lstStyle/>
              <a:p>
                <a:pPr>
                  <a:defRPr/>
                </a:pPr>
                <a:r>
                  <a:rPr lang="nl-NL"/>
                  <a:t>Number of personnel</a:t>
                </a:r>
              </a:p>
            </c:rich>
          </c:tx>
        </c:title>
        <c:majorTickMark val="none"/>
        <c:tickLblPos val="nextTo"/>
        <c:crossAx val="103234176"/>
        <c:crosses val="autoZero"/>
        <c:auto val="1"/>
        <c:lblAlgn val="ctr"/>
        <c:lblOffset val="100"/>
      </c:catAx>
      <c:valAx>
        <c:axId val="103234176"/>
        <c:scaling>
          <c:orientation val="minMax"/>
          <c:max val="0.5"/>
        </c:scaling>
        <c:axPos val="l"/>
        <c:majorGridlines/>
        <c:title>
          <c:tx>
            <c:rich>
              <a:bodyPr/>
              <a:lstStyle/>
              <a:p>
                <a:pPr>
                  <a:defRPr/>
                </a:pPr>
                <a:r>
                  <a:rPr lang="nl-NL"/>
                  <a:t>% of respondents</a:t>
                </a:r>
              </a:p>
            </c:rich>
          </c:tx>
        </c:title>
        <c:numFmt formatCode="0%" sourceLinked="1"/>
        <c:tickLblPos val="nextTo"/>
        <c:crossAx val="103232256"/>
        <c:crosses val="autoZero"/>
        <c:crossBetween val="between"/>
        <c:majorUnit val="0.1"/>
      </c:valAx>
      <c:spPr>
        <a:solidFill>
          <a:schemeClr val="accent1">
            <a:lumMod val="20000"/>
            <a:lumOff val="80000"/>
          </a:schemeClr>
        </a:solidFill>
        <a:ln w="25400" cap="flat" cmpd="sng" algn="ctr">
          <a:noFill/>
          <a:prstDash val="solid"/>
        </a:ln>
        <a:effectLst/>
      </c:spPr>
    </c:plotArea>
    <c:legend>
      <c:legendPos val="r"/>
      <c:layout>
        <c:manualLayout>
          <c:xMode val="edge"/>
          <c:yMode val="edge"/>
          <c:x val="0.80361343154697362"/>
          <c:y val="0.33346436342049496"/>
          <c:w val="0.18045031014008289"/>
          <c:h val="0.16020294200331645"/>
        </c:manualLayout>
      </c:layout>
    </c:legend>
    <c:plotVisOnly val="1"/>
  </c:chart>
  <c:spPr>
    <a:solidFill>
      <a:schemeClr val="lt1"/>
    </a:solidFill>
    <a:ln w="25400" cap="flat" cmpd="sng" algn="ctr">
      <a:solidFill>
        <a:schemeClr val="accent6"/>
      </a:solidFill>
      <a:prstDash val="solid"/>
    </a:ln>
    <a:effectLst/>
  </c:spPr>
  <c:txPr>
    <a:bodyPr/>
    <a:lstStyle/>
    <a:p>
      <a:pPr>
        <a:defRPr>
          <a:solidFill>
            <a:schemeClr val="dk1"/>
          </a:solidFill>
          <a:latin typeface="+mn-lt"/>
          <a:ea typeface="+mn-ea"/>
          <a:cs typeface="+mn-cs"/>
        </a:defRPr>
      </a:pPr>
      <a:endParaRPr lang="nl-NL"/>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nl-NL"/>
  <c:style val="16"/>
  <c:chart>
    <c:title>
      <c:tx>
        <c:rich>
          <a:bodyPr/>
          <a:lstStyle/>
          <a:p>
            <a:pPr>
              <a:defRPr/>
            </a:pPr>
            <a:r>
              <a:rPr lang="nl-NL"/>
              <a:t>Origin of the majority of turnover</a:t>
            </a:r>
          </a:p>
        </c:rich>
      </c:tx>
    </c:title>
    <c:plotArea>
      <c:layout/>
      <c:pieChart>
        <c:varyColors val="1"/>
        <c:ser>
          <c:idx val="0"/>
          <c:order val="0"/>
          <c:dLbls>
            <c:spPr>
              <a:solidFill>
                <a:schemeClr val="lt1"/>
              </a:solidFill>
              <a:ln w="25400" cap="flat" cmpd="sng" algn="ctr">
                <a:solidFill>
                  <a:schemeClr val="accent6"/>
                </a:solidFill>
                <a:prstDash val="solid"/>
              </a:ln>
              <a:effectLst/>
            </c:spPr>
            <c:showCatName val="1"/>
            <c:showPercent val="1"/>
            <c:showLeaderLines val="1"/>
          </c:dLbls>
          <c:cat>
            <c:strRef>
              <c:f>Sheet1!$C$20:$C$25</c:f>
              <c:strCache>
                <c:ptCount val="6"/>
                <c:pt idx="0">
                  <c:v>The Netherlands</c:v>
                </c:pt>
                <c:pt idx="1">
                  <c:v>Benelux</c:v>
                </c:pt>
                <c:pt idx="2">
                  <c:v>Germany</c:v>
                </c:pt>
                <c:pt idx="3">
                  <c:v>Northern Europe</c:v>
                </c:pt>
                <c:pt idx="4">
                  <c:v>Europe</c:v>
                </c:pt>
                <c:pt idx="5">
                  <c:v>Outside Europe</c:v>
                </c:pt>
              </c:strCache>
            </c:strRef>
          </c:cat>
          <c:val>
            <c:numRef>
              <c:f>Sheet1!$D$20:$D$25</c:f>
              <c:numCache>
                <c:formatCode>0%</c:formatCode>
                <c:ptCount val="6"/>
                <c:pt idx="0">
                  <c:v>0.37000000000000038</c:v>
                </c:pt>
                <c:pt idx="1">
                  <c:v>0.14800000000000021</c:v>
                </c:pt>
                <c:pt idx="2">
                  <c:v>0.111</c:v>
                </c:pt>
                <c:pt idx="3">
                  <c:v>0.111</c:v>
                </c:pt>
                <c:pt idx="4">
                  <c:v>0.14800000000000021</c:v>
                </c:pt>
                <c:pt idx="5">
                  <c:v>0.111</c:v>
                </c:pt>
              </c:numCache>
            </c:numRef>
          </c:val>
        </c:ser>
        <c:dLbls>
          <c:showCatName val="1"/>
          <c:showPercent val="1"/>
        </c:dLbls>
        <c:firstSliceAng val="0"/>
      </c:pieChart>
    </c:plotArea>
    <c:plotVisOnly val="1"/>
  </c:chart>
  <c:spPr>
    <a:solidFill>
      <a:schemeClr val="lt1"/>
    </a:solidFill>
    <a:ln w="25400" cap="flat" cmpd="sng" algn="ctr">
      <a:solidFill>
        <a:schemeClr val="accent6"/>
      </a:solidFill>
      <a:prstDash val="solid"/>
    </a:ln>
    <a:effectLst/>
  </c:spPr>
  <c:txPr>
    <a:bodyPr/>
    <a:lstStyle/>
    <a:p>
      <a:pPr>
        <a:defRPr>
          <a:solidFill>
            <a:schemeClr val="dk1"/>
          </a:solidFill>
          <a:latin typeface="+mn-lt"/>
          <a:ea typeface="+mn-ea"/>
          <a:cs typeface="+mn-cs"/>
        </a:defRPr>
      </a:pPr>
      <a:endParaRPr lang="nl-NL"/>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nl-NL"/>
  <c:style val="16"/>
  <c:chart>
    <c:title>
      <c:tx>
        <c:rich>
          <a:bodyPr/>
          <a:lstStyle/>
          <a:p>
            <a:pPr>
              <a:defRPr/>
            </a:pPr>
            <a:r>
              <a:rPr lang="nl-NL"/>
              <a:t>The majority</a:t>
            </a:r>
            <a:r>
              <a:rPr lang="nl-NL" baseline="0"/>
              <a:t> of i</a:t>
            </a:r>
            <a:r>
              <a:rPr lang="nl-NL"/>
              <a:t>nvestments made by TPL providers</a:t>
            </a:r>
          </a:p>
        </c:rich>
      </c:tx>
    </c:title>
    <c:plotArea>
      <c:layout>
        <c:manualLayout>
          <c:layoutTarget val="inner"/>
          <c:xMode val="edge"/>
          <c:yMode val="edge"/>
          <c:x val="0.4530439632545944"/>
          <c:y val="0.26828703703703705"/>
          <c:w val="0.51640048118985127"/>
          <c:h val="0.65300925925926157"/>
        </c:manualLayout>
      </c:layout>
      <c:barChart>
        <c:barDir val="bar"/>
        <c:grouping val="clustered"/>
        <c:ser>
          <c:idx val="0"/>
          <c:order val="0"/>
          <c:cat>
            <c:strRef>
              <c:f>Sheet1!$C$35:$C$38</c:f>
              <c:strCache>
                <c:ptCount val="4"/>
                <c:pt idx="0">
                  <c:v>Client specific</c:v>
                </c:pt>
                <c:pt idx="1">
                  <c:v>Suitable for serving a few clients</c:v>
                </c:pt>
                <c:pt idx="2">
                  <c:v>Suitable for serving multiple clients</c:v>
                </c:pt>
                <c:pt idx="3">
                  <c:v>Suitable for serving all our clients</c:v>
                </c:pt>
              </c:strCache>
            </c:strRef>
          </c:cat>
          <c:val>
            <c:numRef>
              <c:f>Sheet1!$D$35:$D$38</c:f>
              <c:numCache>
                <c:formatCode>0%</c:formatCode>
                <c:ptCount val="4"/>
                <c:pt idx="0">
                  <c:v>3.6999999999999998E-2</c:v>
                </c:pt>
                <c:pt idx="1">
                  <c:v>3.6999999999999998E-2</c:v>
                </c:pt>
                <c:pt idx="2">
                  <c:v>0.66700000000000281</c:v>
                </c:pt>
                <c:pt idx="3">
                  <c:v>0.25900000000000001</c:v>
                </c:pt>
              </c:numCache>
            </c:numRef>
          </c:val>
        </c:ser>
        <c:dLbls>
          <c:showVal val="1"/>
        </c:dLbls>
        <c:overlap val="-25"/>
        <c:axId val="103287424"/>
        <c:axId val="103285888"/>
      </c:barChart>
      <c:valAx>
        <c:axId val="103285888"/>
        <c:scaling>
          <c:orientation val="minMax"/>
        </c:scaling>
        <c:delete val="1"/>
        <c:axPos val="b"/>
        <c:numFmt formatCode="0%" sourceLinked="1"/>
        <c:majorTickMark val="none"/>
        <c:tickLblPos val="none"/>
        <c:crossAx val="103287424"/>
        <c:crosses val="autoZero"/>
        <c:crossBetween val="between"/>
      </c:valAx>
      <c:catAx>
        <c:axId val="103287424"/>
        <c:scaling>
          <c:orientation val="minMax"/>
        </c:scaling>
        <c:axPos val="l"/>
        <c:majorTickMark val="none"/>
        <c:tickLblPos val="nextTo"/>
        <c:crossAx val="103285888"/>
        <c:crosses val="autoZero"/>
        <c:auto val="1"/>
        <c:lblAlgn val="ctr"/>
        <c:lblOffset val="100"/>
      </c:catAx>
      <c:spPr>
        <a:solidFill>
          <a:schemeClr val="accent1">
            <a:lumMod val="20000"/>
            <a:lumOff val="80000"/>
          </a:schemeClr>
        </a:solidFill>
        <a:ln w="25400" cap="flat" cmpd="sng" algn="ctr">
          <a:solidFill>
            <a:schemeClr val="accent6"/>
          </a:solidFill>
          <a:prstDash val="solid"/>
        </a:ln>
        <a:effectLst/>
      </c:spPr>
    </c:plotArea>
    <c:plotVisOnly val="1"/>
  </c:chart>
  <c:spPr>
    <a:solidFill>
      <a:schemeClr val="lt1"/>
    </a:solidFill>
    <a:ln w="25400" cap="flat" cmpd="sng" algn="ctr">
      <a:solidFill>
        <a:schemeClr val="accent6"/>
      </a:solidFill>
      <a:prstDash val="solid"/>
    </a:ln>
    <a:effectLst/>
  </c:spPr>
  <c:txPr>
    <a:bodyPr/>
    <a:lstStyle/>
    <a:p>
      <a:pPr>
        <a:defRPr>
          <a:solidFill>
            <a:schemeClr val="dk1"/>
          </a:solidFill>
          <a:latin typeface="+mn-lt"/>
          <a:ea typeface="+mn-ea"/>
          <a:cs typeface="+mn-cs"/>
        </a:defRPr>
      </a:pPr>
      <a:endParaRPr lang="nl-NL"/>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nl-NL"/>
  <c:style val="16"/>
  <c:chart>
    <c:title>
      <c:tx>
        <c:rich>
          <a:bodyPr/>
          <a:lstStyle/>
          <a:p>
            <a:pPr>
              <a:defRPr/>
            </a:pPr>
            <a:r>
              <a:rPr lang="nl-NL"/>
              <a:t>Financing</a:t>
            </a:r>
            <a:r>
              <a:rPr lang="nl-NL" baseline="0"/>
              <a:t> client specific investments</a:t>
            </a:r>
            <a:endParaRPr lang="nl-NL"/>
          </a:p>
        </c:rich>
      </c:tx>
    </c:title>
    <c:plotArea>
      <c:layout/>
      <c:pieChart>
        <c:varyColors val="1"/>
        <c:ser>
          <c:idx val="0"/>
          <c:order val="0"/>
          <c:dLbls>
            <c:spPr>
              <a:solidFill>
                <a:schemeClr val="lt1"/>
              </a:solidFill>
              <a:ln w="25400" cap="flat" cmpd="sng" algn="ctr">
                <a:solidFill>
                  <a:schemeClr val="accent6"/>
                </a:solidFill>
                <a:prstDash val="solid"/>
              </a:ln>
              <a:effectLst/>
            </c:spPr>
            <c:txPr>
              <a:bodyPr/>
              <a:lstStyle/>
              <a:p>
                <a:pPr>
                  <a:defRPr>
                    <a:solidFill>
                      <a:schemeClr val="dk1"/>
                    </a:solidFill>
                    <a:latin typeface="+mn-lt"/>
                    <a:ea typeface="+mn-ea"/>
                    <a:cs typeface="+mn-cs"/>
                  </a:defRPr>
                </a:pPr>
                <a:endParaRPr lang="nl-NL"/>
              </a:p>
            </c:txPr>
            <c:showPercent val="1"/>
            <c:showLeaderLines val="1"/>
          </c:dLbls>
          <c:cat>
            <c:strRef>
              <c:f>Sheet1!$C$52:$C$55</c:f>
              <c:strCache>
                <c:ptCount val="4"/>
                <c:pt idx="0">
                  <c:v>These investments are mainly financed by the client&gt; 50%</c:v>
                </c:pt>
                <c:pt idx="1">
                  <c:v>These investments are 50% financed by both</c:v>
                </c:pt>
                <c:pt idx="2">
                  <c:v>These investments are mainly financed by the 3PL provider&gt; 50%</c:v>
                </c:pt>
                <c:pt idx="3">
                  <c:v>These investments are fully (100%) funded by the 3PL provider.</c:v>
                </c:pt>
              </c:strCache>
            </c:strRef>
          </c:cat>
          <c:val>
            <c:numRef>
              <c:f>Sheet1!$D$52:$D$55</c:f>
              <c:numCache>
                <c:formatCode>0%</c:formatCode>
                <c:ptCount val="4"/>
                <c:pt idx="0">
                  <c:v>0.1</c:v>
                </c:pt>
                <c:pt idx="1">
                  <c:v>0.15000000000000024</c:v>
                </c:pt>
                <c:pt idx="2">
                  <c:v>0.5</c:v>
                </c:pt>
                <c:pt idx="3">
                  <c:v>0.25</c:v>
                </c:pt>
              </c:numCache>
            </c:numRef>
          </c:val>
        </c:ser>
        <c:dLbls>
          <c:showPercent val="1"/>
        </c:dLbls>
        <c:firstSliceAng val="0"/>
      </c:pieChart>
    </c:plotArea>
    <c:legend>
      <c:legendPos val="r"/>
    </c:legend>
    <c:plotVisOnly val="1"/>
  </c:chart>
  <c:spPr>
    <a:solidFill>
      <a:schemeClr val="lt1"/>
    </a:solidFill>
    <a:ln w="25400" cap="flat" cmpd="sng" algn="ctr">
      <a:solidFill>
        <a:schemeClr val="accent6"/>
      </a:solidFill>
      <a:prstDash val="solid"/>
    </a:ln>
    <a:effectLst/>
  </c:spPr>
  <c:txPr>
    <a:bodyPr/>
    <a:lstStyle/>
    <a:p>
      <a:pPr>
        <a:defRPr>
          <a:solidFill>
            <a:schemeClr val="dk1"/>
          </a:solidFill>
          <a:latin typeface="+mn-lt"/>
          <a:ea typeface="+mn-ea"/>
          <a:cs typeface="+mn-cs"/>
        </a:defRPr>
      </a:pPr>
      <a:endParaRPr lang="nl-NL"/>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nl-NL"/>
  <c:style val="16"/>
  <c:chart>
    <c:title>
      <c:tx>
        <c:rich>
          <a:bodyPr/>
          <a:lstStyle/>
          <a:p>
            <a:pPr>
              <a:defRPr/>
            </a:pPr>
            <a:r>
              <a:rPr lang="nl-NL"/>
              <a:t>Strategic</a:t>
            </a:r>
            <a:r>
              <a:rPr lang="nl-NL" baseline="0"/>
              <a:t> positioning</a:t>
            </a:r>
            <a:r>
              <a:rPr lang="nl-NL"/>
              <a:t> of Dutch TPL</a:t>
            </a:r>
            <a:r>
              <a:rPr lang="nl-NL" baseline="0"/>
              <a:t> providers</a:t>
            </a:r>
            <a:endParaRPr lang="nl-NL"/>
          </a:p>
        </c:rich>
      </c:tx>
    </c:title>
    <c:plotArea>
      <c:layout/>
      <c:barChart>
        <c:barDir val="col"/>
        <c:grouping val="clustered"/>
        <c:ser>
          <c:idx val="0"/>
          <c:order val="0"/>
          <c:tx>
            <c:strRef>
              <c:f>Sheet1!$C$67</c:f>
              <c:strCache>
                <c:ptCount val="1"/>
                <c:pt idx="0">
                  <c:v>Current situation</c:v>
                </c:pt>
              </c:strCache>
            </c:strRef>
          </c:tx>
          <c:cat>
            <c:strRef>
              <c:f>Sheet1!$B$68:$B$71</c:f>
              <c:strCache>
                <c:ptCount val="4"/>
                <c:pt idx="0">
                  <c:v>Standard TPL provider</c:v>
                </c:pt>
                <c:pt idx="1">
                  <c:v>Service developer</c:v>
                </c:pt>
                <c:pt idx="2">
                  <c:v>Customer adapter</c:v>
                </c:pt>
                <c:pt idx="3">
                  <c:v>Customer developer</c:v>
                </c:pt>
              </c:strCache>
            </c:strRef>
          </c:cat>
          <c:val>
            <c:numRef>
              <c:f>Sheet1!$C$68:$C$71</c:f>
              <c:numCache>
                <c:formatCode>0%</c:formatCode>
                <c:ptCount val="4"/>
                <c:pt idx="0">
                  <c:v>0.48100000000000032</c:v>
                </c:pt>
                <c:pt idx="1">
                  <c:v>0.222</c:v>
                </c:pt>
                <c:pt idx="2">
                  <c:v>0.18500000000000041</c:v>
                </c:pt>
                <c:pt idx="3">
                  <c:v>0.111</c:v>
                </c:pt>
              </c:numCache>
            </c:numRef>
          </c:val>
        </c:ser>
        <c:ser>
          <c:idx val="1"/>
          <c:order val="1"/>
          <c:tx>
            <c:strRef>
              <c:f>Sheet1!$D$67</c:f>
              <c:strCache>
                <c:ptCount val="1"/>
                <c:pt idx="0">
                  <c:v>Future situation</c:v>
                </c:pt>
              </c:strCache>
            </c:strRef>
          </c:tx>
          <c:cat>
            <c:strRef>
              <c:f>Sheet1!$B$68:$B$71</c:f>
              <c:strCache>
                <c:ptCount val="4"/>
                <c:pt idx="0">
                  <c:v>Standard TPL provider</c:v>
                </c:pt>
                <c:pt idx="1">
                  <c:v>Service developer</c:v>
                </c:pt>
                <c:pt idx="2">
                  <c:v>Customer adapter</c:v>
                </c:pt>
                <c:pt idx="3">
                  <c:v>Customer developer</c:v>
                </c:pt>
              </c:strCache>
            </c:strRef>
          </c:cat>
          <c:val>
            <c:numRef>
              <c:f>Sheet1!$D$68:$D$71</c:f>
              <c:numCache>
                <c:formatCode>0%</c:formatCode>
                <c:ptCount val="4"/>
                <c:pt idx="0">
                  <c:v>0.18500000000000041</c:v>
                </c:pt>
                <c:pt idx="1">
                  <c:v>0.25900000000000001</c:v>
                </c:pt>
                <c:pt idx="2">
                  <c:v>0.25900000000000001</c:v>
                </c:pt>
                <c:pt idx="3">
                  <c:v>0.29600000000000032</c:v>
                </c:pt>
              </c:numCache>
            </c:numRef>
          </c:val>
        </c:ser>
        <c:axId val="103322752"/>
        <c:axId val="103324288"/>
      </c:barChart>
      <c:catAx>
        <c:axId val="103322752"/>
        <c:scaling>
          <c:orientation val="minMax"/>
        </c:scaling>
        <c:axPos val="b"/>
        <c:majorTickMark val="none"/>
        <c:tickLblPos val="nextTo"/>
        <c:crossAx val="103324288"/>
        <c:crosses val="autoZero"/>
        <c:auto val="1"/>
        <c:lblAlgn val="ctr"/>
        <c:lblOffset val="100"/>
      </c:catAx>
      <c:valAx>
        <c:axId val="103324288"/>
        <c:scaling>
          <c:orientation val="minMax"/>
          <c:max val="0.5"/>
        </c:scaling>
        <c:axPos val="l"/>
        <c:majorGridlines/>
        <c:numFmt formatCode="0%" sourceLinked="1"/>
        <c:majorTickMark val="none"/>
        <c:tickLblPos val="nextTo"/>
        <c:crossAx val="103322752"/>
        <c:crosses val="autoZero"/>
        <c:crossBetween val="between"/>
        <c:majorUnit val="0.1"/>
      </c:valAx>
      <c:spPr>
        <a:solidFill>
          <a:schemeClr val="accent1">
            <a:lumMod val="20000"/>
            <a:lumOff val="80000"/>
          </a:schemeClr>
        </a:solidFill>
      </c:spPr>
    </c:plotArea>
    <c:legend>
      <c:legendPos val="r"/>
    </c:legend>
    <c:plotVisOnly val="1"/>
  </c:chart>
  <c:spPr>
    <a:solidFill>
      <a:schemeClr val="lt1"/>
    </a:solidFill>
    <a:ln w="25400" cap="flat" cmpd="sng" algn="ctr">
      <a:solidFill>
        <a:schemeClr val="accent6"/>
      </a:solidFill>
      <a:prstDash val="solid"/>
    </a:ln>
    <a:effectLst/>
  </c:spPr>
  <c:txPr>
    <a:bodyPr/>
    <a:lstStyle/>
    <a:p>
      <a:pPr>
        <a:defRPr>
          <a:solidFill>
            <a:schemeClr val="dk1"/>
          </a:solidFill>
          <a:latin typeface="+mn-lt"/>
          <a:ea typeface="+mn-ea"/>
          <a:cs typeface="+mn-cs"/>
        </a:defRPr>
      </a:pPr>
      <a:endParaRPr lang="nl-NL"/>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nl-NL"/>
  <c:style val="16"/>
  <c:chart>
    <c:title>
      <c:tx>
        <c:rich>
          <a:bodyPr/>
          <a:lstStyle/>
          <a:p>
            <a:pPr>
              <a:defRPr/>
            </a:pPr>
            <a:r>
              <a:rPr lang="nl-NL"/>
              <a:t>Value added services offered by Dutch TPL providers</a:t>
            </a:r>
          </a:p>
        </c:rich>
      </c:tx>
      <c:layout>
        <c:manualLayout>
          <c:xMode val="edge"/>
          <c:yMode val="edge"/>
          <c:x val="0.15377283167914021"/>
          <c:y val="2.3872679045092837E-2"/>
        </c:manualLayout>
      </c:layout>
    </c:title>
    <c:plotArea>
      <c:layout>
        <c:manualLayout>
          <c:layoutTarget val="inner"/>
          <c:xMode val="edge"/>
          <c:yMode val="edge"/>
          <c:x val="0.14074272269364388"/>
          <c:y val="0.14827914026670241"/>
          <c:w val="0.85925734977572077"/>
          <c:h val="0.25986084388322189"/>
        </c:manualLayout>
      </c:layout>
      <c:barChart>
        <c:barDir val="col"/>
        <c:grouping val="clustered"/>
        <c:ser>
          <c:idx val="0"/>
          <c:order val="0"/>
          <c:cat>
            <c:strRef>
              <c:f>Sheet1!$C$86:$C$114</c:f>
              <c:strCache>
                <c:ptCount val="29"/>
                <c:pt idx="0">
                  <c:v>Storage and inventory planning</c:v>
                </c:pt>
                <c:pt idx="1">
                  <c:v>Domestic transport</c:v>
                </c:pt>
                <c:pt idx="2">
                  <c:v>International transport</c:v>
                </c:pt>
                <c:pt idx="3">
                  <c:v>Pick and pack</c:v>
                </c:pt>
                <c:pt idx="4">
                  <c:v>Transport planning and management</c:v>
                </c:pt>
                <c:pt idx="5">
                  <c:v>Cross-docking</c:v>
                </c:pt>
                <c:pt idx="6">
                  <c:v>Packaging, labeling and repackaging</c:v>
                </c:pt>
                <c:pt idx="7">
                  <c:v>Advice about logistics concepts</c:v>
                </c:pt>
                <c:pt idx="8">
                  <c:v>Receiving and inspecting return shipments</c:v>
                </c:pt>
                <c:pt idx="9">
                  <c:v>Track and trace information</c:v>
                </c:pt>
                <c:pt idx="10">
                  <c:v>Custom Mediation</c:v>
                </c:pt>
                <c:pt idx="11">
                  <c:v>Forwarding</c:v>
                </c:pt>
                <c:pt idx="12">
                  <c:v>Quality checks</c:v>
                </c:pt>
                <c:pt idx="13">
                  <c:v>Order entry, processing and fulfillment</c:v>
                </c:pt>
                <c:pt idx="14">
                  <c:v>Customs clearance</c:v>
                </c:pt>
                <c:pt idx="15">
                  <c:v>Supply chain consulting / several 4PL services</c:v>
                </c:pt>
                <c:pt idx="16">
                  <c:v>Providing IT services</c:v>
                </c:pt>
                <c:pt idx="17">
                  <c:v>Insurance-related services</c:v>
                </c:pt>
                <c:pt idx="18">
                  <c:v>Final assembly</c:v>
                </c:pt>
                <c:pt idx="19">
                  <c:v>Customer Service</c:v>
                </c:pt>
                <c:pt idx="20">
                  <c:v>Adding product features</c:v>
                </c:pt>
                <c:pt idx="21">
                  <c:v>Waste recycling and reconditioning</c:v>
                </c:pt>
                <c:pt idx="22">
                  <c:v>Product Configuration</c:v>
                </c:pt>
                <c:pt idx="23">
                  <c:v>Testing and repair of products</c:v>
                </c:pt>
                <c:pt idx="24">
                  <c:v>Install products to the end customer</c:v>
                </c:pt>
                <c:pt idx="25">
                  <c:v>Fleet management</c:v>
                </c:pt>
                <c:pt idx="26">
                  <c:v>Other services</c:v>
                </c:pt>
                <c:pt idx="27">
                  <c:v>Invoicing the end user</c:v>
                </c:pt>
                <c:pt idx="28">
                  <c:v>Finance stocks</c:v>
                </c:pt>
              </c:strCache>
            </c:strRef>
          </c:cat>
          <c:val>
            <c:numRef>
              <c:f>Sheet1!$D$86:$D$114</c:f>
              <c:numCache>
                <c:formatCode>0%</c:formatCode>
                <c:ptCount val="29"/>
                <c:pt idx="0">
                  <c:v>0.96300000000000063</c:v>
                </c:pt>
                <c:pt idx="1">
                  <c:v>0.92600000000000005</c:v>
                </c:pt>
                <c:pt idx="2">
                  <c:v>0.88900000000000001</c:v>
                </c:pt>
                <c:pt idx="3">
                  <c:v>0.88900000000000001</c:v>
                </c:pt>
                <c:pt idx="4">
                  <c:v>0.85200000000000065</c:v>
                </c:pt>
                <c:pt idx="5">
                  <c:v>0.85200000000000065</c:v>
                </c:pt>
                <c:pt idx="6">
                  <c:v>0.85200000000000065</c:v>
                </c:pt>
                <c:pt idx="7">
                  <c:v>0.70400000000000063</c:v>
                </c:pt>
                <c:pt idx="8">
                  <c:v>0.70400000000000063</c:v>
                </c:pt>
                <c:pt idx="9">
                  <c:v>0.70400000000000063</c:v>
                </c:pt>
                <c:pt idx="10">
                  <c:v>0.63000000000000211</c:v>
                </c:pt>
                <c:pt idx="11">
                  <c:v>0.63000000000000211</c:v>
                </c:pt>
                <c:pt idx="12">
                  <c:v>0.63000000000000211</c:v>
                </c:pt>
                <c:pt idx="13">
                  <c:v>0.63000000000000211</c:v>
                </c:pt>
                <c:pt idx="14">
                  <c:v>0.55600000000000005</c:v>
                </c:pt>
                <c:pt idx="15">
                  <c:v>0.51900000000000002</c:v>
                </c:pt>
                <c:pt idx="16">
                  <c:v>0.44400000000000001</c:v>
                </c:pt>
                <c:pt idx="17">
                  <c:v>0.37000000000000038</c:v>
                </c:pt>
                <c:pt idx="18">
                  <c:v>0.33300000000000124</c:v>
                </c:pt>
                <c:pt idx="19">
                  <c:v>0.33300000000000124</c:v>
                </c:pt>
                <c:pt idx="20">
                  <c:v>0.29600000000000032</c:v>
                </c:pt>
                <c:pt idx="21">
                  <c:v>0.29600000000000032</c:v>
                </c:pt>
                <c:pt idx="22">
                  <c:v>0.222</c:v>
                </c:pt>
                <c:pt idx="23">
                  <c:v>0.222</c:v>
                </c:pt>
                <c:pt idx="24">
                  <c:v>0.14800000000000021</c:v>
                </c:pt>
                <c:pt idx="25">
                  <c:v>0.14800000000000021</c:v>
                </c:pt>
                <c:pt idx="26">
                  <c:v>0.14800000000000021</c:v>
                </c:pt>
                <c:pt idx="27">
                  <c:v>4.0000000000000022E-2</c:v>
                </c:pt>
                <c:pt idx="28">
                  <c:v>0</c:v>
                </c:pt>
              </c:numCache>
            </c:numRef>
          </c:val>
        </c:ser>
        <c:axId val="103340672"/>
        <c:axId val="104092032"/>
      </c:barChart>
      <c:catAx>
        <c:axId val="103340672"/>
        <c:scaling>
          <c:orientation val="minMax"/>
        </c:scaling>
        <c:axPos val="b"/>
        <c:majorTickMark val="none"/>
        <c:tickLblPos val="nextTo"/>
        <c:txPr>
          <a:bodyPr/>
          <a:lstStyle/>
          <a:p>
            <a:pPr>
              <a:defRPr sz="900"/>
            </a:pPr>
            <a:endParaRPr lang="nl-NL"/>
          </a:p>
        </c:txPr>
        <c:crossAx val="104092032"/>
        <c:crosses val="autoZero"/>
        <c:auto val="1"/>
        <c:lblAlgn val="ctr"/>
        <c:lblOffset val="100"/>
      </c:catAx>
      <c:valAx>
        <c:axId val="104092032"/>
        <c:scaling>
          <c:orientation val="minMax"/>
          <c:max val="1"/>
        </c:scaling>
        <c:axPos val="l"/>
        <c:majorGridlines/>
        <c:title>
          <c:tx>
            <c:rich>
              <a:bodyPr/>
              <a:lstStyle/>
              <a:p>
                <a:pPr>
                  <a:defRPr/>
                </a:pPr>
                <a:r>
                  <a:rPr lang="nl-NL"/>
                  <a:t>% of the respondents</a:t>
                </a:r>
              </a:p>
              <a:p>
                <a:pPr>
                  <a:defRPr/>
                </a:pPr>
                <a:r>
                  <a:rPr lang="nl-NL"/>
                  <a:t> offering this service</a:t>
                </a:r>
              </a:p>
            </c:rich>
          </c:tx>
        </c:title>
        <c:numFmt formatCode="0%" sourceLinked="0"/>
        <c:majorTickMark val="none"/>
        <c:tickLblPos val="nextTo"/>
        <c:spPr>
          <a:noFill/>
          <a:ln w="9525" cap="flat" cmpd="sng" algn="ctr">
            <a:solidFill>
              <a:schemeClr val="accent6">
                <a:shade val="95000"/>
                <a:satMod val="105000"/>
              </a:schemeClr>
            </a:solidFill>
            <a:prstDash val="solid"/>
          </a:ln>
          <a:effectLst/>
        </c:spPr>
        <c:crossAx val="103340672"/>
        <c:crosses val="autoZero"/>
        <c:crossBetween val="between"/>
        <c:majorUnit val="0.1"/>
      </c:valAx>
      <c:spPr>
        <a:solidFill>
          <a:schemeClr val="accent1">
            <a:lumMod val="20000"/>
            <a:lumOff val="80000"/>
          </a:schemeClr>
        </a:solidFill>
        <a:ln>
          <a:solidFill>
            <a:schemeClr val="accent1">
              <a:lumMod val="20000"/>
              <a:lumOff val="80000"/>
            </a:schemeClr>
          </a:solidFill>
        </a:ln>
      </c:spPr>
    </c:plotArea>
    <c:plotVisOnly val="1"/>
  </c:chart>
  <c:spPr>
    <a:solidFill>
      <a:schemeClr val="lt1"/>
    </a:solidFill>
    <a:ln w="25400" cap="flat" cmpd="sng" algn="ctr">
      <a:solidFill>
        <a:schemeClr val="accent6"/>
      </a:solidFill>
      <a:prstDash val="solid"/>
    </a:ln>
    <a:effectLst/>
  </c:spPr>
  <c:txPr>
    <a:bodyPr/>
    <a:lstStyle/>
    <a:p>
      <a:pPr>
        <a:defRPr>
          <a:solidFill>
            <a:schemeClr val="dk1"/>
          </a:solidFill>
          <a:latin typeface="+mn-lt"/>
          <a:ea typeface="+mn-ea"/>
          <a:cs typeface="+mn-cs"/>
        </a:defRPr>
      </a:pPr>
      <a:endParaRPr lang="nl-NL"/>
    </a:p>
  </c:txPr>
  <c:externalData r:id="rId1"/>
</c:chartSpace>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6_1">
  <dgm:title val=""/>
  <dgm:desc val=""/>
  <dgm:catLst>
    <dgm:cat type="accent6" pri="11100"/>
  </dgm:catLst>
  <dgm:styleLbl name="node0">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6">
        <a:shade val="80000"/>
      </a:schemeClr>
    </dgm:linClrLst>
    <dgm:effectClrLst/>
    <dgm:txLinClrLst/>
    <dgm:txFillClrLst/>
    <dgm:txEffectClrLst/>
  </dgm:styleLbl>
  <dgm:styleLbl name="node2">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fg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align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bg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dgm:txEffectClrLst/>
  </dgm:styleLbl>
  <dgm:styleLbl name="parChTrans2D2">
    <dgm:fillClrLst meth="repeat">
      <a:schemeClr val="accent6"/>
    </dgm:fillClrLst>
    <dgm:linClrLst meth="repeat">
      <a:schemeClr val="accent6"/>
    </dgm:linClrLst>
    <dgm:effectClrLst/>
    <dgm:txLinClrLst/>
    <dgm:txFillClrLst/>
    <dgm:txEffectClrLst/>
  </dgm:styleLbl>
  <dgm:styleLbl name="parChTrans2D3">
    <dgm:fillClrLst meth="repeat">
      <a:schemeClr val="accent6"/>
    </dgm:fillClrLst>
    <dgm:linClrLst meth="repeat">
      <a:schemeClr val="accent6"/>
    </dgm:linClrLst>
    <dgm:effectClrLst/>
    <dgm:txLinClrLst/>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conF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align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trAlignAcc1">
    <dgm:fillClrLst meth="repeat">
      <a:schemeClr val="accent6">
        <a:alpha val="40000"/>
        <a:tint val="40000"/>
      </a:schemeClr>
    </dgm:fillClrLst>
    <dgm:linClrLst meth="repeat">
      <a:schemeClr val="accent6"/>
    </dgm:linClrLst>
    <dgm:effectClrLst/>
    <dgm:txLinClrLst/>
    <dgm:txFillClrLst meth="repeat">
      <a:schemeClr val="dk1"/>
    </dgm:txFillClrLst>
    <dgm:txEffectClrLst/>
  </dgm:styleLbl>
  <dgm:styleLbl name="b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fgAcc0">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2">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3">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4">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0101972-4471-4DDC-9957-8A3B79BD4BA4}" type="doc">
      <dgm:prSet loTypeId="urn:microsoft.com/office/officeart/2005/8/layout/list1" loCatId="list" qsTypeId="urn:microsoft.com/office/officeart/2005/8/quickstyle/simple2" qsCatId="simple" csTypeId="urn:microsoft.com/office/officeart/2005/8/colors/accent1_1" csCatId="accent1" phldr="1"/>
      <dgm:spPr/>
      <dgm:t>
        <a:bodyPr/>
        <a:lstStyle/>
        <a:p>
          <a:endParaRPr lang="nl-NL"/>
        </a:p>
      </dgm:t>
    </dgm:pt>
    <dgm:pt modelId="{83AA73D1-6EC4-4512-B528-C994114ADC20}">
      <dgm:prSet phldrT="[Text]"/>
      <dgm:spPr/>
      <dgm:t>
        <a:bodyPr/>
        <a:lstStyle/>
        <a:p>
          <a:pPr algn="ctr"/>
          <a:r>
            <a:rPr lang="nl-NL"/>
            <a:t>Introductory</a:t>
          </a:r>
        </a:p>
      </dgm:t>
    </dgm:pt>
    <dgm:pt modelId="{75D4FF36-D683-4880-971C-D83305A22854}" type="parTrans" cxnId="{5F35851A-34F4-4CDB-B789-87F7F3531110}">
      <dgm:prSet/>
      <dgm:spPr/>
      <dgm:t>
        <a:bodyPr/>
        <a:lstStyle/>
        <a:p>
          <a:endParaRPr lang="nl-NL"/>
        </a:p>
      </dgm:t>
    </dgm:pt>
    <dgm:pt modelId="{5A12287E-B66B-48A1-AB4A-9FEFB14AFE20}" type="sibTrans" cxnId="{5F35851A-34F4-4CDB-B789-87F7F3531110}">
      <dgm:prSet/>
      <dgm:spPr/>
      <dgm:t>
        <a:bodyPr/>
        <a:lstStyle/>
        <a:p>
          <a:endParaRPr lang="nl-NL"/>
        </a:p>
      </dgm:t>
    </dgm:pt>
    <dgm:pt modelId="{23EB0F02-E74B-4F53-94C5-EF068F486B5F}">
      <dgm:prSet phldrT="[Text]"/>
      <dgm:spPr/>
      <dgm:t>
        <a:bodyPr/>
        <a:lstStyle/>
        <a:p>
          <a:pPr algn="ctr"/>
          <a:r>
            <a:rPr lang="nl-NL"/>
            <a:t>Analyzing &amp; scientifically declaring</a:t>
          </a:r>
        </a:p>
      </dgm:t>
    </dgm:pt>
    <dgm:pt modelId="{D80B6BB7-8136-40AA-B751-3E1171C26722}" type="parTrans" cxnId="{09A5E301-D933-4D12-872C-FB3F6308BED1}">
      <dgm:prSet/>
      <dgm:spPr/>
      <dgm:t>
        <a:bodyPr/>
        <a:lstStyle/>
        <a:p>
          <a:endParaRPr lang="nl-NL"/>
        </a:p>
      </dgm:t>
    </dgm:pt>
    <dgm:pt modelId="{BD2C095E-41AC-4451-823B-8FA43768CFD9}" type="sibTrans" cxnId="{09A5E301-D933-4D12-872C-FB3F6308BED1}">
      <dgm:prSet/>
      <dgm:spPr/>
      <dgm:t>
        <a:bodyPr/>
        <a:lstStyle/>
        <a:p>
          <a:endParaRPr lang="nl-NL"/>
        </a:p>
      </dgm:t>
    </dgm:pt>
    <dgm:pt modelId="{59167535-ED04-4C45-8895-A977A0B6BFA7}">
      <dgm:prSet phldrT="[Text]"/>
      <dgm:spPr/>
      <dgm:t>
        <a:bodyPr/>
        <a:lstStyle/>
        <a:p>
          <a:pPr algn="ctr"/>
          <a:r>
            <a:rPr lang="nl-NL"/>
            <a:t>Presentation of the research</a:t>
          </a:r>
        </a:p>
      </dgm:t>
    </dgm:pt>
    <dgm:pt modelId="{24EE2834-AD68-4400-8A4D-94B7BFB808D5}" type="parTrans" cxnId="{3FD63523-3551-4023-81DB-459B1FE2B115}">
      <dgm:prSet/>
      <dgm:spPr/>
      <dgm:t>
        <a:bodyPr/>
        <a:lstStyle/>
        <a:p>
          <a:endParaRPr lang="nl-NL"/>
        </a:p>
      </dgm:t>
    </dgm:pt>
    <dgm:pt modelId="{C7780BCC-E877-4785-B33A-1485DAC625FE}" type="sibTrans" cxnId="{3FD63523-3551-4023-81DB-459B1FE2B115}">
      <dgm:prSet/>
      <dgm:spPr/>
      <dgm:t>
        <a:bodyPr/>
        <a:lstStyle/>
        <a:p>
          <a:endParaRPr lang="nl-NL"/>
        </a:p>
      </dgm:t>
    </dgm:pt>
    <dgm:pt modelId="{61BC4CA8-31D7-4A44-AD85-BDB939084B04}">
      <dgm:prSet/>
      <dgm:spPr/>
      <dgm:t>
        <a:bodyPr/>
        <a:lstStyle/>
        <a:p>
          <a:r>
            <a:rPr lang="nl-NL" sz="1500"/>
            <a:t>1 Introduction</a:t>
          </a:r>
        </a:p>
      </dgm:t>
    </dgm:pt>
    <dgm:pt modelId="{AFFA015A-C398-44FB-A481-E625C74626AA}" type="parTrans" cxnId="{3DAA8BD6-3681-4A8A-B976-8C18BE0D0853}">
      <dgm:prSet/>
      <dgm:spPr/>
      <dgm:t>
        <a:bodyPr/>
        <a:lstStyle/>
        <a:p>
          <a:endParaRPr lang="nl-NL"/>
        </a:p>
      </dgm:t>
    </dgm:pt>
    <dgm:pt modelId="{A4AB431B-EB87-4C71-B6D4-DA9DDBFE2E9C}" type="sibTrans" cxnId="{3DAA8BD6-3681-4A8A-B976-8C18BE0D0853}">
      <dgm:prSet/>
      <dgm:spPr/>
      <dgm:t>
        <a:bodyPr/>
        <a:lstStyle/>
        <a:p>
          <a:endParaRPr lang="nl-NL"/>
        </a:p>
      </dgm:t>
    </dgm:pt>
    <dgm:pt modelId="{0963CF22-9117-4E83-989F-2C5F1FC8A5EE}">
      <dgm:prSet/>
      <dgm:spPr/>
      <dgm:t>
        <a:bodyPr/>
        <a:lstStyle/>
        <a:p>
          <a:r>
            <a:rPr lang="nl-NL" sz="1500"/>
            <a:t>2 Theoretical framework</a:t>
          </a:r>
        </a:p>
      </dgm:t>
    </dgm:pt>
    <dgm:pt modelId="{C9E91143-FFE3-43CB-8CD9-7212EAF3E1AE}" type="parTrans" cxnId="{70CA7D1F-3EEB-4C00-B573-FA65214B398A}">
      <dgm:prSet/>
      <dgm:spPr/>
      <dgm:t>
        <a:bodyPr/>
        <a:lstStyle/>
        <a:p>
          <a:endParaRPr lang="nl-NL"/>
        </a:p>
      </dgm:t>
    </dgm:pt>
    <dgm:pt modelId="{438CFA10-FCE0-4C47-A64C-243AA807A980}" type="sibTrans" cxnId="{70CA7D1F-3EEB-4C00-B573-FA65214B398A}">
      <dgm:prSet/>
      <dgm:spPr/>
      <dgm:t>
        <a:bodyPr/>
        <a:lstStyle/>
        <a:p>
          <a:endParaRPr lang="nl-NL"/>
        </a:p>
      </dgm:t>
    </dgm:pt>
    <dgm:pt modelId="{5C2F5E30-5ACF-4541-85B5-447319CFC0E0}">
      <dgm:prSet custT="1"/>
      <dgm:spPr/>
      <dgm:t>
        <a:bodyPr/>
        <a:lstStyle/>
        <a:p>
          <a:r>
            <a:rPr lang="nl-NL" sz="1100"/>
            <a:t> Logistics services providers</a:t>
          </a:r>
        </a:p>
      </dgm:t>
    </dgm:pt>
    <dgm:pt modelId="{CDEB1867-DFF9-4B21-AFC1-FD509B8628B9}" type="parTrans" cxnId="{D96B32D8-EF6F-48F0-8C51-20D68762DF57}">
      <dgm:prSet/>
      <dgm:spPr/>
      <dgm:t>
        <a:bodyPr/>
        <a:lstStyle/>
        <a:p>
          <a:endParaRPr lang="nl-NL"/>
        </a:p>
      </dgm:t>
    </dgm:pt>
    <dgm:pt modelId="{6319A481-7D75-4F28-8925-222B42565E04}" type="sibTrans" cxnId="{D96B32D8-EF6F-48F0-8C51-20D68762DF57}">
      <dgm:prSet/>
      <dgm:spPr/>
      <dgm:t>
        <a:bodyPr/>
        <a:lstStyle/>
        <a:p>
          <a:endParaRPr lang="nl-NL"/>
        </a:p>
      </dgm:t>
    </dgm:pt>
    <dgm:pt modelId="{775744C2-BD90-44AA-B555-AFA984F257D6}">
      <dgm:prSet custT="1"/>
      <dgm:spPr/>
      <dgm:t>
        <a:bodyPr/>
        <a:lstStyle/>
        <a:p>
          <a:r>
            <a:rPr lang="nl-NL" sz="1100"/>
            <a:t> The historical development of the TPL business</a:t>
          </a:r>
        </a:p>
      </dgm:t>
    </dgm:pt>
    <dgm:pt modelId="{85C6210F-B6EE-4E85-AA36-0B56B028264F}" type="parTrans" cxnId="{D36CC1E0-B0FA-4509-B7BF-832E1CD46861}">
      <dgm:prSet/>
      <dgm:spPr/>
      <dgm:t>
        <a:bodyPr/>
        <a:lstStyle/>
        <a:p>
          <a:endParaRPr lang="nl-NL"/>
        </a:p>
      </dgm:t>
    </dgm:pt>
    <dgm:pt modelId="{4D3F6387-195C-4185-BB45-5E103F8B572D}" type="sibTrans" cxnId="{D36CC1E0-B0FA-4509-B7BF-832E1CD46861}">
      <dgm:prSet/>
      <dgm:spPr/>
      <dgm:t>
        <a:bodyPr/>
        <a:lstStyle/>
        <a:p>
          <a:endParaRPr lang="nl-NL"/>
        </a:p>
      </dgm:t>
    </dgm:pt>
    <dgm:pt modelId="{24F9BF7F-DDA5-40C2-8263-A25CB22A94E5}">
      <dgm:prSet custT="1"/>
      <dgm:spPr/>
      <dgm:t>
        <a:bodyPr/>
        <a:lstStyle/>
        <a:p>
          <a:r>
            <a:rPr lang="nl-NL" sz="1100"/>
            <a:t> Outsourcing logistics</a:t>
          </a:r>
        </a:p>
      </dgm:t>
    </dgm:pt>
    <dgm:pt modelId="{B3FB9D91-F254-4BD5-93B2-9B9CDF7779CA}" type="parTrans" cxnId="{EE9E7C7F-B590-4D6A-91C6-150C3E1409AB}">
      <dgm:prSet/>
      <dgm:spPr/>
      <dgm:t>
        <a:bodyPr/>
        <a:lstStyle/>
        <a:p>
          <a:endParaRPr lang="nl-NL"/>
        </a:p>
      </dgm:t>
    </dgm:pt>
    <dgm:pt modelId="{1426DAF7-233D-4859-8A00-2159B78CB4BA}" type="sibTrans" cxnId="{EE9E7C7F-B590-4D6A-91C6-150C3E1409AB}">
      <dgm:prSet/>
      <dgm:spPr/>
      <dgm:t>
        <a:bodyPr/>
        <a:lstStyle/>
        <a:p>
          <a:endParaRPr lang="nl-NL"/>
        </a:p>
      </dgm:t>
    </dgm:pt>
    <dgm:pt modelId="{3154AE11-0D74-4C53-ABD4-1936DED79B8D}">
      <dgm:prSet/>
      <dgm:spPr/>
      <dgm:t>
        <a:bodyPr/>
        <a:lstStyle/>
        <a:p>
          <a:r>
            <a:rPr lang="nl-NL" sz="1500"/>
            <a:t>2 Theoretical framework</a:t>
          </a:r>
        </a:p>
      </dgm:t>
    </dgm:pt>
    <dgm:pt modelId="{E8CDE458-E9E2-4CB5-9A62-20EE89EE745F}" type="parTrans" cxnId="{A413172E-BE85-470D-9320-2BC7FF56C6C8}">
      <dgm:prSet/>
      <dgm:spPr/>
      <dgm:t>
        <a:bodyPr/>
        <a:lstStyle/>
        <a:p>
          <a:endParaRPr lang="nl-NL"/>
        </a:p>
      </dgm:t>
    </dgm:pt>
    <dgm:pt modelId="{4027A225-3D1E-475C-8CA0-24190C846B53}" type="sibTrans" cxnId="{A413172E-BE85-470D-9320-2BC7FF56C6C8}">
      <dgm:prSet/>
      <dgm:spPr/>
      <dgm:t>
        <a:bodyPr/>
        <a:lstStyle/>
        <a:p>
          <a:endParaRPr lang="nl-NL"/>
        </a:p>
      </dgm:t>
    </dgm:pt>
    <dgm:pt modelId="{5CE3D78F-F42F-4257-8080-6DCBA0179755}">
      <dgm:prSet custT="1"/>
      <dgm:spPr/>
      <dgm:t>
        <a:bodyPr/>
        <a:lstStyle/>
        <a:p>
          <a:r>
            <a:rPr lang="nl-NL" sz="1100"/>
            <a:t> TPL buyer-supplier relationships</a:t>
          </a:r>
        </a:p>
      </dgm:t>
    </dgm:pt>
    <dgm:pt modelId="{126CE063-DFAD-4667-8FD8-2EA2B5CD4A34}" type="parTrans" cxnId="{4A684751-F2A5-46FB-B519-27C4E4A53710}">
      <dgm:prSet/>
      <dgm:spPr/>
      <dgm:t>
        <a:bodyPr/>
        <a:lstStyle/>
        <a:p>
          <a:endParaRPr lang="nl-NL"/>
        </a:p>
      </dgm:t>
    </dgm:pt>
    <dgm:pt modelId="{7A7B8B4E-95ED-4EB5-9760-FD868ECCA1F1}" type="sibTrans" cxnId="{4A684751-F2A5-46FB-B519-27C4E4A53710}">
      <dgm:prSet/>
      <dgm:spPr/>
      <dgm:t>
        <a:bodyPr/>
        <a:lstStyle/>
        <a:p>
          <a:endParaRPr lang="nl-NL"/>
        </a:p>
      </dgm:t>
    </dgm:pt>
    <dgm:pt modelId="{662E9D14-AA20-499A-BAA6-E3570B262104}">
      <dgm:prSet custT="1"/>
      <dgm:spPr/>
      <dgm:t>
        <a:bodyPr/>
        <a:lstStyle/>
        <a:p>
          <a:r>
            <a:rPr lang="nl-NL" sz="1100"/>
            <a:t> The geographic service area of TPL providers</a:t>
          </a:r>
        </a:p>
      </dgm:t>
    </dgm:pt>
    <dgm:pt modelId="{4F76E2B1-BFF5-4520-AE63-D75238E27CC8}" type="parTrans" cxnId="{EE1BFD60-45EB-4B0A-B32E-F8BE3B8C10E3}">
      <dgm:prSet/>
      <dgm:spPr/>
      <dgm:t>
        <a:bodyPr/>
        <a:lstStyle/>
        <a:p>
          <a:endParaRPr lang="nl-NL"/>
        </a:p>
      </dgm:t>
    </dgm:pt>
    <dgm:pt modelId="{BD487FF0-6B5D-4356-97A3-CA1BF2A2C864}" type="sibTrans" cxnId="{EE1BFD60-45EB-4B0A-B32E-F8BE3B8C10E3}">
      <dgm:prSet/>
      <dgm:spPr/>
      <dgm:t>
        <a:bodyPr/>
        <a:lstStyle/>
        <a:p>
          <a:endParaRPr lang="nl-NL"/>
        </a:p>
      </dgm:t>
    </dgm:pt>
    <dgm:pt modelId="{6D476622-4F4E-46F7-9CE1-E0840554670D}">
      <dgm:prSet custT="1"/>
      <dgm:spPr/>
      <dgm:t>
        <a:bodyPr/>
        <a:lstStyle/>
        <a:p>
          <a:r>
            <a:rPr lang="nl-NL" sz="1100"/>
            <a:t> TPL providers' capabilities and the role of path dependency</a:t>
          </a:r>
        </a:p>
      </dgm:t>
    </dgm:pt>
    <dgm:pt modelId="{F7FFDB1B-0601-452A-97C5-D94293B449AD}" type="parTrans" cxnId="{64444FD9-D868-4F46-B699-5363390B110E}">
      <dgm:prSet/>
      <dgm:spPr/>
      <dgm:t>
        <a:bodyPr/>
        <a:lstStyle/>
        <a:p>
          <a:endParaRPr lang="nl-NL"/>
        </a:p>
      </dgm:t>
    </dgm:pt>
    <dgm:pt modelId="{FFC1A5F5-0174-4C56-A57F-BE28AC253598}" type="sibTrans" cxnId="{64444FD9-D868-4F46-B699-5363390B110E}">
      <dgm:prSet/>
      <dgm:spPr/>
      <dgm:t>
        <a:bodyPr/>
        <a:lstStyle/>
        <a:p>
          <a:endParaRPr lang="nl-NL"/>
        </a:p>
      </dgm:t>
    </dgm:pt>
    <dgm:pt modelId="{E255B43C-3024-4E81-80A4-A7CD7FC41B56}">
      <dgm:prSet custT="1"/>
      <dgm:spPr/>
      <dgm:t>
        <a:bodyPr/>
        <a:lstStyle/>
        <a:p>
          <a:r>
            <a:rPr lang="nl-NL" sz="1100"/>
            <a:t> Client specific investments</a:t>
          </a:r>
        </a:p>
      </dgm:t>
    </dgm:pt>
    <dgm:pt modelId="{AE40FC06-66D6-454B-A3D3-4E731CAE2893}" type="parTrans" cxnId="{31640E26-F8A1-4123-A3DE-7211BADF18BE}">
      <dgm:prSet/>
      <dgm:spPr/>
      <dgm:t>
        <a:bodyPr/>
        <a:lstStyle/>
        <a:p>
          <a:endParaRPr lang="nl-NL"/>
        </a:p>
      </dgm:t>
    </dgm:pt>
    <dgm:pt modelId="{A69888A2-397E-48D0-9734-F66EA2F7448C}" type="sibTrans" cxnId="{31640E26-F8A1-4123-A3DE-7211BADF18BE}">
      <dgm:prSet/>
      <dgm:spPr/>
      <dgm:t>
        <a:bodyPr/>
        <a:lstStyle/>
        <a:p>
          <a:endParaRPr lang="nl-NL"/>
        </a:p>
      </dgm:t>
    </dgm:pt>
    <dgm:pt modelId="{D1F37010-60B5-4C58-94D4-1B3592E19E5F}">
      <dgm:prSet custT="1"/>
      <dgm:spPr/>
      <dgm:t>
        <a:bodyPr/>
        <a:lstStyle/>
        <a:p>
          <a:r>
            <a:rPr lang="nl-NL" sz="1100"/>
            <a:t> Customer adaption versus offering general services</a:t>
          </a:r>
        </a:p>
      </dgm:t>
    </dgm:pt>
    <dgm:pt modelId="{F0A494A3-BF04-44E6-8BAE-7608AA50B172}" type="parTrans" cxnId="{B4AF78A8-4F09-4407-B551-B9F65CBE1EDA}">
      <dgm:prSet/>
      <dgm:spPr/>
      <dgm:t>
        <a:bodyPr/>
        <a:lstStyle/>
        <a:p>
          <a:endParaRPr lang="nl-NL"/>
        </a:p>
      </dgm:t>
    </dgm:pt>
    <dgm:pt modelId="{50304BC1-7749-45E5-A9D5-5A39A9894012}" type="sibTrans" cxnId="{B4AF78A8-4F09-4407-B551-B9F65CBE1EDA}">
      <dgm:prSet/>
      <dgm:spPr/>
      <dgm:t>
        <a:bodyPr/>
        <a:lstStyle/>
        <a:p>
          <a:endParaRPr lang="nl-NL"/>
        </a:p>
      </dgm:t>
    </dgm:pt>
    <dgm:pt modelId="{BAC0C5B3-43D1-4914-B0D5-4741B5E3790C}">
      <dgm:prSet custT="1"/>
      <dgm:spPr/>
      <dgm:t>
        <a:bodyPr/>
        <a:lstStyle/>
        <a:p>
          <a:r>
            <a:rPr lang="nl-NL" sz="1100"/>
            <a:t> Environmental awareness in the TPL industry</a:t>
          </a:r>
        </a:p>
      </dgm:t>
    </dgm:pt>
    <dgm:pt modelId="{4E545BF6-0F4B-4DF1-A64C-177012930C20}" type="parTrans" cxnId="{B7DDEB9F-4F03-4DEC-8F55-2734C62A638B}">
      <dgm:prSet/>
      <dgm:spPr/>
      <dgm:t>
        <a:bodyPr/>
        <a:lstStyle/>
        <a:p>
          <a:endParaRPr lang="nl-NL"/>
        </a:p>
      </dgm:t>
    </dgm:pt>
    <dgm:pt modelId="{DC65353A-E947-4990-B999-1353C4F2E612}" type="sibTrans" cxnId="{B7DDEB9F-4F03-4DEC-8F55-2734C62A638B}">
      <dgm:prSet/>
      <dgm:spPr/>
      <dgm:t>
        <a:bodyPr/>
        <a:lstStyle/>
        <a:p>
          <a:endParaRPr lang="nl-NL"/>
        </a:p>
      </dgm:t>
    </dgm:pt>
    <dgm:pt modelId="{376AF77A-7D78-4932-89FB-9046273D7E6F}">
      <dgm:prSet custT="1"/>
      <dgm:spPr/>
      <dgm:t>
        <a:bodyPr/>
        <a:lstStyle/>
        <a:p>
          <a:r>
            <a:rPr lang="nl-NL" sz="1100"/>
            <a:t> Value added logistics</a:t>
          </a:r>
        </a:p>
      </dgm:t>
    </dgm:pt>
    <dgm:pt modelId="{07053E54-6766-4546-A93E-8F387B87545D}" type="parTrans" cxnId="{93F68F72-A32F-4DF5-B7B4-A087F5E84306}">
      <dgm:prSet/>
      <dgm:spPr/>
      <dgm:t>
        <a:bodyPr/>
        <a:lstStyle/>
        <a:p>
          <a:endParaRPr lang="nl-NL"/>
        </a:p>
      </dgm:t>
    </dgm:pt>
    <dgm:pt modelId="{1D2E20CA-3985-4BFB-9FBB-CE50F0B982B1}" type="sibTrans" cxnId="{93F68F72-A32F-4DF5-B7B4-A087F5E84306}">
      <dgm:prSet/>
      <dgm:spPr/>
      <dgm:t>
        <a:bodyPr/>
        <a:lstStyle/>
        <a:p>
          <a:endParaRPr lang="nl-NL"/>
        </a:p>
      </dgm:t>
    </dgm:pt>
    <dgm:pt modelId="{2FEF39B8-A74C-4F4A-B289-C0B12A9C41EF}">
      <dgm:prSet custT="1"/>
      <dgm:spPr/>
      <dgm:t>
        <a:bodyPr/>
        <a:lstStyle/>
        <a:p>
          <a:r>
            <a:rPr lang="nl-NL" sz="1100"/>
            <a:t> Capturing the supply chain</a:t>
          </a:r>
        </a:p>
      </dgm:t>
    </dgm:pt>
    <dgm:pt modelId="{D954B4D9-8260-48BE-BC43-49F24CCC2FD0}" type="parTrans" cxnId="{9DC9039B-430F-4D8B-8317-3D969E8F7908}">
      <dgm:prSet/>
      <dgm:spPr/>
      <dgm:t>
        <a:bodyPr/>
        <a:lstStyle/>
        <a:p>
          <a:endParaRPr lang="nl-NL"/>
        </a:p>
      </dgm:t>
    </dgm:pt>
    <dgm:pt modelId="{C2DEEB7E-BF00-4D8D-943E-1C9ECE13383F}" type="sibTrans" cxnId="{9DC9039B-430F-4D8B-8317-3D969E8F7908}">
      <dgm:prSet/>
      <dgm:spPr/>
      <dgm:t>
        <a:bodyPr/>
        <a:lstStyle/>
        <a:p>
          <a:endParaRPr lang="nl-NL"/>
        </a:p>
      </dgm:t>
    </dgm:pt>
    <dgm:pt modelId="{A92BB487-0A30-4FD9-9EA8-3CDB6B1C514B}">
      <dgm:prSet custT="1"/>
      <dgm:spPr/>
      <dgm:t>
        <a:bodyPr/>
        <a:lstStyle/>
        <a:p>
          <a:endParaRPr lang="nl-NL" sz="1100"/>
        </a:p>
      </dgm:t>
    </dgm:pt>
    <dgm:pt modelId="{80632787-A831-4442-B659-4D381A4A3798}" type="parTrans" cxnId="{B0DC4AFD-44FB-4FD7-B728-EBAEB2216AE3}">
      <dgm:prSet/>
      <dgm:spPr/>
    </dgm:pt>
    <dgm:pt modelId="{F8043E51-EF50-414A-B263-5ED55F460876}" type="sibTrans" cxnId="{B0DC4AFD-44FB-4FD7-B728-EBAEB2216AE3}">
      <dgm:prSet/>
      <dgm:spPr/>
    </dgm:pt>
    <dgm:pt modelId="{52C618DC-DBF8-438C-9B3E-AAD3DCEF3452}">
      <dgm:prSet/>
      <dgm:spPr/>
      <dgm:t>
        <a:bodyPr/>
        <a:lstStyle/>
        <a:p>
          <a:r>
            <a:rPr lang="nl-NL"/>
            <a:t>3 Methodology</a:t>
          </a:r>
        </a:p>
      </dgm:t>
    </dgm:pt>
    <dgm:pt modelId="{EEBF9ABE-1F42-4C39-8039-B02D80088750}" type="parTrans" cxnId="{D62BCDD3-3260-46D2-9E39-FA66626E0C0E}">
      <dgm:prSet/>
      <dgm:spPr/>
    </dgm:pt>
    <dgm:pt modelId="{DA5A4B66-859E-409C-AFEB-C6F7B6856A01}" type="sibTrans" cxnId="{D62BCDD3-3260-46D2-9E39-FA66626E0C0E}">
      <dgm:prSet/>
      <dgm:spPr/>
    </dgm:pt>
    <dgm:pt modelId="{BF665C1D-955D-4CC1-B88E-905EF14D8798}">
      <dgm:prSet/>
      <dgm:spPr/>
      <dgm:t>
        <a:bodyPr/>
        <a:lstStyle/>
        <a:p>
          <a:r>
            <a:rPr lang="nl-NL"/>
            <a:t>4 Results and analysis</a:t>
          </a:r>
        </a:p>
      </dgm:t>
    </dgm:pt>
    <dgm:pt modelId="{AAD810D1-215D-4F82-BE52-5E16845E20DC}" type="parTrans" cxnId="{2D1EC68E-F5BE-4C5A-97B8-07CD7D9AF644}">
      <dgm:prSet/>
      <dgm:spPr/>
    </dgm:pt>
    <dgm:pt modelId="{1279A88A-7D78-445A-96FB-E1E7AC3C3382}" type="sibTrans" cxnId="{2D1EC68E-F5BE-4C5A-97B8-07CD7D9AF644}">
      <dgm:prSet/>
      <dgm:spPr/>
    </dgm:pt>
    <dgm:pt modelId="{0E6567EF-7204-4266-B500-FD8B4DA8C8A6}">
      <dgm:prSet/>
      <dgm:spPr/>
      <dgm:t>
        <a:bodyPr/>
        <a:lstStyle/>
        <a:p>
          <a:r>
            <a:rPr lang="nl-NL"/>
            <a:t>5 Discussion and conclusions</a:t>
          </a:r>
        </a:p>
      </dgm:t>
    </dgm:pt>
    <dgm:pt modelId="{A0766451-23EB-4232-935A-ED9831CB89C1}" type="parTrans" cxnId="{4C59A263-7403-4300-B27B-9C39EC8C11F1}">
      <dgm:prSet/>
      <dgm:spPr/>
    </dgm:pt>
    <dgm:pt modelId="{19BB0FBA-130E-46B8-8093-A07499781006}" type="sibTrans" cxnId="{4C59A263-7403-4300-B27B-9C39EC8C11F1}">
      <dgm:prSet/>
      <dgm:spPr/>
    </dgm:pt>
    <dgm:pt modelId="{F895C27B-9ECF-4628-AB0D-C7C8E8C33C88}" type="pres">
      <dgm:prSet presAssocID="{20101972-4471-4DDC-9957-8A3B79BD4BA4}" presName="linear" presStyleCnt="0">
        <dgm:presLayoutVars>
          <dgm:dir/>
          <dgm:animLvl val="lvl"/>
          <dgm:resizeHandles val="exact"/>
        </dgm:presLayoutVars>
      </dgm:prSet>
      <dgm:spPr/>
      <dgm:t>
        <a:bodyPr/>
        <a:lstStyle/>
        <a:p>
          <a:endParaRPr lang="nl-NL"/>
        </a:p>
      </dgm:t>
    </dgm:pt>
    <dgm:pt modelId="{EFCA7FAE-57A8-424A-9A9A-9DB282553732}" type="pres">
      <dgm:prSet presAssocID="{83AA73D1-6EC4-4512-B528-C994114ADC20}" presName="parentLin" presStyleCnt="0"/>
      <dgm:spPr/>
    </dgm:pt>
    <dgm:pt modelId="{5C3C58B6-6432-4494-8198-4F17E5F05815}" type="pres">
      <dgm:prSet presAssocID="{83AA73D1-6EC4-4512-B528-C994114ADC20}" presName="parentLeftMargin" presStyleLbl="node1" presStyleIdx="0" presStyleCnt="3"/>
      <dgm:spPr/>
      <dgm:t>
        <a:bodyPr/>
        <a:lstStyle/>
        <a:p>
          <a:endParaRPr lang="nl-NL"/>
        </a:p>
      </dgm:t>
    </dgm:pt>
    <dgm:pt modelId="{3D3C0FE6-566B-403D-8A4A-0A71364DF405}" type="pres">
      <dgm:prSet presAssocID="{83AA73D1-6EC4-4512-B528-C994114ADC20}" presName="parentText" presStyleLbl="node1" presStyleIdx="0" presStyleCnt="3">
        <dgm:presLayoutVars>
          <dgm:chMax val="0"/>
          <dgm:bulletEnabled val="1"/>
        </dgm:presLayoutVars>
      </dgm:prSet>
      <dgm:spPr/>
      <dgm:t>
        <a:bodyPr/>
        <a:lstStyle/>
        <a:p>
          <a:endParaRPr lang="nl-NL"/>
        </a:p>
      </dgm:t>
    </dgm:pt>
    <dgm:pt modelId="{C03DC1D4-29F4-4965-8D13-90843B4BF287}" type="pres">
      <dgm:prSet presAssocID="{83AA73D1-6EC4-4512-B528-C994114ADC20}" presName="negativeSpace" presStyleCnt="0"/>
      <dgm:spPr/>
    </dgm:pt>
    <dgm:pt modelId="{60026787-242E-4DD6-B562-8364DFA0A979}" type="pres">
      <dgm:prSet presAssocID="{83AA73D1-6EC4-4512-B528-C994114ADC20}" presName="childText" presStyleLbl="conFgAcc1" presStyleIdx="0" presStyleCnt="3">
        <dgm:presLayoutVars>
          <dgm:bulletEnabled val="1"/>
        </dgm:presLayoutVars>
      </dgm:prSet>
      <dgm:spPr/>
      <dgm:t>
        <a:bodyPr/>
        <a:lstStyle/>
        <a:p>
          <a:endParaRPr lang="nl-NL"/>
        </a:p>
      </dgm:t>
    </dgm:pt>
    <dgm:pt modelId="{BC7A2DC7-0708-426A-83F5-A253D55740B9}" type="pres">
      <dgm:prSet presAssocID="{5A12287E-B66B-48A1-AB4A-9FEFB14AFE20}" presName="spaceBetweenRectangles" presStyleCnt="0"/>
      <dgm:spPr/>
    </dgm:pt>
    <dgm:pt modelId="{C7F4B4E4-0D99-4CC9-8C93-1C02634B4194}" type="pres">
      <dgm:prSet presAssocID="{23EB0F02-E74B-4F53-94C5-EF068F486B5F}" presName="parentLin" presStyleCnt="0"/>
      <dgm:spPr/>
    </dgm:pt>
    <dgm:pt modelId="{6E8405AE-0BF0-4CC7-851E-215180295711}" type="pres">
      <dgm:prSet presAssocID="{23EB0F02-E74B-4F53-94C5-EF068F486B5F}" presName="parentLeftMargin" presStyleLbl="node1" presStyleIdx="0" presStyleCnt="3"/>
      <dgm:spPr/>
      <dgm:t>
        <a:bodyPr/>
        <a:lstStyle/>
        <a:p>
          <a:endParaRPr lang="nl-NL"/>
        </a:p>
      </dgm:t>
    </dgm:pt>
    <dgm:pt modelId="{693590AC-98F0-4CAD-8730-EF582B9DA447}" type="pres">
      <dgm:prSet presAssocID="{23EB0F02-E74B-4F53-94C5-EF068F486B5F}" presName="parentText" presStyleLbl="node1" presStyleIdx="1" presStyleCnt="3">
        <dgm:presLayoutVars>
          <dgm:chMax val="0"/>
          <dgm:bulletEnabled val="1"/>
        </dgm:presLayoutVars>
      </dgm:prSet>
      <dgm:spPr/>
      <dgm:t>
        <a:bodyPr/>
        <a:lstStyle/>
        <a:p>
          <a:endParaRPr lang="nl-NL"/>
        </a:p>
      </dgm:t>
    </dgm:pt>
    <dgm:pt modelId="{ECF562DB-FBF1-4EBE-94E6-2661A12D996A}" type="pres">
      <dgm:prSet presAssocID="{23EB0F02-E74B-4F53-94C5-EF068F486B5F}" presName="negativeSpace" presStyleCnt="0"/>
      <dgm:spPr/>
    </dgm:pt>
    <dgm:pt modelId="{A83F3469-3733-4F2E-A603-37C4C53C8CFA}" type="pres">
      <dgm:prSet presAssocID="{23EB0F02-E74B-4F53-94C5-EF068F486B5F}" presName="childText" presStyleLbl="conFgAcc1" presStyleIdx="1" presStyleCnt="3">
        <dgm:presLayoutVars>
          <dgm:bulletEnabled val="1"/>
        </dgm:presLayoutVars>
      </dgm:prSet>
      <dgm:spPr/>
      <dgm:t>
        <a:bodyPr/>
        <a:lstStyle/>
        <a:p>
          <a:endParaRPr lang="nl-NL"/>
        </a:p>
      </dgm:t>
    </dgm:pt>
    <dgm:pt modelId="{1D39227A-32B0-4DBA-8103-586568247575}" type="pres">
      <dgm:prSet presAssocID="{BD2C095E-41AC-4451-823B-8FA43768CFD9}" presName="spaceBetweenRectangles" presStyleCnt="0"/>
      <dgm:spPr/>
    </dgm:pt>
    <dgm:pt modelId="{E1DDB623-B56B-4801-B816-0E4CC43D633A}" type="pres">
      <dgm:prSet presAssocID="{59167535-ED04-4C45-8895-A977A0B6BFA7}" presName="parentLin" presStyleCnt="0"/>
      <dgm:spPr/>
    </dgm:pt>
    <dgm:pt modelId="{ED691F8E-77C5-467C-AB2B-EEC7F24F91C8}" type="pres">
      <dgm:prSet presAssocID="{59167535-ED04-4C45-8895-A977A0B6BFA7}" presName="parentLeftMargin" presStyleLbl="node1" presStyleIdx="1" presStyleCnt="3"/>
      <dgm:spPr/>
      <dgm:t>
        <a:bodyPr/>
        <a:lstStyle/>
        <a:p>
          <a:endParaRPr lang="nl-NL"/>
        </a:p>
      </dgm:t>
    </dgm:pt>
    <dgm:pt modelId="{A2D7B9DC-F82B-4ABE-8506-37BED8B61230}" type="pres">
      <dgm:prSet presAssocID="{59167535-ED04-4C45-8895-A977A0B6BFA7}" presName="parentText" presStyleLbl="node1" presStyleIdx="2" presStyleCnt="3">
        <dgm:presLayoutVars>
          <dgm:chMax val="0"/>
          <dgm:bulletEnabled val="1"/>
        </dgm:presLayoutVars>
      </dgm:prSet>
      <dgm:spPr/>
      <dgm:t>
        <a:bodyPr/>
        <a:lstStyle/>
        <a:p>
          <a:endParaRPr lang="nl-NL"/>
        </a:p>
      </dgm:t>
    </dgm:pt>
    <dgm:pt modelId="{C27214B5-4361-43D0-9656-62C93D457CA0}" type="pres">
      <dgm:prSet presAssocID="{59167535-ED04-4C45-8895-A977A0B6BFA7}" presName="negativeSpace" presStyleCnt="0"/>
      <dgm:spPr/>
    </dgm:pt>
    <dgm:pt modelId="{C838458E-D2DA-49B2-B2B0-45C58AF912EF}" type="pres">
      <dgm:prSet presAssocID="{59167535-ED04-4C45-8895-A977A0B6BFA7}" presName="childText" presStyleLbl="conFgAcc1" presStyleIdx="2" presStyleCnt="3">
        <dgm:presLayoutVars>
          <dgm:bulletEnabled val="1"/>
        </dgm:presLayoutVars>
      </dgm:prSet>
      <dgm:spPr/>
      <dgm:t>
        <a:bodyPr/>
        <a:lstStyle/>
        <a:p>
          <a:endParaRPr lang="nl-NL"/>
        </a:p>
      </dgm:t>
    </dgm:pt>
  </dgm:ptLst>
  <dgm:cxnLst>
    <dgm:cxn modelId="{4C59A263-7403-4300-B27B-9C39EC8C11F1}" srcId="{59167535-ED04-4C45-8895-A977A0B6BFA7}" destId="{0E6567EF-7204-4266-B500-FD8B4DA8C8A6}" srcOrd="2" destOrd="0" parTransId="{A0766451-23EB-4232-935A-ED9831CB89C1}" sibTransId="{19BB0FBA-130E-46B8-8093-A07499781006}"/>
    <dgm:cxn modelId="{4D197E83-619C-440C-8A7A-C5403F3B19FD}" type="presOf" srcId="{5CE3D78F-F42F-4257-8080-6DCBA0179755}" destId="{A83F3469-3733-4F2E-A603-37C4C53C8CFA}" srcOrd="0" destOrd="1" presId="urn:microsoft.com/office/officeart/2005/8/layout/list1"/>
    <dgm:cxn modelId="{FB790ACF-8BE2-450B-867B-6886BF12EC23}" type="presOf" srcId="{59167535-ED04-4C45-8895-A977A0B6BFA7}" destId="{A2D7B9DC-F82B-4ABE-8506-37BED8B61230}" srcOrd="1" destOrd="0" presId="urn:microsoft.com/office/officeart/2005/8/layout/list1"/>
    <dgm:cxn modelId="{48A13361-42E8-4D14-AA03-9301C3DD9921}" type="presOf" srcId="{52C618DC-DBF8-438C-9B3E-AAD3DCEF3452}" destId="{C838458E-D2DA-49B2-B2B0-45C58AF912EF}" srcOrd="0" destOrd="0" presId="urn:microsoft.com/office/officeart/2005/8/layout/list1"/>
    <dgm:cxn modelId="{191D697F-7D18-4AE3-99AF-1FB32437B171}" type="presOf" srcId="{D1F37010-60B5-4C58-94D4-1B3592E19E5F}" destId="{A83F3469-3733-4F2E-A603-37C4C53C8CFA}" srcOrd="0" destOrd="5" presId="urn:microsoft.com/office/officeart/2005/8/layout/list1"/>
    <dgm:cxn modelId="{5F35851A-34F4-4CDB-B789-87F7F3531110}" srcId="{20101972-4471-4DDC-9957-8A3B79BD4BA4}" destId="{83AA73D1-6EC4-4512-B528-C994114ADC20}" srcOrd="0" destOrd="0" parTransId="{75D4FF36-D683-4880-971C-D83305A22854}" sibTransId="{5A12287E-B66B-48A1-AB4A-9FEFB14AFE20}"/>
    <dgm:cxn modelId="{B7DDEB9F-4F03-4DEC-8F55-2734C62A638B}" srcId="{3154AE11-0D74-4C53-ABD4-1936DED79B8D}" destId="{BAC0C5B3-43D1-4914-B0D5-4741B5E3790C}" srcOrd="5" destOrd="0" parTransId="{4E545BF6-0F4B-4DF1-A64C-177012930C20}" sibTransId="{DC65353A-E947-4990-B999-1353C4F2E612}"/>
    <dgm:cxn modelId="{AE93CD37-8965-4D4C-AE45-386E4728AF61}" type="presOf" srcId="{61BC4CA8-31D7-4A44-AD85-BDB939084B04}" destId="{60026787-242E-4DD6-B562-8364DFA0A979}" srcOrd="0" destOrd="0" presId="urn:microsoft.com/office/officeart/2005/8/layout/list1"/>
    <dgm:cxn modelId="{A0BD8238-AA22-4295-B2F0-64A1D7E9FC8C}" type="presOf" srcId="{376AF77A-7D78-4932-89FB-9046273D7E6F}" destId="{A83F3469-3733-4F2E-A603-37C4C53C8CFA}" srcOrd="0" destOrd="7" presId="urn:microsoft.com/office/officeart/2005/8/layout/list1"/>
    <dgm:cxn modelId="{B0DC4AFD-44FB-4FD7-B728-EBAEB2216AE3}" srcId="{23EB0F02-E74B-4F53-94C5-EF068F486B5F}" destId="{A92BB487-0A30-4FD9-9EA8-3CDB6B1C514B}" srcOrd="1" destOrd="0" parTransId="{80632787-A831-4442-B659-4D381A4A3798}" sibTransId="{F8043E51-EF50-414A-B263-5ED55F460876}"/>
    <dgm:cxn modelId="{F57B387C-0DC2-4ECC-9C4C-F3C3AA8835EA}" type="presOf" srcId="{0963CF22-9117-4E83-989F-2C5F1FC8A5EE}" destId="{60026787-242E-4DD6-B562-8364DFA0A979}" srcOrd="0" destOrd="1" presId="urn:microsoft.com/office/officeart/2005/8/layout/list1"/>
    <dgm:cxn modelId="{CB769C3F-6929-4308-B429-0E169489DCFB}" type="presOf" srcId="{3154AE11-0D74-4C53-ABD4-1936DED79B8D}" destId="{A83F3469-3733-4F2E-A603-37C4C53C8CFA}" srcOrd="0" destOrd="0" presId="urn:microsoft.com/office/officeart/2005/8/layout/list1"/>
    <dgm:cxn modelId="{943CC152-68ED-40AA-A77C-32BDE3D938D1}" type="presOf" srcId="{6D476622-4F4E-46F7-9CE1-E0840554670D}" destId="{A83F3469-3733-4F2E-A603-37C4C53C8CFA}" srcOrd="0" destOrd="3" presId="urn:microsoft.com/office/officeart/2005/8/layout/list1"/>
    <dgm:cxn modelId="{93F68F72-A32F-4DF5-B7B4-A087F5E84306}" srcId="{3154AE11-0D74-4C53-ABD4-1936DED79B8D}" destId="{376AF77A-7D78-4932-89FB-9046273D7E6F}" srcOrd="6" destOrd="0" parTransId="{07053E54-6766-4546-A93E-8F387B87545D}" sibTransId="{1D2E20CA-3985-4BFB-9FBB-CE50F0B982B1}"/>
    <dgm:cxn modelId="{15CD3331-D936-4D34-9CCE-26BA0407C31D}" type="presOf" srcId="{BAC0C5B3-43D1-4914-B0D5-4741B5E3790C}" destId="{A83F3469-3733-4F2E-A603-37C4C53C8CFA}" srcOrd="0" destOrd="6" presId="urn:microsoft.com/office/officeart/2005/8/layout/list1"/>
    <dgm:cxn modelId="{4A684751-F2A5-46FB-B519-27C4E4A53710}" srcId="{3154AE11-0D74-4C53-ABD4-1936DED79B8D}" destId="{5CE3D78F-F42F-4257-8080-6DCBA0179755}" srcOrd="0" destOrd="0" parTransId="{126CE063-DFAD-4667-8FD8-2EA2B5CD4A34}" sibTransId="{7A7B8B4E-95ED-4EB5-9760-FD868ECCA1F1}"/>
    <dgm:cxn modelId="{31640E26-F8A1-4123-A3DE-7211BADF18BE}" srcId="{3154AE11-0D74-4C53-ABD4-1936DED79B8D}" destId="{E255B43C-3024-4E81-80A4-A7CD7FC41B56}" srcOrd="3" destOrd="0" parTransId="{AE40FC06-66D6-454B-A3D3-4E731CAE2893}" sibTransId="{A69888A2-397E-48D0-9734-F66EA2F7448C}"/>
    <dgm:cxn modelId="{3050283E-6E4B-4F6A-B7A7-D4B1BFC1F2BA}" type="presOf" srcId="{24F9BF7F-DDA5-40C2-8263-A25CB22A94E5}" destId="{60026787-242E-4DD6-B562-8364DFA0A979}" srcOrd="0" destOrd="4" presId="urn:microsoft.com/office/officeart/2005/8/layout/list1"/>
    <dgm:cxn modelId="{1A421E53-9A6D-4899-A331-D733A39BB50D}" type="presOf" srcId="{23EB0F02-E74B-4F53-94C5-EF068F486B5F}" destId="{693590AC-98F0-4CAD-8730-EF582B9DA447}" srcOrd="1" destOrd="0" presId="urn:microsoft.com/office/officeart/2005/8/layout/list1"/>
    <dgm:cxn modelId="{3DAA8BD6-3681-4A8A-B976-8C18BE0D0853}" srcId="{83AA73D1-6EC4-4512-B528-C994114ADC20}" destId="{61BC4CA8-31D7-4A44-AD85-BDB939084B04}" srcOrd="0" destOrd="0" parTransId="{AFFA015A-C398-44FB-A481-E625C74626AA}" sibTransId="{A4AB431B-EB87-4C71-B6D4-DA9DDBFE2E9C}"/>
    <dgm:cxn modelId="{9DC9039B-430F-4D8B-8317-3D969E8F7908}" srcId="{3154AE11-0D74-4C53-ABD4-1936DED79B8D}" destId="{2FEF39B8-A74C-4F4A-B289-C0B12A9C41EF}" srcOrd="7" destOrd="0" parTransId="{D954B4D9-8260-48BE-BC43-49F24CCC2FD0}" sibTransId="{C2DEEB7E-BF00-4D8D-943E-1C9ECE13383F}"/>
    <dgm:cxn modelId="{CCF06031-7775-4360-9FC9-C0422E7027B7}" type="presOf" srcId="{59167535-ED04-4C45-8895-A977A0B6BFA7}" destId="{ED691F8E-77C5-467C-AB2B-EEC7F24F91C8}" srcOrd="0" destOrd="0" presId="urn:microsoft.com/office/officeart/2005/8/layout/list1"/>
    <dgm:cxn modelId="{D3E8112A-88B1-43AA-9638-00BD248201F2}" type="presOf" srcId="{83AA73D1-6EC4-4512-B528-C994114ADC20}" destId="{5C3C58B6-6432-4494-8198-4F17E5F05815}" srcOrd="0" destOrd="0" presId="urn:microsoft.com/office/officeart/2005/8/layout/list1"/>
    <dgm:cxn modelId="{D62BCDD3-3260-46D2-9E39-FA66626E0C0E}" srcId="{59167535-ED04-4C45-8895-A977A0B6BFA7}" destId="{52C618DC-DBF8-438C-9B3E-AAD3DCEF3452}" srcOrd="0" destOrd="0" parTransId="{EEBF9ABE-1F42-4C39-8039-B02D80088750}" sibTransId="{DA5A4B66-859E-409C-AFEB-C6F7B6856A01}"/>
    <dgm:cxn modelId="{EE9E7C7F-B590-4D6A-91C6-150C3E1409AB}" srcId="{0963CF22-9117-4E83-989F-2C5F1FC8A5EE}" destId="{24F9BF7F-DDA5-40C2-8263-A25CB22A94E5}" srcOrd="2" destOrd="0" parTransId="{B3FB9D91-F254-4BD5-93B2-9B9CDF7779CA}" sibTransId="{1426DAF7-233D-4859-8A00-2159B78CB4BA}"/>
    <dgm:cxn modelId="{D36CC1E0-B0FA-4509-B7BF-832E1CD46861}" srcId="{0963CF22-9117-4E83-989F-2C5F1FC8A5EE}" destId="{775744C2-BD90-44AA-B555-AFA984F257D6}" srcOrd="1" destOrd="0" parTransId="{85C6210F-B6EE-4E85-AA36-0B56B028264F}" sibTransId="{4D3F6387-195C-4185-BB45-5E103F8B572D}"/>
    <dgm:cxn modelId="{2D1EC68E-F5BE-4C5A-97B8-07CD7D9AF644}" srcId="{59167535-ED04-4C45-8895-A977A0B6BFA7}" destId="{BF665C1D-955D-4CC1-B88E-905EF14D8798}" srcOrd="1" destOrd="0" parTransId="{AAD810D1-215D-4F82-BE52-5E16845E20DC}" sibTransId="{1279A88A-7D78-445A-96FB-E1E7AC3C3382}"/>
    <dgm:cxn modelId="{5C52DABD-2007-47F3-929B-9DFE1C7B24E6}" type="presOf" srcId="{83AA73D1-6EC4-4512-B528-C994114ADC20}" destId="{3D3C0FE6-566B-403D-8A4A-0A71364DF405}" srcOrd="1" destOrd="0" presId="urn:microsoft.com/office/officeart/2005/8/layout/list1"/>
    <dgm:cxn modelId="{EE1BFD60-45EB-4B0A-B32E-F8BE3B8C10E3}" srcId="{3154AE11-0D74-4C53-ABD4-1936DED79B8D}" destId="{662E9D14-AA20-499A-BAA6-E3570B262104}" srcOrd="1" destOrd="0" parTransId="{4F76E2B1-BFF5-4520-AE63-D75238E27CC8}" sibTransId="{BD487FF0-6B5D-4356-97A3-CA1BF2A2C864}"/>
    <dgm:cxn modelId="{BEE3CA58-1603-4E38-AEAD-760094B3C470}" type="presOf" srcId="{2FEF39B8-A74C-4F4A-B289-C0B12A9C41EF}" destId="{A83F3469-3733-4F2E-A603-37C4C53C8CFA}" srcOrd="0" destOrd="8" presId="urn:microsoft.com/office/officeart/2005/8/layout/list1"/>
    <dgm:cxn modelId="{A413172E-BE85-470D-9320-2BC7FF56C6C8}" srcId="{23EB0F02-E74B-4F53-94C5-EF068F486B5F}" destId="{3154AE11-0D74-4C53-ABD4-1936DED79B8D}" srcOrd="0" destOrd="0" parTransId="{E8CDE458-E9E2-4CB5-9A62-20EE89EE745F}" sibTransId="{4027A225-3D1E-475C-8CA0-24190C846B53}"/>
    <dgm:cxn modelId="{5498F726-525C-472C-99F1-55C898613A95}" type="presOf" srcId="{E255B43C-3024-4E81-80A4-A7CD7FC41B56}" destId="{A83F3469-3733-4F2E-A603-37C4C53C8CFA}" srcOrd="0" destOrd="4" presId="urn:microsoft.com/office/officeart/2005/8/layout/list1"/>
    <dgm:cxn modelId="{571FE973-18AC-4FBD-8BF7-54074A220C87}" type="presOf" srcId="{0E6567EF-7204-4266-B500-FD8B4DA8C8A6}" destId="{C838458E-D2DA-49B2-B2B0-45C58AF912EF}" srcOrd="0" destOrd="2" presId="urn:microsoft.com/office/officeart/2005/8/layout/list1"/>
    <dgm:cxn modelId="{65D96765-008A-484C-AAB9-89A13A3190D9}" type="presOf" srcId="{A92BB487-0A30-4FD9-9EA8-3CDB6B1C514B}" destId="{A83F3469-3733-4F2E-A603-37C4C53C8CFA}" srcOrd="0" destOrd="9" presId="urn:microsoft.com/office/officeart/2005/8/layout/list1"/>
    <dgm:cxn modelId="{B4AF78A8-4F09-4407-B551-B9F65CBE1EDA}" srcId="{3154AE11-0D74-4C53-ABD4-1936DED79B8D}" destId="{D1F37010-60B5-4C58-94D4-1B3592E19E5F}" srcOrd="4" destOrd="0" parTransId="{F0A494A3-BF04-44E6-8BAE-7608AA50B172}" sibTransId="{50304BC1-7749-45E5-A9D5-5A39A9894012}"/>
    <dgm:cxn modelId="{D96B32D8-EF6F-48F0-8C51-20D68762DF57}" srcId="{0963CF22-9117-4E83-989F-2C5F1FC8A5EE}" destId="{5C2F5E30-5ACF-4541-85B5-447319CFC0E0}" srcOrd="0" destOrd="0" parTransId="{CDEB1867-DFF9-4B21-AFC1-FD509B8628B9}" sibTransId="{6319A481-7D75-4F28-8925-222B42565E04}"/>
    <dgm:cxn modelId="{E6633459-EA6F-4FEF-A8E2-6B7563AEC1FE}" type="presOf" srcId="{BF665C1D-955D-4CC1-B88E-905EF14D8798}" destId="{C838458E-D2DA-49B2-B2B0-45C58AF912EF}" srcOrd="0" destOrd="1" presId="urn:microsoft.com/office/officeart/2005/8/layout/list1"/>
    <dgm:cxn modelId="{3FD63523-3551-4023-81DB-459B1FE2B115}" srcId="{20101972-4471-4DDC-9957-8A3B79BD4BA4}" destId="{59167535-ED04-4C45-8895-A977A0B6BFA7}" srcOrd="2" destOrd="0" parTransId="{24EE2834-AD68-4400-8A4D-94B7BFB808D5}" sibTransId="{C7780BCC-E877-4785-B33A-1485DAC625FE}"/>
    <dgm:cxn modelId="{64444FD9-D868-4F46-B699-5363390B110E}" srcId="{3154AE11-0D74-4C53-ABD4-1936DED79B8D}" destId="{6D476622-4F4E-46F7-9CE1-E0840554670D}" srcOrd="2" destOrd="0" parTransId="{F7FFDB1B-0601-452A-97C5-D94293B449AD}" sibTransId="{FFC1A5F5-0174-4C56-A57F-BE28AC253598}"/>
    <dgm:cxn modelId="{7CE2489C-0B04-4417-B5A0-EF0F5EF188E9}" type="presOf" srcId="{5C2F5E30-5ACF-4541-85B5-447319CFC0E0}" destId="{60026787-242E-4DD6-B562-8364DFA0A979}" srcOrd="0" destOrd="2" presId="urn:microsoft.com/office/officeart/2005/8/layout/list1"/>
    <dgm:cxn modelId="{AB48B621-ACBD-44D4-9FE4-9BE9736305B9}" type="presOf" srcId="{23EB0F02-E74B-4F53-94C5-EF068F486B5F}" destId="{6E8405AE-0BF0-4CC7-851E-215180295711}" srcOrd="0" destOrd="0" presId="urn:microsoft.com/office/officeart/2005/8/layout/list1"/>
    <dgm:cxn modelId="{70CA7D1F-3EEB-4C00-B573-FA65214B398A}" srcId="{83AA73D1-6EC4-4512-B528-C994114ADC20}" destId="{0963CF22-9117-4E83-989F-2C5F1FC8A5EE}" srcOrd="1" destOrd="0" parTransId="{C9E91143-FFE3-43CB-8CD9-7212EAF3E1AE}" sibTransId="{438CFA10-FCE0-4C47-A64C-243AA807A980}"/>
    <dgm:cxn modelId="{C8BA83DF-D373-45FB-AB7E-BD41AD9C05DA}" type="presOf" srcId="{775744C2-BD90-44AA-B555-AFA984F257D6}" destId="{60026787-242E-4DD6-B562-8364DFA0A979}" srcOrd="0" destOrd="3" presId="urn:microsoft.com/office/officeart/2005/8/layout/list1"/>
    <dgm:cxn modelId="{09A5E301-D933-4D12-872C-FB3F6308BED1}" srcId="{20101972-4471-4DDC-9957-8A3B79BD4BA4}" destId="{23EB0F02-E74B-4F53-94C5-EF068F486B5F}" srcOrd="1" destOrd="0" parTransId="{D80B6BB7-8136-40AA-B751-3E1171C26722}" sibTransId="{BD2C095E-41AC-4451-823B-8FA43768CFD9}"/>
    <dgm:cxn modelId="{055C7C85-57FE-4656-98EA-5441A932127E}" type="presOf" srcId="{662E9D14-AA20-499A-BAA6-E3570B262104}" destId="{A83F3469-3733-4F2E-A603-37C4C53C8CFA}" srcOrd="0" destOrd="2" presId="urn:microsoft.com/office/officeart/2005/8/layout/list1"/>
    <dgm:cxn modelId="{4C3F0D16-BA7C-40B6-B5C0-4786A850D69D}" type="presOf" srcId="{20101972-4471-4DDC-9957-8A3B79BD4BA4}" destId="{F895C27B-9ECF-4628-AB0D-C7C8E8C33C88}" srcOrd="0" destOrd="0" presId="urn:microsoft.com/office/officeart/2005/8/layout/list1"/>
    <dgm:cxn modelId="{8C25BA86-74B0-4164-B871-7F70283D51CC}" type="presParOf" srcId="{F895C27B-9ECF-4628-AB0D-C7C8E8C33C88}" destId="{EFCA7FAE-57A8-424A-9A9A-9DB282553732}" srcOrd="0" destOrd="0" presId="urn:microsoft.com/office/officeart/2005/8/layout/list1"/>
    <dgm:cxn modelId="{EE2F5327-2D88-4FFD-BFAB-8C608CE5111D}" type="presParOf" srcId="{EFCA7FAE-57A8-424A-9A9A-9DB282553732}" destId="{5C3C58B6-6432-4494-8198-4F17E5F05815}" srcOrd="0" destOrd="0" presId="urn:microsoft.com/office/officeart/2005/8/layout/list1"/>
    <dgm:cxn modelId="{2626977A-1227-4378-A074-BC50008DF07F}" type="presParOf" srcId="{EFCA7FAE-57A8-424A-9A9A-9DB282553732}" destId="{3D3C0FE6-566B-403D-8A4A-0A71364DF405}" srcOrd="1" destOrd="0" presId="urn:microsoft.com/office/officeart/2005/8/layout/list1"/>
    <dgm:cxn modelId="{17694B8E-40CC-46B8-874A-1ACC22DA2F4D}" type="presParOf" srcId="{F895C27B-9ECF-4628-AB0D-C7C8E8C33C88}" destId="{C03DC1D4-29F4-4965-8D13-90843B4BF287}" srcOrd="1" destOrd="0" presId="urn:microsoft.com/office/officeart/2005/8/layout/list1"/>
    <dgm:cxn modelId="{3DC1F195-5122-4587-BF5E-3AD95C97F3C3}" type="presParOf" srcId="{F895C27B-9ECF-4628-AB0D-C7C8E8C33C88}" destId="{60026787-242E-4DD6-B562-8364DFA0A979}" srcOrd="2" destOrd="0" presId="urn:microsoft.com/office/officeart/2005/8/layout/list1"/>
    <dgm:cxn modelId="{F29679A6-B39B-46D8-9A18-14DBBA5C671E}" type="presParOf" srcId="{F895C27B-9ECF-4628-AB0D-C7C8E8C33C88}" destId="{BC7A2DC7-0708-426A-83F5-A253D55740B9}" srcOrd="3" destOrd="0" presId="urn:microsoft.com/office/officeart/2005/8/layout/list1"/>
    <dgm:cxn modelId="{8C4945B5-F763-46BB-B9BC-26C5E14A6CDC}" type="presParOf" srcId="{F895C27B-9ECF-4628-AB0D-C7C8E8C33C88}" destId="{C7F4B4E4-0D99-4CC9-8C93-1C02634B4194}" srcOrd="4" destOrd="0" presId="urn:microsoft.com/office/officeart/2005/8/layout/list1"/>
    <dgm:cxn modelId="{7A679854-2B2F-4176-80E4-21326182512E}" type="presParOf" srcId="{C7F4B4E4-0D99-4CC9-8C93-1C02634B4194}" destId="{6E8405AE-0BF0-4CC7-851E-215180295711}" srcOrd="0" destOrd="0" presId="urn:microsoft.com/office/officeart/2005/8/layout/list1"/>
    <dgm:cxn modelId="{2C2EE9AB-CD98-4BD1-95E4-EC4061FCB993}" type="presParOf" srcId="{C7F4B4E4-0D99-4CC9-8C93-1C02634B4194}" destId="{693590AC-98F0-4CAD-8730-EF582B9DA447}" srcOrd="1" destOrd="0" presId="urn:microsoft.com/office/officeart/2005/8/layout/list1"/>
    <dgm:cxn modelId="{27E2951A-686E-4ED3-B305-9F33D20DA5EC}" type="presParOf" srcId="{F895C27B-9ECF-4628-AB0D-C7C8E8C33C88}" destId="{ECF562DB-FBF1-4EBE-94E6-2661A12D996A}" srcOrd="5" destOrd="0" presId="urn:microsoft.com/office/officeart/2005/8/layout/list1"/>
    <dgm:cxn modelId="{86D7C3B4-7593-420D-B96A-7C5250DDB155}" type="presParOf" srcId="{F895C27B-9ECF-4628-AB0D-C7C8E8C33C88}" destId="{A83F3469-3733-4F2E-A603-37C4C53C8CFA}" srcOrd="6" destOrd="0" presId="urn:microsoft.com/office/officeart/2005/8/layout/list1"/>
    <dgm:cxn modelId="{56EB1254-8BC9-4C44-9203-E104D2CAD844}" type="presParOf" srcId="{F895C27B-9ECF-4628-AB0D-C7C8E8C33C88}" destId="{1D39227A-32B0-4DBA-8103-586568247575}" srcOrd="7" destOrd="0" presId="urn:microsoft.com/office/officeart/2005/8/layout/list1"/>
    <dgm:cxn modelId="{E4C99EEC-C087-4B15-A5A4-6A1E7333E5B4}" type="presParOf" srcId="{F895C27B-9ECF-4628-AB0D-C7C8E8C33C88}" destId="{E1DDB623-B56B-4801-B816-0E4CC43D633A}" srcOrd="8" destOrd="0" presId="urn:microsoft.com/office/officeart/2005/8/layout/list1"/>
    <dgm:cxn modelId="{C332A6F1-77D1-4797-85D4-589D12E2AF7B}" type="presParOf" srcId="{E1DDB623-B56B-4801-B816-0E4CC43D633A}" destId="{ED691F8E-77C5-467C-AB2B-EEC7F24F91C8}" srcOrd="0" destOrd="0" presId="urn:microsoft.com/office/officeart/2005/8/layout/list1"/>
    <dgm:cxn modelId="{B662C10C-CEE9-4DC3-B210-CE41CEF11EAA}" type="presParOf" srcId="{E1DDB623-B56B-4801-B816-0E4CC43D633A}" destId="{A2D7B9DC-F82B-4ABE-8506-37BED8B61230}" srcOrd="1" destOrd="0" presId="urn:microsoft.com/office/officeart/2005/8/layout/list1"/>
    <dgm:cxn modelId="{24DEA09D-3E03-4262-9303-6CDA83F3FF82}" type="presParOf" srcId="{F895C27B-9ECF-4628-AB0D-C7C8E8C33C88}" destId="{C27214B5-4361-43D0-9656-62C93D457CA0}" srcOrd="9" destOrd="0" presId="urn:microsoft.com/office/officeart/2005/8/layout/list1"/>
    <dgm:cxn modelId="{00006DE7-04D6-449D-BCEB-00BFC31A3DB9}" type="presParOf" srcId="{F895C27B-9ECF-4628-AB0D-C7C8E8C33C88}" destId="{C838458E-D2DA-49B2-B2B0-45C58AF912EF}" srcOrd="10" destOrd="0" presId="urn:microsoft.com/office/officeart/2005/8/layout/list1"/>
  </dgm:cxnLst>
  <dgm:bg/>
  <dgm:whole/>
  <dgm:extLst>
    <a:ext uri="http://schemas.microsoft.com/office/drawing/2008/diagram">
      <dsp:dataModelExt xmlns:dsp="http://schemas.microsoft.com/office/drawing/2008/diagram" xmlns=""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20988C4C-046A-4DFC-93AB-3C9DF7E5586A}" type="doc">
      <dgm:prSet loTypeId="urn:microsoft.com/office/officeart/2005/8/layout/list1" loCatId="list" qsTypeId="urn:microsoft.com/office/officeart/2005/8/quickstyle/simple2" qsCatId="simple" csTypeId="urn:microsoft.com/office/officeart/2005/8/colors/accent1_1" csCatId="accent1" phldr="1"/>
      <dgm:spPr/>
      <dgm:t>
        <a:bodyPr/>
        <a:lstStyle/>
        <a:p>
          <a:endParaRPr lang="nl-NL"/>
        </a:p>
      </dgm:t>
    </dgm:pt>
    <dgm:pt modelId="{42E32565-5386-4219-BA6A-D03665660F0C}">
      <dgm:prSet phldrT="[Text]" custT="1"/>
      <dgm:spPr/>
      <dgm:t>
        <a:bodyPr/>
        <a:lstStyle/>
        <a:p>
          <a:pPr algn="l"/>
          <a:r>
            <a:rPr lang="nl-NL" sz="1400">
              <a:latin typeface="+mj-lt"/>
            </a:rPr>
            <a:t>Introducing the subject</a:t>
          </a:r>
        </a:p>
      </dgm:t>
    </dgm:pt>
    <dgm:pt modelId="{4A70DA7B-7C3C-4EC1-845D-230DBE4B3ED2}" type="parTrans" cxnId="{81C2E41B-EF5C-456B-B4B1-9D3FEE453D12}">
      <dgm:prSet/>
      <dgm:spPr/>
      <dgm:t>
        <a:bodyPr/>
        <a:lstStyle/>
        <a:p>
          <a:endParaRPr lang="nl-NL"/>
        </a:p>
      </dgm:t>
    </dgm:pt>
    <dgm:pt modelId="{46D89540-93E0-4399-9C55-77D1074EA656}" type="sibTrans" cxnId="{81C2E41B-EF5C-456B-B4B1-9D3FEE453D12}">
      <dgm:prSet/>
      <dgm:spPr/>
      <dgm:t>
        <a:bodyPr/>
        <a:lstStyle/>
        <a:p>
          <a:endParaRPr lang="nl-NL"/>
        </a:p>
      </dgm:t>
    </dgm:pt>
    <dgm:pt modelId="{02CEB14C-EDD7-44E7-BF50-F2AEA525B2B4}">
      <dgm:prSet phldrT="[Text]" custT="1"/>
      <dgm:spPr/>
      <dgm:t>
        <a:bodyPr/>
        <a:lstStyle/>
        <a:p>
          <a:pPr algn="l"/>
          <a:r>
            <a:rPr lang="nl-NL" sz="1200"/>
            <a:t>2.2 The historical development of the TPL business</a:t>
          </a:r>
        </a:p>
      </dgm:t>
    </dgm:pt>
    <dgm:pt modelId="{6C848CF5-374A-48FE-9E98-E29C5AA8BF89}" type="sibTrans" cxnId="{DF1ED0E4-7472-491B-AD5C-08EE1C54A319}">
      <dgm:prSet/>
      <dgm:spPr/>
      <dgm:t>
        <a:bodyPr/>
        <a:lstStyle/>
        <a:p>
          <a:endParaRPr lang="nl-NL"/>
        </a:p>
      </dgm:t>
    </dgm:pt>
    <dgm:pt modelId="{438E3BFD-DE90-4ED3-8951-73CA6364A94F}" type="parTrans" cxnId="{DF1ED0E4-7472-491B-AD5C-08EE1C54A319}">
      <dgm:prSet/>
      <dgm:spPr/>
      <dgm:t>
        <a:bodyPr/>
        <a:lstStyle/>
        <a:p>
          <a:endParaRPr lang="nl-NL"/>
        </a:p>
      </dgm:t>
    </dgm:pt>
    <dgm:pt modelId="{01841E94-953B-4967-B2B8-FBD3EBB10AA8}">
      <dgm:prSet phldrT="[Text]" custT="1"/>
      <dgm:spPr/>
      <dgm:t>
        <a:bodyPr/>
        <a:lstStyle/>
        <a:p>
          <a:pPr algn="l"/>
          <a:r>
            <a:rPr lang="nl-NL" sz="1200"/>
            <a:t>2.1 Defining logistics services providers</a:t>
          </a:r>
        </a:p>
      </dgm:t>
    </dgm:pt>
    <dgm:pt modelId="{47B44F2F-EDE4-4BA1-B951-7DC5817ED1EB}" type="sibTrans" cxnId="{6F1B9919-99C2-4840-AA32-8A90E9F65541}">
      <dgm:prSet/>
      <dgm:spPr/>
      <dgm:t>
        <a:bodyPr/>
        <a:lstStyle/>
        <a:p>
          <a:endParaRPr lang="nl-NL"/>
        </a:p>
      </dgm:t>
    </dgm:pt>
    <dgm:pt modelId="{DBFFED86-A7FC-4D78-A7D5-BCA69EF5DEB7}" type="parTrans" cxnId="{6F1B9919-99C2-4840-AA32-8A90E9F65541}">
      <dgm:prSet/>
      <dgm:spPr/>
      <dgm:t>
        <a:bodyPr/>
        <a:lstStyle/>
        <a:p>
          <a:endParaRPr lang="nl-NL"/>
        </a:p>
      </dgm:t>
    </dgm:pt>
    <dgm:pt modelId="{5AF14276-C1F9-416F-AE3B-5931A5190E91}">
      <dgm:prSet phldrT="[Text]" custT="1"/>
      <dgm:spPr/>
      <dgm:t>
        <a:bodyPr/>
        <a:lstStyle/>
        <a:p>
          <a:pPr algn="l"/>
          <a:r>
            <a:rPr lang="nl-NL" sz="1400">
              <a:latin typeface="+mj-lt"/>
            </a:rPr>
            <a:t>Approaching the research question from multiple angles</a:t>
          </a:r>
        </a:p>
      </dgm:t>
    </dgm:pt>
    <dgm:pt modelId="{E0B5F6C6-BF78-4D58-BE2F-CACEECC1FC20}" type="sibTrans" cxnId="{167F7045-5C96-40EA-AFBF-9F73D259BF18}">
      <dgm:prSet/>
      <dgm:spPr/>
      <dgm:t>
        <a:bodyPr/>
        <a:lstStyle/>
        <a:p>
          <a:endParaRPr lang="nl-NL"/>
        </a:p>
      </dgm:t>
    </dgm:pt>
    <dgm:pt modelId="{F26BEC16-63F7-4CA6-9EF9-DE82820D0D0D}" type="parTrans" cxnId="{167F7045-5C96-40EA-AFBF-9F73D259BF18}">
      <dgm:prSet/>
      <dgm:spPr/>
      <dgm:t>
        <a:bodyPr/>
        <a:lstStyle/>
        <a:p>
          <a:endParaRPr lang="nl-NL"/>
        </a:p>
      </dgm:t>
    </dgm:pt>
    <dgm:pt modelId="{072280D9-8F63-4436-AC93-F7A676B7C569}">
      <dgm:prSet phldrT="[Text]" custT="1"/>
      <dgm:spPr/>
      <dgm:t>
        <a:bodyPr/>
        <a:lstStyle/>
        <a:p>
          <a:pPr algn="just"/>
          <a:r>
            <a:rPr lang="nl-NL" sz="1200"/>
            <a:t>2.5 The geographic service area of TPL providers</a:t>
          </a:r>
        </a:p>
      </dgm:t>
    </dgm:pt>
    <dgm:pt modelId="{2819E220-C1CB-418E-AC3F-D1B62FDB50D2}" type="sibTrans" cxnId="{6DADCF9A-7ADC-4B25-8889-5BD4667216DE}">
      <dgm:prSet/>
      <dgm:spPr/>
      <dgm:t>
        <a:bodyPr/>
        <a:lstStyle/>
        <a:p>
          <a:endParaRPr lang="nl-NL"/>
        </a:p>
      </dgm:t>
    </dgm:pt>
    <dgm:pt modelId="{99084892-AD9F-4AF8-85C2-97E672528D92}" type="parTrans" cxnId="{6DADCF9A-7ADC-4B25-8889-5BD4667216DE}">
      <dgm:prSet/>
      <dgm:spPr/>
      <dgm:t>
        <a:bodyPr/>
        <a:lstStyle/>
        <a:p>
          <a:endParaRPr lang="nl-NL"/>
        </a:p>
      </dgm:t>
    </dgm:pt>
    <dgm:pt modelId="{F5E8853A-7366-4525-834B-6EA8BF5F20A5}">
      <dgm:prSet phldrT="[Text]" custT="1"/>
      <dgm:spPr/>
      <dgm:t>
        <a:bodyPr/>
        <a:lstStyle/>
        <a:p>
          <a:pPr algn="just"/>
          <a:r>
            <a:rPr lang="nl-NL" sz="1200"/>
            <a:t>2.4 TPL buyer-supplier relationships</a:t>
          </a:r>
        </a:p>
      </dgm:t>
    </dgm:pt>
    <dgm:pt modelId="{60E20F9E-4253-411C-8262-956B764593BC}" type="sibTrans" cxnId="{8995A7ED-73F9-44C5-AD09-A11A7FE95104}">
      <dgm:prSet/>
      <dgm:spPr/>
      <dgm:t>
        <a:bodyPr/>
        <a:lstStyle/>
        <a:p>
          <a:endParaRPr lang="nl-NL"/>
        </a:p>
      </dgm:t>
    </dgm:pt>
    <dgm:pt modelId="{705B1F28-6320-4A36-B331-988D720D30BD}" type="parTrans" cxnId="{8995A7ED-73F9-44C5-AD09-A11A7FE95104}">
      <dgm:prSet/>
      <dgm:spPr/>
      <dgm:t>
        <a:bodyPr/>
        <a:lstStyle/>
        <a:p>
          <a:endParaRPr lang="nl-NL"/>
        </a:p>
      </dgm:t>
    </dgm:pt>
    <dgm:pt modelId="{A0A2D29B-A22B-436A-A00A-791B4F8969E0}">
      <dgm:prSet phldrT="[Text]" custT="1"/>
      <dgm:spPr/>
      <dgm:t>
        <a:bodyPr/>
        <a:lstStyle/>
        <a:p>
          <a:pPr algn="l"/>
          <a:r>
            <a:rPr lang="nl-NL" sz="1200"/>
            <a:t>2.3 Outsourcing logistics</a:t>
          </a:r>
        </a:p>
      </dgm:t>
    </dgm:pt>
    <dgm:pt modelId="{8337D1E5-E881-42A7-909E-F022DE31D427}" type="parTrans" cxnId="{50FB2CA4-DDB4-4CD0-954E-958E01447B1E}">
      <dgm:prSet/>
      <dgm:spPr/>
      <dgm:t>
        <a:bodyPr/>
        <a:lstStyle/>
        <a:p>
          <a:endParaRPr lang="nl-NL"/>
        </a:p>
      </dgm:t>
    </dgm:pt>
    <dgm:pt modelId="{D05BBDA5-5816-4CF2-AF8F-E33CDF842118}" type="sibTrans" cxnId="{50FB2CA4-DDB4-4CD0-954E-958E01447B1E}">
      <dgm:prSet/>
      <dgm:spPr/>
      <dgm:t>
        <a:bodyPr/>
        <a:lstStyle/>
        <a:p>
          <a:endParaRPr lang="nl-NL"/>
        </a:p>
      </dgm:t>
    </dgm:pt>
    <dgm:pt modelId="{EDBBCAA7-069C-445B-AB60-F7A2AEE48404}">
      <dgm:prSet phldrT="[Text]" custT="1"/>
      <dgm:spPr/>
      <dgm:t>
        <a:bodyPr/>
        <a:lstStyle/>
        <a:p>
          <a:pPr algn="just"/>
          <a:r>
            <a:rPr lang="nl-NL" sz="1200"/>
            <a:t>2.6 TPL providers' capabilities and the role of path dependency</a:t>
          </a:r>
        </a:p>
      </dgm:t>
    </dgm:pt>
    <dgm:pt modelId="{B2894781-ED09-459E-A787-6B8224644D3D}" type="parTrans" cxnId="{F2CB2648-90E9-4C87-A745-FE93A7F69B35}">
      <dgm:prSet/>
      <dgm:spPr/>
      <dgm:t>
        <a:bodyPr/>
        <a:lstStyle/>
        <a:p>
          <a:endParaRPr lang="nl-NL"/>
        </a:p>
      </dgm:t>
    </dgm:pt>
    <dgm:pt modelId="{2727E04E-129C-48F2-B9A2-7BB011737B8C}" type="sibTrans" cxnId="{F2CB2648-90E9-4C87-A745-FE93A7F69B35}">
      <dgm:prSet/>
      <dgm:spPr/>
      <dgm:t>
        <a:bodyPr/>
        <a:lstStyle/>
        <a:p>
          <a:endParaRPr lang="nl-NL"/>
        </a:p>
      </dgm:t>
    </dgm:pt>
    <dgm:pt modelId="{25BED03C-C126-4B01-AC1C-93D77B1940EB}">
      <dgm:prSet phldrT="[Text]" custT="1"/>
      <dgm:spPr/>
      <dgm:t>
        <a:bodyPr/>
        <a:lstStyle/>
        <a:p>
          <a:pPr algn="just"/>
          <a:r>
            <a:rPr lang="nl-NL" sz="1200"/>
            <a:t>2.7 Client specific investments</a:t>
          </a:r>
        </a:p>
      </dgm:t>
    </dgm:pt>
    <dgm:pt modelId="{409895EC-EBA7-42B2-B484-B520BC97FBAA}" type="parTrans" cxnId="{0A188932-23F5-4949-BD89-2FE8A1EB4040}">
      <dgm:prSet/>
      <dgm:spPr/>
      <dgm:t>
        <a:bodyPr/>
        <a:lstStyle/>
        <a:p>
          <a:endParaRPr lang="nl-NL"/>
        </a:p>
      </dgm:t>
    </dgm:pt>
    <dgm:pt modelId="{FE448AEF-D243-473B-8FA5-98A6F37C10E4}" type="sibTrans" cxnId="{0A188932-23F5-4949-BD89-2FE8A1EB4040}">
      <dgm:prSet/>
      <dgm:spPr/>
      <dgm:t>
        <a:bodyPr/>
        <a:lstStyle/>
        <a:p>
          <a:endParaRPr lang="nl-NL"/>
        </a:p>
      </dgm:t>
    </dgm:pt>
    <dgm:pt modelId="{9460FAA0-1A6C-493A-A379-D038CDFB6475}">
      <dgm:prSet phldrT="[Text]"/>
      <dgm:spPr/>
      <dgm:t>
        <a:bodyPr/>
        <a:lstStyle/>
        <a:p>
          <a:pPr algn="l"/>
          <a:endParaRPr lang="nl-NL" sz="900"/>
        </a:p>
      </dgm:t>
    </dgm:pt>
    <dgm:pt modelId="{6DDB195E-9B59-41B3-9691-125C71C02CB7}" type="parTrans" cxnId="{71DBB3F1-9883-486F-966C-6BDAD3C931FC}">
      <dgm:prSet/>
      <dgm:spPr/>
      <dgm:t>
        <a:bodyPr/>
        <a:lstStyle/>
        <a:p>
          <a:endParaRPr lang="nl-NL"/>
        </a:p>
      </dgm:t>
    </dgm:pt>
    <dgm:pt modelId="{1F5D3461-1214-4046-B5F6-C9C0E0F0F5CD}" type="sibTrans" cxnId="{71DBB3F1-9883-486F-966C-6BDAD3C931FC}">
      <dgm:prSet/>
      <dgm:spPr/>
      <dgm:t>
        <a:bodyPr/>
        <a:lstStyle/>
        <a:p>
          <a:endParaRPr lang="nl-NL"/>
        </a:p>
      </dgm:t>
    </dgm:pt>
    <dgm:pt modelId="{904BA153-B3F9-45DF-ACD3-EE17CD76F7B8}">
      <dgm:prSet phldrT="[Text]" custT="1"/>
      <dgm:spPr/>
      <dgm:t>
        <a:bodyPr/>
        <a:lstStyle/>
        <a:p>
          <a:pPr algn="just"/>
          <a:r>
            <a:rPr lang="nl-NL" sz="1200"/>
            <a:t> 2.8 Customer adaption versus offering general services</a:t>
          </a:r>
        </a:p>
      </dgm:t>
    </dgm:pt>
    <dgm:pt modelId="{71FEB99D-B0E0-45E9-BA68-CAD875E6DF82}" type="parTrans" cxnId="{10425092-6BDA-48DA-AEC2-247CB71390FB}">
      <dgm:prSet/>
      <dgm:spPr/>
      <dgm:t>
        <a:bodyPr/>
        <a:lstStyle/>
        <a:p>
          <a:endParaRPr lang="nl-NL"/>
        </a:p>
      </dgm:t>
    </dgm:pt>
    <dgm:pt modelId="{8E8DBC55-14E2-4CEF-A937-415ECCC282EE}" type="sibTrans" cxnId="{10425092-6BDA-48DA-AEC2-247CB71390FB}">
      <dgm:prSet/>
      <dgm:spPr/>
      <dgm:t>
        <a:bodyPr/>
        <a:lstStyle/>
        <a:p>
          <a:endParaRPr lang="nl-NL"/>
        </a:p>
      </dgm:t>
    </dgm:pt>
    <dgm:pt modelId="{85C62124-BE03-4B87-AD50-E92162F8EDB3}">
      <dgm:prSet phldrT="[Text]" custT="1"/>
      <dgm:spPr/>
      <dgm:t>
        <a:bodyPr/>
        <a:lstStyle/>
        <a:p>
          <a:pPr algn="just"/>
          <a:r>
            <a:rPr lang="nl-NL" sz="1200"/>
            <a:t> 2.9 Environmental awareness in the TPL industry</a:t>
          </a:r>
        </a:p>
      </dgm:t>
    </dgm:pt>
    <dgm:pt modelId="{726C3B4D-454D-445A-A7A2-0C5DF36E404C}" type="parTrans" cxnId="{86CD3236-9FE1-4D10-95A3-364E390190EE}">
      <dgm:prSet/>
      <dgm:spPr/>
      <dgm:t>
        <a:bodyPr/>
        <a:lstStyle/>
        <a:p>
          <a:endParaRPr lang="nl-NL"/>
        </a:p>
      </dgm:t>
    </dgm:pt>
    <dgm:pt modelId="{0C3E92C8-7406-4078-819D-DF965AB326BF}" type="sibTrans" cxnId="{86CD3236-9FE1-4D10-95A3-364E390190EE}">
      <dgm:prSet/>
      <dgm:spPr/>
      <dgm:t>
        <a:bodyPr/>
        <a:lstStyle/>
        <a:p>
          <a:endParaRPr lang="nl-NL"/>
        </a:p>
      </dgm:t>
    </dgm:pt>
    <dgm:pt modelId="{C01AD498-6F2A-45A6-9438-EFC40CE18D38}">
      <dgm:prSet phldrT="[Text]" custT="1"/>
      <dgm:spPr/>
      <dgm:t>
        <a:bodyPr/>
        <a:lstStyle/>
        <a:p>
          <a:pPr algn="just"/>
          <a:r>
            <a:rPr lang="nl-NL" sz="1200"/>
            <a:t>2.10 Value added logistics</a:t>
          </a:r>
        </a:p>
      </dgm:t>
    </dgm:pt>
    <dgm:pt modelId="{A1E67924-7DD8-442F-AD93-C2DAA983BE42}" type="parTrans" cxnId="{548BDFF9-0E33-479B-B7BC-5708A2A0D507}">
      <dgm:prSet/>
      <dgm:spPr/>
      <dgm:t>
        <a:bodyPr/>
        <a:lstStyle/>
        <a:p>
          <a:endParaRPr lang="nl-NL"/>
        </a:p>
      </dgm:t>
    </dgm:pt>
    <dgm:pt modelId="{30D92449-FD67-46C5-84F0-479352B8F044}" type="sibTrans" cxnId="{548BDFF9-0E33-479B-B7BC-5708A2A0D507}">
      <dgm:prSet/>
      <dgm:spPr/>
      <dgm:t>
        <a:bodyPr/>
        <a:lstStyle/>
        <a:p>
          <a:endParaRPr lang="nl-NL"/>
        </a:p>
      </dgm:t>
    </dgm:pt>
    <dgm:pt modelId="{4AB7CF06-02EF-4E35-8E53-E025F7900858}">
      <dgm:prSet phldrT="[Text]" custT="1"/>
      <dgm:spPr/>
      <dgm:t>
        <a:bodyPr/>
        <a:lstStyle/>
        <a:p>
          <a:pPr algn="just"/>
          <a:r>
            <a:rPr lang="nl-NL" sz="1200"/>
            <a:t>2.11 Capturing the supply chain</a:t>
          </a:r>
        </a:p>
      </dgm:t>
    </dgm:pt>
    <dgm:pt modelId="{433028C1-97F6-4687-A22C-283D9CD6F046}" type="parTrans" cxnId="{7C6DD51E-65D6-4443-BDC6-D30932B72C57}">
      <dgm:prSet/>
      <dgm:spPr/>
      <dgm:t>
        <a:bodyPr/>
        <a:lstStyle/>
        <a:p>
          <a:endParaRPr lang="nl-NL"/>
        </a:p>
      </dgm:t>
    </dgm:pt>
    <dgm:pt modelId="{D89FC22A-1FBC-4642-AF0E-E75F08F37688}" type="sibTrans" cxnId="{7C6DD51E-65D6-4443-BDC6-D30932B72C57}">
      <dgm:prSet/>
      <dgm:spPr/>
      <dgm:t>
        <a:bodyPr/>
        <a:lstStyle/>
        <a:p>
          <a:endParaRPr lang="nl-NL"/>
        </a:p>
      </dgm:t>
    </dgm:pt>
    <dgm:pt modelId="{9FB4DB1D-1FF1-4EDF-AFAB-F0A7EA246480}" type="pres">
      <dgm:prSet presAssocID="{20988C4C-046A-4DFC-93AB-3C9DF7E5586A}" presName="linear" presStyleCnt="0">
        <dgm:presLayoutVars>
          <dgm:dir/>
          <dgm:animLvl val="lvl"/>
          <dgm:resizeHandles val="exact"/>
        </dgm:presLayoutVars>
      </dgm:prSet>
      <dgm:spPr/>
      <dgm:t>
        <a:bodyPr/>
        <a:lstStyle/>
        <a:p>
          <a:endParaRPr lang="nl-NL"/>
        </a:p>
      </dgm:t>
    </dgm:pt>
    <dgm:pt modelId="{6C8D49F4-D5EE-4852-9D00-FE868349BAB0}" type="pres">
      <dgm:prSet presAssocID="{42E32565-5386-4219-BA6A-D03665660F0C}" presName="parentLin" presStyleCnt="0"/>
      <dgm:spPr/>
    </dgm:pt>
    <dgm:pt modelId="{872DD0DC-A04E-407B-9D47-4616D75AC91F}" type="pres">
      <dgm:prSet presAssocID="{42E32565-5386-4219-BA6A-D03665660F0C}" presName="parentLeftMargin" presStyleLbl="node1" presStyleIdx="0" presStyleCnt="2"/>
      <dgm:spPr/>
      <dgm:t>
        <a:bodyPr/>
        <a:lstStyle/>
        <a:p>
          <a:endParaRPr lang="nl-NL"/>
        </a:p>
      </dgm:t>
    </dgm:pt>
    <dgm:pt modelId="{D1B1CFCB-CE57-46BE-B453-20F4C9997716}" type="pres">
      <dgm:prSet presAssocID="{42E32565-5386-4219-BA6A-D03665660F0C}" presName="parentText" presStyleLbl="node1" presStyleIdx="0" presStyleCnt="2">
        <dgm:presLayoutVars>
          <dgm:chMax val="0"/>
          <dgm:bulletEnabled val="1"/>
        </dgm:presLayoutVars>
      </dgm:prSet>
      <dgm:spPr/>
      <dgm:t>
        <a:bodyPr/>
        <a:lstStyle/>
        <a:p>
          <a:endParaRPr lang="nl-NL"/>
        </a:p>
      </dgm:t>
    </dgm:pt>
    <dgm:pt modelId="{B8FAF726-EFC6-4BC0-9403-8BFF5114E166}" type="pres">
      <dgm:prSet presAssocID="{42E32565-5386-4219-BA6A-D03665660F0C}" presName="negativeSpace" presStyleCnt="0"/>
      <dgm:spPr/>
    </dgm:pt>
    <dgm:pt modelId="{3E84363C-A6E3-414F-BC78-268C72E2CA7B}" type="pres">
      <dgm:prSet presAssocID="{42E32565-5386-4219-BA6A-D03665660F0C}" presName="childText" presStyleLbl="conFgAcc1" presStyleIdx="0" presStyleCnt="2">
        <dgm:presLayoutVars>
          <dgm:bulletEnabled val="1"/>
        </dgm:presLayoutVars>
      </dgm:prSet>
      <dgm:spPr/>
      <dgm:t>
        <a:bodyPr/>
        <a:lstStyle/>
        <a:p>
          <a:endParaRPr lang="nl-NL"/>
        </a:p>
      </dgm:t>
    </dgm:pt>
    <dgm:pt modelId="{F5FE0165-3C3D-4EF9-9FA5-463419CFB756}" type="pres">
      <dgm:prSet presAssocID="{46D89540-93E0-4399-9C55-77D1074EA656}" presName="spaceBetweenRectangles" presStyleCnt="0"/>
      <dgm:spPr/>
    </dgm:pt>
    <dgm:pt modelId="{6CBB1225-6A5F-47E0-A364-AAE06124F7C4}" type="pres">
      <dgm:prSet presAssocID="{5AF14276-C1F9-416F-AE3B-5931A5190E91}" presName="parentLin" presStyleCnt="0"/>
      <dgm:spPr/>
    </dgm:pt>
    <dgm:pt modelId="{0B3E7AC2-3DB0-4100-8AA8-896F4283F5E8}" type="pres">
      <dgm:prSet presAssocID="{5AF14276-C1F9-416F-AE3B-5931A5190E91}" presName="parentLeftMargin" presStyleLbl="node1" presStyleIdx="0" presStyleCnt="2"/>
      <dgm:spPr/>
      <dgm:t>
        <a:bodyPr/>
        <a:lstStyle/>
        <a:p>
          <a:endParaRPr lang="nl-NL"/>
        </a:p>
      </dgm:t>
    </dgm:pt>
    <dgm:pt modelId="{AE1654CA-89B7-4AB3-8ABA-B28579AC614D}" type="pres">
      <dgm:prSet presAssocID="{5AF14276-C1F9-416F-AE3B-5931A5190E91}" presName="parentText" presStyleLbl="node1" presStyleIdx="1" presStyleCnt="2">
        <dgm:presLayoutVars>
          <dgm:chMax val="0"/>
          <dgm:bulletEnabled val="1"/>
        </dgm:presLayoutVars>
      </dgm:prSet>
      <dgm:spPr/>
      <dgm:t>
        <a:bodyPr/>
        <a:lstStyle/>
        <a:p>
          <a:endParaRPr lang="nl-NL"/>
        </a:p>
      </dgm:t>
    </dgm:pt>
    <dgm:pt modelId="{426C73A0-4AC8-42B8-8059-CA04C759AF2D}" type="pres">
      <dgm:prSet presAssocID="{5AF14276-C1F9-416F-AE3B-5931A5190E91}" presName="negativeSpace" presStyleCnt="0"/>
      <dgm:spPr/>
    </dgm:pt>
    <dgm:pt modelId="{2BBC6CE8-79BD-4226-A369-ED405C9EA37F}" type="pres">
      <dgm:prSet presAssocID="{5AF14276-C1F9-416F-AE3B-5931A5190E91}" presName="childText" presStyleLbl="conFgAcc1" presStyleIdx="1" presStyleCnt="2">
        <dgm:presLayoutVars>
          <dgm:bulletEnabled val="1"/>
        </dgm:presLayoutVars>
      </dgm:prSet>
      <dgm:spPr/>
      <dgm:t>
        <a:bodyPr/>
        <a:lstStyle/>
        <a:p>
          <a:endParaRPr lang="nl-NL"/>
        </a:p>
      </dgm:t>
    </dgm:pt>
  </dgm:ptLst>
  <dgm:cxnLst>
    <dgm:cxn modelId="{0A188932-23F5-4949-BD89-2FE8A1EB4040}" srcId="{5AF14276-C1F9-416F-AE3B-5931A5190E91}" destId="{25BED03C-C126-4B01-AC1C-93D77B1940EB}" srcOrd="3" destOrd="0" parTransId="{409895EC-EBA7-42B2-B484-B520BC97FBAA}" sibTransId="{FE448AEF-D243-473B-8FA5-98A6F37C10E4}"/>
    <dgm:cxn modelId="{6F1B9919-99C2-4840-AA32-8A90E9F65541}" srcId="{42E32565-5386-4219-BA6A-D03665660F0C}" destId="{01841E94-953B-4967-B2B8-FBD3EBB10AA8}" srcOrd="0" destOrd="0" parTransId="{DBFFED86-A7FC-4D78-A7D5-BCA69EF5DEB7}" sibTransId="{47B44F2F-EDE4-4BA1-B951-7DC5817ED1EB}"/>
    <dgm:cxn modelId="{E742706D-DC39-4AF8-AD10-502BE5680F6B}" type="presOf" srcId="{85C62124-BE03-4B87-AD50-E92162F8EDB3}" destId="{2BBC6CE8-79BD-4226-A369-ED405C9EA37F}" srcOrd="0" destOrd="5" presId="urn:microsoft.com/office/officeart/2005/8/layout/list1"/>
    <dgm:cxn modelId="{C68AE8E9-AFFE-4DA4-8F96-8B3A52796910}" type="presOf" srcId="{C01AD498-6F2A-45A6-9438-EFC40CE18D38}" destId="{2BBC6CE8-79BD-4226-A369-ED405C9EA37F}" srcOrd="0" destOrd="6" presId="urn:microsoft.com/office/officeart/2005/8/layout/list1"/>
    <dgm:cxn modelId="{50FB2CA4-DDB4-4CD0-954E-958E01447B1E}" srcId="{42E32565-5386-4219-BA6A-D03665660F0C}" destId="{A0A2D29B-A22B-436A-A00A-791B4F8969E0}" srcOrd="2" destOrd="0" parTransId="{8337D1E5-E881-42A7-909E-F022DE31D427}" sibTransId="{D05BBDA5-5816-4CF2-AF8F-E33CDF842118}"/>
    <dgm:cxn modelId="{6D8696FF-2219-4046-8E32-EC96AAFF84B8}" type="presOf" srcId="{5AF14276-C1F9-416F-AE3B-5931A5190E91}" destId="{0B3E7AC2-3DB0-4100-8AA8-896F4283F5E8}" srcOrd="0" destOrd="0" presId="urn:microsoft.com/office/officeart/2005/8/layout/list1"/>
    <dgm:cxn modelId="{F97CFC2E-3920-4B4F-BD5F-B4CFE5C95B62}" type="presOf" srcId="{5AF14276-C1F9-416F-AE3B-5931A5190E91}" destId="{AE1654CA-89B7-4AB3-8ABA-B28579AC614D}" srcOrd="1" destOrd="0" presId="urn:microsoft.com/office/officeart/2005/8/layout/list1"/>
    <dgm:cxn modelId="{DA34FBD2-64F5-4F14-A4CF-3E1E40EE4B91}" type="presOf" srcId="{01841E94-953B-4967-B2B8-FBD3EBB10AA8}" destId="{3E84363C-A6E3-414F-BC78-268C72E2CA7B}" srcOrd="0" destOrd="0" presId="urn:microsoft.com/office/officeart/2005/8/layout/list1"/>
    <dgm:cxn modelId="{CE1A09D7-3DDE-4E70-AF2F-A366905B6987}" type="presOf" srcId="{904BA153-B3F9-45DF-ACD3-EE17CD76F7B8}" destId="{2BBC6CE8-79BD-4226-A369-ED405C9EA37F}" srcOrd="0" destOrd="4" presId="urn:microsoft.com/office/officeart/2005/8/layout/list1"/>
    <dgm:cxn modelId="{548BDFF9-0E33-479B-B7BC-5708A2A0D507}" srcId="{5AF14276-C1F9-416F-AE3B-5931A5190E91}" destId="{C01AD498-6F2A-45A6-9438-EFC40CE18D38}" srcOrd="6" destOrd="0" parTransId="{A1E67924-7DD8-442F-AD93-C2DAA983BE42}" sibTransId="{30D92449-FD67-46C5-84F0-479352B8F044}"/>
    <dgm:cxn modelId="{9F22B6C9-F8E7-45DE-A5AB-3CCEE52D81AE}" type="presOf" srcId="{02CEB14C-EDD7-44E7-BF50-F2AEA525B2B4}" destId="{3E84363C-A6E3-414F-BC78-268C72E2CA7B}" srcOrd="0" destOrd="1" presId="urn:microsoft.com/office/officeart/2005/8/layout/list1"/>
    <dgm:cxn modelId="{10425092-6BDA-48DA-AEC2-247CB71390FB}" srcId="{5AF14276-C1F9-416F-AE3B-5931A5190E91}" destId="{904BA153-B3F9-45DF-ACD3-EE17CD76F7B8}" srcOrd="4" destOrd="0" parTransId="{71FEB99D-B0E0-45E9-BA68-CAD875E6DF82}" sibTransId="{8E8DBC55-14E2-4CEF-A937-415ECCC282EE}"/>
    <dgm:cxn modelId="{167F7045-5C96-40EA-AFBF-9F73D259BF18}" srcId="{20988C4C-046A-4DFC-93AB-3C9DF7E5586A}" destId="{5AF14276-C1F9-416F-AE3B-5931A5190E91}" srcOrd="1" destOrd="0" parTransId="{F26BEC16-63F7-4CA6-9EF9-DE82820D0D0D}" sibTransId="{E0B5F6C6-BF78-4D58-BE2F-CACEECC1FC20}"/>
    <dgm:cxn modelId="{4B7F176F-7F23-423E-9E4B-511A9A86F21A}" type="presOf" srcId="{25BED03C-C126-4B01-AC1C-93D77B1940EB}" destId="{2BBC6CE8-79BD-4226-A369-ED405C9EA37F}" srcOrd="0" destOrd="3" presId="urn:microsoft.com/office/officeart/2005/8/layout/list1"/>
    <dgm:cxn modelId="{8995A7ED-73F9-44C5-AD09-A11A7FE95104}" srcId="{5AF14276-C1F9-416F-AE3B-5931A5190E91}" destId="{F5E8853A-7366-4525-834B-6EA8BF5F20A5}" srcOrd="0" destOrd="0" parTransId="{705B1F28-6320-4A36-B331-988D720D30BD}" sibTransId="{60E20F9E-4253-411C-8262-956B764593BC}"/>
    <dgm:cxn modelId="{DF1ED0E4-7472-491B-AD5C-08EE1C54A319}" srcId="{42E32565-5386-4219-BA6A-D03665660F0C}" destId="{02CEB14C-EDD7-44E7-BF50-F2AEA525B2B4}" srcOrd="1" destOrd="0" parTransId="{438E3BFD-DE90-4ED3-8951-73CA6364A94F}" sibTransId="{6C848CF5-374A-48FE-9E98-E29C5AA8BF89}"/>
    <dgm:cxn modelId="{70D573AD-A3DA-4651-8949-6510A42DE80B}" type="presOf" srcId="{072280D9-8F63-4436-AC93-F7A676B7C569}" destId="{2BBC6CE8-79BD-4226-A369-ED405C9EA37F}" srcOrd="0" destOrd="1" presId="urn:microsoft.com/office/officeart/2005/8/layout/list1"/>
    <dgm:cxn modelId="{02070BCC-0970-4A07-9434-5FBB36183AAF}" type="presOf" srcId="{F5E8853A-7366-4525-834B-6EA8BF5F20A5}" destId="{2BBC6CE8-79BD-4226-A369-ED405C9EA37F}" srcOrd="0" destOrd="0" presId="urn:microsoft.com/office/officeart/2005/8/layout/list1"/>
    <dgm:cxn modelId="{DC686EFE-F273-4E12-8850-5CFCAD50B132}" type="presOf" srcId="{42E32565-5386-4219-BA6A-D03665660F0C}" destId="{D1B1CFCB-CE57-46BE-B453-20F4C9997716}" srcOrd="1" destOrd="0" presId="urn:microsoft.com/office/officeart/2005/8/layout/list1"/>
    <dgm:cxn modelId="{F2CB2648-90E9-4C87-A745-FE93A7F69B35}" srcId="{5AF14276-C1F9-416F-AE3B-5931A5190E91}" destId="{EDBBCAA7-069C-445B-AB60-F7A2AEE48404}" srcOrd="2" destOrd="0" parTransId="{B2894781-ED09-459E-A787-6B8224644D3D}" sibTransId="{2727E04E-129C-48F2-B9A2-7BB011737B8C}"/>
    <dgm:cxn modelId="{4075C650-2BB3-4284-BFC6-F2D1B75AD0D6}" type="presOf" srcId="{4AB7CF06-02EF-4E35-8E53-E025F7900858}" destId="{2BBC6CE8-79BD-4226-A369-ED405C9EA37F}" srcOrd="0" destOrd="7" presId="urn:microsoft.com/office/officeart/2005/8/layout/list1"/>
    <dgm:cxn modelId="{40CECEA2-3061-41BF-9CA9-D4328C74309F}" type="presOf" srcId="{42E32565-5386-4219-BA6A-D03665660F0C}" destId="{872DD0DC-A04E-407B-9D47-4616D75AC91F}" srcOrd="0" destOrd="0" presId="urn:microsoft.com/office/officeart/2005/8/layout/list1"/>
    <dgm:cxn modelId="{3B4D211E-911A-4748-BF2A-C38FD9002B67}" type="presOf" srcId="{20988C4C-046A-4DFC-93AB-3C9DF7E5586A}" destId="{9FB4DB1D-1FF1-4EDF-AFAB-F0A7EA246480}" srcOrd="0" destOrd="0" presId="urn:microsoft.com/office/officeart/2005/8/layout/list1"/>
    <dgm:cxn modelId="{6DADCF9A-7ADC-4B25-8889-5BD4667216DE}" srcId="{5AF14276-C1F9-416F-AE3B-5931A5190E91}" destId="{072280D9-8F63-4436-AC93-F7A676B7C569}" srcOrd="1" destOrd="0" parTransId="{99084892-AD9F-4AF8-85C2-97E672528D92}" sibTransId="{2819E220-C1CB-418E-AC3F-D1B62FDB50D2}"/>
    <dgm:cxn modelId="{080AD066-04D5-4179-9F5F-CF883FCCEE83}" type="presOf" srcId="{EDBBCAA7-069C-445B-AB60-F7A2AEE48404}" destId="{2BBC6CE8-79BD-4226-A369-ED405C9EA37F}" srcOrd="0" destOrd="2" presId="urn:microsoft.com/office/officeart/2005/8/layout/list1"/>
    <dgm:cxn modelId="{71DBB3F1-9883-486F-966C-6BDAD3C931FC}" srcId="{5AF14276-C1F9-416F-AE3B-5931A5190E91}" destId="{9460FAA0-1A6C-493A-A379-D038CDFB6475}" srcOrd="8" destOrd="0" parTransId="{6DDB195E-9B59-41B3-9691-125C71C02CB7}" sibTransId="{1F5D3461-1214-4046-B5F6-C9C0E0F0F5CD}"/>
    <dgm:cxn modelId="{81C2E41B-EF5C-456B-B4B1-9D3FEE453D12}" srcId="{20988C4C-046A-4DFC-93AB-3C9DF7E5586A}" destId="{42E32565-5386-4219-BA6A-D03665660F0C}" srcOrd="0" destOrd="0" parTransId="{4A70DA7B-7C3C-4EC1-845D-230DBE4B3ED2}" sibTransId="{46D89540-93E0-4399-9C55-77D1074EA656}"/>
    <dgm:cxn modelId="{86CD3236-9FE1-4D10-95A3-364E390190EE}" srcId="{5AF14276-C1F9-416F-AE3B-5931A5190E91}" destId="{85C62124-BE03-4B87-AD50-E92162F8EDB3}" srcOrd="5" destOrd="0" parTransId="{726C3B4D-454D-445A-A7A2-0C5DF36E404C}" sibTransId="{0C3E92C8-7406-4078-819D-DF965AB326BF}"/>
    <dgm:cxn modelId="{06C1E179-DA7E-4849-8E01-16AC4F04966F}" type="presOf" srcId="{9460FAA0-1A6C-493A-A379-D038CDFB6475}" destId="{2BBC6CE8-79BD-4226-A369-ED405C9EA37F}" srcOrd="0" destOrd="8" presId="urn:microsoft.com/office/officeart/2005/8/layout/list1"/>
    <dgm:cxn modelId="{7C6DD51E-65D6-4443-BDC6-D30932B72C57}" srcId="{5AF14276-C1F9-416F-AE3B-5931A5190E91}" destId="{4AB7CF06-02EF-4E35-8E53-E025F7900858}" srcOrd="7" destOrd="0" parTransId="{433028C1-97F6-4687-A22C-283D9CD6F046}" sibTransId="{D89FC22A-1FBC-4642-AF0E-E75F08F37688}"/>
    <dgm:cxn modelId="{899DD56C-008A-4850-8CD1-5FF6EB44FBBF}" type="presOf" srcId="{A0A2D29B-A22B-436A-A00A-791B4F8969E0}" destId="{3E84363C-A6E3-414F-BC78-268C72E2CA7B}" srcOrd="0" destOrd="2" presId="urn:microsoft.com/office/officeart/2005/8/layout/list1"/>
    <dgm:cxn modelId="{0CCE2E8C-BA88-4896-A514-2097D426FBA2}" type="presParOf" srcId="{9FB4DB1D-1FF1-4EDF-AFAB-F0A7EA246480}" destId="{6C8D49F4-D5EE-4852-9D00-FE868349BAB0}" srcOrd="0" destOrd="0" presId="urn:microsoft.com/office/officeart/2005/8/layout/list1"/>
    <dgm:cxn modelId="{293818E3-E366-4ACB-B47F-FF60C71F6E69}" type="presParOf" srcId="{6C8D49F4-D5EE-4852-9D00-FE868349BAB0}" destId="{872DD0DC-A04E-407B-9D47-4616D75AC91F}" srcOrd="0" destOrd="0" presId="urn:microsoft.com/office/officeart/2005/8/layout/list1"/>
    <dgm:cxn modelId="{76D0A4BF-DF82-4B8B-A06E-61103FB16445}" type="presParOf" srcId="{6C8D49F4-D5EE-4852-9D00-FE868349BAB0}" destId="{D1B1CFCB-CE57-46BE-B453-20F4C9997716}" srcOrd="1" destOrd="0" presId="urn:microsoft.com/office/officeart/2005/8/layout/list1"/>
    <dgm:cxn modelId="{4FBECBE0-0722-4109-BDC1-271FAEEA9C38}" type="presParOf" srcId="{9FB4DB1D-1FF1-4EDF-AFAB-F0A7EA246480}" destId="{B8FAF726-EFC6-4BC0-9403-8BFF5114E166}" srcOrd="1" destOrd="0" presId="urn:microsoft.com/office/officeart/2005/8/layout/list1"/>
    <dgm:cxn modelId="{2D94C336-1B58-4C2A-9F4E-7F4AC70FC280}" type="presParOf" srcId="{9FB4DB1D-1FF1-4EDF-AFAB-F0A7EA246480}" destId="{3E84363C-A6E3-414F-BC78-268C72E2CA7B}" srcOrd="2" destOrd="0" presId="urn:microsoft.com/office/officeart/2005/8/layout/list1"/>
    <dgm:cxn modelId="{9B82F26E-4AD2-468B-9C20-11C207AACFB8}" type="presParOf" srcId="{9FB4DB1D-1FF1-4EDF-AFAB-F0A7EA246480}" destId="{F5FE0165-3C3D-4EF9-9FA5-463419CFB756}" srcOrd="3" destOrd="0" presId="urn:microsoft.com/office/officeart/2005/8/layout/list1"/>
    <dgm:cxn modelId="{5A683FAA-14DC-41B8-9068-3CC1BB309FA4}" type="presParOf" srcId="{9FB4DB1D-1FF1-4EDF-AFAB-F0A7EA246480}" destId="{6CBB1225-6A5F-47E0-A364-AAE06124F7C4}" srcOrd="4" destOrd="0" presId="urn:microsoft.com/office/officeart/2005/8/layout/list1"/>
    <dgm:cxn modelId="{8C5619C5-E8D7-4C1D-8EB0-802468EB50C0}" type="presParOf" srcId="{6CBB1225-6A5F-47E0-A364-AAE06124F7C4}" destId="{0B3E7AC2-3DB0-4100-8AA8-896F4283F5E8}" srcOrd="0" destOrd="0" presId="urn:microsoft.com/office/officeart/2005/8/layout/list1"/>
    <dgm:cxn modelId="{D6D1E6EE-D891-4E5F-8D41-4EF50715F36C}" type="presParOf" srcId="{6CBB1225-6A5F-47E0-A364-AAE06124F7C4}" destId="{AE1654CA-89B7-4AB3-8ABA-B28579AC614D}" srcOrd="1" destOrd="0" presId="urn:microsoft.com/office/officeart/2005/8/layout/list1"/>
    <dgm:cxn modelId="{C032F6D1-98F7-4953-8D4A-CB0A8B83D359}" type="presParOf" srcId="{9FB4DB1D-1FF1-4EDF-AFAB-F0A7EA246480}" destId="{426C73A0-4AC8-42B8-8059-CA04C759AF2D}" srcOrd="5" destOrd="0" presId="urn:microsoft.com/office/officeart/2005/8/layout/list1"/>
    <dgm:cxn modelId="{CCB539DF-4F0B-4242-8FD4-72CD5BB90683}" type="presParOf" srcId="{9FB4DB1D-1FF1-4EDF-AFAB-F0A7EA246480}" destId="{2BBC6CE8-79BD-4226-A369-ED405C9EA37F}" srcOrd="6" destOrd="0" presId="urn:microsoft.com/office/officeart/2005/8/layout/list1"/>
  </dgm:cxnLst>
  <dgm:bg/>
  <dgm:whole/>
  <dgm:extLst>
    <a:ext uri="http://schemas.microsoft.com/office/drawing/2008/diagram">
      <dsp:dataModelExt xmlns:dsp="http://schemas.microsoft.com/office/drawing/2008/diagram" xmlns=""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C2B90FA7-C04E-4598-BA9A-43FFA26DC2CA}" type="doc">
      <dgm:prSet loTypeId="urn:microsoft.com/office/officeart/2005/8/layout/pyramid2" loCatId="pyramid" qsTypeId="urn:microsoft.com/office/officeart/2005/8/quickstyle/simple2" qsCatId="simple" csTypeId="urn:microsoft.com/office/officeart/2005/8/colors/accent1_1" csCatId="accent1" phldr="1"/>
      <dgm:spPr/>
    </dgm:pt>
    <dgm:pt modelId="{3283EED2-80DB-4E8A-8534-F5931B937227}">
      <dgm:prSet phldrT="[Text]"/>
      <dgm:spPr/>
      <dgm:t>
        <a:bodyPr/>
        <a:lstStyle/>
        <a:p>
          <a:r>
            <a:rPr lang="nl-NL"/>
            <a:t>4PL</a:t>
          </a:r>
        </a:p>
      </dgm:t>
    </dgm:pt>
    <dgm:pt modelId="{8F072927-2FBC-46FC-BAD7-EA425971911F}" type="parTrans" cxnId="{70326BB6-F04D-4AC5-A119-98B4F53AF35A}">
      <dgm:prSet/>
      <dgm:spPr/>
      <dgm:t>
        <a:bodyPr/>
        <a:lstStyle/>
        <a:p>
          <a:endParaRPr lang="nl-NL"/>
        </a:p>
      </dgm:t>
    </dgm:pt>
    <dgm:pt modelId="{47B72BA3-4EF5-419B-A19B-F0730A05D9FC}" type="sibTrans" cxnId="{70326BB6-F04D-4AC5-A119-98B4F53AF35A}">
      <dgm:prSet/>
      <dgm:spPr/>
      <dgm:t>
        <a:bodyPr/>
        <a:lstStyle/>
        <a:p>
          <a:endParaRPr lang="nl-NL"/>
        </a:p>
      </dgm:t>
    </dgm:pt>
    <dgm:pt modelId="{EBFD30E8-8D94-4B31-B43D-17168B970CA0}">
      <dgm:prSet phldrT="[Text]"/>
      <dgm:spPr/>
      <dgm:t>
        <a:bodyPr/>
        <a:lstStyle/>
        <a:p>
          <a:r>
            <a:rPr lang="nl-NL"/>
            <a:t>TPL</a:t>
          </a:r>
        </a:p>
      </dgm:t>
    </dgm:pt>
    <dgm:pt modelId="{1B2CB075-73BD-4A51-9756-10086E2CC6EA}" type="parTrans" cxnId="{6F248298-031E-4392-AF7E-1E32DB96D136}">
      <dgm:prSet/>
      <dgm:spPr/>
      <dgm:t>
        <a:bodyPr/>
        <a:lstStyle/>
        <a:p>
          <a:endParaRPr lang="nl-NL"/>
        </a:p>
      </dgm:t>
    </dgm:pt>
    <dgm:pt modelId="{F88BA474-3D81-4A6D-8F5B-F9E07183C77F}" type="sibTrans" cxnId="{6F248298-031E-4392-AF7E-1E32DB96D136}">
      <dgm:prSet/>
      <dgm:spPr/>
      <dgm:t>
        <a:bodyPr/>
        <a:lstStyle/>
        <a:p>
          <a:endParaRPr lang="nl-NL"/>
        </a:p>
      </dgm:t>
    </dgm:pt>
    <dgm:pt modelId="{036DA623-62BA-4A82-BE58-A98EB28DA550}">
      <dgm:prSet phldrT="[Text]"/>
      <dgm:spPr/>
      <dgm:t>
        <a:bodyPr/>
        <a:lstStyle/>
        <a:p>
          <a:r>
            <a:rPr lang="nl-NL"/>
            <a:t>Carriers &amp;  Transport operators</a:t>
          </a:r>
        </a:p>
      </dgm:t>
    </dgm:pt>
    <dgm:pt modelId="{08C0883B-761B-4BA4-8AC6-D8F7FD5477FF}" type="parTrans" cxnId="{9958D748-A1B1-4005-898A-C13398272FC8}">
      <dgm:prSet/>
      <dgm:spPr/>
      <dgm:t>
        <a:bodyPr/>
        <a:lstStyle/>
        <a:p>
          <a:endParaRPr lang="nl-NL"/>
        </a:p>
      </dgm:t>
    </dgm:pt>
    <dgm:pt modelId="{D0898BB9-31BB-4CD6-9021-369D840B6B73}" type="sibTrans" cxnId="{9958D748-A1B1-4005-898A-C13398272FC8}">
      <dgm:prSet/>
      <dgm:spPr/>
      <dgm:t>
        <a:bodyPr/>
        <a:lstStyle/>
        <a:p>
          <a:endParaRPr lang="nl-NL"/>
        </a:p>
      </dgm:t>
    </dgm:pt>
    <dgm:pt modelId="{EDCD1DE1-2218-45E2-98FE-F29FCAAB8A9A}" type="pres">
      <dgm:prSet presAssocID="{C2B90FA7-C04E-4598-BA9A-43FFA26DC2CA}" presName="compositeShape" presStyleCnt="0">
        <dgm:presLayoutVars>
          <dgm:dir/>
          <dgm:resizeHandles/>
        </dgm:presLayoutVars>
      </dgm:prSet>
      <dgm:spPr/>
    </dgm:pt>
    <dgm:pt modelId="{C283D7C3-515C-43CB-BDF7-59DD215B7F43}" type="pres">
      <dgm:prSet presAssocID="{C2B90FA7-C04E-4598-BA9A-43FFA26DC2CA}" presName="pyramid" presStyleLbl="node1" presStyleIdx="0" presStyleCnt="1"/>
      <dgm:spPr/>
    </dgm:pt>
    <dgm:pt modelId="{3931B528-E2B8-4CAD-ADAF-814D30AFA379}" type="pres">
      <dgm:prSet presAssocID="{C2B90FA7-C04E-4598-BA9A-43FFA26DC2CA}" presName="theList" presStyleCnt="0"/>
      <dgm:spPr/>
    </dgm:pt>
    <dgm:pt modelId="{E91F94E9-D0A2-429C-B4BF-B93CF955C612}" type="pres">
      <dgm:prSet presAssocID="{3283EED2-80DB-4E8A-8534-F5931B937227}" presName="aNode" presStyleLbl="fgAcc1" presStyleIdx="0" presStyleCnt="3">
        <dgm:presLayoutVars>
          <dgm:bulletEnabled val="1"/>
        </dgm:presLayoutVars>
      </dgm:prSet>
      <dgm:spPr/>
      <dgm:t>
        <a:bodyPr/>
        <a:lstStyle/>
        <a:p>
          <a:endParaRPr lang="nl-NL"/>
        </a:p>
      </dgm:t>
    </dgm:pt>
    <dgm:pt modelId="{C41B9C0A-E3D2-42EE-A7F3-A10087F58EAC}" type="pres">
      <dgm:prSet presAssocID="{3283EED2-80DB-4E8A-8534-F5931B937227}" presName="aSpace" presStyleCnt="0"/>
      <dgm:spPr/>
    </dgm:pt>
    <dgm:pt modelId="{FC908F61-B75F-4AB9-B48F-3E3515076AC0}" type="pres">
      <dgm:prSet presAssocID="{EBFD30E8-8D94-4B31-B43D-17168B970CA0}" presName="aNode" presStyleLbl="fgAcc1" presStyleIdx="1" presStyleCnt="3">
        <dgm:presLayoutVars>
          <dgm:bulletEnabled val="1"/>
        </dgm:presLayoutVars>
      </dgm:prSet>
      <dgm:spPr/>
      <dgm:t>
        <a:bodyPr/>
        <a:lstStyle/>
        <a:p>
          <a:endParaRPr lang="nl-NL"/>
        </a:p>
      </dgm:t>
    </dgm:pt>
    <dgm:pt modelId="{D19A319C-AC34-4626-BD2D-70BF418640A0}" type="pres">
      <dgm:prSet presAssocID="{EBFD30E8-8D94-4B31-B43D-17168B970CA0}" presName="aSpace" presStyleCnt="0"/>
      <dgm:spPr/>
    </dgm:pt>
    <dgm:pt modelId="{E6FEC7F9-1E70-4019-8D35-E4A3EB414358}" type="pres">
      <dgm:prSet presAssocID="{036DA623-62BA-4A82-BE58-A98EB28DA550}" presName="aNode" presStyleLbl="fgAcc1" presStyleIdx="2" presStyleCnt="3" custLinFactNeighborY="48279">
        <dgm:presLayoutVars>
          <dgm:bulletEnabled val="1"/>
        </dgm:presLayoutVars>
      </dgm:prSet>
      <dgm:spPr/>
      <dgm:t>
        <a:bodyPr/>
        <a:lstStyle/>
        <a:p>
          <a:endParaRPr lang="nl-NL"/>
        </a:p>
      </dgm:t>
    </dgm:pt>
    <dgm:pt modelId="{B48F8476-A242-4835-8D19-DB8F825975D5}" type="pres">
      <dgm:prSet presAssocID="{036DA623-62BA-4A82-BE58-A98EB28DA550}" presName="aSpace" presStyleCnt="0"/>
      <dgm:spPr/>
    </dgm:pt>
  </dgm:ptLst>
  <dgm:cxnLst>
    <dgm:cxn modelId="{2A6E601A-72BD-4CCF-8D93-7AD0F1D85A93}" type="presOf" srcId="{3283EED2-80DB-4E8A-8534-F5931B937227}" destId="{E91F94E9-D0A2-429C-B4BF-B93CF955C612}" srcOrd="0" destOrd="0" presId="urn:microsoft.com/office/officeart/2005/8/layout/pyramid2"/>
    <dgm:cxn modelId="{9958D748-A1B1-4005-898A-C13398272FC8}" srcId="{C2B90FA7-C04E-4598-BA9A-43FFA26DC2CA}" destId="{036DA623-62BA-4A82-BE58-A98EB28DA550}" srcOrd="2" destOrd="0" parTransId="{08C0883B-761B-4BA4-8AC6-D8F7FD5477FF}" sibTransId="{D0898BB9-31BB-4CD6-9021-369D840B6B73}"/>
    <dgm:cxn modelId="{1C4F47DB-CB90-47E2-B8E8-747CED97C5D0}" type="presOf" srcId="{036DA623-62BA-4A82-BE58-A98EB28DA550}" destId="{E6FEC7F9-1E70-4019-8D35-E4A3EB414358}" srcOrd="0" destOrd="0" presId="urn:microsoft.com/office/officeart/2005/8/layout/pyramid2"/>
    <dgm:cxn modelId="{14DB087E-F4A2-4DDE-B75F-443D1C3898F0}" type="presOf" srcId="{EBFD30E8-8D94-4B31-B43D-17168B970CA0}" destId="{FC908F61-B75F-4AB9-B48F-3E3515076AC0}" srcOrd="0" destOrd="0" presId="urn:microsoft.com/office/officeart/2005/8/layout/pyramid2"/>
    <dgm:cxn modelId="{D1C0AE81-E39B-4805-8BA7-7013E4D7FB96}" type="presOf" srcId="{C2B90FA7-C04E-4598-BA9A-43FFA26DC2CA}" destId="{EDCD1DE1-2218-45E2-98FE-F29FCAAB8A9A}" srcOrd="0" destOrd="0" presId="urn:microsoft.com/office/officeart/2005/8/layout/pyramid2"/>
    <dgm:cxn modelId="{70326BB6-F04D-4AC5-A119-98B4F53AF35A}" srcId="{C2B90FA7-C04E-4598-BA9A-43FFA26DC2CA}" destId="{3283EED2-80DB-4E8A-8534-F5931B937227}" srcOrd="0" destOrd="0" parTransId="{8F072927-2FBC-46FC-BAD7-EA425971911F}" sibTransId="{47B72BA3-4EF5-419B-A19B-F0730A05D9FC}"/>
    <dgm:cxn modelId="{6F248298-031E-4392-AF7E-1E32DB96D136}" srcId="{C2B90FA7-C04E-4598-BA9A-43FFA26DC2CA}" destId="{EBFD30E8-8D94-4B31-B43D-17168B970CA0}" srcOrd="1" destOrd="0" parTransId="{1B2CB075-73BD-4A51-9756-10086E2CC6EA}" sibTransId="{F88BA474-3D81-4A6D-8F5B-F9E07183C77F}"/>
    <dgm:cxn modelId="{E23383D9-F8CE-4BE2-B148-9408EB529381}" type="presParOf" srcId="{EDCD1DE1-2218-45E2-98FE-F29FCAAB8A9A}" destId="{C283D7C3-515C-43CB-BDF7-59DD215B7F43}" srcOrd="0" destOrd="0" presId="urn:microsoft.com/office/officeart/2005/8/layout/pyramid2"/>
    <dgm:cxn modelId="{808E5417-66D7-44A0-B1B3-61872B79F903}" type="presParOf" srcId="{EDCD1DE1-2218-45E2-98FE-F29FCAAB8A9A}" destId="{3931B528-E2B8-4CAD-ADAF-814D30AFA379}" srcOrd="1" destOrd="0" presId="urn:microsoft.com/office/officeart/2005/8/layout/pyramid2"/>
    <dgm:cxn modelId="{CAA41DDB-295D-47E6-B0B0-794AA574B922}" type="presParOf" srcId="{3931B528-E2B8-4CAD-ADAF-814D30AFA379}" destId="{E91F94E9-D0A2-429C-B4BF-B93CF955C612}" srcOrd="0" destOrd="0" presId="urn:microsoft.com/office/officeart/2005/8/layout/pyramid2"/>
    <dgm:cxn modelId="{E36E177F-E456-4326-B70E-ED7B7283CE38}" type="presParOf" srcId="{3931B528-E2B8-4CAD-ADAF-814D30AFA379}" destId="{C41B9C0A-E3D2-42EE-A7F3-A10087F58EAC}" srcOrd="1" destOrd="0" presId="urn:microsoft.com/office/officeart/2005/8/layout/pyramid2"/>
    <dgm:cxn modelId="{98EC9FB1-FA46-46D9-AA5C-007DFC18CB5A}" type="presParOf" srcId="{3931B528-E2B8-4CAD-ADAF-814D30AFA379}" destId="{FC908F61-B75F-4AB9-B48F-3E3515076AC0}" srcOrd="2" destOrd="0" presId="urn:microsoft.com/office/officeart/2005/8/layout/pyramid2"/>
    <dgm:cxn modelId="{5C87F613-7BDE-4A55-B106-D47A01E62415}" type="presParOf" srcId="{3931B528-E2B8-4CAD-ADAF-814D30AFA379}" destId="{D19A319C-AC34-4626-BD2D-70BF418640A0}" srcOrd="3" destOrd="0" presId="urn:microsoft.com/office/officeart/2005/8/layout/pyramid2"/>
    <dgm:cxn modelId="{D1F0B49F-B93C-4CEF-B5D9-52D51573CE6D}" type="presParOf" srcId="{3931B528-E2B8-4CAD-ADAF-814D30AFA379}" destId="{E6FEC7F9-1E70-4019-8D35-E4A3EB414358}" srcOrd="4" destOrd="0" presId="urn:microsoft.com/office/officeart/2005/8/layout/pyramid2"/>
    <dgm:cxn modelId="{CB15E8D1-02F0-4C9B-A3B7-3ADE8C6C2737}" type="presParOf" srcId="{3931B528-E2B8-4CAD-ADAF-814D30AFA379}" destId="{B48F8476-A242-4835-8D19-DB8F825975D5}" srcOrd="5" destOrd="0" presId="urn:microsoft.com/office/officeart/2005/8/layout/pyramid2"/>
  </dgm:cxnLst>
  <dgm:bg/>
  <dgm:whole/>
  <dgm:extLst>
    <a:ext uri="http://schemas.microsoft.com/office/drawing/2008/diagram">
      <dsp:dataModelExt xmlns:dsp="http://schemas.microsoft.com/office/drawing/2008/diagram" xmlns="" relId="rId25"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24E11541-24D6-4E85-83FC-6881A6AF4EF4}" type="doc">
      <dgm:prSet loTypeId="urn:microsoft.com/office/officeart/2005/8/layout/radial4" loCatId="relationship" qsTypeId="urn:microsoft.com/office/officeart/2005/8/quickstyle/simple2" qsCatId="simple" csTypeId="urn:microsoft.com/office/officeart/2005/8/colors/accent6_1" csCatId="accent6" phldr="1"/>
      <dgm:spPr/>
      <dgm:t>
        <a:bodyPr/>
        <a:lstStyle/>
        <a:p>
          <a:endParaRPr lang="nl-NL"/>
        </a:p>
      </dgm:t>
    </dgm:pt>
    <dgm:pt modelId="{A3B82F9E-4758-43EB-ADFD-9D48C41E9B71}">
      <dgm:prSet phldrT="[Text]"/>
      <dgm:spPr/>
      <dgm:t>
        <a:bodyPr/>
        <a:lstStyle/>
        <a:p>
          <a:r>
            <a:rPr lang="en-US" i="1"/>
            <a:t>“How do third party logistics providers in the Netherlands develop their business ?”</a:t>
          </a:r>
          <a:endParaRPr lang="nl-NL"/>
        </a:p>
      </dgm:t>
    </dgm:pt>
    <dgm:pt modelId="{32459C15-FA85-4DEF-8144-B3DD9DE7E5C4}" type="parTrans" cxnId="{B66276A4-A9EB-48F2-83C9-692EA617C3EC}">
      <dgm:prSet/>
      <dgm:spPr/>
      <dgm:t>
        <a:bodyPr/>
        <a:lstStyle/>
        <a:p>
          <a:endParaRPr lang="nl-NL"/>
        </a:p>
      </dgm:t>
    </dgm:pt>
    <dgm:pt modelId="{42E42A26-61E7-409B-9116-0C977BC69434}" type="sibTrans" cxnId="{B66276A4-A9EB-48F2-83C9-692EA617C3EC}">
      <dgm:prSet/>
      <dgm:spPr/>
      <dgm:t>
        <a:bodyPr/>
        <a:lstStyle/>
        <a:p>
          <a:endParaRPr lang="nl-NL"/>
        </a:p>
      </dgm:t>
    </dgm:pt>
    <dgm:pt modelId="{3123CC1C-E9C5-47E9-9AE0-1ED7E26BB104}">
      <dgm:prSet phldrT="[Text]" custT="1"/>
      <dgm:spPr/>
      <dgm:t>
        <a:bodyPr/>
        <a:lstStyle/>
        <a:p>
          <a:r>
            <a:rPr lang="en-US" sz="1100" i="1"/>
            <a:t>‘’Which value adding services are offered and what is their role in developing business?’’</a:t>
          </a:r>
          <a:endParaRPr lang="nl-NL" sz="1100"/>
        </a:p>
      </dgm:t>
    </dgm:pt>
    <dgm:pt modelId="{F0635B58-34F5-4C51-9BC9-9849111D91FC}" type="parTrans" cxnId="{34CF822D-301E-4018-8D29-021F44409AF6}">
      <dgm:prSet/>
      <dgm:spPr/>
      <dgm:t>
        <a:bodyPr/>
        <a:lstStyle/>
        <a:p>
          <a:endParaRPr lang="nl-NL"/>
        </a:p>
      </dgm:t>
    </dgm:pt>
    <dgm:pt modelId="{0DA74E49-2567-49F8-A2B1-529C3AD71AC9}" type="sibTrans" cxnId="{34CF822D-301E-4018-8D29-021F44409AF6}">
      <dgm:prSet/>
      <dgm:spPr/>
      <dgm:t>
        <a:bodyPr/>
        <a:lstStyle/>
        <a:p>
          <a:endParaRPr lang="nl-NL"/>
        </a:p>
      </dgm:t>
    </dgm:pt>
    <dgm:pt modelId="{601F2D8F-FFED-410E-8457-B91F555F70F3}">
      <dgm:prSet phldrT="[Text]" custT="1"/>
      <dgm:spPr/>
      <dgm:t>
        <a:bodyPr/>
        <a:lstStyle/>
        <a:p>
          <a:r>
            <a:rPr lang="en-US" sz="1100" i="1"/>
            <a:t>‘’ How do TPL providers balance between offering general services and their ability for customer adaption?’’</a:t>
          </a:r>
          <a:endParaRPr lang="nl-NL" sz="1100"/>
        </a:p>
      </dgm:t>
    </dgm:pt>
    <dgm:pt modelId="{F9F9DA1A-15B8-4A22-8101-C4E4D5A596A5}" type="parTrans" cxnId="{4A4D87D8-A371-4C54-A994-E823C3BE8C1B}">
      <dgm:prSet/>
      <dgm:spPr/>
      <dgm:t>
        <a:bodyPr/>
        <a:lstStyle/>
        <a:p>
          <a:endParaRPr lang="nl-NL"/>
        </a:p>
      </dgm:t>
    </dgm:pt>
    <dgm:pt modelId="{569E063B-7763-4B81-AFD9-C29205AF43D3}" type="sibTrans" cxnId="{4A4D87D8-A371-4C54-A994-E823C3BE8C1B}">
      <dgm:prSet/>
      <dgm:spPr/>
      <dgm:t>
        <a:bodyPr/>
        <a:lstStyle/>
        <a:p>
          <a:endParaRPr lang="nl-NL"/>
        </a:p>
      </dgm:t>
    </dgm:pt>
    <dgm:pt modelId="{81C26D6F-593C-4893-AD53-C2BDBB0C5C1E}">
      <dgm:prSet phldrT="[Text]" custT="1"/>
      <dgm:spPr/>
      <dgm:t>
        <a:bodyPr/>
        <a:lstStyle/>
        <a:p>
          <a:r>
            <a:rPr lang="en-US" sz="1100" i="1"/>
            <a:t>“ How can TPL relationships be characterized?”</a:t>
          </a:r>
          <a:endParaRPr lang="nl-NL" sz="1100"/>
        </a:p>
      </dgm:t>
    </dgm:pt>
    <dgm:pt modelId="{9638603D-8D78-4F50-99BD-DF3EB060155F}" type="parTrans" cxnId="{635CA811-9544-48EE-936D-093CF47FF8BB}">
      <dgm:prSet/>
      <dgm:spPr/>
      <dgm:t>
        <a:bodyPr/>
        <a:lstStyle/>
        <a:p>
          <a:endParaRPr lang="nl-NL"/>
        </a:p>
      </dgm:t>
    </dgm:pt>
    <dgm:pt modelId="{ABEFF52C-20A9-4B59-A002-86619BE0C555}" type="sibTrans" cxnId="{635CA811-9544-48EE-936D-093CF47FF8BB}">
      <dgm:prSet/>
      <dgm:spPr/>
      <dgm:t>
        <a:bodyPr/>
        <a:lstStyle/>
        <a:p>
          <a:endParaRPr lang="nl-NL"/>
        </a:p>
      </dgm:t>
    </dgm:pt>
    <dgm:pt modelId="{DA4D8320-67F0-41F3-AA7E-D497189C8BA7}">
      <dgm:prSet custT="1"/>
      <dgm:spPr/>
      <dgm:t>
        <a:bodyPr/>
        <a:lstStyle/>
        <a:p>
          <a:r>
            <a:rPr lang="en-US" sz="1100" i="1"/>
            <a:t>‘’How do TPL providers try to get hold of a larger part of the supply chain?’’</a:t>
          </a:r>
          <a:endParaRPr lang="nl-NL" sz="1100"/>
        </a:p>
      </dgm:t>
    </dgm:pt>
    <dgm:pt modelId="{32336383-A745-4CA0-89AB-A8D0968E7223}" type="parTrans" cxnId="{EC3069FB-4CA2-4F86-B807-491EDD5386D6}">
      <dgm:prSet/>
      <dgm:spPr/>
      <dgm:t>
        <a:bodyPr/>
        <a:lstStyle/>
        <a:p>
          <a:endParaRPr lang="nl-NL"/>
        </a:p>
      </dgm:t>
    </dgm:pt>
    <dgm:pt modelId="{C949AAA7-B314-46A7-9487-EDE29DDD9347}" type="sibTrans" cxnId="{EC3069FB-4CA2-4F86-B807-491EDD5386D6}">
      <dgm:prSet/>
      <dgm:spPr/>
      <dgm:t>
        <a:bodyPr/>
        <a:lstStyle/>
        <a:p>
          <a:endParaRPr lang="nl-NL"/>
        </a:p>
      </dgm:t>
    </dgm:pt>
    <dgm:pt modelId="{5AC7A71F-1E73-413C-AE20-9ED1976FD537}">
      <dgm:prSet phldrT="[Text]" custScaleX="62579" custScaleY="80243" custRadScaleRad="101595" custRadScaleInc="-28275"/>
      <dgm:spPr/>
      <dgm:t>
        <a:bodyPr/>
        <a:lstStyle/>
        <a:p>
          <a:endParaRPr lang="nl-NL"/>
        </a:p>
      </dgm:t>
    </dgm:pt>
    <dgm:pt modelId="{6714EDAF-6687-4513-844F-BBF251D96968}" type="parTrans" cxnId="{552A3CCA-0961-4D56-997F-C0DEA65A4ED7}">
      <dgm:prSet/>
      <dgm:spPr/>
      <dgm:t>
        <a:bodyPr/>
        <a:lstStyle/>
        <a:p>
          <a:endParaRPr lang="nl-NL"/>
        </a:p>
      </dgm:t>
    </dgm:pt>
    <dgm:pt modelId="{4109E6EA-AF18-4256-AD24-D0D80AA5EFFE}" type="sibTrans" cxnId="{552A3CCA-0961-4D56-997F-C0DEA65A4ED7}">
      <dgm:prSet/>
      <dgm:spPr/>
      <dgm:t>
        <a:bodyPr/>
        <a:lstStyle/>
        <a:p>
          <a:endParaRPr lang="nl-NL"/>
        </a:p>
      </dgm:t>
    </dgm:pt>
    <dgm:pt modelId="{DB176D8D-82B1-4586-B2F0-2F26767DF60A}">
      <dgm:prSet phldrT="[Text]" custScaleX="62579" custScaleY="80243" custRadScaleRad="101595" custRadScaleInc="-28275"/>
      <dgm:spPr/>
      <dgm:t>
        <a:bodyPr/>
        <a:lstStyle/>
        <a:p>
          <a:endParaRPr lang="nl-NL"/>
        </a:p>
      </dgm:t>
    </dgm:pt>
    <dgm:pt modelId="{1E64B376-E896-4A33-AA52-F89591C24CFF}" type="parTrans" cxnId="{9DF79279-F4B0-49C9-B72F-2A2E9A6AB45C}">
      <dgm:prSet/>
      <dgm:spPr/>
      <dgm:t>
        <a:bodyPr/>
        <a:lstStyle/>
        <a:p>
          <a:endParaRPr lang="nl-NL"/>
        </a:p>
      </dgm:t>
    </dgm:pt>
    <dgm:pt modelId="{3AB9269B-D851-4F7F-9F13-58BFF21EE1C0}" type="sibTrans" cxnId="{9DF79279-F4B0-49C9-B72F-2A2E9A6AB45C}">
      <dgm:prSet/>
      <dgm:spPr/>
      <dgm:t>
        <a:bodyPr/>
        <a:lstStyle/>
        <a:p>
          <a:endParaRPr lang="nl-NL"/>
        </a:p>
      </dgm:t>
    </dgm:pt>
    <dgm:pt modelId="{D43A7BC3-79D4-4A3D-8B5A-896FE7EF5E58}">
      <dgm:prSet custT="1"/>
      <dgm:spPr/>
      <dgm:t>
        <a:bodyPr/>
        <a:lstStyle/>
        <a:p>
          <a:r>
            <a:rPr lang="en-US" sz="1100" i="1"/>
            <a:t>‘’ What  client specific investments do TPL providers make?’’</a:t>
          </a:r>
          <a:endParaRPr lang="nl-NL" sz="1100"/>
        </a:p>
      </dgm:t>
    </dgm:pt>
    <dgm:pt modelId="{8D07E1B2-2511-415D-B9B1-C415ABCA4795}" type="parTrans" cxnId="{5AE56177-3C00-446D-B611-CED6B28EEC4C}">
      <dgm:prSet/>
      <dgm:spPr/>
      <dgm:t>
        <a:bodyPr/>
        <a:lstStyle/>
        <a:p>
          <a:endParaRPr lang="nl-NL"/>
        </a:p>
      </dgm:t>
    </dgm:pt>
    <dgm:pt modelId="{C30CA14A-61A6-4F48-95FD-51A37BC62A79}" type="sibTrans" cxnId="{5AE56177-3C00-446D-B611-CED6B28EEC4C}">
      <dgm:prSet/>
      <dgm:spPr/>
      <dgm:t>
        <a:bodyPr/>
        <a:lstStyle/>
        <a:p>
          <a:endParaRPr lang="nl-NL"/>
        </a:p>
      </dgm:t>
    </dgm:pt>
    <dgm:pt modelId="{1F7673FA-E162-44F0-9E87-57C230B04B3B}">
      <dgm:prSet custT="1"/>
      <dgm:spPr/>
      <dgm:t>
        <a:bodyPr/>
        <a:lstStyle/>
        <a:p>
          <a:r>
            <a:rPr lang="en-US" sz="1100" i="1"/>
            <a:t>‘’ Is being environmental sustainable a way to develop business?’’</a:t>
          </a:r>
          <a:endParaRPr lang="nl-NL" sz="1100"/>
        </a:p>
      </dgm:t>
    </dgm:pt>
    <dgm:pt modelId="{8E3CC4AC-85E8-434A-A8C4-9201C8F7B7CE}" type="parTrans" cxnId="{434BE278-2F19-4BE3-838B-B10B05FC960F}">
      <dgm:prSet/>
      <dgm:spPr/>
      <dgm:t>
        <a:bodyPr/>
        <a:lstStyle/>
        <a:p>
          <a:endParaRPr lang="nl-NL"/>
        </a:p>
      </dgm:t>
    </dgm:pt>
    <dgm:pt modelId="{C3991CD0-C3C4-4664-874F-7D2D417122DD}" type="sibTrans" cxnId="{434BE278-2F19-4BE3-838B-B10B05FC960F}">
      <dgm:prSet/>
      <dgm:spPr/>
      <dgm:t>
        <a:bodyPr/>
        <a:lstStyle/>
        <a:p>
          <a:endParaRPr lang="nl-NL"/>
        </a:p>
      </dgm:t>
    </dgm:pt>
    <dgm:pt modelId="{80D9F591-7A98-441D-9F66-E8EABEB544EA}">
      <dgm:prSet/>
      <dgm:spPr/>
      <dgm:t>
        <a:bodyPr/>
        <a:lstStyle/>
        <a:p>
          <a:endParaRPr lang="nl-NL"/>
        </a:p>
      </dgm:t>
    </dgm:pt>
    <dgm:pt modelId="{42C3424B-FCF9-4A96-8C79-4BC3F37EC05F}" type="parTrans" cxnId="{E4EDB2B9-797C-4AF1-A549-5C3D88C676BC}">
      <dgm:prSet/>
      <dgm:spPr/>
      <dgm:t>
        <a:bodyPr/>
        <a:lstStyle/>
        <a:p>
          <a:endParaRPr lang="nl-NL"/>
        </a:p>
      </dgm:t>
    </dgm:pt>
    <dgm:pt modelId="{CDAD32F1-EA3A-48CE-A29B-8AD2F1E832AF}" type="sibTrans" cxnId="{E4EDB2B9-797C-4AF1-A549-5C3D88C676BC}">
      <dgm:prSet/>
      <dgm:spPr/>
      <dgm:t>
        <a:bodyPr/>
        <a:lstStyle/>
        <a:p>
          <a:endParaRPr lang="nl-NL"/>
        </a:p>
      </dgm:t>
    </dgm:pt>
    <dgm:pt modelId="{4B1022F8-4F8C-43E5-A032-20A6FE0F5DD8}">
      <dgm:prSet/>
      <dgm:spPr/>
      <dgm:t>
        <a:bodyPr/>
        <a:lstStyle/>
        <a:p>
          <a:endParaRPr lang="nl-NL"/>
        </a:p>
      </dgm:t>
    </dgm:pt>
    <dgm:pt modelId="{F160DCA5-3334-4A6C-84B6-653F9E6BC59D}" type="parTrans" cxnId="{096F2AEA-AB15-4FD3-8AF0-425B70912D44}">
      <dgm:prSet/>
      <dgm:spPr/>
      <dgm:t>
        <a:bodyPr/>
        <a:lstStyle/>
        <a:p>
          <a:endParaRPr lang="nl-NL"/>
        </a:p>
      </dgm:t>
    </dgm:pt>
    <dgm:pt modelId="{8790FEC4-619F-4ABB-AAB5-F793AE444136}" type="sibTrans" cxnId="{096F2AEA-AB15-4FD3-8AF0-425B70912D44}">
      <dgm:prSet/>
      <dgm:spPr/>
      <dgm:t>
        <a:bodyPr/>
        <a:lstStyle/>
        <a:p>
          <a:endParaRPr lang="nl-NL"/>
        </a:p>
      </dgm:t>
    </dgm:pt>
    <dgm:pt modelId="{EB580BEF-8734-499E-883F-D246C6A12C49}">
      <dgm:prSet/>
      <dgm:spPr/>
      <dgm:t>
        <a:bodyPr/>
        <a:lstStyle/>
        <a:p>
          <a:endParaRPr lang="nl-NL"/>
        </a:p>
      </dgm:t>
    </dgm:pt>
    <dgm:pt modelId="{7254557E-839A-4A31-A7CF-36AF8B501AF3}" type="parTrans" cxnId="{2630B459-133F-4282-8DE7-82E2BF8C505B}">
      <dgm:prSet/>
      <dgm:spPr/>
      <dgm:t>
        <a:bodyPr/>
        <a:lstStyle/>
        <a:p>
          <a:endParaRPr lang="nl-NL"/>
        </a:p>
      </dgm:t>
    </dgm:pt>
    <dgm:pt modelId="{38C00C16-AAAD-48BB-AC03-4755AB7D733A}" type="sibTrans" cxnId="{2630B459-133F-4282-8DE7-82E2BF8C505B}">
      <dgm:prSet/>
      <dgm:spPr/>
      <dgm:t>
        <a:bodyPr/>
        <a:lstStyle/>
        <a:p>
          <a:endParaRPr lang="nl-NL"/>
        </a:p>
      </dgm:t>
    </dgm:pt>
    <dgm:pt modelId="{232CE6D4-8F2E-4EB1-9D25-7CCBEA0B51E7}">
      <dgm:prSet/>
      <dgm:spPr/>
      <dgm:t>
        <a:bodyPr/>
        <a:lstStyle/>
        <a:p>
          <a:endParaRPr lang="nl-NL"/>
        </a:p>
      </dgm:t>
    </dgm:pt>
    <dgm:pt modelId="{9E606BEA-E70E-473F-A1E1-8782F59941AC}" type="parTrans" cxnId="{81BEDD26-4897-45B1-96FB-EB622E7AABEE}">
      <dgm:prSet/>
      <dgm:spPr/>
      <dgm:t>
        <a:bodyPr/>
        <a:lstStyle/>
        <a:p>
          <a:endParaRPr lang="nl-NL"/>
        </a:p>
      </dgm:t>
    </dgm:pt>
    <dgm:pt modelId="{DB737C39-785A-4023-BD17-7B2954A3278A}" type="sibTrans" cxnId="{81BEDD26-4897-45B1-96FB-EB622E7AABEE}">
      <dgm:prSet/>
      <dgm:spPr/>
      <dgm:t>
        <a:bodyPr/>
        <a:lstStyle/>
        <a:p>
          <a:endParaRPr lang="nl-NL"/>
        </a:p>
      </dgm:t>
    </dgm:pt>
    <dgm:pt modelId="{997DBFAA-BDE7-4E73-ABE4-7503117EA2BD}">
      <dgm:prSet/>
      <dgm:spPr/>
      <dgm:t>
        <a:bodyPr/>
        <a:lstStyle/>
        <a:p>
          <a:endParaRPr lang="nl-NL"/>
        </a:p>
      </dgm:t>
    </dgm:pt>
    <dgm:pt modelId="{FEC22479-96CD-4F75-BC64-2903CE60AA80}" type="parTrans" cxnId="{0575590E-C9FD-46E9-A136-432E4FEA0501}">
      <dgm:prSet/>
      <dgm:spPr/>
      <dgm:t>
        <a:bodyPr/>
        <a:lstStyle/>
        <a:p>
          <a:endParaRPr lang="nl-NL"/>
        </a:p>
      </dgm:t>
    </dgm:pt>
    <dgm:pt modelId="{1E65E544-CB81-4C69-BE18-0A67E15B7235}" type="sibTrans" cxnId="{0575590E-C9FD-46E9-A136-432E4FEA0501}">
      <dgm:prSet/>
      <dgm:spPr/>
      <dgm:t>
        <a:bodyPr/>
        <a:lstStyle/>
        <a:p>
          <a:endParaRPr lang="nl-NL"/>
        </a:p>
      </dgm:t>
    </dgm:pt>
    <dgm:pt modelId="{FE1DC2C6-30A5-4AF5-B125-BF6D7EEFC351}">
      <dgm:prSet custRadScaleRad="97882" custRadScaleInc="-2069"/>
      <dgm:spPr/>
      <dgm:t>
        <a:bodyPr/>
        <a:lstStyle/>
        <a:p>
          <a:endParaRPr lang="nl-NL"/>
        </a:p>
      </dgm:t>
    </dgm:pt>
    <dgm:pt modelId="{CFF047F8-781D-4AF7-9E07-69D92DBC764C}" type="parTrans" cxnId="{598428BB-EC30-4539-9656-35AB7D305C01}">
      <dgm:prSet/>
      <dgm:spPr/>
      <dgm:t>
        <a:bodyPr/>
        <a:lstStyle/>
        <a:p>
          <a:endParaRPr lang="nl-NL"/>
        </a:p>
      </dgm:t>
    </dgm:pt>
    <dgm:pt modelId="{53E696D9-2F1F-4192-904B-C039A7A88BF6}" type="sibTrans" cxnId="{598428BB-EC30-4539-9656-35AB7D305C01}">
      <dgm:prSet/>
      <dgm:spPr/>
      <dgm:t>
        <a:bodyPr/>
        <a:lstStyle/>
        <a:p>
          <a:endParaRPr lang="nl-NL"/>
        </a:p>
      </dgm:t>
    </dgm:pt>
    <dgm:pt modelId="{E802350E-605A-4A6C-9274-1BFB2BED6695}">
      <dgm:prSet custRadScaleRad="84020" custRadScaleInc="101671"/>
      <dgm:spPr/>
      <dgm:t>
        <a:bodyPr/>
        <a:lstStyle/>
        <a:p>
          <a:endParaRPr lang="nl-NL"/>
        </a:p>
      </dgm:t>
    </dgm:pt>
    <dgm:pt modelId="{89F698E6-CE8F-4CC8-9FCA-B520B6EDBD03}" type="parTrans" cxnId="{6A58FDFC-22E2-4CF4-87BA-BD961E744CCE}">
      <dgm:prSet/>
      <dgm:spPr/>
      <dgm:t>
        <a:bodyPr/>
        <a:lstStyle/>
        <a:p>
          <a:endParaRPr lang="nl-NL"/>
        </a:p>
      </dgm:t>
    </dgm:pt>
    <dgm:pt modelId="{0A489090-FD72-40C9-8FBC-A33FF958F3CF}" type="sibTrans" cxnId="{6A58FDFC-22E2-4CF4-87BA-BD961E744CCE}">
      <dgm:prSet/>
      <dgm:spPr/>
      <dgm:t>
        <a:bodyPr/>
        <a:lstStyle/>
        <a:p>
          <a:endParaRPr lang="nl-NL"/>
        </a:p>
      </dgm:t>
    </dgm:pt>
    <dgm:pt modelId="{88151B76-7EAB-4B0A-B820-19F7177FCCE4}">
      <dgm:prSet custRadScaleRad="84020" custRadScaleInc="101671"/>
      <dgm:spPr/>
      <dgm:t>
        <a:bodyPr/>
        <a:lstStyle/>
        <a:p>
          <a:endParaRPr lang="nl-NL"/>
        </a:p>
      </dgm:t>
    </dgm:pt>
    <dgm:pt modelId="{ADDFE863-13CB-4563-971D-8293ADECC558}" type="parTrans" cxnId="{CD09FBD1-1037-4DA1-A390-E9BE0BB1AC05}">
      <dgm:prSet/>
      <dgm:spPr/>
      <dgm:t>
        <a:bodyPr/>
        <a:lstStyle/>
        <a:p>
          <a:endParaRPr lang="nl-NL"/>
        </a:p>
      </dgm:t>
    </dgm:pt>
    <dgm:pt modelId="{CFD7C52B-85D2-41CF-9D40-01EBDCFE5292}" type="sibTrans" cxnId="{CD09FBD1-1037-4DA1-A390-E9BE0BB1AC05}">
      <dgm:prSet/>
      <dgm:spPr/>
      <dgm:t>
        <a:bodyPr/>
        <a:lstStyle/>
        <a:p>
          <a:endParaRPr lang="nl-NL"/>
        </a:p>
      </dgm:t>
    </dgm:pt>
    <dgm:pt modelId="{C66F871C-CE0D-4E1B-BFF9-DBC0D71D8B49}">
      <dgm:prSet custRadScaleRad="84020" custRadScaleInc="101671"/>
      <dgm:spPr/>
      <dgm:t>
        <a:bodyPr/>
        <a:lstStyle/>
        <a:p>
          <a:endParaRPr lang="nl-NL"/>
        </a:p>
      </dgm:t>
    </dgm:pt>
    <dgm:pt modelId="{631AE5A1-8ADA-46EE-9D64-E5F885BE2F7B}" type="parTrans" cxnId="{8264ACE0-A98A-4D5E-9E40-7F7C9BE76941}">
      <dgm:prSet/>
      <dgm:spPr/>
      <dgm:t>
        <a:bodyPr/>
        <a:lstStyle/>
        <a:p>
          <a:endParaRPr lang="nl-NL"/>
        </a:p>
      </dgm:t>
    </dgm:pt>
    <dgm:pt modelId="{31B14157-6EC0-4EDC-9C5C-8D6A4C5C0389}" type="sibTrans" cxnId="{8264ACE0-A98A-4D5E-9E40-7F7C9BE76941}">
      <dgm:prSet/>
      <dgm:spPr/>
      <dgm:t>
        <a:bodyPr/>
        <a:lstStyle/>
        <a:p>
          <a:endParaRPr lang="nl-NL"/>
        </a:p>
      </dgm:t>
    </dgm:pt>
    <dgm:pt modelId="{E32FF6AB-DC68-4C4A-8789-503EE8C1CAE2}">
      <dgm:prSet custT="1"/>
      <dgm:spPr/>
      <dgm:t>
        <a:bodyPr/>
        <a:lstStyle/>
        <a:p>
          <a:r>
            <a:rPr lang="en-US" sz="1100" i="1"/>
            <a:t>‘’What is the geographic service area of TPL providers?’’</a:t>
          </a:r>
          <a:endParaRPr lang="nl-NL" sz="1100"/>
        </a:p>
      </dgm:t>
    </dgm:pt>
    <dgm:pt modelId="{5597C2F7-401D-4559-B514-DD1448D7CB8C}" type="parTrans" cxnId="{5B4348A1-CCF0-4B83-B387-5A6E29AF2599}">
      <dgm:prSet/>
      <dgm:spPr/>
      <dgm:t>
        <a:bodyPr/>
        <a:lstStyle/>
        <a:p>
          <a:endParaRPr lang="nl-NL"/>
        </a:p>
      </dgm:t>
    </dgm:pt>
    <dgm:pt modelId="{34F987BB-4531-47C1-8CFD-DF9D22AF0A43}" type="sibTrans" cxnId="{5B4348A1-CCF0-4B83-B387-5A6E29AF2599}">
      <dgm:prSet/>
      <dgm:spPr/>
      <dgm:t>
        <a:bodyPr/>
        <a:lstStyle/>
        <a:p>
          <a:endParaRPr lang="nl-NL"/>
        </a:p>
      </dgm:t>
    </dgm:pt>
    <dgm:pt modelId="{8AB88765-0C89-4C8C-A947-BD8DF4A2F451}">
      <dgm:prSet custT="1"/>
      <dgm:spPr/>
      <dgm:t>
        <a:bodyPr/>
        <a:lstStyle/>
        <a:p>
          <a:r>
            <a:rPr lang="en-US" sz="1100" i="1"/>
            <a:t>‘’ To what extent are TPL providers’  capabilities influenced by path dependency?’’</a:t>
          </a:r>
          <a:endParaRPr lang="nl-NL" sz="1100"/>
        </a:p>
      </dgm:t>
    </dgm:pt>
    <dgm:pt modelId="{FF411110-ABA6-4E52-8C5B-AB960096FB31}" type="parTrans" cxnId="{8B9F8BCA-3888-42AE-9BF0-0C3EAB22045E}">
      <dgm:prSet/>
      <dgm:spPr/>
      <dgm:t>
        <a:bodyPr/>
        <a:lstStyle/>
        <a:p>
          <a:endParaRPr lang="nl-NL"/>
        </a:p>
      </dgm:t>
    </dgm:pt>
    <dgm:pt modelId="{8F639329-DDF0-4DDC-900B-69F99C3F43DC}" type="sibTrans" cxnId="{8B9F8BCA-3888-42AE-9BF0-0C3EAB22045E}">
      <dgm:prSet/>
      <dgm:spPr/>
      <dgm:t>
        <a:bodyPr/>
        <a:lstStyle/>
        <a:p>
          <a:endParaRPr lang="nl-NL"/>
        </a:p>
      </dgm:t>
    </dgm:pt>
    <dgm:pt modelId="{6EB5AAF1-B847-4268-AE65-9294AFE3242A}" type="pres">
      <dgm:prSet presAssocID="{24E11541-24D6-4E85-83FC-6881A6AF4EF4}" presName="cycle" presStyleCnt="0">
        <dgm:presLayoutVars>
          <dgm:chMax val="1"/>
          <dgm:dir/>
          <dgm:animLvl val="ctr"/>
          <dgm:resizeHandles val="exact"/>
        </dgm:presLayoutVars>
      </dgm:prSet>
      <dgm:spPr/>
      <dgm:t>
        <a:bodyPr/>
        <a:lstStyle/>
        <a:p>
          <a:endParaRPr lang="nl-NL"/>
        </a:p>
      </dgm:t>
    </dgm:pt>
    <dgm:pt modelId="{A902E30F-5A91-4818-A2CF-7B1817211F34}" type="pres">
      <dgm:prSet presAssocID="{A3B82F9E-4758-43EB-ADFD-9D48C41E9B71}" presName="centerShape" presStyleLbl="node0" presStyleIdx="0" presStyleCnt="1" custScaleX="135243" custScaleY="161378" custLinFactNeighborX="-726" custLinFactNeighborY="-18017"/>
      <dgm:spPr/>
      <dgm:t>
        <a:bodyPr/>
        <a:lstStyle/>
        <a:p>
          <a:endParaRPr lang="nl-NL"/>
        </a:p>
      </dgm:t>
    </dgm:pt>
    <dgm:pt modelId="{02C58ECC-5806-4B0A-8899-561E69E09F1D}" type="pres">
      <dgm:prSet presAssocID="{F0635B58-34F5-4C51-9BC9-9849111D91FC}" presName="parTrans" presStyleLbl="bgSibTrans2D1" presStyleIdx="0" presStyleCnt="8"/>
      <dgm:spPr/>
      <dgm:t>
        <a:bodyPr/>
        <a:lstStyle/>
        <a:p>
          <a:endParaRPr lang="nl-NL"/>
        </a:p>
      </dgm:t>
    </dgm:pt>
    <dgm:pt modelId="{488F3C57-CD0A-413B-932F-00733997FC66}" type="pres">
      <dgm:prSet presAssocID="{3123CC1C-E9C5-47E9-9AE0-1ED7E26BB104}" presName="node" presStyleLbl="node1" presStyleIdx="0" presStyleCnt="8" custScaleX="207267" custScaleY="101041" custRadScaleRad="82125" custRadScaleInc="-105744">
        <dgm:presLayoutVars>
          <dgm:bulletEnabled val="1"/>
        </dgm:presLayoutVars>
      </dgm:prSet>
      <dgm:spPr/>
      <dgm:t>
        <a:bodyPr/>
        <a:lstStyle/>
        <a:p>
          <a:endParaRPr lang="nl-NL"/>
        </a:p>
      </dgm:t>
    </dgm:pt>
    <dgm:pt modelId="{37050172-4BAA-4E68-A74D-64C64261F598}" type="pres">
      <dgm:prSet presAssocID="{32336383-A745-4CA0-89AB-A8D0968E7223}" presName="parTrans" presStyleLbl="bgSibTrans2D1" presStyleIdx="1" presStyleCnt="8"/>
      <dgm:spPr/>
      <dgm:t>
        <a:bodyPr/>
        <a:lstStyle/>
        <a:p>
          <a:endParaRPr lang="nl-NL"/>
        </a:p>
      </dgm:t>
    </dgm:pt>
    <dgm:pt modelId="{F212D051-8A71-4536-B286-CA0763E33F57}" type="pres">
      <dgm:prSet presAssocID="{DA4D8320-67F0-41F3-AA7E-D497189C8BA7}" presName="node" presStyleLbl="node1" presStyleIdx="1" presStyleCnt="8" custScaleX="182635" custScaleY="101269" custRadScaleRad="91983" custRadScaleInc="-7144">
        <dgm:presLayoutVars>
          <dgm:bulletEnabled val="1"/>
        </dgm:presLayoutVars>
      </dgm:prSet>
      <dgm:spPr/>
      <dgm:t>
        <a:bodyPr/>
        <a:lstStyle/>
        <a:p>
          <a:endParaRPr lang="nl-NL"/>
        </a:p>
      </dgm:t>
    </dgm:pt>
    <dgm:pt modelId="{9147D9EE-DC2F-4BBA-A86B-9061AA2D0BAA}" type="pres">
      <dgm:prSet presAssocID="{F9F9DA1A-15B8-4A22-8101-C4E4D5A596A5}" presName="parTrans" presStyleLbl="bgSibTrans2D1" presStyleIdx="2" presStyleCnt="8" custLinFactNeighborX="0" custLinFactNeighborY="9158"/>
      <dgm:spPr/>
      <dgm:t>
        <a:bodyPr/>
        <a:lstStyle/>
        <a:p>
          <a:endParaRPr lang="nl-NL"/>
        </a:p>
      </dgm:t>
    </dgm:pt>
    <dgm:pt modelId="{8EB0E7B8-D178-45A1-83E4-06DE63A68FD8}" type="pres">
      <dgm:prSet presAssocID="{601F2D8F-FFED-410E-8457-B91F555F70F3}" presName="node" presStyleLbl="node1" presStyleIdx="2" presStyleCnt="8" custScaleX="209262" custScaleY="131835" custRadScaleRad="137555" custRadScaleInc="15842">
        <dgm:presLayoutVars>
          <dgm:bulletEnabled val="1"/>
        </dgm:presLayoutVars>
      </dgm:prSet>
      <dgm:spPr/>
      <dgm:t>
        <a:bodyPr/>
        <a:lstStyle/>
        <a:p>
          <a:endParaRPr lang="nl-NL"/>
        </a:p>
      </dgm:t>
    </dgm:pt>
    <dgm:pt modelId="{B993EEA7-E92F-4804-95CB-30FDA93C03E2}" type="pres">
      <dgm:prSet presAssocID="{FF411110-ABA6-4E52-8C5B-AB960096FB31}" presName="parTrans" presStyleLbl="bgSibTrans2D1" presStyleIdx="3" presStyleCnt="8"/>
      <dgm:spPr/>
      <dgm:t>
        <a:bodyPr/>
        <a:lstStyle/>
        <a:p>
          <a:endParaRPr lang="nl-NL"/>
        </a:p>
      </dgm:t>
    </dgm:pt>
    <dgm:pt modelId="{501F1FF7-8492-4726-919E-6322524FF868}" type="pres">
      <dgm:prSet presAssocID="{8AB88765-0C89-4C8C-A947-BD8DF4A2F451}" presName="node" presStyleLbl="node1" presStyleIdx="3" presStyleCnt="8" custScaleX="167304" custScaleY="136994" custRadScaleRad="151468" custRadScaleInc="63290">
        <dgm:presLayoutVars>
          <dgm:bulletEnabled val="1"/>
        </dgm:presLayoutVars>
      </dgm:prSet>
      <dgm:spPr/>
      <dgm:t>
        <a:bodyPr/>
        <a:lstStyle/>
        <a:p>
          <a:endParaRPr lang="nl-NL"/>
        </a:p>
      </dgm:t>
    </dgm:pt>
    <dgm:pt modelId="{B3772A8A-915A-4AC9-A03D-380D73C74699}" type="pres">
      <dgm:prSet presAssocID="{5597C2F7-401D-4559-B514-DD1448D7CB8C}" presName="parTrans" presStyleLbl="bgSibTrans2D1" presStyleIdx="4" presStyleCnt="8"/>
      <dgm:spPr/>
      <dgm:t>
        <a:bodyPr/>
        <a:lstStyle/>
        <a:p>
          <a:endParaRPr lang="nl-NL"/>
        </a:p>
      </dgm:t>
    </dgm:pt>
    <dgm:pt modelId="{73B5C06A-732E-4495-90F1-9BDC8BC02443}" type="pres">
      <dgm:prSet presAssocID="{E32FF6AB-DC68-4C4A-8789-503EE8C1CAE2}" presName="node" presStyleLbl="node1" presStyleIdx="4" presStyleCnt="8" custScaleX="197683" custScaleY="88309" custRadScaleRad="134568" custRadScaleInc="104744">
        <dgm:presLayoutVars>
          <dgm:bulletEnabled val="1"/>
        </dgm:presLayoutVars>
      </dgm:prSet>
      <dgm:spPr/>
      <dgm:t>
        <a:bodyPr/>
        <a:lstStyle/>
        <a:p>
          <a:endParaRPr lang="nl-NL"/>
        </a:p>
      </dgm:t>
    </dgm:pt>
    <dgm:pt modelId="{C54E1157-0E80-496F-8103-AD93D4902AA4}" type="pres">
      <dgm:prSet presAssocID="{9638603D-8D78-4F50-99BD-DF3EB060155F}" presName="parTrans" presStyleLbl="bgSibTrans2D1" presStyleIdx="5" presStyleCnt="8"/>
      <dgm:spPr/>
      <dgm:t>
        <a:bodyPr/>
        <a:lstStyle/>
        <a:p>
          <a:endParaRPr lang="nl-NL"/>
        </a:p>
      </dgm:t>
    </dgm:pt>
    <dgm:pt modelId="{79651A3F-B1F5-4551-86ED-B2D6CADAA6F0}" type="pres">
      <dgm:prSet presAssocID="{81C26D6F-593C-4893-AD53-C2BDBB0C5C1E}" presName="node" presStyleLbl="node1" presStyleIdx="5" presStyleCnt="8" custScaleX="184804" custScaleY="96772" custRadScaleRad="66688" custRadScaleInc="588372">
        <dgm:presLayoutVars>
          <dgm:bulletEnabled val="1"/>
        </dgm:presLayoutVars>
      </dgm:prSet>
      <dgm:spPr/>
      <dgm:t>
        <a:bodyPr/>
        <a:lstStyle/>
        <a:p>
          <a:endParaRPr lang="nl-NL"/>
        </a:p>
      </dgm:t>
    </dgm:pt>
    <dgm:pt modelId="{B81C7FF9-2573-4ECE-AB3E-616C07E2F2AC}" type="pres">
      <dgm:prSet presAssocID="{8E3CC4AC-85E8-434A-A8C4-9201C8F7B7CE}" presName="parTrans" presStyleLbl="bgSibTrans2D1" presStyleIdx="6" presStyleCnt="8"/>
      <dgm:spPr/>
      <dgm:t>
        <a:bodyPr/>
        <a:lstStyle/>
        <a:p>
          <a:endParaRPr lang="nl-NL"/>
        </a:p>
      </dgm:t>
    </dgm:pt>
    <dgm:pt modelId="{7D19942A-6EA8-42BD-8E4B-EE3042310E93}" type="pres">
      <dgm:prSet presAssocID="{1F7673FA-E162-44F0-9E87-57C230B04B3B}" presName="node" presStyleLbl="node1" presStyleIdx="6" presStyleCnt="8" custScaleX="141510" custScaleY="154869" custRadScaleRad="92906" custRadScaleInc="1348">
        <dgm:presLayoutVars>
          <dgm:bulletEnabled val="1"/>
        </dgm:presLayoutVars>
      </dgm:prSet>
      <dgm:spPr/>
      <dgm:t>
        <a:bodyPr/>
        <a:lstStyle/>
        <a:p>
          <a:endParaRPr lang="nl-NL"/>
        </a:p>
      </dgm:t>
    </dgm:pt>
    <dgm:pt modelId="{BFC1B80E-D350-4EBC-9C46-BC5B2724CE10}" type="pres">
      <dgm:prSet presAssocID="{8D07E1B2-2511-415D-B9B1-C415ABCA4795}" presName="parTrans" presStyleLbl="bgSibTrans2D1" presStyleIdx="7" presStyleCnt="8"/>
      <dgm:spPr/>
      <dgm:t>
        <a:bodyPr/>
        <a:lstStyle/>
        <a:p>
          <a:endParaRPr lang="nl-NL"/>
        </a:p>
      </dgm:t>
    </dgm:pt>
    <dgm:pt modelId="{3FE55853-2067-4443-B35D-9C03699EA790}" type="pres">
      <dgm:prSet presAssocID="{D43A7BC3-79D4-4A3D-8B5A-896FE7EF5E58}" presName="node" presStyleLbl="node1" presStyleIdx="7" presStyleCnt="8" custScaleX="182736" custScaleY="107210" custRadScaleRad="80323" custRadScaleInc="71252">
        <dgm:presLayoutVars>
          <dgm:bulletEnabled val="1"/>
        </dgm:presLayoutVars>
      </dgm:prSet>
      <dgm:spPr/>
      <dgm:t>
        <a:bodyPr/>
        <a:lstStyle/>
        <a:p>
          <a:endParaRPr lang="nl-NL"/>
        </a:p>
      </dgm:t>
    </dgm:pt>
  </dgm:ptLst>
  <dgm:cxnLst>
    <dgm:cxn modelId="{96F140CE-C21A-44BB-AE6C-C8BE93C61FC1}" type="presOf" srcId="{DA4D8320-67F0-41F3-AA7E-D497189C8BA7}" destId="{F212D051-8A71-4536-B286-CA0763E33F57}" srcOrd="0" destOrd="0" presId="urn:microsoft.com/office/officeart/2005/8/layout/radial4"/>
    <dgm:cxn modelId="{34CF822D-301E-4018-8D29-021F44409AF6}" srcId="{A3B82F9E-4758-43EB-ADFD-9D48C41E9B71}" destId="{3123CC1C-E9C5-47E9-9AE0-1ED7E26BB104}" srcOrd="0" destOrd="0" parTransId="{F0635B58-34F5-4C51-9BC9-9849111D91FC}" sibTransId="{0DA74E49-2567-49F8-A2B1-529C3AD71AC9}"/>
    <dgm:cxn modelId="{096F2AEA-AB15-4FD3-8AF0-425B70912D44}" srcId="{24E11541-24D6-4E85-83FC-6881A6AF4EF4}" destId="{4B1022F8-4F8C-43E5-A032-20A6FE0F5DD8}" srcOrd="4" destOrd="0" parTransId="{F160DCA5-3334-4A6C-84B6-653F9E6BC59D}" sibTransId="{8790FEC4-619F-4ABB-AAB5-F793AE444136}"/>
    <dgm:cxn modelId="{F2B62DC8-F00D-404C-834E-01919339A323}" type="presOf" srcId="{81C26D6F-593C-4893-AD53-C2BDBB0C5C1E}" destId="{79651A3F-B1F5-4551-86ED-B2D6CADAA6F0}" srcOrd="0" destOrd="0" presId="urn:microsoft.com/office/officeart/2005/8/layout/radial4"/>
    <dgm:cxn modelId="{B66276A4-A9EB-48F2-83C9-692EA617C3EC}" srcId="{24E11541-24D6-4E85-83FC-6881A6AF4EF4}" destId="{A3B82F9E-4758-43EB-ADFD-9D48C41E9B71}" srcOrd="0" destOrd="0" parTransId="{32459C15-FA85-4DEF-8144-B3DD9DE7E5C4}" sibTransId="{42E42A26-61E7-409B-9116-0C977BC69434}"/>
    <dgm:cxn modelId="{3AC71DA4-F971-4E2E-9CD9-DB8205654371}" type="presOf" srcId="{8AB88765-0C89-4C8C-A947-BD8DF4A2F451}" destId="{501F1FF7-8492-4726-919E-6322524FF868}" srcOrd="0" destOrd="0" presId="urn:microsoft.com/office/officeart/2005/8/layout/radial4"/>
    <dgm:cxn modelId="{7C3B6FEB-75FF-4078-89B8-FC37A0FED179}" type="presOf" srcId="{F0635B58-34F5-4C51-9BC9-9849111D91FC}" destId="{02C58ECC-5806-4B0A-8899-561E69E09F1D}" srcOrd="0" destOrd="0" presId="urn:microsoft.com/office/officeart/2005/8/layout/radial4"/>
    <dgm:cxn modelId="{8264ACE0-A98A-4D5E-9E40-7F7C9BE76941}" srcId="{24E11541-24D6-4E85-83FC-6881A6AF4EF4}" destId="{C66F871C-CE0D-4E1B-BFF9-DBC0D71D8B49}" srcOrd="11" destOrd="0" parTransId="{631AE5A1-8ADA-46EE-9D64-E5F885BE2F7B}" sibTransId="{31B14157-6EC0-4EDC-9C5C-8D6A4C5C0389}"/>
    <dgm:cxn modelId="{81BEDD26-4897-45B1-96FB-EB622E7AABEE}" srcId="{24E11541-24D6-4E85-83FC-6881A6AF4EF4}" destId="{232CE6D4-8F2E-4EB1-9D25-7CCBEA0B51E7}" srcOrd="2" destOrd="0" parTransId="{9E606BEA-E70E-473F-A1E1-8782F59941AC}" sibTransId="{DB737C39-785A-4023-BD17-7B2954A3278A}"/>
    <dgm:cxn modelId="{2548452D-D04C-4F89-9418-E15BE6219126}" type="presOf" srcId="{601F2D8F-FFED-410E-8457-B91F555F70F3}" destId="{8EB0E7B8-D178-45A1-83E4-06DE63A68FD8}" srcOrd="0" destOrd="0" presId="urn:microsoft.com/office/officeart/2005/8/layout/radial4"/>
    <dgm:cxn modelId="{CD09FBD1-1037-4DA1-A390-E9BE0BB1AC05}" srcId="{24E11541-24D6-4E85-83FC-6881A6AF4EF4}" destId="{88151B76-7EAB-4B0A-B820-19F7177FCCE4}" srcOrd="10" destOrd="0" parTransId="{ADDFE863-13CB-4563-971D-8293ADECC558}" sibTransId="{CFD7C52B-85D2-41CF-9D40-01EBDCFE5292}"/>
    <dgm:cxn modelId="{3C055B71-0EA8-4E4B-BED1-5350EE9D0351}" type="presOf" srcId="{E32FF6AB-DC68-4C4A-8789-503EE8C1CAE2}" destId="{73B5C06A-732E-4495-90F1-9BDC8BC02443}" srcOrd="0" destOrd="0" presId="urn:microsoft.com/office/officeart/2005/8/layout/radial4"/>
    <dgm:cxn modelId="{9DF79279-F4B0-49C9-B72F-2A2E9A6AB45C}" srcId="{24E11541-24D6-4E85-83FC-6881A6AF4EF4}" destId="{DB176D8D-82B1-4586-B2F0-2F26767DF60A}" srcOrd="7" destOrd="0" parTransId="{1E64B376-E896-4A33-AA52-F89591C24CFF}" sibTransId="{3AB9269B-D851-4F7F-9F13-58BFF21EE1C0}"/>
    <dgm:cxn modelId="{EC3069FB-4CA2-4F86-B807-491EDD5386D6}" srcId="{A3B82F9E-4758-43EB-ADFD-9D48C41E9B71}" destId="{DA4D8320-67F0-41F3-AA7E-D497189C8BA7}" srcOrd="1" destOrd="0" parTransId="{32336383-A745-4CA0-89AB-A8D0968E7223}" sibTransId="{C949AAA7-B314-46A7-9487-EDE29DDD9347}"/>
    <dgm:cxn modelId="{63C4E456-02DB-4DC2-AEAE-BBFBC3F9EBBD}" type="presOf" srcId="{32336383-A745-4CA0-89AB-A8D0968E7223}" destId="{37050172-4BAA-4E68-A74D-64C64261F598}" srcOrd="0" destOrd="0" presId="urn:microsoft.com/office/officeart/2005/8/layout/radial4"/>
    <dgm:cxn modelId="{5B4348A1-CCF0-4B83-B387-5A6E29AF2599}" srcId="{A3B82F9E-4758-43EB-ADFD-9D48C41E9B71}" destId="{E32FF6AB-DC68-4C4A-8789-503EE8C1CAE2}" srcOrd="4" destOrd="0" parTransId="{5597C2F7-401D-4559-B514-DD1448D7CB8C}" sibTransId="{34F987BB-4531-47C1-8CFD-DF9D22AF0A43}"/>
    <dgm:cxn modelId="{4A4D87D8-A371-4C54-A994-E823C3BE8C1B}" srcId="{A3B82F9E-4758-43EB-ADFD-9D48C41E9B71}" destId="{601F2D8F-FFED-410E-8457-B91F555F70F3}" srcOrd="2" destOrd="0" parTransId="{F9F9DA1A-15B8-4A22-8101-C4E4D5A596A5}" sibTransId="{569E063B-7763-4B81-AFD9-C29205AF43D3}"/>
    <dgm:cxn modelId="{EE57940D-59B4-488C-97D3-DAED1937DD40}" type="presOf" srcId="{1F7673FA-E162-44F0-9E87-57C230B04B3B}" destId="{7D19942A-6EA8-42BD-8E4B-EE3042310E93}" srcOrd="0" destOrd="0" presId="urn:microsoft.com/office/officeart/2005/8/layout/radial4"/>
    <dgm:cxn modelId="{598428BB-EC30-4539-9656-35AB7D305C01}" srcId="{24E11541-24D6-4E85-83FC-6881A6AF4EF4}" destId="{FE1DC2C6-30A5-4AF5-B125-BF6D7EEFC351}" srcOrd="8" destOrd="0" parTransId="{CFF047F8-781D-4AF7-9E07-69D92DBC764C}" sibTransId="{53E696D9-2F1F-4192-904B-C039A7A88BF6}"/>
    <dgm:cxn modelId="{7EA61FA3-7800-4A22-946A-A9655EF8F164}" type="presOf" srcId="{24E11541-24D6-4E85-83FC-6881A6AF4EF4}" destId="{6EB5AAF1-B847-4268-AE65-9294AFE3242A}" srcOrd="0" destOrd="0" presId="urn:microsoft.com/office/officeart/2005/8/layout/radial4"/>
    <dgm:cxn modelId="{6463F536-0DAA-4151-83DE-C6CFB522FEA8}" type="presOf" srcId="{FF411110-ABA6-4E52-8C5B-AB960096FB31}" destId="{B993EEA7-E92F-4804-95CB-30FDA93C03E2}" srcOrd="0" destOrd="0" presId="urn:microsoft.com/office/officeart/2005/8/layout/radial4"/>
    <dgm:cxn modelId="{00D214EA-D6FB-4441-BA21-15D89011E9CD}" type="presOf" srcId="{F9F9DA1A-15B8-4A22-8101-C4E4D5A596A5}" destId="{9147D9EE-DC2F-4BBA-A86B-9061AA2D0BAA}" srcOrd="0" destOrd="0" presId="urn:microsoft.com/office/officeart/2005/8/layout/radial4"/>
    <dgm:cxn modelId="{2630B459-133F-4282-8DE7-82E2BF8C505B}" srcId="{24E11541-24D6-4E85-83FC-6881A6AF4EF4}" destId="{EB580BEF-8734-499E-883F-D246C6A12C49}" srcOrd="3" destOrd="0" parTransId="{7254557E-839A-4A31-A7CF-36AF8B501AF3}" sibTransId="{38C00C16-AAAD-48BB-AC03-4755AB7D733A}"/>
    <dgm:cxn modelId="{2F63ADA5-EB9F-4CEB-B871-E504F6A137B7}" type="presOf" srcId="{A3B82F9E-4758-43EB-ADFD-9D48C41E9B71}" destId="{A902E30F-5A91-4818-A2CF-7B1817211F34}" srcOrd="0" destOrd="0" presId="urn:microsoft.com/office/officeart/2005/8/layout/radial4"/>
    <dgm:cxn modelId="{E4EDB2B9-797C-4AF1-A549-5C3D88C676BC}" srcId="{24E11541-24D6-4E85-83FC-6881A6AF4EF4}" destId="{80D9F591-7A98-441D-9F66-E8EABEB544EA}" srcOrd="5" destOrd="0" parTransId="{42C3424B-FCF9-4A96-8C79-4BC3F37EC05F}" sibTransId="{CDAD32F1-EA3A-48CE-A29B-8AD2F1E832AF}"/>
    <dgm:cxn modelId="{2BBEC455-5C36-4D0E-A696-62E8D1C43A13}" type="presOf" srcId="{9638603D-8D78-4F50-99BD-DF3EB060155F}" destId="{C54E1157-0E80-496F-8103-AD93D4902AA4}" srcOrd="0" destOrd="0" presId="urn:microsoft.com/office/officeart/2005/8/layout/radial4"/>
    <dgm:cxn modelId="{6A58FDFC-22E2-4CF4-87BA-BD961E744CCE}" srcId="{24E11541-24D6-4E85-83FC-6881A6AF4EF4}" destId="{E802350E-605A-4A6C-9274-1BFB2BED6695}" srcOrd="9" destOrd="0" parTransId="{89F698E6-CE8F-4CC8-9FCA-B520B6EDBD03}" sibTransId="{0A489090-FD72-40C9-8FBC-A33FF958F3CF}"/>
    <dgm:cxn modelId="{05286931-426C-4E3A-B994-AA06ADC083D7}" type="presOf" srcId="{D43A7BC3-79D4-4A3D-8B5A-896FE7EF5E58}" destId="{3FE55853-2067-4443-B35D-9C03699EA790}" srcOrd="0" destOrd="0" presId="urn:microsoft.com/office/officeart/2005/8/layout/radial4"/>
    <dgm:cxn modelId="{0575590E-C9FD-46E9-A136-432E4FEA0501}" srcId="{24E11541-24D6-4E85-83FC-6881A6AF4EF4}" destId="{997DBFAA-BDE7-4E73-ABE4-7503117EA2BD}" srcOrd="1" destOrd="0" parTransId="{FEC22479-96CD-4F75-BC64-2903CE60AA80}" sibTransId="{1E65E544-CB81-4C69-BE18-0A67E15B7235}"/>
    <dgm:cxn modelId="{8354499C-8F23-4E1B-807D-08DCD7C45F0F}" type="presOf" srcId="{5597C2F7-401D-4559-B514-DD1448D7CB8C}" destId="{B3772A8A-915A-4AC9-A03D-380D73C74699}" srcOrd="0" destOrd="0" presId="urn:microsoft.com/office/officeart/2005/8/layout/radial4"/>
    <dgm:cxn modelId="{635CA811-9544-48EE-936D-093CF47FF8BB}" srcId="{A3B82F9E-4758-43EB-ADFD-9D48C41E9B71}" destId="{81C26D6F-593C-4893-AD53-C2BDBB0C5C1E}" srcOrd="5" destOrd="0" parTransId="{9638603D-8D78-4F50-99BD-DF3EB060155F}" sibTransId="{ABEFF52C-20A9-4B59-A002-86619BE0C555}"/>
    <dgm:cxn modelId="{5AE56177-3C00-446D-B611-CED6B28EEC4C}" srcId="{A3B82F9E-4758-43EB-ADFD-9D48C41E9B71}" destId="{D43A7BC3-79D4-4A3D-8B5A-896FE7EF5E58}" srcOrd="7" destOrd="0" parTransId="{8D07E1B2-2511-415D-B9B1-C415ABCA4795}" sibTransId="{C30CA14A-61A6-4F48-95FD-51A37BC62A79}"/>
    <dgm:cxn modelId="{1D8CDA98-27D4-46B5-B10D-E4E7F86F89E9}" type="presOf" srcId="{8D07E1B2-2511-415D-B9B1-C415ABCA4795}" destId="{BFC1B80E-D350-4EBC-9C46-BC5B2724CE10}" srcOrd="0" destOrd="0" presId="urn:microsoft.com/office/officeart/2005/8/layout/radial4"/>
    <dgm:cxn modelId="{434BE278-2F19-4BE3-838B-B10B05FC960F}" srcId="{A3B82F9E-4758-43EB-ADFD-9D48C41E9B71}" destId="{1F7673FA-E162-44F0-9E87-57C230B04B3B}" srcOrd="6" destOrd="0" parTransId="{8E3CC4AC-85E8-434A-A8C4-9201C8F7B7CE}" sibTransId="{C3991CD0-C3C4-4664-874F-7D2D417122DD}"/>
    <dgm:cxn modelId="{8C5E9750-DCB9-4912-A6B4-DBDF8224609B}" type="presOf" srcId="{3123CC1C-E9C5-47E9-9AE0-1ED7E26BB104}" destId="{488F3C57-CD0A-413B-932F-00733997FC66}" srcOrd="0" destOrd="0" presId="urn:microsoft.com/office/officeart/2005/8/layout/radial4"/>
    <dgm:cxn modelId="{2B70A492-3D22-4680-A5DE-680FA65B80D0}" type="presOf" srcId="{8E3CC4AC-85E8-434A-A8C4-9201C8F7B7CE}" destId="{B81C7FF9-2573-4ECE-AB3E-616C07E2F2AC}" srcOrd="0" destOrd="0" presId="urn:microsoft.com/office/officeart/2005/8/layout/radial4"/>
    <dgm:cxn modelId="{552A3CCA-0961-4D56-997F-C0DEA65A4ED7}" srcId="{24E11541-24D6-4E85-83FC-6881A6AF4EF4}" destId="{5AC7A71F-1E73-413C-AE20-9ED1976FD537}" srcOrd="6" destOrd="0" parTransId="{6714EDAF-6687-4513-844F-BBF251D96968}" sibTransId="{4109E6EA-AF18-4256-AD24-D0D80AA5EFFE}"/>
    <dgm:cxn modelId="{8B9F8BCA-3888-42AE-9BF0-0C3EAB22045E}" srcId="{A3B82F9E-4758-43EB-ADFD-9D48C41E9B71}" destId="{8AB88765-0C89-4C8C-A947-BD8DF4A2F451}" srcOrd="3" destOrd="0" parTransId="{FF411110-ABA6-4E52-8C5B-AB960096FB31}" sibTransId="{8F639329-DDF0-4DDC-900B-69F99C3F43DC}"/>
    <dgm:cxn modelId="{53875E3D-48E9-4514-B768-7C14AF57DD7D}" type="presParOf" srcId="{6EB5AAF1-B847-4268-AE65-9294AFE3242A}" destId="{A902E30F-5A91-4818-A2CF-7B1817211F34}" srcOrd="0" destOrd="0" presId="urn:microsoft.com/office/officeart/2005/8/layout/radial4"/>
    <dgm:cxn modelId="{5EA31371-29E3-4248-8B09-4956715FBE76}" type="presParOf" srcId="{6EB5AAF1-B847-4268-AE65-9294AFE3242A}" destId="{02C58ECC-5806-4B0A-8899-561E69E09F1D}" srcOrd="1" destOrd="0" presId="urn:microsoft.com/office/officeart/2005/8/layout/radial4"/>
    <dgm:cxn modelId="{0EEAA93B-110F-419C-B94D-CBE089977B6A}" type="presParOf" srcId="{6EB5AAF1-B847-4268-AE65-9294AFE3242A}" destId="{488F3C57-CD0A-413B-932F-00733997FC66}" srcOrd="2" destOrd="0" presId="urn:microsoft.com/office/officeart/2005/8/layout/radial4"/>
    <dgm:cxn modelId="{9AB96D96-82B6-4D45-BF49-03B47964F87C}" type="presParOf" srcId="{6EB5AAF1-B847-4268-AE65-9294AFE3242A}" destId="{37050172-4BAA-4E68-A74D-64C64261F598}" srcOrd="3" destOrd="0" presId="urn:microsoft.com/office/officeart/2005/8/layout/radial4"/>
    <dgm:cxn modelId="{7B90C119-C1E0-4067-A5E4-9172FF2871DC}" type="presParOf" srcId="{6EB5AAF1-B847-4268-AE65-9294AFE3242A}" destId="{F212D051-8A71-4536-B286-CA0763E33F57}" srcOrd="4" destOrd="0" presId="urn:microsoft.com/office/officeart/2005/8/layout/radial4"/>
    <dgm:cxn modelId="{013F8AA7-8E5D-4506-8CDC-67779A7D48BA}" type="presParOf" srcId="{6EB5AAF1-B847-4268-AE65-9294AFE3242A}" destId="{9147D9EE-DC2F-4BBA-A86B-9061AA2D0BAA}" srcOrd="5" destOrd="0" presId="urn:microsoft.com/office/officeart/2005/8/layout/radial4"/>
    <dgm:cxn modelId="{185A7696-A567-4581-8DF7-C1A3C8DD4EAE}" type="presParOf" srcId="{6EB5AAF1-B847-4268-AE65-9294AFE3242A}" destId="{8EB0E7B8-D178-45A1-83E4-06DE63A68FD8}" srcOrd="6" destOrd="0" presId="urn:microsoft.com/office/officeart/2005/8/layout/radial4"/>
    <dgm:cxn modelId="{7744AD9F-E4AB-49EF-9FFC-3B78E8B15973}" type="presParOf" srcId="{6EB5AAF1-B847-4268-AE65-9294AFE3242A}" destId="{B993EEA7-E92F-4804-95CB-30FDA93C03E2}" srcOrd="7" destOrd="0" presId="urn:microsoft.com/office/officeart/2005/8/layout/radial4"/>
    <dgm:cxn modelId="{6710C217-2DE9-4813-8676-1B4B67466EC8}" type="presParOf" srcId="{6EB5AAF1-B847-4268-AE65-9294AFE3242A}" destId="{501F1FF7-8492-4726-919E-6322524FF868}" srcOrd="8" destOrd="0" presId="urn:microsoft.com/office/officeart/2005/8/layout/radial4"/>
    <dgm:cxn modelId="{A012E869-441A-4407-8C29-38100D8B9CB1}" type="presParOf" srcId="{6EB5AAF1-B847-4268-AE65-9294AFE3242A}" destId="{B3772A8A-915A-4AC9-A03D-380D73C74699}" srcOrd="9" destOrd="0" presId="urn:microsoft.com/office/officeart/2005/8/layout/radial4"/>
    <dgm:cxn modelId="{C38056AF-A816-414F-9371-5B46B7503BF9}" type="presParOf" srcId="{6EB5AAF1-B847-4268-AE65-9294AFE3242A}" destId="{73B5C06A-732E-4495-90F1-9BDC8BC02443}" srcOrd="10" destOrd="0" presId="urn:microsoft.com/office/officeart/2005/8/layout/radial4"/>
    <dgm:cxn modelId="{3CB7BF16-7CCD-4837-A916-0874FDC830A4}" type="presParOf" srcId="{6EB5AAF1-B847-4268-AE65-9294AFE3242A}" destId="{C54E1157-0E80-496F-8103-AD93D4902AA4}" srcOrd="11" destOrd="0" presId="urn:microsoft.com/office/officeart/2005/8/layout/radial4"/>
    <dgm:cxn modelId="{126E9A88-E965-40BE-A4A6-51D6DE86D171}" type="presParOf" srcId="{6EB5AAF1-B847-4268-AE65-9294AFE3242A}" destId="{79651A3F-B1F5-4551-86ED-B2D6CADAA6F0}" srcOrd="12" destOrd="0" presId="urn:microsoft.com/office/officeart/2005/8/layout/radial4"/>
    <dgm:cxn modelId="{642B292E-DDB7-4207-B32D-EB38EDD926F4}" type="presParOf" srcId="{6EB5AAF1-B847-4268-AE65-9294AFE3242A}" destId="{B81C7FF9-2573-4ECE-AB3E-616C07E2F2AC}" srcOrd="13" destOrd="0" presId="urn:microsoft.com/office/officeart/2005/8/layout/radial4"/>
    <dgm:cxn modelId="{8AA4C947-C6CF-434B-BC36-ABD2425F7FA1}" type="presParOf" srcId="{6EB5AAF1-B847-4268-AE65-9294AFE3242A}" destId="{7D19942A-6EA8-42BD-8E4B-EE3042310E93}" srcOrd="14" destOrd="0" presId="urn:microsoft.com/office/officeart/2005/8/layout/radial4"/>
    <dgm:cxn modelId="{2637C8C9-BFC2-4677-805C-BFF2A45781A5}" type="presParOf" srcId="{6EB5AAF1-B847-4268-AE65-9294AFE3242A}" destId="{BFC1B80E-D350-4EBC-9C46-BC5B2724CE10}" srcOrd="15" destOrd="0" presId="urn:microsoft.com/office/officeart/2005/8/layout/radial4"/>
    <dgm:cxn modelId="{9B980592-0B20-415A-8097-674EB4D51288}" type="presParOf" srcId="{6EB5AAF1-B847-4268-AE65-9294AFE3242A}" destId="{3FE55853-2067-4443-B35D-9C03699EA790}" srcOrd="16" destOrd="0" presId="urn:microsoft.com/office/officeart/2005/8/layout/radial4"/>
  </dgm:cxnLst>
  <dgm:bg/>
  <dgm:whole/>
  <dgm:extLst>
    <a:ext uri="http://schemas.microsoft.com/office/drawing/2008/diagram">
      <dsp:dataModelExt xmlns:dsp="http://schemas.microsoft.com/office/drawing/2008/diagram" xmlns="" relId="rId37"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0026787-242E-4DD6-B562-8364DFA0A979}">
      <dsp:nvSpPr>
        <dsp:cNvPr id="0" name=""/>
        <dsp:cNvSpPr/>
      </dsp:nvSpPr>
      <dsp:spPr>
        <a:xfrm>
          <a:off x="0" y="296437"/>
          <a:ext cx="5591175" cy="1393875"/>
        </a:xfrm>
        <a:prstGeom prst="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33937" tIns="312420" rIns="433937" bIns="78232" numCol="1" spcCol="1270" anchor="t" anchorCtr="0">
          <a:noAutofit/>
        </a:bodyPr>
        <a:lstStyle/>
        <a:p>
          <a:pPr marL="114300" lvl="1" indent="-114300" algn="l" defTabSz="666750">
            <a:lnSpc>
              <a:spcPct val="90000"/>
            </a:lnSpc>
            <a:spcBef>
              <a:spcPct val="0"/>
            </a:spcBef>
            <a:spcAft>
              <a:spcPct val="15000"/>
            </a:spcAft>
            <a:buChar char="••"/>
          </a:pPr>
          <a:r>
            <a:rPr lang="nl-NL" sz="1500" kern="1200"/>
            <a:t>1 Introduction</a:t>
          </a:r>
        </a:p>
        <a:p>
          <a:pPr marL="114300" lvl="1" indent="-114300" algn="l" defTabSz="666750">
            <a:lnSpc>
              <a:spcPct val="90000"/>
            </a:lnSpc>
            <a:spcBef>
              <a:spcPct val="0"/>
            </a:spcBef>
            <a:spcAft>
              <a:spcPct val="15000"/>
            </a:spcAft>
            <a:buChar char="••"/>
          </a:pPr>
          <a:r>
            <a:rPr lang="nl-NL" sz="1500" kern="1200"/>
            <a:t>2 Theoretical framework</a:t>
          </a:r>
        </a:p>
        <a:p>
          <a:pPr marL="114300" lvl="2" indent="-57150" algn="l" defTabSz="488950">
            <a:lnSpc>
              <a:spcPct val="90000"/>
            </a:lnSpc>
            <a:spcBef>
              <a:spcPct val="0"/>
            </a:spcBef>
            <a:spcAft>
              <a:spcPct val="15000"/>
            </a:spcAft>
            <a:buChar char="••"/>
          </a:pPr>
          <a:r>
            <a:rPr lang="nl-NL" sz="1100" kern="1200"/>
            <a:t> Logistics services providers</a:t>
          </a:r>
        </a:p>
        <a:p>
          <a:pPr marL="114300" lvl="2" indent="-57150" algn="l" defTabSz="488950">
            <a:lnSpc>
              <a:spcPct val="90000"/>
            </a:lnSpc>
            <a:spcBef>
              <a:spcPct val="0"/>
            </a:spcBef>
            <a:spcAft>
              <a:spcPct val="15000"/>
            </a:spcAft>
            <a:buChar char="••"/>
          </a:pPr>
          <a:r>
            <a:rPr lang="nl-NL" sz="1100" kern="1200"/>
            <a:t> The historical development of the TPL business</a:t>
          </a:r>
        </a:p>
        <a:p>
          <a:pPr marL="114300" lvl="2" indent="-57150" algn="l" defTabSz="488950">
            <a:lnSpc>
              <a:spcPct val="90000"/>
            </a:lnSpc>
            <a:spcBef>
              <a:spcPct val="0"/>
            </a:spcBef>
            <a:spcAft>
              <a:spcPct val="15000"/>
            </a:spcAft>
            <a:buChar char="••"/>
          </a:pPr>
          <a:r>
            <a:rPr lang="nl-NL" sz="1100" kern="1200"/>
            <a:t> Outsourcing logistics</a:t>
          </a:r>
        </a:p>
      </dsp:txBody>
      <dsp:txXfrm>
        <a:off x="0" y="296437"/>
        <a:ext cx="5591175" cy="1393875"/>
      </dsp:txXfrm>
    </dsp:sp>
    <dsp:sp modelId="{3D3C0FE6-566B-403D-8A4A-0A71364DF405}">
      <dsp:nvSpPr>
        <dsp:cNvPr id="0" name=""/>
        <dsp:cNvSpPr/>
      </dsp:nvSpPr>
      <dsp:spPr>
        <a:xfrm>
          <a:off x="279558" y="75037"/>
          <a:ext cx="3913822" cy="442800"/>
        </a:xfrm>
        <a:prstGeom prst="roundRect">
          <a:avLst/>
        </a:prstGeom>
        <a:solidFill>
          <a:schemeClr val="lt1">
            <a:hueOff val="0"/>
            <a:satOff val="0"/>
            <a:lumOff val="0"/>
            <a:alphaOff val="0"/>
          </a:schemeClr>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47933" tIns="0" rIns="147933" bIns="0" numCol="1" spcCol="1270" anchor="ctr" anchorCtr="0">
          <a:noAutofit/>
        </a:bodyPr>
        <a:lstStyle/>
        <a:p>
          <a:pPr lvl="0" algn="ctr" defTabSz="666750">
            <a:lnSpc>
              <a:spcPct val="90000"/>
            </a:lnSpc>
            <a:spcBef>
              <a:spcPct val="0"/>
            </a:spcBef>
            <a:spcAft>
              <a:spcPct val="35000"/>
            </a:spcAft>
          </a:pPr>
          <a:r>
            <a:rPr lang="nl-NL" sz="1500" kern="1200"/>
            <a:t>Introductory</a:t>
          </a:r>
        </a:p>
      </dsp:txBody>
      <dsp:txXfrm>
        <a:off x="279558" y="75037"/>
        <a:ext cx="3913822" cy="442800"/>
      </dsp:txXfrm>
    </dsp:sp>
    <dsp:sp modelId="{A83F3469-3733-4F2E-A603-37C4C53C8CFA}">
      <dsp:nvSpPr>
        <dsp:cNvPr id="0" name=""/>
        <dsp:cNvSpPr/>
      </dsp:nvSpPr>
      <dsp:spPr>
        <a:xfrm>
          <a:off x="0" y="1992712"/>
          <a:ext cx="5591175" cy="2268000"/>
        </a:xfrm>
        <a:prstGeom prst="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33937" tIns="312420" rIns="433937" bIns="78232" numCol="1" spcCol="1270" anchor="t" anchorCtr="0">
          <a:noAutofit/>
        </a:bodyPr>
        <a:lstStyle/>
        <a:p>
          <a:pPr marL="114300" lvl="1" indent="-114300" algn="l" defTabSz="666750">
            <a:lnSpc>
              <a:spcPct val="90000"/>
            </a:lnSpc>
            <a:spcBef>
              <a:spcPct val="0"/>
            </a:spcBef>
            <a:spcAft>
              <a:spcPct val="15000"/>
            </a:spcAft>
            <a:buChar char="••"/>
          </a:pPr>
          <a:r>
            <a:rPr lang="nl-NL" sz="1500" kern="1200"/>
            <a:t>2 Theoretical framework</a:t>
          </a:r>
        </a:p>
        <a:p>
          <a:pPr marL="114300" lvl="2" indent="-57150" algn="l" defTabSz="488950">
            <a:lnSpc>
              <a:spcPct val="90000"/>
            </a:lnSpc>
            <a:spcBef>
              <a:spcPct val="0"/>
            </a:spcBef>
            <a:spcAft>
              <a:spcPct val="15000"/>
            </a:spcAft>
            <a:buChar char="••"/>
          </a:pPr>
          <a:r>
            <a:rPr lang="nl-NL" sz="1100" kern="1200"/>
            <a:t> TPL buyer-supplier relationships</a:t>
          </a:r>
        </a:p>
        <a:p>
          <a:pPr marL="114300" lvl="2" indent="-57150" algn="l" defTabSz="488950">
            <a:lnSpc>
              <a:spcPct val="90000"/>
            </a:lnSpc>
            <a:spcBef>
              <a:spcPct val="0"/>
            </a:spcBef>
            <a:spcAft>
              <a:spcPct val="15000"/>
            </a:spcAft>
            <a:buChar char="••"/>
          </a:pPr>
          <a:r>
            <a:rPr lang="nl-NL" sz="1100" kern="1200"/>
            <a:t> The geographic service area of TPL providers</a:t>
          </a:r>
        </a:p>
        <a:p>
          <a:pPr marL="114300" lvl="2" indent="-57150" algn="l" defTabSz="488950">
            <a:lnSpc>
              <a:spcPct val="90000"/>
            </a:lnSpc>
            <a:spcBef>
              <a:spcPct val="0"/>
            </a:spcBef>
            <a:spcAft>
              <a:spcPct val="15000"/>
            </a:spcAft>
            <a:buChar char="••"/>
          </a:pPr>
          <a:r>
            <a:rPr lang="nl-NL" sz="1100" kern="1200"/>
            <a:t> TPL providers' capabilities and the role of path dependency</a:t>
          </a:r>
        </a:p>
        <a:p>
          <a:pPr marL="114300" lvl="2" indent="-57150" algn="l" defTabSz="488950">
            <a:lnSpc>
              <a:spcPct val="90000"/>
            </a:lnSpc>
            <a:spcBef>
              <a:spcPct val="0"/>
            </a:spcBef>
            <a:spcAft>
              <a:spcPct val="15000"/>
            </a:spcAft>
            <a:buChar char="••"/>
          </a:pPr>
          <a:r>
            <a:rPr lang="nl-NL" sz="1100" kern="1200"/>
            <a:t> Client specific investments</a:t>
          </a:r>
        </a:p>
        <a:p>
          <a:pPr marL="114300" lvl="2" indent="-57150" algn="l" defTabSz="488950">
            <a:lnSpc>
              <a:spcPct val="90000"/>
            </a:lnSpc>
            <a:spcBef>
              <a:spcPct val="0"/>
            </a:spcBef>
            <a:spcAft>
              <a:spcPct val="15000"/>
            </a:spcAft>
            <a:buChar char="••"/>
          </a:pPr>
          <a:r>
            <a:rPr lang="nl-NL" sz="1100" kern="1200"/>
            <a:t> Customer adaption versus offering general services</a:t>
          </a:r>
        </a:p>
        <a:p>
          <a:pPr marL="114300" lvl="2" indent="-57150" algn="l" defTabSz="488950">
            <a:lnSpc>
              <a:spcPct val="90000"/>
            </a:lnSpc>
            <a:spcBef>
              <a:spcPct val="0"/>
            </a:spcBef>
            <a:spcAft>
              <a:spcPct val="15000"/>
            </a:spcAft>
            <a:buChar char="••"/>
          </a:pPr>
          <a:r>
            <a:rPr lang="nl-NL" sz="1100" kern="1200"/>
            <a:t> Environmental awareness in the TPL industry</a:t>
          </a:r>
        </a:p>
        <a:p>
          <a:pPr marL="114300" lvl="2" indent="-57150" algn="l" defTabSz="488950">
            <a:lnSpc>
              <a:spcPct val="90000"/>
            </a:lnSpc>
            <a:spcBef>
              <a:spcPct val="0"/>
            </a:spcBef>
            <a:spcAft>
              <a:spcPct val="15000"/>
            </a:spcAft>
            <a:buChar char="••"/>
          </a:pPr>
          <a:r>
            <a:rPr lang="nl-NL" sz="1100" kern="1200"/>
            <a:t> Value added logistics</a:t>
          </a:r>
        </a:p>
        <a:p>
          <a:pPr marL="114300" lvl="2" indent="-57150" algn="l" defTabSz="488950">
            <a:lnSpc>
              <a:spcPct val="90000"/>
            </a:lnSpc>
            <a:spcBef>
              <a:spcPct val="0"/>
            </a:spcBef>
            <a:spcAft>
              <a:spcPct val="15000"/>
            </a:spcAft>
            <a:buChar char="••"/>
          </a:pPr>
          <a:r>
            <a:rPr lang="nl-NL" sz="1100" kern="1200"/>
            <a:t> Capturing the supply chain</a:t>
          </a:r>
        </a:p>
        <a:p>
          <a:pPr marL="57150" lvl="1" indent="-57150" algn="l" defTabSz="488950">
            <a:lnSpc>
              <a:spcPct val="90000"/>
            </a:lnSpc>
            <a:spcBef>
              <a:spcPct val="0"/>
            </a:spcBef>
            <a:spcAft>
              <a:spcPct val="15000"/>
            </a:spcAft>
            <a:buChar char="••"/>
          </a:pPr>
          <a:endParaRPr lang="nl-NL" sz="1100" kern="1200"/>
        </a:p>
      </dsp:txBody>
      <dsp:txXfrm>
        <a:off x="0" y="1992712"/>
        <a:ext cx="5591175" cy="2268000"/>
      </dsp:txXfrm>
    </dsp:sp>
    <dsp:sp modelId="{693590AC-98F0-4CAD-8730-EF582B9DA447}">
      <dsp:nvSpPr>
        <dsp:cNvPr id="0" name=""/>
        <dsp:cNvSpPr/>
      </dsp:nvSpPr>
      <dsp:spPr>
        <a:xfrm>
          <a:off x="279558" y="1771312"/>
          <a:ext cx="3913822" cy="442800"/>
        </a:xfrm>
        <a:prstGeom prst="roundRect">
          <a:avLst/>
        </a:prstGeom>
        <a:solidFill>
          <a:schemeClr val="lt1">
            <a:hueOff val="0"/>
            <a:satOff val="0"/>
            <a:lumOff val="0"/>
            <a:alphaOff val="0"/>
          </a:schemeClr>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47933" tIns="0" rIns="147933" bIns="0" numCol="1" spcCol="1270" anchor="ctr" anchorCtr="0">
          <a:noAutofit/>
        </a:bodyPr>
        <a:lstStyle/>
        <a:p>
          <a:pPr lvl="0" algn="ctr" defTabSz="666750">
            <a:lnSpc>
              <a:spcPct val="90000"/>
            </a:lnSpc>
            <a:spcBef>
              <a:spcPct val="0"/>
            </a:spcBef>
            <a:spcAft>
              <a:spcPct val="35000"/>
            </a:spcAft>
          </a:pPr>
          <a:r>
            <a:rPr lang="nl-NL" sz="1500" kern="1200"/>
            <a:t>Analyzing &amp; scientifically declaring</a:t>
          </a:r>
        </a:p>
      </dsp:txBody>
      <dsp:txXfrm>
        <a:off x="279558" y="1771312"/>
        <a:ext cx="3913822" cy="442800"/>
      </dsp:txXfrm>
    </dsp:sp>
    <dsp:sp modelId="{C838458E-D2DA-49B2-B2B0-45C58AF912EF}">
      <dsp:nvSpPr>
        <dsp:cNvPr id="0" name=""/>
        <dsp:cNvSpPr/>
      </dsp:nvSpPr>
      <dsp:spPr>
        <a:xfrm>
          <a:off x="0" y="4563112"/>
          <a:ext cx="5591175" cy="1134000"/>
        </a:xfrm>
        <a:prstGeom prst="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33937" tIns="312420" rIns="433937" bIns="106680" numCol="1" spcCol="1270" anchor="t" anchorCtr="0">
          <a:noAutofit/>
        </a:bodyPr>
        <a:lstStyle/>
        <a:p>
          <a:pPr marL="114300" lvl="1" indent="-114300" algn="l" defTabSz="666750">
            <a:lnSpc>
              <a:spcPct val="90000"/>
            </a:lnSpc>
            <a:spcBef>
              <a:spcPct val="0"/>
            </a:spcBef>
            <a:spcAft>
              <a:spcPct val="15000"/>
            </a:spcAft>
            <a:buChar char="••"/>
          </a:pPr>
          <a:r>
            <a:rPr lang="nl-NL" sz="1500" kern="1200"/>
            <a:t>3 Methodology</a:t>
          </a:r>
        </a:p>
        <a:p>
          <a:pPr marL="114300" lvl="1" indent="-114300" algn="l" defTabSz="666750">
            <a:lnSpc>
              <a:spcPct val="90000"/>
            </a:lnSpc>
            <a:spcBef>
              <a:spcPct val="0"/>
            </a:spcBef>
            <a:spcAft>
              <a:spcPct val="15000"/>
            </a:spcAft>
            <a:buChar char="••"/>
          </a:pPr>
          <a:r>
            <a:rPr lang="nl-NL" sz="1500" kern="1200"/>
            <a:t>4 Results and analysis</a:t>
          </a:r>
        </a:p>
        <a:p>
          <a:pPr marL="114300" lvl="1" indent="-114300" algn="l" defTabSz="666750">
            <a:lnSpc>
              <a:spcPct val="90000"/>
            </a:lnSpc>
            <a:spcBef>
              <a:spcPct val="0"/>
            </a:spcBef>
            <a:spcAft>
              <a:spcPct val="15000"/>
            </a:spcAft>
            <a:buChar char="••"/>
          </a:pPr>
          <a:r>
            <a:rPr lang="nl-NL" sz="1500" kern="1200"/>
            <a:t>5 Discussion and conclusions</a:t>
          </a:r>
        </a:p>
      </dsp:txBody>
      <dsp:txXfrm>
        <a:off x="0" y="4563112"/>
        <a:ext cx="5591175" cy="1134000"/>
      </dsp:txXfrm>
    </dsp:sp>
    <dsp:sp modelId="{A2D7B9DC-F82B-4ABE-8506-37BED8B61230}">
      <dsp:nvSpPr>
        <dsp:cNvPr id="0" name=""/>
        <dsp:cNvSpPr/>
      </dsp:nvSpPr>
      <dsp:spPr>
        <a:xfrm>
          <a:off x="279558" y="4341712"/>
          <a:ext cx="3913822" cy="442800"/>
        </a:xfrm>
        <a:prstGeom prst="roundRect">
          <a:avLst/>
        </a:prstGeom>
        <a:solidFill>
          <a:schemeClr val="lt1">
            <a:hueOff val="0"/>
            <a:satOff val="0"/>
            <a:lumOff val="0"/>
            <a:alphaOff val="0"/>
          </a:schemeClr>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47933" tIns="0" rIns="147933" bIns="0" numCol="1" spcCol="1270" anchor="ctr" anchorCtr="0">
          <a:noAutofit/>
        </a:bodyPr>
        <a:lstStyle/>
        <a:p>
          <a:pPr lvl="0" algn="ctr" defTabSz="666750">
            <a:lnSpc>
              <a:spcPct val="90000"/>
            </a:lnSpc>
            <a:spcBef>
              <a:spcPct val="0"/>
            </a:spcBef>
            <a:spcAft>
              <a:spcPct val="35000"/>
            </a:spcAft>
          </a:pPr>
          <a:r>
            <a:rPr lang="nl-NL" sz="1500" kern="1200"/>
            <a:t>Presentation of the research</a:t>
          </a:r>
        </a:p>
      </dsp:txBody>
      <dsp:txXfrm>
        <a:off x="279558" y="4341712"/>
        <a:ext cx="3913822" cy="442800"/>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3E84363C-A6E3-414F-BC78-268C72E2CA7B}">
      <dsp:nvSpPr>
        <dsp:cNvPr id="0" name=""/>
        <dsp:cNvSpPr/>
      </dsp:nvSpPr>
      <dsp:spPr>
        <a:xfrm>
          <a:off x="0" y="269849"/>
          <a:ext cx="5438774" cy="1017450"/>
        </a:xfrm>
        <a:prstGeom prst="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22109" tIns="354076" rIns="422109" bIns="85344" numCol="1" spcCol="1270" anchor="t" anchorCtr="0">
          <a:noAutofit/>
        </a:bodyPr>
        <a:lstStyle/>
        <a:p>
          <a:pPr marL="114300" lvl="1" indent="-114300" algn="l" defTabSz="533400">
            <a:lnSpc>
              <a:spcPct val="90000"/>
            </a:lnSpc>
            <a:spcBef>
              <a:spcPct val="0"/>
            </a:spcBef>
            <a:spcAft>
              <a:spcPct val="15000"/>
            </a:spcAft>
            <a:buChar char="••"/>
          </a:pPr>
          <a:r>
            <a:rPr lang="nl-NL" sz="1200" kern="1200"/>
            <a:t>2.1 Defining logistics services providers</a:t>
          </a:r>
        </a:p>
        <a:p>
          <a:pPr marL="114300" lvl="1" indent="-114300" algn="l" defTabSz="533400">
            <a:lnSpc>
              <a:spcPct val="90000"/>
            </a:lnSpc>
            <a:spcBef>
              <a:spcPct val="0"/>
            </a:spcBef>
            <a:spcAft>
              <a:spcPct val="15000"/>
            </a:spcAft>
            <a:buChar char="••"/>
          </a:pPr>
          <a:r>
            <a:rPr lang="nl-NL" sz="1200" kern="1200"/>
            <a:t>2.2 The historical development of the TPL business</a:t>
          </a:r>
        </a:p>
        <a:p>
          <a:pPr marL="114300" lvl="1" indent="-114300" algn="l" defTabSz="533400">
            <a:lnSpc>
              <a:spcPct val="90000"/>
            </a:lnSpc>
            <a:spcBef>
              <a:spcPct val="0"/>
            </a:spcBef>
            <a:spcAft>
              <a:spcPct val="15000"/>
            </a:spcAft>
            <a:buChar char="••"/>
          </a:pPr>
          <a:r>
            <a:rPr lang="nl-NL" sz="1200" kern="1200"/>
            <a:t>2.3 Outsourcing logistics</a:t>
          </a:r>
        </a:p>
      </dsp:txBody>
      <dsp:txXfrm>
        <a:off x="0" y="269849"/>
        <a:ext cx="5438774" cy="1017450"/>
      </dsp:txXfrm>
    </dsp:sp>
    <dsp:sp modelId="{D1B1CFCB-CE57-46BE-B453-20F4C9997716}">
      <dsp:nvSpPr>
        <dsp:cNvPr id="0" name=""/>
        <dsp:cNvSpPr/>
      </dsp:nvSpPr>
      <dsp:spPr>
        <a:xfrm>
          <a:off x="271938" y="18929"/>
          <a:ext cx="3807142" cy="501840"/>
        </a:xfrm>
        <a:prstGeom prst="roundRect">
          <a:avLst/>
        </a:prstGeom>
        <a:solidFill>
          <a:schemeClr val="lt1">
            <a:hueOff val="0"/>
            <a:satOff val="0"/>
            <a:lumOff val="0"/>
            <a:alphaOff val="0"/>
          </a:schemeClr>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43901" tIns="0" rIns="143901" bIns="0" numCol="1" spcCol="1270" anchor="ctr" anchorCtr="0">
          <a:noAutofit/>
        </a:bodyPr>
        <a:lstStyle/>
        <a:p>
          <a:pPr lvl="0" algn="l" defTabSz="622300">
            <a:lnSpc>
              <a:spcPct val="90000"/>
            </a:lnSpc>
            <a:spcBef>
              <a:spcPct val="0"/>
            </a:spcBef>
            <a:spcAft>
              <a:spcPct val="35000"/>
            </a:spcAft>
          </a:pPr>
          <a:r>
            <a:rPr lang="nl-NL" sz="1400" kern="1200">
              <a:latin typeface="+mj-lt"/>
            </a:rPr>
            <a:t>Introducing the subject</a:t>
          </a:r>
        </a:p>
      </dsp:txBody>
      <dsp:txXfrm>
        <a:off x="271938" y="18929"/>
        <a:ext cx="3807142" cy="501840"/>
      </dsp:txXfrm>
    </dsp:sp>
    <dsp:sp modelId="{2BBC6CE8-79BD-4226-A369-ED405C9EA37F}">
      <dsp:nvSpPr>
        <dsp:cNvPr id="0" name=""/>
        <dsp:cNvSpPr/>
      </dsp:nvSpPr>
      <dsp:spPr>
        <a:xfrm>
          <a:off x="0" y="1630019"/>
          <a:ext cx="5438774" cy="2142000"/>
        </a:xfrm>
        <a:prstGeom prst="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22109" tIns="354076" rIns="422109" bIns="85344" numCol="1" spcCol="1270" anchor="t" anchorCtr="0">
          <a:noAutofit/>
        </a:bodyPr>
        <a:lstStyle/>
        <a:p>
          <a:pPr marL="114300" lvl="1" indent="-114300" algn="just" defTabSz="533400">
            <a:lnSpc>
              <a:spcPct val="90000"/>
            </a:lnSpc>
            <a:spcBef>
              <a:spcPct val="0"/>
            </a:spcBef>
            <a:spcAft>
              <a:spcPct val="15000"/>
            </a:spcAft>
            <a:buChar char="••"/>
          </a:pPr>
          <a:r>
            <a:rPr lang="nl-NL" sz="1200" kern="1200"/>
            <a:t>2.4 TPL buyer-supplier relationships</a:t>
          </a:r>
        </a:p>
        <a:p>
          <a:pPr marL="114300" lvl="1" indent="-114300" algn="just" defTabSz="533400">
            <a:lnSpc>
              <a:spcPct val="90000"/>
            </a:lnSpc>
            <a:spcBef>
              <a:spcPct val="0"/>
            </a:spcBef>
            <a:spcAft>
              <a:spcPct val="15000"/>
            </a:spcAft>
            <a:buChar char="••"/>
          </a:pPr>
          <a:r>
            <a:rPr lang="nl-NL" sz="1200" kern="1200"/>
            <a:t>2.5 The geographic service area of TPL providers</a:t>
          </a:r>
        </a:p>
        <a:p>
          <a:pPr marL="114300" lvl="1" indent="-114300" algn="just" defTabSz="533400">
            <a:lnSpc>
              <a:spcPct val="90000"/>
            </a:lnSpc>
            <a:spcBef>
              <a:spcPct val="0"/>
            </a:spcBef>
            <a:spcAft>
              <a:spcPct val="15000"/>
            </a:spcAft>
            <a:buChar char="••"/>
          </a:pPr>
          <a:r>
            <a:rPr lang="nl-NL" sz="1200" kern="1200"/>
            <a:t>2.6 TPL providers' capabilities and the role of path dependency</a:t>
          </a:r>
        </a:p>
        <a:p>
          <a:pPr marL="114300" lvl="1" indent="-114300" algn="just" defTabSz="533400">
            <a:lnSpc>
              <a:spcPct val="90000"/>
            </a:lnSpc>
            <a:spcBef>
              <a:spcPct val="0"/>
            </a:spcBef>
            <a:spcAft>
              <a:spcPct val="15000"/>
            </a:spcAft>
            <a:buChar char="••"/>
          </a:pPr>
          <a:r>
            <a:rPr lang="nl-NL" sz="1200" kern="1200"/>
            <a:t>2.7 Client specific investments</a:t>
          </a:r>
        </a:p>
        <a:p>
          <a:pPr marL="114300" lvl="1" indent="-114300" algn="just" defTabSz="533400">
            <a:lnSpc>
              <a:spcPct val="90000"/>
            </a:lnSpc>
            <a:spcBef>
              <a:spcPct val="0"/>
            </a:spcBef>
            <a:spcAft>
              <a:spcPct val="15000"/>
            </a:spcAft>
            <a:buChar char="••"/>
          </a:pPr>
          <a:r>
            <a:rPr lang="nl-NL" sz="1200" kern="1200"/>
            <a:t> 2.8 Customer adaption versus offering general services</a:t>
          </a:r>
        </a:p>
        <a:p>
          <a:pPr marL="114300" lvl="1" indent="-114300" algn="just" defTabSz="533400">
            <a:lnSpc>
              <a:spcPct val="90000"/>
            </a:lnSpc>
            <a:spcBef>
              <a:spcPct val="0"/>
            </a:spcBef>
            <a:spcAft>
              <a:spcPct val="15000"/>
            </a:spcAft>
            <a:buChar char="••"/>
          </a:pPr>
          <a:r>
            <a:rPr lang="nl-NL" sz="1200" kern="1200"/>
            <a:t> 2.9 Environmental awareness in the TPL industry</a:t>
          </a:r>
        </a:p>
        <a:p>
          <a:pPr marL="114300" lvl="1" indent="-114300" algn="just" defTabSz="533400">
            <a:lnSpc>
              <a:spcPct val="90000"/>
            </a:lnSpc>
            <a:spcBef>
              <a:spcPct val="0"/>
            </a:spcBef>
            <a:spcAft>
              <a:spcPct val="15000"/>
            </a:spcAft>
            <a:buChar char="••"/>
          </a:pPr>
          <a:r>
            <a:rPr lang="nl-NL" sz="1200" kern="1200"/>
            <a:t>2.10 Value added logistics</a:t>
          </a:r>
        </a:p>
        <a:p>
          <a:pPr marL="114300" lvl="1" indent="-114300" algn="just" defTabSz="533400">
            <a:lnSpc>
              <a:spcPct val="90000"/>
            </a:lnSpc>
            <a:spcBef>
              <a:spcPct val="0"/>
            </a:spcBef>
            <a:spcAft>
              <a:spcPct val="15000"/>
            </a:spcAft>
            <a:buChar char="••"/>
          </a:pPr>
          <a:r>
            <a:rPr lang="nl-NL" sz="1200" kern="1200"/>
            <a:t>2.11 Capturing the supply chain</a:t>
          </a:r>
        </a:p>
        <a:p>
          <a:pPr marL="57150" lvl="1" indent="-57150" algn="l" defTabSz="400050">
            <a:lnSpc>
              <a:spcPct val="90000"/>
            </a:lnSpc>
            <a:spcBef>
              <a:spcPct val="0"/>
            </a:spcBef>
            <a:spcAft>
              <a:spcPct val="15000"/>
            </a:spcAft>
            <a:buChar char="••"/>
          </a:pPr>
          <a:endParaRPr lang="nl-NL" sz="900" kern="1200"/>
        </a:p>
      </dsp:txBody>
      <dsp:txXfrm>
        <a:off x="0" y="1630019"/>
        <a:ext cx="5438774" cy="2142000"/>
      </dsp:txXfrm>
    </dsp:sp>
    <dsp:sp modelId="{AE1654CA-89B7-4AB3-8ABA-B28579AC614D}">
      <dsp:nvSpPr>
        <dsp:cNvPr id="0" name=""/>
        <dsp:cNvSpPr/>
      </dsp:nvSpPr>
      <dsp:spPr>
        <a:xfrm>
          <a:off x="271938" y="1379099"/>
          <a:ext cx="3807142" cy="501840"/>
        </a:xfrm>
        <a:prstGeom prst="roundRect">
          <a:avLst/>
        </a:prstGeom>
        <a:solidFill>
          <a:schemeClr val="lt1">
            <a:hueOff val="0"/>
            <a:satOff val="0"/>
            <a:lumOff val="0"/>
            <a:alphaOff val="0"/>
          </a:schemeClr>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143901" tIns="0" rIns="143901" bIns="0" numCol="1" spcCol="1270" anchor="ctr" anchorCtr="0">
          <a:noAutofit/>
        </a:bodyPr>
        <a:lstStyle/>
        <a:p>
          <a:pPr lvl="0" algn="l" defTabSz="622300">
            <a:lnSpc>
              <a:spcPct val="90000"/>
            </a:lnSpc>
            <a:spcBef>
              <a:spcPct val="0"/>
            </a:spcBef>
            <a:spcAft>
              <a:spcPct val="35000"/>
            </a:spcAft>
          </a:pPr>
          <a:r>
            <a:rPr lang="nl-NL" sz="1400" kern="1200">
              <a:latin typeface="+mj-lt"/>
            </a:rPr>
            <a:t>Approaching the research question from multiple angles</a:t>
          </a:r>
        </a:p>
      </dsp:txBody>
      <dsp:txXfrm>
        <a:off x="271938" y="1379099"/>
        <a:ext cx="3807142" cy="501840"/>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283D7C3-515C-43CB-BDF7-59DD215B7F43}">
      <dsp:nvSpPr>
        <dsp:cNvPr id="0" name=""/>
        <dsp:cNvSpPr/>
      </dsp:nvSpPr>
      <dsp:spPr>
        <a:xfrm>
          <a:off x="1252537" y="0"/>
          <a:ext cx="2667000" cy="2667000"/>
        </a:xfrm>
        <a:prstGeom prst="triangle">
          <a:avLst/>
        </a:prstGeom>
        <a:solidFill>
          <a:schemeClr val="lt1">
            <a:hueOff val="0"/>
            <a:satOff val="0"/>
            <a:lumOff val="0"/>
            <a:alphaOff val="0"/>
          </a:schemeClr>
        </a:solidFill>
        <a:ln w="38100" cap="flat" cmpd="sng" algn="ctr">
          <a:solidFill>
            <a:schemeClr val="accent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E91F94E9-D0A2-429C-B4BF-B93CF955C612}">
      <dsp:nvSpPr>
        <dsp:cNvPr id="0" name=""/>
        <dsp:cNvSpPr/>
      </dsp:nvSpPr>
      <dsp:spPr>
        <a:xfrm>
          <a:off x="2586037" y="268132"/>
          <a:ext cx="1733550" cy="631328"/>
        </a:xfrm>
        <a:prstGeom prst="round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nl-NL" sz="1500" kern="1200"/>
            <a:t>4PL</a:t>
          </a:r>
        </a:p>
      </dsp:txBody>
      <dsp:txXfrm>
        <a:off x="2586037" y="268132"/>
        <a:ext cx="1733550" cy="631328"/>
      </dsp:txXfrm>
    </dsp:sp>
    <dsp:sp modelId="{FC908F61-B75F-4AB9-B48F-3E3515076AC0}">
      <dsp:nvSpPr>
        <dsp:cNvPr id="0" name=""/>
        <dsp:cNvSpPr/>
      </dsp:nvSpPr>
      <dsp:spPr>
        <a:xfrm>
          <a:off x="2586037" y="978377"/>
          <a:ext cx="1733550" cy="631328"/>
        </a:xfrm>
        <a:prstGeom prst="round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nl-NL" sz="1500" kern="1200"/>
            <a:t>TPL</a:t>
          </a:r>
        </a:p>
      </dsp:txBody>
      <dsp:txXfrm>
        <a:off x="2586037" y="978377"/>
        <a:ext cx="1733550" cy="631328"/>
      </dsp:txXfrm>
    </dsp:sp>
    <dsp:sp modelId="{E6FEC7F9-1E70-4019-8D35-E4A3EB414358}">
      <dsp:nvSpPr>
        <dsp:cNvPr id="0" name=""/>
        <dsp:cNvSpPr/>
      </dsp:nvSpPr>
      <dsp:spPr>
        <a:xfrm>
          <a:off x="2586037" y="1726722"/>
          <a:ext cx="1733550" cy="631328"/>
        </a:xfrm>
        <a:prstGeom prst="round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nl-NL" sz="1500" kern="1200"/>
            <a:t>Carriers &amp;  Transport operators</a:t>
          </a:r>
        </a:p>
      </dsp:txBody>
      <dsp:txXfrm>
        <a:off x="2586037" y="1726722"/>
        <a:ext cx="1733550" cy="631328"/>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A902E30F-5A91-4818-A2CF-7B1817211F34}">
      <dsp:nvSpPr>
        <dsp:cNvPr id="0" name=""/>
        <dsp:cNvSpPr/>
      </dsp:nvSpPr>
      <dsp:spPr>
        <a:xfrm>
          <a:off x="1886147" y="1783235"/>
          <a:ext cx="1597757" cy="1906515"/>
        </a:xfrm>
        <a:prstGeom prst="ellipse">
          <a:avLst/>
        </a:prstGeom>
        <a:solidFill>
          <a:schemeClr val="lt1">
            <a:hueOff val="0"/>
            <a:satOff val="0"/>
            <a:lumOff val="0"/>
            <a:alphaOff val="0"/>
          </a:schemeClr>
        </a:solidFill>
        <a:ln w="38100" cap="flat" cmpd="sng" algn="ctr">
          <a:solidFill>
            <a:schemeClr val="accent6">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n-US" sz="1300" i="1" kern="1200"/>
            <a:t>“How do third party logistics providers in the Netherlands develop their business ?”</a:t>
          </a:r>
          <a:endParaRPr lang="nl-NL" sz="1300" kern="1200"/>
        </a:p>
      </dsp:txBody>
      <dsp:txXfrm>
        <a:off x="1886147" y="1783235"/>
        <a:ext cx="1597757" cy="1906515"/>
      </dsp:txXfrm>
    </dsp:sp>
    <dsp:sp modelId="{02C58ECC-5806-4B0A-8899-561E69E09F1D}">
      <dsp:nvSpPr>
        <dsp:cNvPr id="0" name=""/>
        <dsp:cNvSpPr/>
      </dsp:nvSpPr>
      <dsp:spPr>
        <a:xfrm rot="8208932">
          <a:off x="844927" y="3668008"/>
          <a:ext cx="1336453" cy="336698"/>
        </a:xfrm>
        <a:prstGeom prst="leftArrow">
          <a:avLst>
            <a:gd name="adj1" fmla="val 60000"/>
            <a:gd name="adj2" fmla="val 50000"/>
          </a:avLst>
        </a:prstGeom>
        <a:solidFill>
          <a:schemeClr val="accent6">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488F3C57-CD0A-413B-932F-00733997FC66}">
      <dsp:nvSpPr>
        <dsp:cNvPr id="0" name=""/>
        <dsp:cNvSpPr/>
      </dsp:nvSpPr>
      <dsp:spPr>
        <a:xfrm>
          <a:off x="168887" y="3959423"/>
          <a:ext cx="1714053" cy="668469"/>
        </a:xfrm>
        <a:prstGeom prst="roundRect">
          <a:avLst>
            <a:gd name="adj" fmla="val 10000"/>
          </a:avLst>
        </a:prstGeom>
        <a:solidFill>
          <a:schemeClr val="lt1">
            <a:hueOff val="0"/>
            <a:satOff val="0"/>
            <a:lumOff val="0"/>
            <a:alphaOff val="0"/>
          </a:schemeClr>
        </a:solidFill>
        <a:ln w="38100" cap="flat" cmpd="sng" algn="ctr">
          <a:solidFill>
            <a:schemeClr val="accent6">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88950">
            <a:lnSpc>
              <a:spcPct val="90000"/>
            </a:lnSpc>
            <a:spcBef>
              <a:spcPct val="0"/>
            </a:spcBef>
            <a:spcAft>
              <a:spcPct val="35000"/>
            </a:spcAft>
          </a:pPr>
          <a:r>
            <a:rPr lang="en-US" sz="1100" i="1" kern="1200"/>
            <a:t>‘’Which value adding services are offered and what is their role in developing business?’’</a:t>
          </a:r>
          <a:endParaRPr lang="nl-NL" sz="1100" kern="1200"/>
        </a:p>
      </dsp:txBody>
      <dsp:txXfrm>
        <a:off x="168887" y="3959423"/>
        <a:ext cx="1714053" cy="668469"/>
      </dsp:txXfrm>
    </dsp:sp>
    <dsp:sp modelId="{37050172-4BAA-4E68-A74D-64C64261F598}">
      <dsp:nvSpPr>
        <dsp:cNvPr id="0" name=""/>
        <dsp:cNvSpPr/>
      </dsp:nvSpPr>
      <dsp:spPr>
        <a:xfrm rot="10863972">
          <a:off x="827363" y="2542884"/>
          <a:ext cx="1000734" cy="336698"/>
        </a:xfrm>
        <a:prstGeom prst="leftArrow">
          <a:avLst>
            <a:gd name="adj1" fmla="val 60000"/>
            <a:gd name="adj2" fmla="val 50000"/>
          </a:avLst>
        </a:prstGeom>
        <a:solidFill>
          <a:schemeClr val="accent6">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F212D051-8A71-4536-B286-CA0763E33F57}">
      <dsp:nvSpPr>
        <dsp:cNvPr id="0" name=""/>
        <dsp:cNvSpPr/>
      </dsp:nvSpPr>
      <dsp:spPr>
        <a:xfrm>
          <a:off x="72274" y="2366933"/>
          <a:ext cx="1510351" cy="669978"/>
        </a:xfrm>
        <a:prstGeom prst="roundRect">
          <a:avLst>
            <a:gd name="adj" fmla="val 10000"/>
          </a:avLst>
        </a:prstGeom>
        <a:solidFill>
          <a:schemeClr val="lt1">
            <a:hueOff val="0"/>
            <a:satOff val="0"/>
            <a:lumOff val="0"/>
            <a:alphaOff val="0"/>
          </a:schemeClr>
        </a:solidFill>
        <a:ln w="38100" cap="flat" cmpd="sng" algn="ctr">
          <a:solidFill>
            <a:schemeClr val="accent6">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88950">
            <a:lnSpc>
              <a:spcPct val="90000"/>
            </a:lnSpc>
            <a:spcBef>
              <a:spcPct val="0"/>
            </a:spcBef>
            <a:spcAft>
              <a:spcPct val="35000"/>
            </a:spcAft>
          </a:pPr>
          <a:r>
            <a:rPr lang="en-US" sz="1100" i="1" kern="1200"/>
            <a:t>‘’How do TPL providers try to get hold of a larger part of the supply chain?’’</a:t>
          </a:r>
          <a:endParaRPr lang="nl-NL" sz="1100" kern="1200"/>
        </a:p>
      </dsp:txBody>
      <dsp:txXfrm>
        <a:off x="72274" y="2366933"/>
        <a:ext cx="1510351" cy="669978"/>
      </dsp:txXfrm>
    </dsp:sp>
    <dsp:sp modelId="{9147D9EE-DC2F-4BBA-A86B-9061AA2D0BAA}">
      <dsp:nvSpPr>
        <dsp:cNvPr id="0" name=""/>
        <dsp:cNvSpPr/>
      </dsp:nvSpPr>
      <dsp:spPr>
        <a:xfrm rot="13481591">
          <a:off x="724173" y="1401379"/>
          <a:ext cx="1500716" cy="336698"/>
        </a:xfrm>
        <a:prstGeom prst="leftArrow">
          <a:avLst>
            <a:gd name="adj1" fmla="val 60000"/>
            <a:gd name="adj2" fmla="val 50000"/>
          </a:avLst>
        </a:prstGeom>
        <a:solidFill>
          <a:schemeClr val="accent6">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8EB0E7B8-D178-45A1-83E4-06DE63A68FD8}">
      <dsp:nvSpPr>
        <dsp:cNvPr id="0" name=""/>
        <dsp:cNvSpPr/>
      </dsp:nvSpPr>
      <dsp:spPr>
        <a:xfrm>
          <a:off x="75838" y="575060"/>
          <a:ext cx="1730551" cy="872197"/>
        </a:xfrm>
        <a:prstGeom prst="roundRect">
          <a:avLst>
            <a:gd name="adj" fmla="val 10000"/>
          </a:avLst>
        </a:prstGeom>
        <a:solidFill>
          <a:schemeClr val="lt1">
            <a:hueOff val="0"/>
            <a:satOff val="0"/>
            <a:lumOff val="0"/>
            <a:alphaOff val="0"/>
          </a:schemeClr>
        </a:solidFill>
        <a:ln w="38100" cap="flat" cmpd="sng" algn="ctr">
          <a:solidFill>
            <a:schemeClr val="accent6">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88950">
            <a:lnSpc>
              <a:spcPct val="90000"/>
            </a:lnSpc>
            <a:spcBef>
              <a:spcPct val="0"/>
            </a:spcBef>
            <a:spcAft>
              <a:spcPct val="35000"/>
            </a:spcAft>
          </a:pPr>
          <a:r>
            <a:rPr lang="en-US" sz="1100" i="1" kern="1200"/>
            <a:t>‘’ How do TPL providers balance between offering general services and their ability for customer adaption?’’</a:t>
          </a:r>
          <a:endParaRPr lang="nl-NL" sz="1100" kern="1200"/>
        </a:p>
      </dsp:txBody>
      <dsp:txXfrm>
        <a:off x="75838" y="575060"/>
        <a:ext cx="1730551" cy="872197"/>
      </dsp:txXfrm>
    </dsp:sp>
    <dsp:sp modelId="{B993EEA7-E92F-4804-95CB-30FDA93C03E2}">
      <dsp:nvSpPr>
        <dsp:cNvPr id="0" name=""/>
        <dsp:cNvSpPr/>
      </dsp:nvSpPr>
      <dsp:spPr>
        <a:xfrm rot="16372998">
          <a:off x="2138266" y="914085"/>
          <a:ext cx="1260135" cy="336698"/>
        </a:xfrm>
        <a:prstGeom prst="leftArrow">
          <a:avLst>
            <a:gd name="adj1" fmla="val 60000"/>
            <a:gd name="adj2" fmla="val 50000"/>
          </a:avLst>
        </a:prstGeom>
        <a:solidFill>
          <a:schemeClr val="accent6">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501F1FF7-8492-4726-919E-6322524FF868}">
      <dsp:nvSpPr>
        <dsp:cNvPr id="0" name=""/>
        <dsp:cNvSpPr/>
      </dsp:nvSpPr>
      <dsp:spPr>
        <a:xfrm>
          <a:off x="2108243" y="0"/>
          <a:ext cx="1383567" cy="906328"/>
        </a:xfrm>
        <a:prstGeom prst="roundRect">
          <a:avLst>
            <a:gd name="adj" fmla="val 10000"/>
          </a:avLst>
        </a:prstGeom>
        <a:solidFill>
          <a:schemeClr val="lt1">
            <a:hueOff val="0"/>
            <a:satOff val="0"/>
            <a:lumOff val="0"/>
            <a:alphaOff val="0"/>
          </a:schemeClr>
        </a:solidFill>
        <a:ln w="38100" cap="flat" cmpd="sng" algn="ctr">
          <a:solidFill>
            <a:schemeClr val="accent6">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88950">
            <a:lnSpc>
              <a:spcPct val="90000"/>
            </a:lnSpc>
            <a:spcBef>
              <a:spcPct val="0"/>
            </a:spcBef>
            <a:spcAft>
              <a:spcPct val="35000"/>
            </a:spcAft>
          </a:pPr>
          <a:r>
            <a:rPr lang="en-US" sz="1100" i="1" kern="1200"/>
            <a:t>‘’ To what extent are TPL providers’  capabilities influenced by path dependency?’’</a:t>
          </a:r>
          <a:endParaRPr lang="nl-NL" sz="1100" kern="1200"/>
        </a:p>
      </dsp:txBody>
      <dsp:txXfrm>
        <a:off x="2108243" y="0"/>
        <a:ext cx="1383567" cy="906328"/>
      </dsp:txXfrm>
    </dsp:sp>
    <dsp:sp modelId="{B3772A8A-915A-4AC9-A03D-380D73C74699}">
      <dsp:nvSpPr>
        <dsp:cNvPr id="0" name=""/>
        <dsp:cNvSpPr/>
      </dsp:nvSpPr>
      <dsp:spPr>
        <a:xfrm rot="19103630">
          <a:off x="3201577" y="1441258"/>
          <a:ext cx="1504834" cy="336698"/>
        </a:xfrm>
        <a:prstGeom prst="leftArrow">
          <a:avLst>
            <a:gd name="adj1" fmla="val 60000"/>
            <a:gd name="adj2" fmla="val 50000"/>
          </a:avLst>
        </a:prstGeom>
        <a:solidFill>
          <a:schemeClr val="accent6">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73B5C06A-732E-4495-90F1-9BDC8BC02443}">
      <dsp:nvSpPr>
        <dsp:cNvPr id="0" name=""/>
        <dsp:cNvSpPr/>
      </dsp:nvSpPr>
      <dsp:spPr>
        <a:xfrm>
          <a:off x="3699199" y="817878"/>
          <a:ext cx="1634795" cy="584237"/>
        </a:xfrm>
        <a:prstGeom prst="roundRect">
          <a:avLst>
            <a:gd name="adj" fmla="val 10000"/>
          </a:avLst>
        </a:prstGeom>
        <a:solidFill>
          <a:schemeClr val="lt1">
            <a:hueOff val="0"/>
            <a:satOff val="0"/>
            <a:lumOff val="0"/>
            <a:alphaOff val="0"/>
          </a:schemeClr>
        </a:solidFill>
        <a:ln w="38100" cap="flat" cmpd="sng" algn="ctr">
          <a:solidFill>
            <a:schemeClr val="accent6">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88950">
            <a:lnSpc>
              <a:spcPct val="90000"/>
            </a:lnSpc>
            <a:spcBef>
              <a:spcPct val="0"/>
            </a:spcBef>
            <a:spcAft>
              <a:spcPct val="35000"/>
            </a:spcAft>
          </a:pPr>
          <a:r>
            <a:rPr lang="en-US" sz="1100" i="1" kern="1200"/>
            <a:t>‘’What is the geographic service area of TPL providers?’’</a:t>
          </a:r>
          <a:endParaRPr lang="nl-NL" sz="1100" kern="1200"/>
        </a:p>
      </dsp:txBody>
      <dsp:txXfrm>
        <a:off x="3699199" y="817878"/>
        <a:ext cx="1634795" cy="584237"/>
      </dsp:txXfrm>
    </dsp:sp>
    <dsp:sp modelId="{C54E1157-0E80-496F-8103-AD93D4902AA4}">
      <dsp:nvSpPr>
        <dsp:cNvPr id="0" name=""/>
        <dsp:cNvSpPr/>
      </dsp:nvSpPr>
      <dsp:spPr>
        <a:xfrm rot="4999124">
          <a:off x="2236840" y="4224298"/>
          <a:ext cx="1284381" cy="336698"/>
        </a:xfrm>
        <a:prstGeom prst="leftArrow">
          <a:avLst>
            <a:gd name="adj1" fmla="val 60000"/>
            <a:gd name="adj2" fmla="val 50000"/>
          </a:avLst>
        </a:prstGeom>
        <a:solidFill>
          <a:schemeClr val="accent6">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79651A3F-B1F5-4551-86ED-B2D6CADAA6F0}">
      <dsp:nvSpPr>
        <dsp:cNvPr id="0" name=""/>
        <dsp:cNvSpPr/>
      </dsp:nvSpPr>
      <dsp:spPr>
        <a:xfrm>
          <a:off x="2189602" y="4710363"/>
          <a:ext cx="1528289" cy="640226"/>
        </a:xfrm>
        <a:prstGeom prst="roundRect">
          <a:avLst>
            <a:gd name="adj" fmla="val 10000"/>
          </a:avLst>
        </a:prstGeom>
        <a:solidFill>
          <a:schemeClr val="lt1">
            <a:hueOff val="0"/>
            <a:satOff val="0"/>
            <a:lumOff val="0"/>
            <a:alphaOff val="0"/>
          </a:schemeClr>
        </a:solidFill>
        <a:ln w="38100" cap="flat" cmpd="sng" algn="ctr">
          <a:solidFill>
            <a:schemeClr val="accent6">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88950">
            <a:lnSpc>
              <a:spcPct val="90000"/>
            </a:lnSpc>
            <a:spcBef>
              <a:spcPct val="0"/>
            </a:spcBef>
            <a:spcAft>
              <a:spcPct val="35000"/>
            </a:spcAft>
          </a:pPr>
          <a:r>
            <a:rPr lang="en-US" sz="1100" i="1" kern="1200"/>
            <a:t>“ How can TPL relationships be characterized?”</a:t>
          </a:r>
          <a:endParaRPr lang="nl-NL" sz="1100" kern="1200"/>
        </a:p>
      </dsp:txBody>
      <dsp:txXfrm>
        <a:off x="2189602" y="4710363"/>
        <a:ext cx="1528289" cy="640226"/>
      </dsp:txXfrm>
    </dsp:sp>
    <dsp:sp modelId="{B81C7FF9-2573-4ECE-AB3E-616C07E2F2AC}">
      <dsp:nvSpPr>
        <dsp:cNvPr id="0" name=""/>
        <dsp:cNvSpPr/>
      </dsp:nvSpPr>
      <dsp:spPr>
        <a:xfrm rot="21445763">
          <a:off x="3544607" y="2505692"/>
          <a:ext cx="1062940" cy="336698"/>
        </a:xfrm>
        <a:prstGeom prst="leftArrow">
          <a:avLst>
            <a:gd name="adj1" fmla="val 60000"/>
            <a:gd name="adj2" fmla="val 50000"/>
          </a:avLst>
        </a:prstGeom>
        <a:solidFill>
          <a:schemeClr val="accent6">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7D19942A-6EA8-42BD-8E4B-EE3042310E93}">
      <dsp:nvSpPr>
        <dsp:cNvPr id="0" name=""/>
        <dsp:cNvSpPr/>
      </dsp:nvSpPr>
      <dsp:spPr>
        <a:xfrm>
          <a:off x="4021884" y="2137911"/>
          <a:ext cx="1170257" cy="1024586"/>
        </a:xfrm>
        <a:prstGeom prst="roundRect">
          <a:avLst>
            <a:gd name="adj" fmla="val 10000"/>
          </a:avLst>
        </a:prstGeom>
        <a:solidFill>
          <a:schemeClr val="lt1">
            <a:hueOff val="0"/>
            <a:satOff val="0"/>
            <a:lumOff val="0"/>
            <a:alphaOff val="0"/>
          </a:schemeClr>
        </a:solidFill>
        <a:ln w="38100" cap="flat" cmpd="sng" algn="ctr">
          <a:solidFill>
            <a:schemeClr val="accent6">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88950">
            <a:lnSpc>
              <a:spcPct val="90000"/>
            </a:lnSpc>
            <a:spcBef>
              <a:spcPct val="0"/>
            </a:spcBef>
            <a:spcAft>
              <a:spcPct val="35000"/>
            </a:spcAft>
          </a:pPr>
          <a:r>
            <a:rPr lang="en-US" sz="1100" i="1" kern="1200"/>
            <a:t>‘’ Is being environmental sustainable a way to develop business?’’</a:t>
          </a:r>
          <a:endParaRPr lang="nl-NL" sz="1100" kern="1200"/>
        </a:p>
      </dsp:txBody>
      <dsp:txXfrm>
        <a:off x="4021884" y="2137911"/>
        <a:ext cx="1170257" cy="1024586"/>
      </dsp:txXfrm>
    </dsp:sp>
    <dsp:sp modelId="{BFC1B80E-D350-4EBC-9C46-BC5B2724CE10}">
      <dsp:nvSpPr>
        <dsp:cNvPr id="0" name=""/>
        <dsp:cNvSpPr/>
      </dsp:nvSpPr>
      <dsp:spPr>
        <a:xfrm rot="2190507">
          <a:off x="3298000" y="3496953"/>
          <a:ext cx="1283706" cy="336698"/>
        </a:xfrm>
        <a:prstGeom prst="leftArrow">
          <a:avLst>
            <a:gd name="adj1" fmla="val 60000"/>
            <a:gd name="adj2" fmla="val 50000"/>
          </a:avLst>
        </a:prstGeom>
        <a:solidFill>
          <a:schemeClr val="accent6">
            <a:tint val="6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sp>
    <dsp:sp modelId="{3FE55853-2067-4443-B35D-9C03699EA790}">
      <dsp:nvSpPr>
        <dsp:cNvPr id="0" name=""/>
        <dsp:cNvSpPr/>
      </dsp:nvSpPr>
      <dsp:spPr>
        <a:xfrm>
          <a:off x="3700161" y="3692526"/>
          <a:ext cx="1511187" cy="709282"/>
        </a:xfrm>
        <a:prstGeom prst="roundRect">
          <a:avLst>
            <a:gd name="adj" fmla="val 10000"/>
          </a:avLst>
        </a:prstGeom>
        <a:solidFill>
          <a:schemeClr val="lt1">
            <a:hueOff val="0"/>
            <a:satOff val="0"/>
            <a:lumOff val="0"/>
            <a:alphaOff val="0"/>
          </a:schemeClr>
        </a:solidFill>
        <a:ln w="38100" cap="flat" cmpd="sng" algn="ctr">
          <a:solidFill>
            <a:schemeClr val="accent6">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88950">
            <a:lnSpc>
              <a:spcPct val="90000"/>
            </a:lnSpc>
            <a:spcBef>
              <a:spcPct val="0"/>
            </a:spcBef>
            <a:spcAft>
              <a:spcPct val="35000"/>
            </a:spcAft>
          </a:pPr>
          <a:r>
            <a:rPr lang="en-US" sz="1100" i="1" kern="1200"/>
            <a:t>‘’ What  client specific investments do TPL providers make?’’</a:t>
          </a:r>
          <a:endParaRPr lang="nl-NL" sz="1100" kern="1200"/>
        </a:p>
      </dsp:txBody>
      <dsp:txXfrm>
        <a:off x="3700161" y="3692526"/>
        <a:ext cx="1511187" cy="709282"/>
      </dsp:txXfrm>
    </dsp:sp>
  </dsp:spTree>
</dsp:drawing>
</file>

<file path=word/diagrams/layout1.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4.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2011-08-11T00:00:00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Bas01</b:Tag>
    <b:SourceType>JournalArticle</b:SourceType>
    <b:Guid>{A95C5BA5-E0F2-45CF-9E60-0E9FCA1B5B22}</b:Guid>
    <b:LCID>0</b:LCID>
    <b:Author>
      <b:Author>
        <b:NameList>
          <b:Person>
            <b:Last>Bask</b:Last>
            <b:First>A</b:First>
            <b:Middle>H</b:Middle>
          </b:Person>
        </b:NameList>
      </b:Author>
    </b:Author>
    <b:Title>Relationships among TPL providers and members of supply chains - A strategic perspective</b:Title>
    <b:JournalName>Journal of business &amp; industrial marketing</b:JournalName>
    <b:Year>2001</b:Year>
    <b:Pages>470-486</b:Pages>
    <b:Volume>16</b:Volume>
    <b:Issue>6</b:Issue>
    <b:RefOrder>5</b:RefOrder>
  </b:Source>
  <b:Source>
    <b:Tag>Ber99</b:Tag>
    <b:SourceType>JournalArticle</b:SourceType>
    <b:Guid>{38588E15-7A48-4458-9474-9254748C9FE8}</b:Guid>
    <b:LCID>0</b:LCID>
    <b:Author>
      <b:Author>
        <b:NameList>
          <b:Person>
            <b:Last>Berglund</b:Last>
            <b:First>M</b:First>
          </b:Person>
          <b:Person>
            <b:Last>van Laarhoven</b:Last>
            <b:First>P</b:First>
          </b:Person>
          <b:Person>
            <b:Last>Sharman</b:Last>
            <b:First>G</b:First>
          </b:Person>
          <b:Person>
            <b:Last>Wandel</b:Last>
            <b:First>S</b:First>
          </b:Person>
        </b:NameList>
      </b:Author>
    </b:Author>
    <b:Title>Third-party logistics: is there a future?</b:Title>
    <b:JournalName>The international journal of logistics management</b:JournalName>
    <b:Year>1999</b:Year>
    <b:Pages>59-70</b:Pages>
    <b:Volume>10</b:Volume>
    <b:Issue>1</b:Issue>
    <b:RefOrder>54</b:RefOrder>
  </b:Source>
  <b:Source>
    <b:Tag>Her03</b:Tag>
    <b:SourceType>JournalArticle</b:SourceType>
    <b:Guid>{B0ACFA35-D4BA-4355-BE1F-6D56C64E8E8E}</b:Guid>
    <b:LCID>0</b:LCID>
    <b:Author>
      <b:Author>
        <b:NameList>
          <b:Person>
            <b:Last>Hertz</b:Last>
            <b:First>S</b:First>
          </b:Person>
          <b:Person>
            <b:Last>Alfredsson</b:Last>
            <b:First>M</b:First>
          </b:Person>
        </b:NameList>
      </b:Author>
    </b:Author>
    <b:Title>Strategic development of third party logistics providers</b:Title>
    <b:JournalName>Industrial marketing management</b:JournalName>
    <b:Year>2003</b:Year>
    <b:Pages>139-149</b:Pages>
    <b:Volume>32</b:Volume>
    <b:RefOrder>6</b:RefOrder>
  </b:Source>
  <b:Source>
    <b:Tag>Lie92</b:Tag>
    <b:SourceType>JournalArticle</b:SourceType>
    <b:Guid>{C640870E-E650-4815-B26B-41372C2F8A24}</b:Guid>
    <b:LCID>0</b:LCID>
    <b:Author>
      <b:Author>
        <b:NameList>
          <b:Person>
            <b:Last>Lieb</b:Last>
            <b:First>R</b:First>
            <b:Middle>C</b:Middle>
          </b:Person>
        </b:NameList>
      </b:Author>
    </b:Author>
    <b:Title>The use of third-party logistics services by large American manufacturers</b:Title>
    <b:JournalName>Journal of business logistics</b:JournalName>
    <b:Year>1992</b:Year>
    <b:Pages>29-42</b:Pages>
    <b:Volume>13</b:Volume>
    <b:Issue>2</b:Issue>
    <b:RefOrder>55</b:RefOrder>
  </b:Source>
  <b:Source>
    <b:Tag>Mar07</b:Tag>
    <b:SourceType>JournalArticle</b:SourceType>
    <b:Guid>{64C432CC-356A-4937-87BE-3A4F98A37B68}</b:Guid>
    <b:LCID>0</b:LCID>
    <b:Author>
      <b:Author>
        <b:NameList>
          <b:Person>
            <b:Last>Marasco</b:Last>
            <b:First>A</b:First>
          </b:Person>
        </b:NameList>
      </b:Author>
    </b:Author>
    <b:Title>Third-party logistics: a literature review</b:Title>
    <b:JournalName>International journal of production economics</b:JournalName>
    <b:Year>2007</b:Year>
    <b:Pages>127-147</b:Pages>
    <b:Issue>113</b:Issue>
    <b:RefOrder>56</b:RefOrder>
  </b:Source>
  <b:Source>
    <b:Tag>Mur00</b:Tag>
    <b:SourceType>JournalArticle</b:SourceType>
    <b:Guid>{7084EB73-7200-4826-BEED-57CBBC4309AE}</b:Guid>
    <b:LCID>0</b:LCID>
    <b:Author>
      <b:Author>
        <b:NameList>
          <b:Person>
            <b:Last>Murphy</b:Last>
            <b:First>P</b:First>
            <b:Middle>R</b:Middle>
          </b:Person>
          <b:Person>
            <b:Last>Poist</b:Last>
            <b:First>R</b:First>
            <b:Middle>F</b:Middle>
          </b:Person>
        </b:NameList>
      </b:Author>
    </b:Author>
    <b:Title>Third-party logistics: some users versus provider perspectives</b:Title>
    <b:JournalName>Journal of business logistics</b:JournalName>
    <b:Year>2000</b:Year>
    <b:Pages>121-133</b:Pages>
    <b:Volume>21</b:Volume>
    <b:Issue>1</b:Issue>
    <b:RefOrder>57</b:RefOrder>
  </b:Source>
  <b:Source>
    <b:Tag>Rah11</b:Tag>
    <b:SourceType>JournalArticle</b:SourceType>
    <b:Guid>{9E37E277-055C-4D4C-B517-E0BCFC58B764}</b:Guid>
    <b:LCID>0</b:LCID>
    <b:Author>
      <b:Author>
        <b:NameList>
          <b:Person>
            <b:Last>Rahman</b:Last>
            <b:First>S</b:First>
          </b:Person>
        </b:NameList>
      </b:Author>
    </b:Author>
    <b:Title>An exploratory study of outsourcing 3PL services: an Australian perspective</b:Title>
    <b:JournalName>Benchmarking: an international journal</b:JournalName>
    <b:Year>2011</b:Year>
    <b:Pages>1-30</b:Pages>
    <b:Volume>18</b:Volume>
    <b:RefOrder>28</b:RefOrder>
  </b:Source>
  <b:Source>
    <b:Tag>Rod09</b:Tag>
    <b:SourceType>Book</b:SourceType>
    <b:Guid>{A43FAD58-7B22-4880-B65E-6169E172BC2D}</b:Guid>
    <b:LCID>0</b:LCID>
    <b:Author>
      <b:Author>
        <b:NameList>
          <b:Person>
            <b:Last>Rodrique</b:Last>
            <b:First>J</b:First>
            <b:Middle>P</b:Middle>
          </b:Person>
          <b:Person>
            <b:Last>Comtois</b:Last>
            <b:First>C</b:First>
          </b:Person>
          <b:Person>
            <b:Last>Slack</b:Last>
            <b:First>B</b:First>
          </b:Person>
        </b:NameList>
      </b:Author>
    </b:Author>
    <b:Title>The geography of transport systems</b:Title>
    <b:Year>2009</b:Year>
    <b:City>New York</b:City>
    <b:Publisher>Routledge</b:Publisher>
    <b:RefOrder>9</b:RefOrder>
  </b:Source>
  <b:Source>
    <b:Tag>Rus05</b:Tag>
    <b:SourceType>InternetSite</b:SourceType>
    <b:Guid>{95ECDD03-EFCA-44A7-B5DF-81B6A916C517}</b:Guid>
    <b:LCID>0</b:LCID>
    <b:Author>
      <b:Author>
        <b:NameList>
          <b:Person>
            <b:Last>Rushkoff</b:Last>
            <b:First>D</b:First>
          </b:Person>
        </b:NameList>
      </b:Author>
    </b:Author>
    <b:Title>Commodified vs. Commoditized</b:Title>
    <b:Year>2005</b:Year>
    <b:InternetSiteTitle>www.rushkoff.com</b:InternetSiteTitle>
    <b:Month>September</b:Month>
    <b:Day>4</b:Day>
    <b:YearAccessed>2011</b:YearAccessed>
    <b:MonthAccessed>May</b:MonthAccessed>
    <b:DayAccessed>10</b:DayAccessed>
    <b:URL>http://rushkoff.com/2005/09/04/commodified-vs-commoditized/</b:URL>
    <b:RefOrder>58</b:RefOrder>
  </b:Source>
  <b:Source>
    <b:Tag>Sel07</b:Tag>
    <b:SourceType>JournalArticle</b:SourceType>
    <b:Guid>{C6BDAF07-F2C6-411E-86C2-B4C9EE125F06}</b:Guid>
    <b:LCID>0</b:LCID>
    <b:Author>
      <b:Author>
        <b:NameList>
          <b:Person>
            <b:Last>Selviaridis</b:Last>
            <b:First>K</b:First>
          </b:Person>
          <b:Person>
            <b:Last>Spring</b:Last>
            <b:First>M</b:First>
          </b:Person>
        </b:NameList>
      </b:Author>
    </b:Author>
    <b:Title>Third party logistics: a literature review and reseacrh agenda</b:Title>
    <b:Year>2007</b:Year>
    <b:JournalName>The international journal of logistics management</b:JournalName>
    <b:Pages>125-150</b:Pages>
    <b:Volume>18</b:Volume>
    <b:Issue>1</b:Issue>
    <b:RefOrder>15</b:RefOrder>
  </b:Source>
  <b:Source>
    <b:Tag>Siz11</b:Tag>
    <b:SourceType>InternetSite</b:SourceType>
    <b:Guid>{90991804-FC63-429A-9CA2-5126115BE8DA}</b:Guid>
    <b:LCID>0</b:LCID>
    <b:Author>
      <b:Author>
        <b:NameList>
          <b:Person>
            <b:Last>Siz</b:Last>
            <b:First>C</b:First>
          </b:Person>
        </b:NameList>
      </b:Author>
    </b:Author>
    <b:Title>Fourth party logistics (4PL)</b:Title>
    <b:InternetSiteTitle>www.twinssiz.blogspot.com</b:InternetSiteTitle>
    <b:Year>2011</b:Year>
    <b:Month>Februari</b:Month>
    <b:Day>8</b:Day>
    <b:YearAccessed>2011</b:YearAccessed>
    <b:MonthAccessed>May</b:MonthAccessed>
    <b:DayAccessed>17</b:DayAccessed>
    <b:URL>http://twinssiz.blogspot.com/2011/02/fourth-party-logistics-4pl.html</b:URL>
    <b:RefOrder>59</b:RefOrder>
  </b:Source>
  <b:Source>
    <b:Tag>Ste05</b:Tag>
    <b:SourceType>JournalArticle</b:SourceType>
    <b:Guid>{05426174-17EA-4280-8A45-1B01EFA01E64}</b:Guid>
    <b:LCID>0</b:LCID>
    <b:Author>
      <b:Author>
        <b:NameList>
          <b:Person>
            <b:Last>Stefansson</b:Last>
            <b:First>G</b:First>
          </b:Person>
        </b:NameList>
      </b:Author>
    </b:Author>
    <b:Title>Collaborative logistics and the role of third-party logistics service providers</b:Title>
    <b:JournalName>International journal of physical distribution &amp; logistics management</b:JournalName>
    <b:Year>2005</b:Year>
    <b:Pages>76-92</b:Pages>
    <b:Volume>36</b:Volume>
    <b:Issue>2</b:Issue>
    <b:RefOrder>60</b:RefOrder>
  </b:Source>
  <b:Source>
    <b:Tag>OSu03</b:Tag>
    <b:SourceType>Book</b:SourceType>
    <b:Guid>{23563565-E6F2-4E1B-A7ED-40BBAC7881DB}</b:Guid>
    <b:LCID>0</b:LCID>
    <b:Author>
      <b:Author>
        <b:NameList>
          <b:Person>
            <b:Last>O' Sullivan</b:Last>
            <b:First>A</b:First>
          </b:Person>
          <b:Person>
            <b:Last>Sheffrin</b:Last>
            <b:First>S</b:First>
            <b:Middle>M</b:Middle>
          </b:Person>
        </b:NameList>
      </b:Author>
    </b:Author>
    <b:Title>Economics: principles in action</b:Title>
    <b:Year>2003</b:Year>
    <b:City>New Yersey</b:City>
    <b:Publisher>Pearson Prentice Hall</b:Publisher>
    <b:RefOrder>61</b:RefOrder>
  </b:Source>
  <b:Source>
    <b:Tag>van01</b:Tag>
    <b:SourceType>JournalArticle</b:SourceType>
    <b:Guid>{F5B1F33E-C6F6-415C-8F45-87819613CAD3}</b:Guid>
    <b:LCID>0</b:LCID>
    <b:Author>
      <b:Author>
        <b:NameList>
          <b:Person>
            <b:Last>van Hoek</b:Last>
            <b:First>R</b:First>
            <b:Middle>I</b:Middle>
          </b:Person>
          <b:Person>
            <b:Last>Chong</b:Last>
            <b:First>I</b:First>
          </b:Person>
        </b:NameList>
      </b:Author>
    </b:Author>
    <b:Title>''Epilogue: UPS logistics - practival approaches to the e-supply chain''</b:Title>
    <b:Year>2001</b:Year>
    <b:Volume>31</b:Volume>
    <b:JournalName>International journal of physical distribution &amp; logistics management</b:JournalName>
    <b:Pages>463-468</b:Pages>
    <b:Issue>6</b:Issue>
    <b:RefOrder>62</b:RefOrder>
  </b:Source>
  <b:Source>
    <b:Tag>TLN111</b:Tag>
    <b:SourceType>DocumentFromInternetSite</b:SourceType>
    <b:Guid>{E3555864-9785-4173-B81E-99C9289393B3}</b:Guid>
    <b:LCID>0</b:LCID>
    <b:Author>
      <b:Author>
        <b:Corporate>TLN</b:Corporate>
      </b:Author>
    </b:Author>
    <b:Title>Conjunctuur bericht 1e kwartaal 2011</b:Title>
    <b:InternetSiteTitle>www.tln.nl</b:InternetSiteTitle>
    <b:Year>2011</b:Year>
    <b:Month>4</b:Month>
    <b:YearAccessed>2011</b:YearAccessed>
    <b:MonthAccessed>May</b:MonthAccessed>
    <b:DayAccessed>10</b:DayAccessed>
    <b:URL>hhtp://www.tln.nl/media/1_tln/persberichten?conjunctuurenquete_1e_kwart_2011.pdf</b:URL>
    <b:Version>18 (65)</b:Version>
    <b:RefOrder>63</b:RefOrder>
  </b:Source>
  <b:Source>
    <b:Tag>TLN10</b:Tag>
    <b:SourceType>DocumentFromInternetSite</b:SourceType>
    <b:Guid>{F8EB3BA7-A8F0-4EB4-B784-6DD49A56D680}</b:Guid>
    <b:LCID>0</b:LCID>
    <b:Author>
      <b:Author>
        <b:Corporate>TLN</b:Corporate>
      </b:Author>
    </b:Author>
    <b:Title>Conjunctuur bericht 4e  kwartaal 2009</b:Title>
    <b:Year>2010</b:Year>
    <b:Month>1</b:Month>
    <b:ShortTitle>Conjunctuurbericht 4e kwartaal 2009</b:ShortTitle>
    <b:InternetSiteTitle>www.tln.nl</b:InternetSiteTitle>
    <b:YearAccessed>2011</b:YearAccessed>
    <b:MonthAccessed>May</b:MonthAccessed>
    <b:DayAccessed>10</b:DayAccessed>
    <b:URL>hhtp://www.tln.nl/media/1_tln/publicaties/conjunctuurberichten/cb4_2009.pdf</b:URL>
    <b:Version>17 (60)</b:Version>
    <b:RefOrder>64</b:RefOrder>
  </b:Source>
  <b:Source>
    <b:Tag>TLN11</b:Tag>
    <b:SourceType>DocumentFromInternetSite</b:SourceType>
    <b:Guid>{EF846EB4-FFC8-4679-A3B5-16F49370227F}</b:Guid>
    <b:LCID>0</b:LCID>
    <b:Author>
      <b:Author>
        <b:Corporate>TLN</b:Corporate>
      </b:Author>
    </b:Author>
    <b:Title>Conjunctuur bericht 4e kwartaal 2010</b:Title>
    <b:InternetSiteTitle>www.tln.nl</b:InternetSiteTitle>
    <b:Year>2011</b:Year>
    <b:Month>2</b:Month>
    <b:YearAccessed>2011</b:YearAccessed>
    <b:MonthAccessed>May</b:MonthAccessed>
    <b:DayAccessed>10</b:DayAccessed>
    <b:URL>hhtp://www.tln.nl/media/1_tln/publicaties/conjunctuurberichten/cb4_2010.pdf</b:URL>
    <b:Version>18 (64)</b:Version>
    <b:ShortTitle>Conjunctuurbericht 4e kwartaal 2010</b:ShortTitle>
    <b:RefOrder>52</b:RefOrder>
  </b:Source>
  <b:Source>
    <b:Tag>And97</b:Tag>
    <b:SourceType>JournalArticle</b:SourceType>
    <b:Guid>{0882100D-C738-4B29-8F20-D80B240A38FF}</b:Guid>
    <b:LCID>0</b:LCID>
    <b:Author>
      <b:Author>
        <b:NameList>
          <b:Person>
            <b:Last>Andersson</b:Last>
            <b:First>D</b:First>
          </b:Person>
        </b:NameList>
      </b:Author>
    </b:Author>
    <b:Title>Third party logistics- outsourcing logistics in partnership</b:Title>
    <b:Year>1997</b:Year>
    <b:JournalName>Linkoping Studies in Management and Economics</b:JournalName>
    <b:Pages>191-213</b:Pages>
    <b:Issue>34</b:Issue>
    <b:RefOrder>4</b:RefOrder>
  </b:Source>
  <b:Source>
    <b:Tag>Lam98</b:Tag>
    <b:SourceType>JournalArticle</b:SourceType>
    <b:Guid>{90FC4ABD-AE50-48BD-8F49-8E130001D442}</b:Guid>
    <b:LCID>0</b:LCID>
    <b:Author>
      <b:Author>
        <b:NameList>
          <b:Person>
            <b:Last>Lambert</b:Last>
            <b:First>D</b:First>
            <b:Middle>M</b:Middle>
          </b:Person>
          <b:Person>
            <b:Last>Cooper</b:Last>
            <b:First>M</b:First>
            <b:Middle>C</b:Middle>
          </b:Person>
          <b:Person>
            <b:Last>Pagh</b:Last>
            <b:First>J</b:First>
            <b:Middle>D</b:Middle>
          </b:Person>
        </b:NameList>
      </b:Author>
    </b:Author>
    <b:Title>''Supply chain management: implementation issues and research opportunities''</b:Title>
    <b:JournalName>The international journal of logistics management</b:JournalName>
    <b:Year>1998</b:Year>
    <b:Pages>1-19</b:Pages>
    <b:Volume>9</b:Volume>
    <b:Issue>2</b:Issue>
    <b:RefOrder>13</b:RefOrder>
  </b:Source>
  <b:Source>
    <b:Tag>And95</b:Tag>
    <b:SourceType>JournalArticle</b:SourceType>
    <b:Guid>{162761B1-CE95-42FC-9D76-A903A676275A}</b:Guid>
    <b:LCID>0</b:LCID>
    <b:Author>
      <b:Author>
        <b:NameList>
          <b:Person>
            <b:Last>Andersson</b:Last>
            <b:First>D</b:First>
          </b:Person>
        </b:NameList>
      </b:Author>
    </b:Author>
    <b:Title>Logistics alliances and structural change</b:Title>
    <b:JournalName>Linkoping Studies in Science and Technology</b:JournalName>
    <b:Year>1995</b:Year>
    <b:Pages>Thesis no. 470</b:Pages>
    <b:RefOrder>14</b:RefOrder>
  </b:Source>
  <b:Source>
    <b:Tag>Ell90</b:Tag>
    <b:SourceType>JournalArticle</b:SourceType>
    <b:Guid>{2A78C4ED-2561-4BBE-8DF9-CFED290C7C96}</b:Guid>
    <b:LCID>0</b:LCID>
    <b:Author>
      <b:Author>
        <b:NameList>
          <b:Person>
            <b:Last>Ellram</b:Last>
            <b:First>L</b:First>
            <b:Middle>M</b:Middle>
          </b:Person>
          <b:Person>
            <b:Last>Cooper</b:Last>
            <b:First>M</b:First>
            <b:Middle>C</b:Middle>
          </b:Person>
        </b:NameList>
      </b:Author>
    </b:Author>
    <b:Title>Supply chain management, partnerships and the shipper-third party relationship</b:Title>
    <b:JournalName>International journal of logistics management</b:JournalName>
    <b:Year>1990</b:Year>
    <b:Pages>1-10</b:Pages>
    <b:Volume>1</b:Volume>
    <b:Issue>2</b:Issue>
    <b:RefOrder>65</b:RefOrder>
  </b:Source>
  <b:Source>
    <b:Tag>Bar91</b:Tag>
    <b:SourceType>JournalArticle</b:SourceType>
    <b:Guid>{37831963-7B10-43F0-96D3-7554C30B5D4E}</b:Guid>
    <b:LCID>0</b:LCID>
    <b:Author>
      <b:Author>
        <b:NameList>
          <b:Person>
            <b:Last>Bardy</b:Last>
            <b:First>E</b:First>
            <b:Middle>J</b:Middle>
          </b:Person>
          <b:Person>
            <b:Last>Tracy</b:Last>
            <b:First>M</b:First>
          </b:Person>
        </b:NameList>
      </b:Author>
    </b:Author>
    <b:Title>''Transportation outsourcing: a survey of users practices""</b:Title>
    <b:JournalName>International journal of physical distribution &amp; logistics management</b:JournalName>
    <b:Year>1991</b:Year>
    <b:Pages>15-21</b:Pages>
    <b:Volume>21</b:Volume>
    <b:Issue>3</b:Issue>
    <b:RefOrder>66</b:RefOrder>
  </b:Source>
  <b:Source>
    <b:Tag>Wil04</b:Tag>
    <b:SourceType>JournalArticle</b:SourceType>
    <b:Guid>{696C774A-6449-4B9A-A180-7473D299DE15}</b:Guid>
    <b:LCID>0</b:LCID>
    <b:Author>
      <b:Author>
        <b:NameList>
          <b:Person>
            <b:Last>Wilding</b:Last>
            <b:First>R</b:First>
          </b:Person>
          <b:Person>
            <b:Last>Juriado</b:Last>
            <b:First>R</b:First>
          </b:Person>
        </b:NameList>
      </b:Author>
    </b:Author>
    <b:Title>''Customer perceptions on the logistics outsourcing in the European consumer goods industry''</b:Title>
    <b:JournalName>International journal of physical distribution &amp; logistical management</b:JournalName>
    <b:Year>2004</b:Year>
    <b:Pages>628-644</b:Pages>
    <b:Volume>34</b:Volume>
    <b:Issue>8</b:Issue>
    <b:RefOrder>16</b:RefOrder>
  </b:Source>
  <b:Source>
    <b:Tag>van00</b:Tag>
    <b:SourceType>JournalArticle</b:SourceType>
    <b:Guid>{D224D5DD-6841-4BE1-ADDC-BB4150F1BF65}</b:Guid>
    <b:LCID>0</b:LCID>
    <b:Author>
      <b:Author>
        <b:NameList>
          <b:Person>
            <b:Last>van Laarhoven</b:Last>
            <b:First>P</b:First>
          </b:Person>
          <b:Person>
            <b:Last>Berglund</b:Last>
            <b:First>M</b:First>
          </b:Person>
          <b:Person>
            <b:Last>Peters</b:Last>
            <b:First>M</b:First>
          </b:Person>
        </b:NameList>
      </b:Author>
    </b:Author>
    <b:Title>''Third party logistics in Europe- five years later''</b:Title>
    <b:JournalName>International journal of physical distribution &amp; logistics management</b:JournalName>
    <b:Year>2000</b:Year>
    <b:Pages>425-442</b:Pages>
    <b:Volume>30</b:Volume>
    <b:Issue>5</b:Issue>
    <b:RefOrder>67</b:RefOrder>
  </b:Source>
  <b:Source>
    <b:Tag>Bha00</b:Tag>
    <b:SourceType>JournalArticle</b:SourceType>
    <b:Guid>{CE091C14-1D20-4C04-949D-8B4FE28B7D18}</b:Guid>
    <b:LCID>0</b:LCID>
    <b:Author>
      <b:Author>
        <b:NameList>
          <b:Person>
            <b:Last>Bhatnager</b:Last>
            <b:First>R</b:First>
          </b:Person>
          <b:Person>
            <b:Last>Viswanathan</b:Last>
            <b:First>S</b:First>
          </b:Person>
        </b:NameList>
      </b:Author>
    </b:Author>
    <b:Title>''Re-engineering global supply chains: alliances between manufactoring and global logistics service providers</b:Title>
    <b:JournalName>International journal of physical distribution &amp; logistics management</b:JournalName>
    <b:Year>2000</b:Year>
    <b:Pages>13-34</b:Pages>
    <b:Volume>30</b:Volume>
    <b:Issue>1</b:Issue>
    <b:RefOrder>17</b:RefOrder>
  </b:Source>
  <b:Source>
    <b:Tag>Sol11</b:Tag>
    <b:SourceType>JournalArticle</b:SourceType>
    <b:Guid>{A3899F22-FA4E-4170-8323-FB55B42185A8}</b:Guid>
    <b:LCID>0</b:LCID>
    <b:Author>
      <b:Author>
        <b:NameList>
          <b:Person>
            <b:Last>Solakivi</b:Last>
            <b:First>T</b:First>
          </b:Person>
          <b:Person>
            <b:Last>Toyli</b:Last>
            <b:First>J</b:First>
          </b:Person>
          <b:Person>
            <b:Last>Engblom</b:Last>
            <b:First>J</b:First>
          </b:Person>
          <b:Person>
            <b:Last>Ojala</b:Last>
            <b:First>L</b:First>
          </b:Person>
        </b:NameList>
      </b:Author>
    </b:Author>
    <b:Title>Logistics outsourcing and company performance of SMEs - evidence from 223 firms operating in Finland</b:Title>
    <b:JournalName>Pre-print of a paper</b:JournalName>
    <b:Year>2011</b:Year>
    <b:Publisher>Emerald Group Publishing Limited</b:Publisher>
    <b:RefOrder>68</b:RefOrder>
  </b:Source>
  <b:Source>
    <b:Tag>Hsi11</b:Tag>
    <b:SourceType>JournalArticle</b:SourceType>
    <b:Guid>{BD7B9D46-716A-4C89-9ACB-8159DEEE04F4}</b:Guid>
    <b:LCID>0</b:LCID>
    <b:Author>
      <b:Author>
        <b:NameList>
          <b:Person>
            <b:Last>Hsiao</b:Last>
            <b:First>H</b:First>
            <b:Middle>I</b:Middle>
          </b:Person>
          <b:Person>
            <b:Last>Kemp</b:Last>
            <b:First>R</b:First>
            <b:Middle>G M</b:Middle>
          </b:Person>
          <b:Person>
            <b:Last>van der Vorst</b:Last>
            <b:First>J</b:First>
            <b:Middle>G A J</b:Middle>
          </b:Person>
          <b:Person>
            <b:Last>Omta</b:Last>
            <b:First>S</b:First>
            <b:Middle>W F</b:Middle>
          </b:Person>
        </b:NameList>
      </b:Author>
    </b:Author>
    <b:Title>Logistics outsourcing by Taiwanese and Dutch food processing industries</b:Title>
    <b:JournalName>Brittish food journal</b:JournalName>
    <b:Year>2011</b:Year>
    <b:Pages>550-576</b:Pages>
    <b:Volume>113</b:Volume>
    <b:Issue>4</b:Issue>
    <b:RefOrder>11</b:RefOrder>
  </b:Source>
  <b:Source>
    <b:Tag>van96</b:Tag>
    <b:SourceType>JournalArticle</b:SourceType>
    <b:Guid>{FEE992A8-A635-4459-BE7A-8EFE4B5B8C7A}</b:Guid>
    <b:LCID>0</b:LCID>
    <b:Author>
      <b:Author>
        <b:NameList>
          <b:Person>
            <b:Last>van Damme</b:Last>
            <b:First>D</b:First>
            <b:Middle>E</b:Middle>
          </b:Person>
          <b:Person>
            <b:Last>van Amstel</b:Last>
            <b:First>V</b:First>
            <b:Middle>J P</b:Middle>
          </b:Person>
        </b:NameList>
      </b:Author>
    </b:Author>
    <b:Title>''Outsourcing logistics management activities''</b:Title>
    <b:JournalName>International journal of logistics management</b:JournalName>
    <b:Year>1996</b:Year>
    <b:Pages>85-95</b:Pages>
    <b:Volume>7</b:Volume>
    <b:Issue>2</b:Issue>
    <b:RefOrder>10</b:RefOrder>
  </b:Source>
  <b:Source>
    <b:Tag>Car05</b:Tag>
    <b:SourceType>JournalArticle</b:SourceType>
    <b:Guid>{0A3DE639-7609-462A-BE6A-E49BC8F94001}</b:Guid>
    <b:LCID>0</b:LCID>
    <b:Author>
      <b:Author>
        <b:NameList>
          <b:Person>
            <b:Last>Carbone</b:Last>
            <b:First>V</b:First>
          </b:Person>
          <b:Person>
            <b:Last>Stone</b:Last>
            <b:First>M</b:First>
            <b:Middle>A</b:Middle>
          </b:Person>
        </b:NameList>
      </b:Author>
    </b:Author>
    <b:Title>Growth and relational strategies used by the european logistics service providers: rationale and outcomes</b:Title>
    <b:JournalName>Transportation research part E</b:JournalName>
    <b:Year>2005</b:Year>
    <b:Pages>495-510</b:Pages>
    <b:Volume>41</b:Volume>
    <b:RefOrder>7</b:RefOrder>
  </b:Source>
  <b:Source>
    <b:Tag>Rus07</b:Tag>
    <b:SourceType>Book</b:SourceType>
    <b:Guid>{45B1834A-26D0-4082-83D7-D3D33FA3D4C5}</b:Guid>
    <b:LCID>0</b:LCID>
    <b:Author>
      <b:Author>
        <b:NameList>
          <b:Person>
            <b:Last>Rushton</b:Last>
            <b:First>A</b:First>
          </b:Person>
          <b:Person>
            <b:Last>Walker</b:Last>
            <b:First>S</b:First>
          </b:Person>
        </b:NameList>
      </b:Author>
    </b:Author>
    <b:Title>International logistics and supply chain outsourcing: from local to global</b:Title>
    <b:Year>2007</b:Year>
    <b:City>London</b:City>
    <b:Publisher>Kogan Page</b:Publisher>
    <b:RefOrder>2</b:RefOrder>
  </b:Source>
  <b:Source>
    <b:Tag>Fro05</b:Tag>
    <b:SourceType>Book</b:SourceType>
    <b:Guid>{F7BC588D-E9A4-4E87-9CF8-E6134570860F}</b:Guid>
    <b:LCID>0</b:LCID>
    <b:Author>
      <b:Author>
        <b:NameList>
          <b:Person>
            <b:Last>Frost</b:Last>
          </b:Person>
          <b:Person>
            <b:Last>Sullivan</b:Last>
          </b:Person>
        </b:NameList>
      </b:Author>
    </b:Author>
    <b:Title>Strategic analyzes of third party logistcs (3PL) markets in Australia</b:Title>
    <b:Year>2005</b:Year>
    <b:City>Sydney</b:City>
    <b:Publisher>Australia</b:Publisher>
    <b:RefOrder>18</b:RefOrder>
  </b:Source>
  <b:Source>
    <b:Tag>Wil79</b:Tag>
    <b:SourceType>JournalArticle</b:SourceType>
    <b:Guid>{BC634205-71F9-46B4-84B1-AE245E91EC00}</b:Guid>
    <b:LCID>0</b:LCID>
    <b:Author>
      <b:Author>
        <b:NameList>
          <b:Person>
            <b:Last>Williamson</b:Last>
            <b:First>O</b:First>
            <b:Middle>E</b:Middle>
          </b:Person>
        </b:NameList>
      </b:Author>
    </b:Author>
    <b:Title>Transaction cost economics: the governance of contractual relations</b:Title>
    <b:Year>1979</b:Year>
    <b:JournalName>Journal of Law and Economics</b:JournalName>
    <b:Pages>233-261</b:Pages>
    <b:Volume>22</b:Volume>
    <b:RefOrder>12</b:RefOrder>
  </b:Source>
  <b:Source>
    <b:Tag>Lei03</b:Tag>
    <b:SourceType>JournalArticle</b:SourceType>
    <b:Guid>{596F6C7C-FB21-42CF-B174-5D1720B67B92}</b:Guid>
    <b:LCID>0</b:LCID>
    <b:Author>
      <b:Author>
        <b:NameList>
          <b:Person>
            <b:Last>Leiblein</b:Last>
            <b:First>M</b:First>
            <b:Middle>J</b:Middle>
          </b:Person>
          <b:Person>
            <b:Last>Miller</b:Last>
            <b:First>D</b:First>
            <b:Middle>J</b:Middle>
          </b:Person>
        </b:NameList>
      </b:Author>
    </b:Author>
    <b:Title>''An empirical examination of transaction-and firm-level influences on the vertical boundaries of the firm”</b:Title>
    <b:JournalName>Strategic management journal</b:JournalName>
    <b:Year>2003</b:Year>
    <b:Pages>839-859</b:Pages>
    <b:Volume>24</b:Volume>
    <b:RefOrder>69</b:RefOrder>
  </b:Source>
  <b:Source>
    <b:Tag>Ins00</b:Tag>
    <b:SourceType>JournalArticle</b:SourceType>
    <b:Guid>{8319BF0B-28F6-4FAC-ACCE-F1D991FADA52}</b:Guid>
    <b:LCID>0</b:LCID>
    <b:Author>
      <b:Author>
        <b:NameList>
          <b:Person>
            <b:Last>Insigna</b:Last>
            <b:First>R</b:First>
            <b:Middle>C</b:Middle>
          </b:Person>
          <b:Person>
            <b:Last>Werle</b:Last>
            <b:First>M</b:First>
            <b:Middle>J</b:Middle>
          </b:Person>
        </b:NameList>
      </b:Author>
    </b:Author>
    <b:Title>“Linking outsourcing to business strategy”</b:Title>
    <b:JournalName>The academy of management executive</b:JournalName>
    <b:Year>2000</b:Year>
    <b:Pages>58-70</b:Pages>
    <b:Volume>14</b:Volume>
    <b:Issue>4</b:Issue>
    <b:RefOrder>70</b:RefOrder>
  </b:Source>
  <b:Source>
    <b:Tag>Rao94</b:Tag>
    <b:SourceType>JournalArticle</b:SourceType>
    <b:Guid>{74F7B924-EB15-40F2-B643-E4DA7FB14B88}</b:Guid>
    <b:LCID>0</b:LCID>
    <b:Author>
      <b:Author>
        <b:NameList>
          <b:Person>
            <b:Last>Rao</b:Last>
            <b:First>K</b:First>
          </b:Person>
          <b:Person>
            <b:Last>Young</b:Last>
            <b:First>R</b:First>
            <b:Middle>R</b:Middle>
          </b:Person>
        </b:NameList>
      </b:Author>
    </b:Author>
    <b:Title>“Global supply chains: factors influencing outsourcing of logistics functions</b:Title>
    <b:JournalName>International journal of physical distribution &amp; logistics management</b:JournalName>
    <b:Year>1994</b:Year>
    <b:Pages>11-19</b:Pages>
    <b:Volume>24</b:Volume>
    <b:Issue>6</b:Issue>
    <b:RefOrder>71</b:RefOrder>
  </b:Source>
  <b:Source>
    <b:Tag>van011</b:Tag>
    <b:SourceType>JournalArticle</b:SourceType>
    <b:Guid>{9F119163-9BE1-4C51-98B4-BC7D4073E451}</b:Guid>
    <b:LCID>0</b:LCID>
    <b:Author>
      <b:Author>
        <b:NameList>
          <b:Person>
            <b:Last>van Hoek</b:Last>
            <b:First>R</b:First>
            <b:Middle>I</b:Middle>
          </b:Person>
        </b:NameList>
      </b:Author>
    </b:Author>
    <b:Title>Epilogue: UPS Logistics - practical approaches to the</b:Title>
    <b:JournalName>International journal of physical distribution &amp; logistics management</b:JournalName>
    <b:Year>2001</b:Year>
    <b:Pages>463-468</b:Pages>
    <b:Volume>31</b:Volume>
    <b:Issue>6</b:Issue>
    <b:RefOrder>72</b:RefOrder>
  </b:Source>
  <b:Source>
    <b:Tag>Hal03</b:Tag>
    <b:SourceType>JournalArticle</b:SourceType>
    <b:Guid>{26E0B12B-CD6E-43DA-8E9F-89C65432F1C7}</b:Guid>
    <b:LCID>0</b:LCID>
    <b:Author>
      <b:Author>
        <b:NameList>
          <b:Person>
            <b:Last>Halldorsson</b:Last>
            <b:First>A</b:First>
          </b:Person>
          <b:Person>
            <b:Last>Herbert</b:Last>
            <b:First>K</b:First>
          </b:Person>
          <b:Person>
            <b:Last>Skott-Larsen</b:Last>
            <b:First>T</b:First>
          </b:Person>
        </b:NameList>
      </b:Author>
    </b:Author>
    <b:Title>Interorganizational theories behind supply chain management – discussion and applications</b:Title>
    <b:JournalName>Strategy and organisation in supply chains</b:JournalName>
    <b:Year>2003</b:Year>
    <b:Pages>31-63</b:Pages>
    <b:RefOrder>19</b:RefOrder>
  </b:Source>
  <b:Source>
    <b:Tag>Hal06</b:Tag>
    <b:SourceType>JournalArticle</b:SourceType>
    <b:Guid>{B7F67DF7-48DA-4445-BD08-C6713C2CFE63}</b:Guid>
    <b:LCID>0</b:LCID>
    <b:Author>
      <b:Author>
        <b:NameList>
          <b:Person>
            <b:Last>Halldorsson</b:Last>
            <b:First>A</b:First>
          </b:Person>
          <b:Person>
            <b:Last>Skjott-Larsen</b:Last>
            <b:First>T</b:First>
          </b:Person>
        </b:NameList>
      </b:Author>
    </b:Author>
    <b:Title>Dynamics of relationship in TPL arrangement - a dyadic perspective</b:Title>
    <b:JournalName>International journal of physical distribution &amp; logistics management</b:JournalName>
    <b:Year>2006</b:Year>
    <b:Volume>36</b:Volume>
    <b:Issue>7</b:Issue>
    <b:Pages>490-506</b:Pages>
    <b:RefOrder>73</b:RefOrder>
  </b:Source>
  <b:Source>
    <b:Tag>Sto97</b:Tag>
    <b:SourceType>JournalArticle</b:SourceType>
    <b:Guid>{2408B225-38B0-4B53-A533-CC06BAF9052E}</b:Guid>
    <b:LCID>0</b:LCID>
    <b:Author>
      <b:Author>
        <b:NameList>
          <b:Person>
            <b:Last>Stock</b:Last>
            <b:First>J</b:First>
            <b:Middle>R</b:Middle>
          </b:Person>
        </b:NameList>
      </b:Author>
    </b:Author>
    <b:Title>Applying theories from other disciplines to logistics</b:Title>
    <b:JournalName>International journal of physical distribution &amp; logistics management</b:JournalName>
    <b:Year>1997</b:Year>
    <b:Pages>515-539</b:Pages>
    <b:Volume>27</b:Volume>
    <b:Issue>9/10</b:Issue>
    <b:RefOrder>20</b:RefOrder>
  </b:Source>
  <b:Source>
    <b:Tag>LaL89</b:Tag>
    <b:SourceType>Book</b:SourceType>
    <b:Guid>{0DB72427-2DC5-4247-AD99-DB247CC62037}</b:Guid>
    <b:LCID>0</b:LCID>
    <b:Author>
      <b:Author>
        <b:NameList>
          <b:Person>
            <b:Last>LaLonde</b:Last>
            <b:First>B</b:First>
            <b:Middle>J</b:Middle>
          </b:Person>
          <b:Person>
            <b:Last>Cooper</b:Last>
            <b:First>M</b:First>
            <b:Middle>C</b:Middle>
          </b:Person>
        </b:NameList>
      </b:Author>
    </b:Author>
    <b:Title>Partnerships in providing customer service: A third-party perspective</b:Title>
    <b:JournalName>Council of logistics management</b:JournalName>
    <b:Year>1989</b:Year>
    <b:City>Illinios</b:City>
    <b:Publisher>Oak Brook</b:Publisher>
    <b:RefOrder>21</b:RefOrder>
  </b:Source>
  <b:Source>
    <b:Tag>Log00</b:Tag>
    <b:SourceType>JournalArticle</b:SourceType>
    <b:Guid>{760602B9-B55C-4FE9-B252-9BB59B806F5F}</b:Guid>
    <b:LCID>0</b:LCID>
    <b:Author>
      <b:Author>
        <b:NameList>
          <b:Person>
            <b:Last>Logan</b:Last>
            <b:First>M</b:First>
            <b:Middle>C</b:Middle>
          </b:Person>
        </b:NameList>
      </b:Author>
    </b:Author>
    <b:Title>Using agency theory to design successful outsourcing relationships</b:Title>
    <b:Year>2000</b:Year>
    <b:JournalName>International journal of physical distribution &amp; logistics management</b:JournalName>
    <b:Pages>21-32</b:Pages>
    <b:Volume>11</b:Volume>
    <b:Issue>2</b:Issue>
    <b:RefOrder>22</b:RefOrder>
  </b:Source>
  <b:Source>
    <b:Tag>Skj00</b:Tag>
    <b:SourceType>JournalArticle</b:SourceType>
    <b:Guid>{CBBE3F5D-BBD4-44D3-ADE6-162B7C6EC08F}</b:Guid>
    <b:LCID>0</b:LCID>
    <b:Author>
      <b:Author>
        <b:NameList>
          <b:Person>
            <b:Last>Skjott-Larsen</b:Last>
            <b:First>T</b:First>
          </b:Person>
        </b:NameList>
      </b:Author>
    </b:Author>
    <b:Title>Third party logistics - from an interorganisational point of view</b:Title>
    <b:Year>2000</b:Year>
    <b:JournalName>International journal of physical distribution &amp; logistics management</b:JournalName>
    <b:Pages>112-127</b:Pages>
    <b:Volume>30</b:Volume>
    <b:Issue>2</b:Issue>
    <b:RefOrder>23</b:RefOrder>
  </b:Source>
  <b:Source>
    <b:Tag>Joh86</b:Tag>
    <b:SourceType>JournalArticle</b:SourceType>
    <b:Guid>{B2D6D7C0-93FC-4D40-8A10-B11A20525653}</b:Guid>
    <b:LCID>0</b:LCID>
    <b:Author>
      <b:Author>
        <b:NameList>
          <b:Person>
            <b:Last>Johansson</b:Last>
            <b:First>J</b:First>
          </b:Person>
          <b:Person>
            <b:Last>Mattsson</b:Last>
            <b:First>L</b:First>
            <b:Middle>G</b:Middle>
          </b:Person>
        </b:NameList>
      </b:Author>
    </b:Author>
    <b:Title>Interorganizational relations in industrial systems - a network approach compared with the transaction cost approach</b:Title>
    <b:JournalName>International studies of management and organisation</b:JournalName>
    <b:Year>1986</b:Year>
    <b:Pages>34-48</b:Pages>
    <b:Volume>1</b:Volume>
    <b:Issue>17</b:Issue>
    <b:RefOrder>74</b:RefOrder>
  </b:Source>
  <b:Source>
    <b:Tag>Nel82</b:Tag>
    <b:SourceType>Book</b:SourceType>
    <b:Guid>{02131302-4A81-49E0-B0A2-4529FFF8351A}</b:Guid>
    <b:LCID>0</b:LCID>
    <b:Author>
      <b:Author>
        <b:NameList>
          <b:Person>
            <b:Last>Nelson</b:Last>
            <b:First>R</b:First>
            <b:Middle>R</b:Middle>
          </b:Person>
          <b:Person>
            <b:Last>Winter</b:Last>
            <b:First>S</b:First>
            <b:Middle>G</b:Middle>
          </b:Person>
        </b:NameList>
      </b:Author>
    </b:Author>
    <b:Title>An Evolutionary Theory of Economic Change</b:Title>
    <b:Year>1982</b:Year>
    <b:City>Cambridge</b:City>
    <b:Publisher>Belknap Harvard</b:Publisher>
    <b:RefOrder>24</b:RefOrder>
  </b:Source>
  <b:Source>
    <b:Tag>Sah06</b:Tag>
    <b:SourceType>JournalArticle</b:SourceType>
    <b:Guid>{F8A29108-3993-447F-8864-CF023755052F}</b:Guid>
    <b:LCID>0</b:LCID>
    <b:Author>
      <b:Author>
        <b:NameList>
          <b:Person>
            <b:Last>Sahay</b:Last>
            <b:First>B</b:First>
            <b:Middle>S</b:Middle>
          </b:Person>
          <b:Person>
            <b:Last>Mohan</b:Last>
            <b:First>R</b:First>
          </b:Person>
        </b:NameList>
      </b:Author>
    </b:Author>
    <b:Title>3PL pratices: An Indian perspective</b:Title>
    <b:Year>2006</b:Year>
    <b:Volume>36</b:Volume>
    <b:Pages>666-689</b:Pages>
    <b:JournalName>International journal of physical distribution &amp; logistics management</b:JournalName>
    <b:Issue>9</b:Issue>
    <b:RefOrder>75</b:RefOrder>
  </b:Source>
  <b:Source>
    <b:Tag>Lie96</b:Tag>
    <b:SourceType>JournalArticle</b:SourceType>
    <b:Guid>{95F7C33F-06F8-49B5-BE7D-A24CE391E999}</b:Guid>
    <b:LCID>0</b:LCID>
    <b:Author>
      <b:Author>
        <b:NameList>
          <b:Person>
            <b:Last>Lieb</b:Last>
            <b:First>R</b:First>
          </b:Person>
          <b:Person>
            <b:Last>Randall</b:Last>
            <b:First>H</b:First>
            <b:Middle>L</b:Middle>
          </b:Person>
        </b:NameList>
      </b:Author>
    </b:Author>
    <b:Title>A comparison of the use of third party logistics services by large American manufacturers, 1991, 1994, and 1995</b:Title>
    <b:JournalName>Journal of business logistics</b:JournalName>
    <b:Year>1996</b:Year>
    <b:Pages>305-320</b:Pages>
    <b:Volume>17</b:Volume>
    <b:Issue>1</b:Issue>
    <b:RefOrder>76</b:RefOrder>
  </b:Source>
  <b:Source>
    <b:Tag>Lar01</b:Tag>
    <b:SourceType>JournalArticle</b:SourceType>
    <b:Guid>{6FD2FAD8-2C16-4CF1-84A0-A4903FD99C1C}</b:Guid>
    <b:LCID>0</b:LCID>
    <b:Author>
      <b:Author>
        <b:NameList>
          <b:Person>
            <b:Last>Larson</b:Last>
            <b:First>P</b:First>
            <b:Middle>D</b:Middle>
          </b:Person>
          <b:Person>
            <b:Last>Gammelgaard</b:Last>
            <b:First>B</b:First>
          </b:Person>
        </b:NameList>
      </b:Author>
    </b:Author>
    <b:Title>Logistics in Denmark: a survey of the industry</b:Title>
    <b:JournalName>International journal of Logistics: research and applications</b:JournalName>
    <b:Year>2001</b:Year>
    <b:Pages>191-206</b:Pages>
    <b:Volume>4</b:Volume>
    <b:Issue>2</b:Issue>
    <b:RefOrder>77</b:RefOrder>
  </b:Source>
  <b:Source>
    <b:Tag>Lan09</b:Tag>
    <b:SourceType>Report</b:SourceType>
    <b:Guid>{EF980858-E22D-482C-BF2C-8D1DE680D25F}</b:Guid>
    <b:LCID>0</b:LCID>
    <b:Author>
      <b:Author>
        <b:NameList>
          <b:Person>
            <b:Last>Langley</b:Last>
            <b:First>G</b:First>
          </b:Person>
          <b:Person>
            <b:Last>Capgemini</b:Last>
          </b:Person>
        </b:NameList>
      </b:Author>
    </b:Author>
    <b:Title>The State of Logistics Outsourcing – 2009 Third-Party Logistics: Results and findings of the 14 Annual Study</b:Title>
    <b:Year>2009</b:Year>
    <b:Publisher>Capgemini consulting</b:Publisher>
    <b:City>US</b:City>
    <b:RefOrder>27</b:RefOrder>
  </b:Source>
  <b:Source>
    <b:Tag>Soh02</b:Tag>
    <b:SourceType>JournalArticle</b:SourceType>
    <b:Guid>{D779BD2C-94BD-44C8-95AB-C4B5A4BCD8A0}</b:Guid>
    <b:LCID>0</b:LCID>
    <b:Author>
      <b:Author>
        <b:NameList>
          <b:Person>
            <b:Last>Sohal</b:Last>
            <b:First>A</b:First>
            <b:Middle>S</b:Middle>
          </b:Person>
          <b:Person>
            <b:Last>Millen</b:Last>
            <b:First>R</b:First>
          </b:Person>
          <b:Person>
            <b:Last>Moss</b:Last>
            <b:First>S</b:First>
          </b:Person>
        </b:NameList>
      </b:Author>
    </b:Author>
    <b:Title>A comparison of the use of third-party logistics services by Australian firms between 1995 and 1999</b:Title>
    <b:Year>2002</b:Year>
    <b:JournalName>Journal of physical distribution &amp; logistics management</b:JournalName>
    <b:Pages>59-68</b:Pages>
    <b:Volume>32</b:Volume>
    <b:Issue>1</b:Issue>
    <b:RefOrder>26</b:RefOrder>
  </b:Source>
  <b:Source>
    <b:Tag>Pet98</b:Tag>
    <b:SourceType>JournalArticle</b:SourceType>
    <b:Guid>{718F06D3-1465-48EA-B317-0FE68EA24BD6}</b:Guid>
    <b:LCID>0</b:LCID>
    <b:Author>
      <b:Author>
        <b:NameList>
          <b:Person>
            <b:Last>Peters</b:Last>
            <b:First>M</b:First>
          </b:Person>
          <b:Person>
            <b:Last>Cooper</b:Last>
            <b:First>J</b:First>
          </b:Person>
          <b:Person>
            <b:Last>Lieb</b:Last>
            <b:First>R</b:First>
            <b:Middle>C</b:Middle>
          </b:Person>
          <b:Person>
            <b:Last>Randall</b:Last>
            <b:First>H</b:First>
            <b:Middle>L</b:Middle>
          </b:Person>
        </b:NameList>
      </b:Author>
    </b:Author>
    <b:Title>The Third-Party Logistics Industry in Europe: Provider Perspectives on the Industry's Current Status and Future Prospects</b:Title>
    <b:JournalName>International journal of logistics: research and applications</b:JournalName>
    <b:Year>1998</b:Year>
    <b:Pages>9-25</b:Pages>
    <b:RefOrder>25</b:RefOrder>
  </b:Source>
  <b:Source>
    <b:Tag>Lan10</b:Tag>
    <b:SourceType>Report</b:SourceType>
    <b:Guid>{758ABD2F-13D4-44B5-BE5C-CF690FFF1968}</b:Guid>
    <b:LCID>0</b:LCID>
    <b:Author>
      <b:Author>
        <b:NameList>
          <b:Person>
            <b:Last>Langley</b:Last>
            <b:First>J</b:First>
          </b:Person>
          <b:Person>
            <b:Last>Capgemini</b:Last>
          </b:Person>
        </b:NameList>
      </b:Author>
    </b:Author>
    <b:Title>2010 Third-party logistics</b:Title>
    <b:Year>2010</b:Year>
    <b:Publisher>Capgemini Consulting</b:Publisher>
    <b:RefOrder>3</b:RefOrder>
  </b:Source>
  <b:Source>
    <b:Tag>Lie10</b:Tag>
    <b:SourceType>Report</b:SourceType>
    <b:Guid>{1B22E041-D5AF-483A-AA6E-BCC8C6B51726}</b:Guid>
    <b:LCID>0</b:LCID>
    <b:Author>
      <b:Author>
        <b:NameList>
          <b:Person>
            <b:Last>Lieb</b:Last>
            <b:First>R</b:First>
            <b:Middle>C</b:Middle>
          </b:Person>
          <b:Person>
            <b:Last>Lieb</b:Last>
            <b:First>K</b:First>
            <b:Middle>J</b:Middle>
          </b:Person>
        </b:NameList>
      </b:Author>
    </b:Author>
    <b:Title>The North American Third Party Logistics Industry In 2010: The provider CEO perspective</b:Title>
    <b:Year>2010</b:Year>
    <b:Publisher>Penske</b:Publisher>
    <b:RefOrder>8</b:RefOrder>
  </b:Source>
  <b:Source>
    <b:Tag>Haa93</b:Tag>
    <b:SourceType>BookSection</b:SourceType>
    <b:Guid>{7A19605E-7BBA-45C4-A42A-DB30E5C68113}</b:Guid>
    <b:LCID>0</b:LCID>
    <b:Author>
      <b:Author>
        <b:NameList>
          <b:Person>
            <b:Last>Haakansson</b:Last>
            <b:First>H</b:First>
          </b:Person>
        </b:NameList>
      </b:Author>
      <b:BookAuthor>
        <b:NameList>
          <b:Person>
            <b:Last>Beije P et al.</b:Last>
          </b:Person>
        </b:NameList>
      </b:BookAuthor>
    </b:Author>
    <b:Title>Networks as a mechanism to develop resources</b:Title>
    <b:Year>1993</b:Year>
    <b:Publisher>Garant</b:Publisher>
    <b:City>Leren-Apendorn</b:City>
    <b:BookTitle>Networking in Dutch industries</b:BookTitle>
    <b:RefOrder>35</b:RefOrder>
  </b:Source>
  <b:Source>
    <b:Tag>Lie05</b:Tag>
    <b:SourceType>JournalArticle</b:SourceType>
    <b:Guid>{9D90F564-B224-4866-932B-8EE83E16E561}</b:Guid>
    <b:LCID>0</b:LCID>
    <b:Author>
      <b:Author>
        <b:NameList>
          <b:Person>
            <b:Last>Lieb</b:Last>
            <b:First>R</b:First>
            <b:Middle>C</b:Middle>
          </b:Person>
          <b:Person>
            <b:Last>Bentz</b:Last>
            <b:First>B</b:First>
            <b:Middle>A</b:Middle>
          </b:Person>
        </b:NameList>
      </b:Author>
    </b:Author>
    <b:Title>The North American third part logistics industry in 2004_ a provider CEO perspective</b:Title>
    <b:JournalName>International journal of physical distribution &amp; logistics management</b:JournalName>
    <b:Year>2005</b:Year>
    <b:Pages>595-611</b:Pages>
    <b:Volume>35</b:Volume>
    <b:Issue>8</b:Issue>
    <b:RefOrder>43</b:RefOrder>
  </b:Source>
  <b:Source>
    <b:Tag>Placeholder1</b:Tag>
    <b:SourceType>JournalArticle</b:SourceType>
    <b:Guid>{DDCAABBB-4AFA-4C91-9C97-ED1FECBD4CBC}</b:Guid>
    <b:LCID>0</b:LCID>
    <b:Author>
      <b:Author>
        <b:NameList>
          <b:Person>
            <b:Last>Lieb</b:Last>
            <b:First>R</b:First>
            <b:Middle>C</b:Middle>
          </b:Person>
        </b:NameList>
      </b:Author>
    </b:Author>
    <b:Title>The North American third part logistics industry in 2004_ a provider CEO perspective</b:Title>
    <b:JournalName>International journal of physical distribution &amp; logistics management</b:JournalName>
    <b:Year>2005</b:Year>
    <b:Pages>595-611</b:Pages>
    <b:Volume>35</b:Volume>
    <b:Issue>8</b:Issue>
    <b:RefOrder>29</b:RefOrder>
  </b:Source>
  <b:Source>
    <b:Tag>van02</b:Tag>
    <b:SourceType>JournalArticle</b:SourceType>
    <b:Guid>{0E112BC3-86B9-4410-A4CD-A34887867D35}</b:Guid>
    <b:LCID>0</b:LCID>
    <b:Author>
      <b:Author>
        <b:NameList>
          <b:Person>
            <b:Last>van Hoek</b:Last>
            <b:First>R</b:First>
            <b:Middle>I</b:Middle>
          </b:Person>
        </b:NameList>
      </b:Author>
    </b:Author>
    <b:Title>Global and pan-European logistics? How it's not yet happening.</b:Title>
    <b:Year>2000</b:Year>
    <b:Pages>454-460</b:Pages>
    <b:JournalName>International journal of physical distribution &amp; logistics management</b:JournalName>
    <b:Volume>30</b:Volume>
    <b:Issue>5</b:Issue>
    <b:RefOrder>34</b:RefOrder>
  </b:Source>
  <b:Source>
    <b:Tag>Boy99</b:Tag>
    <b:SourceType>Book</b:SourceType>
    <b:Guid>{0BD59BAF-299B-4EEF-83F4-64CA31D50EEA}</b:Guid>
    <b:LCID>0</b:LCID>
    <b:Author>
      <b:Author>
        <b:NameList>
          <b:Person>
            <b:Last>Boyson</b:Last>
            <b:First>S</b:First>
          </b:Person>
          <b:Person>
            <b:Last>Corsi</b:Last>
            <b:First>T</b:First>
            <b:Middle>M</b:Middle>
          </b:Person>
          <b:Person>
            <b:Last>Dresner</b:Last>
            <b:First>M</b:First>
            <b:Middle>E</b:Middle>
          </b:Person>
          <b:Person>
            <b:Last>Harrington</b:Last>
            <b:First>L</b:First>
            <b:Middle>H</b:Middle>
          </b:Person>
        </b:NameList>
      </b:Author>
    </b:Author>
    <b:Title>Logistics and the Extended Enterprise, Benchmarks and Best Pratices for the Manufacturing Professional</b:Title>
    <b:Year>1999</b:Year>
    <b:City>New York</b:City>
    <b:Publisher>John Wiley and Sons inc.</b:Publisher>
    <b:RefOrder>32</b:RefOrder>
  </b:Source>
  <b:Source>
    <b:Tag>Lie09</b:Tag>
    <b:SourceType>Report</b:SourceType>
    <b:Guid>{E34A49E0-551C-4DDC-800F-21F6EEAE7AD0}</b:Guid>
    <b:LCID>0</b:LCID>
    <b:Author>
      <b:Author>
        <b:NameList>
          <b:Person>
            <b:Last>Lieb</b:Last>
            <b:First>R</b:First>
            <b:Middle>C</b:Middle>
          </b:Person>
          <b:Person>
            <b:Last>Lieb</b:Last>
            <b:First>K</b:First>
            <b:Middle>J</b:Middle>
          </b:Person>
        </b:NameList>
      </b:Author>
    </b:Author>
    <b:Title>The North American Third Party Logistics industry in 2009: The provider CEO perspective</b:Title>
    <b:Year>2009</b:Year>
    <b:City>US</b:City>
    <b:Publisher>Penske Logistics</b:Publisher>
    <b:RefOrder>30</b:RefOrder>
  </b:Source>
  <b:Source>
    <b:Tag>Bur10</b:Tag>
    <b:SourceType>DocumentFromInternetSite</b:SourceType>
    <b:Guid>{4F2007DE-6E1F-4BA4-9150-1321C498C036}</b:Guid>
    <b:LCID>0</b:LCID>
    <b:Author>
      <b:Author>
        <b:NameList>
          <b:Person>
            <b:Last>Burnson</b:Last>
            <b:First>P</b:First>
          </b:Person>
        </b:NameList>
      </b:Author>
    </b:Author>
    <b:Title>Near-sourcing gains traction in supply chain</b:Title>
    <b:Year>2010</b:Year>
    <b:InternetSiteTitle>Supplychain management review</b:InternetSiteTitle>
    <b:Month>November</b:Month>
    <b:Day>24</b:Day>
    <b:YearAccessed>2011</b:YearAccessed>
    <b:MonthAccessed>may</b:MonthAccessed>
    <b:DayAccessed>31</b:DayAccessed>
    <b:URL>http://www.scmr.com/article/near-sourcing_gains_traction_in_supply_chain/</b:URL>
    <b:RefOrder>31</b:RefOrder>
  </b:Source>
  <b:Source>
    <b:Tag>Lev06</b:Tag>
    <b:SourceType>Book</b:SourceType>
    <b:Guid>{79E4BA31-C504-412E-9953-490E5C479DCC}</b:Guid>
    <b:LCID>0</b:LCID>
    <b:Author>
      <b:Author>
        <b:NameList>
          <b:Person>
            <b:Last>Levinson</b:Last>
            <b:First>M</b:First>
          </b:Person>
        </b:NameList>
      </b:Author>
    </b:Author>
    <b:Title>The Box</b:Title>
    <b:Year>2006</b:Year>
    <b:City>New Jersey</b:City>
    <b:Publisher>Princeton</b:Publisher>
    <b:RefOrder>78</b:RefOrder>
  </b:Source>
  <b:Source>
    <b:Tag>Dos00</b:Tag>
    <b:SourceType>BookSection</b:SourceType>
    <b:Guid>{011D16F5-8ABA-4FCD-9D8E-BAD3C1D06908}</b:Guid>
    <b:LCID>0</b:LCID>
    <b:Author>
      <b:Author>
        <b:NameList>
          <b:Person>
            <b:Last>Dosi</b:Last>
            <b:First>G</b:First>
          </b:Person>
          <b:Person>
            <b:Last>Nelson</b:Last>
            <b:First>R</b:First>
            <b:Middle>R</b:Middle>
          </b:Person>
          <b:Person>
            <b:Last>Winter</b:Last>
            <b:First>S</b:First>
            <b:Middle>G</b:Middle>
          </b:Person>
        </b:NameList>
      </b:Author>
      <b:BookAuthor>
        <b:NameList>
          <b:Person>
            <b:Last>Dosi</b:Last>
            <b:First>G</b:First>
          </b:Person>
          <b:Person>
            <b:Last>Nelson</b:Last>
            <b:First>R</b:First>
            <b:Middle>R</b:Middle>
          </b:Person>
          <b:Person>
            <b:Last>Winter</b:Last>
            <b:First>S</b:First>
            <b:Middle>G</b:Middle>
          </b:Person>
        </b:NameList>
      </b:BookAuthor>
    </b:Author>
    <b:Title>Introduction: the nature and dynamics of organisational capabilities</b:Title>
    <b:Year>2000</b:Year>
    <b:City>Oxford</b:City>
    <b:Publisher>Oxford University Press</b:Publisher>
    <b:BookTitle>The nature and Dynamics of Organisational Capabilities</b:BookTitle>
    <b:Pages>1-18</b:Pages>
    <b:RefOrder>79</b:RefOrder>
  </b:Source>
  <b:Source>
    <b:Tag>Tee00</b:Tag>
    <b:SourceType>BookSection</b:SourceType>
    <b:Guid>{09638F3E-0C59-461B-9174-2E80A00D939E}</b:Guid>
    <b:LCID>0</b:LCID>
    <b:Author>
      <b:Author>
        <b:NameList>
          <b:Person>
            <b:Last>Teece</b:Last>
            <b:First>D</b:First>
            <b:Middle>J</b:Middle>
          </b:Person>
          <b:Person>
            <b:Last>Pisano</b:Last>
            <b:First>G</b:First>
            <b:Middle>P</b:Middle>
          </b:Person>
          <b:Person>
            <b:Last>Shuen</b:Last>
            <b:First>A</b:First>
          </b:Person>
        </b:NameList>
      </b:Author>
      <b:BookAuthor>
        <b:NameList>
          <b:Person>
            <b:Last>Dosi</b:Last>
            <b:First>G</b:First>
          </b:Person>
          <b:Person>
            <b:Last>Nelson</b:Last>
            <b:First>R</b:First>
            <b:Middle>R</b:Middle>
          </b:Person>
          <b:Person>
            <b:Last>Winter</b:Last>
            <b:First>S</b:First>
            <b:Middle>G</b:Middle>
          </b:Person>
        </b:NameList>
      </b:BookAuthor>
    </b:Author>
    <b:Title>Dynamic capabilities and strategic management</b:Title>
    <b:BookTitle>The Nature and Dynamics of Organisational Capabilities</b:BookTitle>
    <b:Year>2000</b:Year>
    <b:Pages>349-377</b:Pages>
    <b:City>Oxford</b:City>
    <b:Publisher>Oxford University Press</b:Publisher>
    <b:RefOrder>36</b:RefOrder>
  </b:Source>
  <b:Source>
    <b:Tag>Bow89</b:Tag>
    <b:SourceType>Book</b:SourceType>
    <b:Guid>{7787FC05-890F-4191-BD9D-575ED2AE9155}</b:Guid>
    <b:LCID>0</b:LCID>
    <b:Author>
      <b:Author>
        <b:NameList>
          <b:Person>
            <b:Last>Bowersox</b:Last>
            <b:First>D</b:First>
            <b:Middle>J</b:Middle>
          </b:Person>
          <b:Person>
            <b:Last>Daugherty</b:Last>
            <b:First>P</b:First>
            <b:Middle>J</b:Middle>
          </b:Person>
          <b:Person>
            <b:Last>DroEge</b:Last>
            <b:First>C</b:First>
            <b:Middle>L</b:Middle>
          </b:Person>
          <b:Person>
            <b:Last>Rogers</b:Last>
            <b:First>D</b:First>
            <b:Middle>S</b:Middle>
          </b:Person>
          <b:Person>
            <b:Last>Wardlow</b:Last>
            <b:First>D</b:First>
            <b:Middle>L</b:Middle>
          </b:Person>
        </b:NameList>
      </b:Author>
    </b:Author>
    <b:Title>Leading edge logistics: Competitive positioning for the 1990s</b:Title>
    <b:Year>1989</b:Year>
    <b:City>Oak Brook</b:City>
    <b:Publisher>Council of logistics management</b:Publisher>
    <b:RefOrder>37</b:RefOrder>
  </b:Source>
  <b:Source>
    <b:Tag>Wil85</b:Tag>
    <b:SourceType>Book</b:SourceType>
    <b:Guid>{77F6A743-02E6-4EDF-900A-3169E4005DB0}</b:Guid>
    <b:LCID>0</b:LCID>
    <b:Author>
      <b:Author>
        <b:NameList>
          <b:Person>
            <b:Last>Williamson</b:Last>
            <b:First>O</b:First>
            <b:Middle>E</b:Middle>
          </b:Person>
        </b:NameList>
      </b:Author>
    </b:Author>
    <b:Title>The Economic Institutions of Capitalism: Firms, Markets, Relational Contracting</b:Title>
    <b:Year>1985</b:Year>
    <b:City>New York</b:City>
    <b:Publisher>Free Press</b:Publisher>
    <b:RefOrder>38</b:RefOrder>
  </b:Source>
  <b:Source>
    <b:Tag>Lie08</b:Tag>
    <b:SourceType>JournalArticle</b:SourceType>
    <b:Guid>{5105FE34-56E7-411A-AB5E-9293C577F825}</b:Guid>
    <b:LCID>0</b:LCID>
    <b:Author>
      <b:Author>
        <b:NameList>
          <b:Person>
            <b:Last>Lieb</b:Last>
            <b:First>R</b:First>
            <b:Middle>C</b:Middle>
          </b:Person>
          <b:Person>
            <b:Last>Lieb</b:Last>
            <b:First>K</b:First>
          </b:Person>
        </b:NameList>
      </b:Author>
    </b:Author>
    <b:Title>The north american third-party logistics industry in 2008_The provider CEO perspective</b:Title>
    <b:Year>2008</b:Year>
    <b:JournalName>Reproduced with permission of the copyright owner</b:JournalName>
    <b:Pages>54-65</b:Pages>
    <b:RefOrder>33</b:RefOrder>
  </b:Source>
  <b:Source>
    <b:Tag>Coo97</b:Tag>
    <b:SourceType>JournalArticle</b:SourceType>
    <b:Guid>{88394143-D05E-4A0B-ABC1-74E420DBC5D0}</b:Guid>
    <b:LCID>0</b:LCID>
    <b:Author>
      <b:Author>
        <b:NameList>
          <b:Person>
            <b:Last>Cooper</b:Last>
            <b:First>M</b:First>
            <b:Middle>C</b:Middle>
          </b:Person>
          <b:Person>
            <b:Last>Lambert</b:Last>
            <b:First>D</b:First>
            <b:Middle>M</b:Middle>
          </b:Person>
          <b:Person>
            <b:Last>Pagh</b:Last>
            <b:First>J</b:First>
            <b:Middle>D</b:Middle>
          </b:Person>
        </b:NameList>
      </b:Author>
    </b:Author>
    <b:Title>Supply chain management: more than a new name for logistics</b:Title>
    <b:JournalName>The international journal of logistics management</b:JournalName>
    <b:Year>1997</b:Year>
    <b:Pages>1-14</b:Pages>
    <b:Volume>8</b:Volume>
    <b:Issue>1</b:Issue>
    <b:RefOrder>39</b:RefOrder>
  </b:Source>
  <b:Source>
    <b:Tag>Mak90</b:Tag>
    <b:SourceType>JournalArticle</b:SourceType>
    <b:Guid>{C31041EA-C4E8-4E25-BFAA-6C03E51E5B38}</b:Guid>
    <b:LCID>0</b:LCID>
    <b:Author>
      <b:Author>
        <b:NameList>
          <b:Person>
            <b:Last>Makelin</b:Last>
            <b:First>M</b:First>
          </b:Person>
          <b:Person>
            <b:Last>Vepsalainen</b:Last>
            <b:First>A</b:First>
            <b:Middle>P J</b:Middle>
          </b:Person>
        </b:NameList>
      </b:Author>
    </b:Author>
    <b:Title>Service strategies 2 - Services, Channels and Information technology</b:Title>
    <b:JournalName>HM&amp;V Research</b:JournalName>
    <b:Year>1990</b:Year>
    <b:Pages>7-56</b:Pages>
    <b:Volume>17</b:Volume>
    <b:Issue>1</b:Issue>
    <b:RefOrder>40</b:RefOrder>
  </b:Source>
  <b:Source>
    <b:Tag>Nij11</b:Tag>
    <b:SourceType>ElectronicSource</b:SourceType>
    <b:Guid>{2C357A5E-9B41-48B4-953B-9B996D5C21BB}</b:Guid>
    <b:LCID>0</b:LCID>
    <b:Author>
      <b:Author>
        <b:NameList>
          <b:Person>
            <b:Last>Nijdam</b:Last>
            <b:First>M</b:First>
            <b:Middle>H</b:Middle>
          </b:Person>
        </b:NameList>
      </b:Author>
    </b:Author>
    <b:Title>ETFLS 6: Logistics services and the 3th party logistics firm</b:Title>
    <b:City>Rotterdam</b:City>
    <b:StateProvince>Zuid Holland</b:StateProvince>
    <b:CountryRegion>the Netherlands</b:CountryRegion>
    <b:Year>2011</b:Year>
    <b:Month>February</b:Month>
    <b:Day>14</b:Day>
    <b:RefOrder>80</b:RefOrder>
  </b:Source>
  <b:Source>
    <b:Tag>Hoo93</b:Tag>
    <b:SourceType>Book</b:SourceType>
    <b:Guid>{2C8CDD89-F5B0-4D9C-8B15-D7FEF73E9DC7}</b:Guid>
    <b:LCID>0</b:LCID>
    <b:Author>
      <b:Author>
        <b:NameList>
          <b:Person>
            <b:Last>Hooley</b:Last>
            <b:First>G</b:First>
            <b:Middle>J</b:Middle>
          </b:Person>
          <b:Person>
            <b:Last>Saunders</b:Last>
            <b:First>J</b:First>
          </b:Person>
        </b:NameList>
      </b:Author>
    </b:Author>
    <b:Title>Competitive psotioning: the key to marketing strategy</b:Title>
    <b:City>Trowbridge</b:City>
    <b:Year>1993</b:Year>
    <b:Publisher>Prentice Hall</b:Publisher>
    <b:RefOrder>1</b:RefOrder>
  </b:Source>
  <b:Source>
    <b:Tag>Hal04</b:Tag>
    <b:SourceType>JournalArticle</b:SourceType>
    <b:Guid>{AAA70525-550F-4F0B-AD5F-68EAAEFF559B}</b:Guid>
    <b:LCID>0</b:LCID>
    <b:Author>
      <b:Author>
        <b:NameList>
          <b:Person>
            <b:Last>Halldorsson</b:Last>
            <b:First>A</b:First>
          </b:Person>
          <b:Person>
            <b:Last>Skjott-Larsen</b:Last>
            <b:First>T</b:First>
          </b:Person>
        </b:NameList>
      </b:Author>
    </b:Author>
    <b:Title>Developing logistics competencies through third party logistics relationships</b:Title>
    <b:Year>2004</b:Year>
    <b:JournalName>International Journal of Operations and Production Management</b:JournalName>
    <b:Pages>192-206</b:Pages>
    <b:Volume>24</b:Volume>
    <b:Issue>2</b:Issue>
    <b:RefOrder>81</b:RefOrder>
  </b:Source>
  <b:Source>
    <b:Tag>Jug08</b:Tag>
    <b:SourceType>JournalArticle</b:SourceType>
    <b:Guid>{F4A913A8-5CCE-4879-BCFF-407C88FC977D}</b:Guid>
    <b:LCID>0</b:LCID>
    <b:Author>
      <b:Author>
        <b:NameList>
          <b:Person>
            <b:Last>Juga</b:Last>
            <b:First>J</b:First>
          </b:Person>
          <b:Person>
            <b:Last>Pekkarinen</b:Last>
            <b:First>S</b:First>
          </b:Person>
          <b:Person>
            <b:Last>Kilpala</b:Last>
            <b:First>H</b:First>
          </b:Person>
        </b:NameList>
      </b:Author>
    </b:Author>
    <b:Title>Strategic positioning of logistics service providers</b:Title>
    <b:JournalName>International journal of logistics: Research and Applications</b:JournalName>
    <b:Year>2008</b:Year>
    <b:Pages>443-455</b:Pages>
    <b:Volume>11</b:Volume>
    <b:Issue>6</b:Issue>
    <b:RefOrder>41</b:RefOrder>
  </b:Source>
  <b:Source>
    <b:Tag>van001</b:Tag>
    <b:SourceType>JournalArticle</b:SourceType>
    <b:Guid>{95172AC1-11F3-4633-A697-02A30FB9E83D}</b:Guid>
    <b:LCID>0</b:LCID>
    <b:Author>
      <b:Author>
        <b:NameList>
          <b:Person>
            <b:Last>van Hoek</b:Last>
            <b:First>R</b:First>
            <b:Middle>I</b:Middle>
          </b:Person>
        </b:NameList>
      </b:Author>
    </b:Author>
    <b:Title>Role of third party logistic services in customization through postponement</b:Title>
    <b:Year>2000</b:Year>
    <b:JournalName>International Journal of Service Industry Management</b:JournalName>
    <b:Pages>374-387</b:Pages>
    <b:Volume>11</b:Volume>
    <b:Issue>4</b:Issue>
    <b:RefOrder>45</b:RefOrder>
  </b:Source>
  <b:Source>
    <b:Tag>Eur11</b:Tag>
    <b:SourceType>InternetSite</b:SourceType>
    <b:Guid>{9879C6D5-E8D6-49C9-8E3C-21CC07F951D9}</b:Guid>
    <b:LCID>0</b:LCID>
    <b:Author>
      <b:Author>
        <b:Corporate>European Commision</b:Corporate>
      </b:Author>
    </b:Author>
    <b:Title>Roadmap to a single European Transport Area - Towards a competitive and resource efficient transport system</b:Title>
    <b:Year>2011</b:Year>
    <b:InternetSiteTitle>europa.eu</b:InternetSiteTitle>
    <b:YearAccessed>2011</b:YearAccessed>
    <b:MonthAccessed>June</b:MonthAccessed>
    <b:DayAccessed>6</b:DayAccessed>
    <b:URL>http://ec.europa.eu/transport/strategies/2011_white_paper_en.htm</b:URL>
    <b:RefOrder>42</b:RefOrder>
  </b:Source>
  <b:Source>
    <b:Tag>Lie03</b:Tag>
    <b:SourceType>JournalArticle</b:SourceType>
    <b:Guid>{F0482F31-53D8-4B3D-B99D-2C850932D7A5}</b:Guid>
    <b:LCID>0</b:LCID>
    <b:Author>
      <b:Author>
        <b:NameList>
          <b:Person>
            <b:Last>Lieb</b:Last>
            <b:First>R</b:First>
            <b:Middle>C</b:Middle>
          </b:Person>
          <b:Person>
            <b:Last>Kendrick</b:Last>
            <b:First>S</b:First>
          </b:Person>
        </b:NameList>
      </b:Author>
    </b:Author>
    <b:Title>The year 2002 survey: CEO perspectives on the current status and future prospects of the 3PL industry in the US</b:Title>
    <b:Year>2003</b:Year>
    <b:JournalName>Transportation journal</b:JournalName>
    <b:Pages>5-16</b:Pages>
    <b:Volume>43</b:Volume>
    <b:Issue>2</b:Issue>
    <b:RefOrder>82</b:RefOrder>
  </b:Source>
  <b:Source>
    <b:Tag>van0012</b:Tag>
    <b:SourceType>JournalArticle</b:SourceType>
    <b:Guid>{0C8C1150-451E-4C44-8CBD-B448EF952D7C}</b:Guid>
    <b:LCID>0</b:LCID>
    <b:Author>
      <b:Author>
        <b:NameList>
          <b:Person>
            <b:Last>van Hoek</b:Last>
            <b:First>R</b:First>
            <b:Middle>I</b:Middle>
          </b:Person>
          <b:Person>
            <b:Last>Dierdonck</b:Last>
            <b:First>R</b:First>
          </b:Person>
        </b:NameList>
      </b:Author>
    </b:Author>
    <b:Title>Postponed manufacturing supplementary to transportation services?</b:Title>
    <b:JournalName>Transportation research: Part E</b:JournalName>
    <b:Year>2000</b:Year>
    <b:Pages>205-217</b:Pages>
    <b:Volume>36</b:Volume>
    <b:RefOrder>83</b:RefOrder>
  </b:Source>
  <b:Source>
    <b:Tag>Boo07</b:Tag>
    <b:SourceType>JournalArticle</b:SourceType>
    <b:Guid>{0090E23A-1478-4177-A45D-1B4DED83EFFB}</b:Guid>
    <b:LCID>0</b:LCID>
    <b:Author>
      <b:Author>
        <b:NameList>
          <b:Person>
            <b:Last>Boone</b:Last>
            <b:First>C</b:First>
            <b:Middle>A</b:Middle>
          </b:Person>
          <b:Person>
            <b:Last>Craighead</b:Last>
            <b:First>C</b:First>
            <b:Middle>W</b:Middle>
          </b:Person>
          <b:Person>
            <b:Last>Hanna</b:Last>
            <b:First>J</b:First>
            <b:Middle>B</b:Middle>
          </b:Person>
        </b:NameList>
      </b:Author>
    </b:Author>
    <b:Title>Postponement: an evolving supply chain concept</b:Title>
    <b:JournalName>International Journal of Physical Dsitribution &amp; Logistics Management</b:JournalName>
    <b:Year>2007</b:Year>
    <b:Pages>594-611</b:Pages>
    <b:Volume>37</b:Volume>
    <b:Issue>8</b:Issue>
    <b:RefOrder>44</b:RefOrder>
  </b:Source>
  <b:Source>
    <b:Tag>BLM11</b:Tag>
    <b:SourceType>Report</b:SourceType>
    <b:Guid>{66EA8C36-3577-44AD-8F28-5E7AADD02B19}</b:Guid>
    <b:LCID>0</b:LCID>
    <b:Author>
      <b:Author>
        <b:Corporate>BLMC</b:Corporate>
      </b:Author>
    </b:Author>
    <b:Title>Nationale Supply chain monitor 2011 (in Dutch)</b:Title>
    <b:Year>2011</b:Year>
    <b:Publisher>BLMC</b:Publisher>
    <b:City>Meppel</b:City>
    <b:RefOrder>46</b:RefOrder>
  </b:Source>
  <b:Source>
    <b:Tag>Doz98</b:Tag>
    <b:SourceType>Book</b:SourceType>
    <b:Guid>{53BF8583-141B-46AF-AC32-A04C59DFF401}</b:Guid>
    <b:LCID>0</b:LCID>
    <b:Author>
      <b:Author>
        <b:NameList>
          <b:Person>
            <b:Last>Doz</b:Last>
            <b:First>Y</b:First>
            <b:Middle>L</b:Middle>
          </b:Person>
          <b:Person>
            <b:Last>Hamel</b:Last>
            <b:First>G</b:First>
          </b:Person>
        </b:NameList>
      </b:Author>
    </b:Author>
    <b:Title>Alliance advantage: the art of creating value trough partnering</b:Title>
    <b:Year>1998</b:Year>
    <b:Publisher>Harvard Business School Press</b:Publisher>
    <b:City>Boston</b:City>
    <b:RefOrder>84</b:RefOrder>
  </b:Source>
  <b:Source>
    <b:Tag>Sup03</b:Tag>
    <b:SourceType>JournalArticle</b:SourceType>
    <b:Guid>{C57EC017-A844-4A03-891B-416CAE7DC265}</b:Guid>
    <b:LCID>0</b:LCID>
    <b:Title>Supply chain collaboration - theoretical perspectives and emperical evidence</b:Title>
    <b:Year>2003</b:Year>
    <b:JournalName>International journal of physical distribution &amp; logistics management</b:JournalName>
    <b:Pages>531-549</b:Pages>
    <b:Volume>33</b:Volume>
    <b:Author>
      <b:Author>
        <b:NameList>
          <b:Person>
            <b:Last>Skjott-Larsen</b:Last>
            <b:First>T</b:First>
          </b:Person>
          <b:Person>
            <b:Last>Thernu</b:Last>
            <b:First>C</b:First>
          </b:Person>
        </b:NameList>
      </b:Author>
    </b:Author>
    <b:Issue>6</b:Issue>
    <b:RefOrder>85</b:RefOrder>
  </b:Source>
  <b:Source>
    <b:Tag>Jay10</b:Tag>
    <b:SourceType>JournalArticle</b:SourceType>
    <b:Guid>{DA4A64EB-D0B7-4E61-97F8-6D8C59D61711}</b:Guid>
    <b:LCID>0</b:LCID>
    <b:Author>
      <b:Author>
        <b:NameList>
          <b:Person>
            <b:Last>Jayaram</b:Last>
            <b:First>J</b:First>
          </b:Person>
          <b:Person>
            <b:Last>Keah</b:Last>
            <b:First>C</b:First>
            <b:Middle>T</b:Middle>
          </b:Person>
        </b:NameList>
      </b:Author>
    </b:Author>
    <b:Title>Supply chain integration with third-party logistics providers</b:Title>
    <b:JournalName>interntaional journal of production economics</b:JournalName>
    <b:Year>2010</b:Year>
    <b:Pages>262-271</b:Pages>
    <b:Volume>125</b:Volume>
    <b:RefOrder>86</b:RefOrder>
  </b:Source>
  <b:Source>
    <b:Tag>Chi02</b:Tag>
    <b:SourceType>JournalArticle</b:SourceType>
    <b:Guid>{5568C587-2FF3-4D5D-8B1D-451E6685AE66}</b:Guid>
    <b:LCID>0</b:LCID>
    <b:Author>
      <b:Author>
        <b:NameList>
          <b:Person>
            <b:Last>Chiou</b:Last>
            <b:First>J</b:First>
            <b:Middle>S</b:Middle>
          </b:Person>
          <b:Person>
            <b:Last>Wu</b:Last>
            <b:First>L</b:First>
            <b:Middle>Y</b:Middle>
          </b:Person>
          <b:Person>
            <b:Last>Hsu</b:Last>
            <b:First>J</b:First>
          </b:Person>
        </b:NameList>
      </b:Author>
    </b:Author>
    <b:Title>The adoption of form postponement strategy in a global logistics system: the case of Taiwanese information technology industry</b:Title>
    <b:JournalName>Journal of business logistics</b:JournalName>
    <b:Year>2002</b:Year>
    <b:Pages>107-124</b:Pages>
    <b:Volume>23</b:Volume>
    <b:Issue>1</b:Issue>
    <b:RefOrder>48</b:RefOrder>
  </b:Source>
  <b:Source>
    <b:Tag>Yan04</b:Tag>
    <b:SourceType>JournalArticle</b:SourceType>
    <b:Guid>{D5C4DD4D-0494-4112-9FE8-19BAE753708E}</b:Guid>
    <b:LCID>0</b:LCID>
    <b:Author>
      <b:Author>
        <b:NameList>
          <b:Person>
            <b:Last>Yang</b:Last>
            <b:First>B</b:First>
          </b:Person>
          <b:Person>
            <b:Last>Burns</b:Last>
            <b:First>N</b:First>
          </b:Person>
          <b:Person>
            <b:Last>Backhouse</b:Last>
            <b:First>C</b:First>
          </b:Person>
        </b:NameList>
      </b:Author>
    </b:Author>
    <b:Title>Postponement: a review and an integrated framework</b:Title>
    <b:JournalName>International journal of operations &amp; production management</b:JournalName>
    <b:Year>2004</b:Year>
    <b:Pages>468-487</b:Pages>
    <b:Volume>24</b:Volume>
    <b:Issue>5</b:Issue>
    <b:RefOrder>51</b:RefOrder>
  </b:Source>
  <b:Source>
    <b:Tag>Rab03</b:Tag>
    <b:SourceType>JournalArticle</b:SourceType>
    <b:Guid>{96541C54-B230-428B-BC76-144CCA7E8BE4}</b:Guid>
    <b:LCID>0</b:LCID>
    <b:Author>
      <b:Author>
        <b:NameList>
          <b:Person>
            <b:Last>Rabinovich</b:Last>
            <b:First>E</b:First>
          </b:Person>
          <b:Person>
            <b:Last>Evers</b:Last>
            <b:First>P</b:First>
          </b:Person>
        </b:NameList>
      </b:Author>
    </b:Author>
    <b:Title>Postponement effects on inventory performance and the impact of information systems</b:Title>
    <b:JournalName>International journal of logistics management</b:JournalName>
    <b:Year>2003</b:Year>
    <b:Pages>33-48</b:Pages>
    <b:Volume>14</b:Volume>
    <b:Issue>1</b:Issue>
    <b:RefOrder>49</b:RefOrder>
  </b:Source>
  <b:Source>
    <b:Tag>SuJ05</b:Tag>
    <b:SourceType>JournalArticle</b:SourceType>
    <b:Guid>{BCCD24DE-1457-44EC-BB62-049703922075}</b:Guid>
    <b:LCID>0</b:LCID>
    <b:Author>
      <b:Author>
        <b:NameList>
          <b:Person>
            <b:Last>Su</b:Last>
            <b:First>J</b:First>
          </b:Person>
          <b:Person>
            <b:Last>Chang</b:Last>
            <b:First>Y</b:First>
          </b:Person>
          <b:Person>
            <b:Last>Ferguson</b:Last>
            <b:First>M</b:First>
          </b:Person>
        </b:NameList>
      </b:Author>
    </b:Author>
    <b:Title>evaluation of postponement structures to accomodate mass customization</b:Title>
    <b:JournalName>Journal of operations management</b:JournalName>
    <b:Year>2005</b:Year>
    <b:Pages>305-318</b:Pages>
    <b:Volume>23</b:Volume>
    <b:RefOrder>47</b:RefOrder>
  </b:Source>
  <b:Source>
    <b:Tag>Bow96</b:Tag>
    <b:SourceType>Book</b:SourceType>
    <b:Guid>{A6322436-C754-45B6-BAF4-88FC929112C0}</b:Guid>
    <b:LCID>0</b:LCID>
    <b:Author>
      <b:Author>
        <b:NameList>
          <b:Person>
            <b:Last>Bowersox</b:Last>
            <b:First>D</b:First>
            <b:Middle>J</b:Middle>
          </b:Person>
          <b:Person>
            <b:Last>Closs</b:Last>
            <b:First>D</b:First>
            <b:Middle>J</b:Middle>
          </b:Person>
        </b:NameList>
      </b:Author>
    </b:Author>
    <b:Title>Logistics management, the integrated supply chain process</b:Title>
    <b:Year>1996</b:Year>
    <b:City>New York</b:City>
    <b:Publisher>Macmillan Publishing Company</b:Publisher>
    <b:RefOrder>50</b:RefOrder>
  </b:Source>
  <b:Source>
    <b:Tag>van97</b:Tag>
    <b:SourceType>JournalArticle</b:SourceType>
    <b:Guid>{4E63ECF3-D465-4E28-8EC1-00F60D2F9FF8}</b:Guid>
    <b:LCID>0</b:LCID>
    <b:Author>
      <b:Author>
        <b:NameList>
          <b:Person>
            <b:Last>van Hoek</b:Last>
            <b:First>R</b:First>
          </b:Person>
        </b:NameList>
      </b:Author>
    </b:Author>
    <b:Title>Postponed manufactoring: a case study in the food supply chain</b:Title>
    <b:JournalName>Supply chain management</b:JournalName>
    <b:Year>1997</b:Year>
    <b:Pages>63-75</b:Pages>
    <b:Volume>2</b:Volume>
    <b:Issue>2</b:Issue>
    <b:RefOrder>87</b:RefOrder>
  </b:Source>
  <b:Source>
    <b:Tag>Fie09</b:Tag>
    <b:SourceType>Book</b:SourceType>
    <b:Guid>{66D1BC4D-BEDA-4164-8FBA-C1B581BD8DE7}</b:Guid>
    <b:LCID>0</b:LCID>
    <b:Author>
      <b:Author>
        <b:NameList>
          <b:Person>
            <b:Last>Field</b:Last>
            <b:First>A</b:First>
          </b:Person>
        </b:NameList>
      </b:Author>
    </b:Author>
    <b:Title>Discovering statistics using SPSS</b:Title>
    <b:Year>2009</b:Year>
    <b:City>Chicago</b:City>
    <b:Publisher>SAGE</b:Publisher>
    <b:RefOrder>53</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A470106-1CA0-4BBD-A871-EED8F6657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9173</TotalTime>
  <Pages>1</Pages>
  <Words>27353</Words>
  <Characters>150443</Characters>
  <Application>Microsoft Office Word</Application>
  <DocSecurity>0</DocSecurity>
  <Lines>1253</Lines>
  <Paragraphs>354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strategic development of third party logistics providers in the Netherlands</vt:lpstr>
      <vt:lpstr>The strategic development of third party logistics providers in the Netherlands</vt:lpstr>
    </vt:vector>
  </TitlesOfParts>
  <Company>Erasmus school of economics</Company>
  <LinksUpToDate>false</LinksUpToDate>
  <CharactersWithSpaces>177442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strategic development of third party logistics providers in the Netherlands</dc:title>
  <dc:subject/>
  <dc:creator>Lex Miechels</dc:creator>
  <cp:keywords/>
  <dc:description/>
  <cp:lastModifiedBy>Lex Miechels</cp:lastModifiedBy>
  <cp:revision>169</cp:revision>
  <cp:lastPrinted>2011-08-06T15:55:00Z</cp:lastPrinted>
  <dcterms:created xsi:type="dcterms:W3CDTF">2011-05-19T11:53:00Z</dcterms:created>
  <dcterms:modified xsi:type="dcterms:W3CDTF">2011-08-06T15:55:00Z</dcterms:modified>
</cp:coreProperties>
</file>