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8D2" w:rsidRPr="004318D2" w:rsidRDefault="004318D2" w:rsidP="00AC4A76">
      <w:pPr>
        <w:jc w:val="center"/>
        <w:rPr>
          <w:sz w:val="60"/>
          <w:szCs w:val="60"/>
          <w:lang w:val="en-US"/>
        </w:rPr>
      </w:pPr>
    </w:p>
    <w:p w:rsidR="004318D2" w:rsidRDefault="004318D2" w:rsidP="004318D2">
      <w:pPr>
        <w:jc w:val="center"/>
        <w:rPr>
          <w:sz w:val="60"/>
          <w:szCs w:val="60"/>
          <w:lang w:val="en-US"/>
        </w:rPr>
      </w:pPr>
    </w:p>
    <w:p w:rsidR="00AC4A76" w:rsidRDefault="00AC4A76" w:rsidP="004318D2">
      <w:pPr>
        <w:jc w:val="center"/>
        <w:rPr>
          <w:sz w:val="60"/>
          <w:szCs w:val="60"/>
          <w:lang w:val="en-US"/>
        </w:rPr>
      </w:pPr>
    </w:p>
    <w:p w:rsidR="00AC4A76" w:rsidRPr="004318D2" w:rsidRDefault="00AC4A76" w:rsidP="004318D2">
      <w:pPr>
        <w:jc w:val="center"/>
        <w:rPr>
          <w:sz w:val="60"/>
          <w:szCs w:val="60"/>
          <w:lang w:val="en-US"/>
        </w:rPr>
      </w:pPr>
    </w:p>
    <w:p w:rsidR="004318D2" w:rsidRPr="004318D2" w:rsidRDefault="004318D2" w:rsidP="004318D2">
      <w:pPr>
        <w:spacing w:line="360" w:lineRule="auto"/>
        <w:jc w:val="center"/>
        <w:rPr>
          <w:sz w:val="68"/>
          <w:szCs w:val="68"/>
          <w:lang w:val="en-US"/>
        </w:rPr>
      </w:pPr>
      <w:r w:rsidRPr="004318D2">
        <w:rPr>
          <w:sz w:val="68"/>
          <w:szCs w:val="68"/>
          <w:lang w:val="en-US"/>
        </w:rPr>
        <w:t>Master thesis</w:t>
      </w:r>
    </w:p>
    <w:p w:rsidR="004318D2" w:rsidRPr="004318D2" w:rsidRDefault="004318D2" w:rsidP="004318D2">
      <w:pPr>
        <w:spacing w:line="360" w:lineRule="auto"/>
        <w:jc w:val="center"/>
        <w:rPr>
          <w:sz w:val="60"/>
          <w:szCs w:val="60"/>
          <w:lang w:val="en-US"/>
        </w:rPr>
      </w:pPr>
      <w:r w:rsidRPr="004318D2">
        <w:rPr>
          <w:sz w:val="60"/>
          <w:szCs w:val="60"/>
          <w:lang w:val="en-US"/>
        </w:rPr>
        <w:t>Charity Governance</w:t>
      </w: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AC4A76" w:rsidP="004318D2">
      <w:pPr>
        <w:jc w:val="center"/>
        <w:rPr>
          <w:sz w:val="24"/>
          <w:szCs w:val="24"/>
          <w:lang w:val="en-US"/>
        </w:rPr>
      </w:pPr>
      <w:r w:rsidRPr="00AC4A76">
        <w:rPr>
          <w:noProof/>
          <w:sz w:val="24"/>
          <w:szCs w:val="24"/>
          <w:lang w:eastAsia="nl-NL"/>
        </w:rPr>
        <w:drawing>
          <wp:inline distT="0" distB="0" distL="0" distR="0">
            <wp:extent cx="3362325" cy="806913"/>
            <wp:effectExtent l="19050" t="0" r="9525" b="0"/>
            <wp:docPr id="28" name="Afbeelding 26" descr="EUR-NL-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NL-ZW.jpg"/>
                    <pic:cNvPicPr/>
                  </pic:nvPicPr>
                  <pic:blipFill>
                    <a:blip r:embed="rId8" cstate="print"/>
                    <a:stretch>
                      <a:fillRect/>
                    </a:stretch>
                  </pic:blipFill>
                  <pic:spPr>
                    <a:xfrm>
                      <a:off x="0" y="0"/>
                      <a:ext cx="3363522" cy="807200"/>
                    </a:xfrm>
                    <a:prstGeom prst="rect">
                      <a:avLst/>
                    </a:prstGeom>
                  </pic:spPr>
                </pic:pic>
              </a:graphicData>
            </a:graphic>
          </wp:inline>
        </w:drawing>
      </w: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Default="004318D2" w:rsidP="004318D2">
      <w:pPr>
        <w:jc w:val="center"/>
        <w:rPr>
          <w:sz w:val="24"/>
          <w:szCs w:val="24"/>
          <w:lang w:val="en-US"/>
        </w:rPr>
      </w:pPr>
    </w:p>
    <w:p w:rsidR="00AC4A76" w:rsidRDefault="00AC4A76" w:rsidP="004318D2">
      <w:pPr>
        <w:jc w:val="center"/>
        <w:rPr>
          <w:sz w:val="24"/>
          <w:szCs w:val="24"/>
          <w:lang w:val="en-US"/>
        </w:rPr>
      </w:pPr>
    </w:p>
    <w:p w:rsidR="00AC4A76" w:rsidRDefault="00AC4A76" w:rsidP="004318D2">
      <w:pPr>
        <w:jc w:val="center"/>
        <w:rPr>
          <w:sz w:val="24"/>
          <w:szCs w:val="24"/>
          <w:lang w:val="en-US"/>
        </w:rPr>
      </w:pPr>
    </w:p>
    <w:p w:rsidR="00AC4A76" w:rsidRDefault="00AC4A76" w:rsidP="004318D2">
      <w:pPr>
        <w:jc w:val="center"/>
        <w:rPr>
          <w:sz w:val="24"/>
          <w:szCs w:val="24"/>
          <w:lang w:val="en-US"/>
        </w:rPr>
      </w:pPr>
    </w:p>
    <w:p w:rsidR="00AC4A76" w:rsidRDefault="00AC4A76" w:rsidP="004318D2">
      <w:pPr>
        <w:jc w:val="center"/>
        <w:rPr>
          <w:sz w:val="24"/>
          <w:szCs w:val="24"/>
          <w:lang w:val="en-US"/>
        </w:rPr>
      </w:pPr>
    </w:p>
    <w:p w:rsidR="00AC4A76" w:rsidRDefault="00AC4A76" w:rsidP="004318D2">
      <w:pPr>
        <w:jc w:val="center"/>
        <w:rPr>
          <w:sz w:val="24"/>
          <w:szCs w:val="24"/>
          <w:lang w:val="en-US"/>
        </w:rPr>
      </w:pPr>
    </w:p>
    <w:p w:rsidR="00AC4A76" w:rsidRPr="004318D2" w:rsidRDefault="00AC4A76" w:rsidP="004318D2">
      <w:pPr>
        <w:jc w:val="center"/>
        <w:rPr>
          <w:sz w:val="24"/>
          <w:szCs w:val="24"/>
          <w:lang w:val="en-US"/>
        </w:rPr>
      </w:pPr>
    </w:p>
    <w:p w:rsidR="004318D2" w:rsidRDefault="004318D2" w:rsidP="004318D2">
      <w:pPr>
        <w:jc w:val="center"/>
        <w:rPr>
          <w:sz w:val="24"/>
          <w:szCs w:val="24"/>
          <w:lang w:val="en-US"/>
        </w:rPr>
      </w:pPr>
    </w:p>
    <w:p w:rsidR="004318D2" w:rsidRPr="0014245E" w:rsidRDefault="004318D2" w:rsidP="004318D2">
      <w:pPr>
        <w:spacing w:line="360" w:lineRule="auto"/>
        <w:jc w:val="right"/>
        <w:rPr>
          <w:sz w:val="24"/>
          <w:szCs w:val="24"/>
        </w:rPr>
      </w:pPr>
      <w:r w:rsidRPr="0014245E">
        <w:rPr>
          <w:sz w:val="24"/>
          <w:szCs w:val="24"/>
        </w:rPr>
        <w:t>Steven van der Laan</w:t>
      </w:r>
    </w:p>
    <w:p w:rsidR="00AC4A76" w:rsidRPr="0014245E" w:rsidRDefault="004318D2" w:rsidP="00AC4A76">
      <w:pPr>
        <w:spacing w:line="360" w:lineRule="auto"/>
        <w:jc w:val="right"/>
        <w:rPr>
          <w:sz w:val="24"/>
          <w:szCs w:val="24"/>
        </w:rPr>
      </w:pPr>
      <w:r w:rsidRPr="0014245E">
        <w:rPr>
          <w:sz w:val="24"/>
          <w:szCs w:val="24"/>
        </w:rPr>
        <w:t xml:space="preserve">Rotterdam, </w:t>
      </w:r>
      <w:r w:rsidR="004E6363" w:rsidRPr="0014245E">
        <w:rPr>
          <w:sz w:val="24"/>
          <w:szCs w:val="24"/>
        </w:rPr>
        <w:t>July</w:t>
      </w:r>
      <w:r w:rsidRPr="0014245E">
        <w:rPr>
          <w:sz w:val="24"/>
          <w:szCs w:val="24"/>
        </w:rPr>
        <w:t xml:space="preserve"> 2011</w:t>
      </w:r>
    </w:p>
    <w:p w:rsidR="00AC4A76" w:rsidRPr="0014245E" w:rsidRDefault="00AC4A76" w:rsidP="00AC4A76">
      <w:pPr>
        <w:spacing w:line="360" w:lineRule="auto"/>
        <w:rPr>
          <w:sz w:val="24"/>
          <w:szCs w:val="24"/>
          <w:highlight w:val="yellow"/>
        </w:rPr>
      </w:pPr>
      <w:r w:rsidRPr="0014245E">
        <w:rPr>
          <w:sz w:val="24"/>
          <w:szCs w:val="24"/>
          <w:highlight w:val="yellow"/>
        </w:rPr>
        <w:br w:type="page"/>
      </w:r>
    </w:p>
    <w:p w:rsidR="004318D2" w:rsidRPr="00415C30" w:rsidRDefault="004318D2" w:rsidP="004318D2">
      <w:pPr>
        <w:spacing w:line="360" w:lineRule="auto"/>
        <w:jc w:val="right"/>
        <w:rPr>
          <w:sz w:val="24"/>
          <w:szCs w:val="24"/>
        </w:rPr>
      </w:pPr>
    </w:p>
    <w:p w:rsidR="004318D2" w:rsidRPr="00415C30" w:rsidRDefault="004318D2" w:rsidP="004318D2">
      <w:pPr>
        <w:jc w:val="center"/>
        <w:rPr>
          <w:sz w:val="60"/>
          <w:szCs w:val="60"/>
        </w:rPr>
      </w:pPr>
    </w:p>
    <w:p w:rsidR="004318D2" w:rsidRPr="00415C30" w:rsidRDefault="004318D2" w:rsidP="004318D2">
      <w:pPr>
        <w:jc w:val="center"/>
        <w:rPr>
          <w:sz w:val="60"/>
          <w:szCs w:val="60"/>
        </w:rPr>
      </w:pPr>
    </w:p>
    <w:p w:rsidR="004318D2" w:rsidRPr="00415C30" w:rsidRDefault="004318D2" w:rsidP="004318D2">
      <w:pPr>
        <w:jc w:val="center"/>
        <w:rPr>
          <w:sz w:val="60"/>
          <w:szCs w:val="60"/>
        </w:rPr>
      </w:pPr>
    </w:p>
    <w:p w:rsidR="004318D2" w:rsidRPr="00415C30" w:rsidRDefault="004318D2" w:rsidP="004318D2">
      <w:pPr>
        <w:jc w:val="center"/>
        <w:rPr>
          <w:sz w:val="60"/>
          <w:szCs w:val="60"/>
        </w:rPr>
      </w:pPr>
    </w:p>
    <w:p w:rsidR="004318D2" w:rsidRPr="00C96D0E" w:rsidRDefault="004318D2" w:rsidP="004318D2">
      <w:pPr>
        <w:spacing w:line="360" w:lineRule="auto"/>
        <w:jc w:val="center"/>
        <w:rPr>
          <w:sz w:val="68"/>
          <w:szCs w:val="68"/>
          <w:lang w:val="en-US"/>
        </w:rPr>
      </w:pPr>
      <w:r w:rsidRPr="00C96D0E">
        <w:rPr>
          <w:sz w:val="68"/>
          <w:szCs w:val="68"/>
          <w:lang w:val="en-US"/>
        </w:rPr>
        <w:t>Master thesis</w:t>
      </w:r>
    </w:p>
    <w:p w:rsidR="004318D2" w:rsidRPr="004318D2" w:rsidRDefault="004318D2" w:rsidP="004318D2">
      <w:pPr>
        <w:spacing w:line="360" w:lineRule="auto"/>
        <w:jc w:val="center"/>
        <w:rPr>
          <w:sz w:val="60"/>
          <w:szCs w:val="60"/>
          <w:lang w:val="en-US"/>
        </w:rPr>
      </w:pPr>
      <w:r w:rsidRPr="004318D2">
        <w:rPr>
          <w:sz w:val="60"/>
          <w:szCs w:val="60"/>
          <w:lang w:val="en-US"/>
        </w:rPr>
        <w:t>Charity Governance</w:t>
      </w: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Pr="004318D2" w:rsidRDefault="004318D2" w:rsidP="004318D2">
      <w:pPr>
        <w:jc w:val="center"/>
        <w:rPr>
          <w:sz w:val="24"/>
          <w:szCs w:val="24"/>
          <w:lang w:val="en-US"/>
        </w:rPr>
      </w:pPr>
    </w:p>
    <w:p w:rsidR="004318D2" w:rsidRDefault="004318D2" w:rsidP="004318D2">
      <w:pPr>
        <w:jc w:val="center"/>
        <w:rPr>
          <w:sz w:val="24"/>
          <w:szCs w:val="24"/>
          <w:lang w:val="en-US"/>
        </w:rPr>
      </w:pPr>
    </w:p>
    <w:p w:rsidR="006828D1" w:rsidRPr="004318D2" w:rsidRDefault="006828D1" w:rsidP="004318D2">
      <w:pPr>
        <w:jc w:val="center"/>
        <w:rPr>
          <w:sz w:val="24"/>
          <w:szCs w:val="24"/>
          <w:lang w:val="en-US"/>
        </w:rPr>
      </w:pPr>
    </w:p>
    <w:p w:rsidR="004318D2" w:rsidRPr="004318D2" w:rsidRDefault="004318D2" w:rsidP="004318D2">
      <w:pPr>
        <w:jc w:val="center"/>
        <w:rPr>
          <w:sz w:val="24"/>
          <w:szCs w:val="24"/>
          <w:lang w:val="en-US"/>
        </w:rPr>
      </w:pPr>
    </w:p>
    <w:p w:rsidR="004318D2" w:rsidRPr="00725B92" w:rsidRDefault="004318D2" w:rsidP="004318D2">
      <w:pPr>
        <w:spacing w:line="360" w:lineRule="auto"/>
        <w:rPr>
          <w:sz w:val="24"/>
          <w:szCs w:val="24"/>
          <w:lang w:val="en-US"/>
        </w:rPr>
      </w:pPr>
      <w:r w:rsidRPr="00725B92">
        <w:rPr>
          <w:sz w:val="24"/>
          <w:szCs w:val="24"/>
          <w:lang w:val="en-US"/>
        </w:rPr>
        <w:t>Name:</w:t>
      </w:r>
      <w:r w:rsidRPr="00725B92">
        <w:rPr>
          <w:sz w:val="24"/>
          <w:szCs w:val="24"/>
          <w:lang w:val="en-US"/>
        </w:rPr>
        <w:tab/>
      </w:r>
      <w:r w:rsidRPr="00725B92">
        <w:rPr>
          <w:sz w:val="24"/>
          <w:szCs w:val="24"/>
          <w:lang w:val="en-US"/>
        </w:rPr>
        <w:tab/>
      </w:r>
      <w:r w:rsidRPr="00725B92">
        <w:rPr>
          <w:sz w:val="24"/>
          <w:szCs w:val="24"/>
          <w:lang w:val="en-US"/>
        </w:rPr>
        <w:tab/>
        <w:t>Steven van der Laan</w:t>
      </w:r>
    </w:p>
    <w:p w:rsidR="004318D2" w:rsidRPr="00725B92" w:rsidRDefault="00EA0670" w:rsidP="004318D2">
      <w:pPr>
        <w:spacing w:line="360" w:lineRule="auto"/>
        <w:rPr>
          <w:sz w:val="24"/>
          <w:szCs w:val="24"/>
          <w:lang w:val="en-US"/>
        </w:rPr>
      </w:pPr>
      <w:r w:rsidRPr="00725B92">
        <w:rPr>
          <w:sz w:val="24"/>
          <w:szCs w:val="24"/>
          <w:lang w:val="en-US"/>
        </w:rPr>
        <w:t>Student number</w:t>
      </w:r>
      <w:r w:rsidR="004318D2" w:rsidRPr="00725B92">
        <w:rPr>
          <w:sz w:val="24"/>
          <w:szCs w:val="24"/>
          <w:lang w:val="en-US"/>
        </w:rPr>
        <w:t>:</w:t>
      </w:r>
      <w:r w:rsidR="004318D2" w:rsidRPr="00725B92">
        <w:rPr>
          <w:sz w:val="24"/>
          <w:szCs w:val="24"/>
          <w:lang w:val="en-US"/>
        </w:rPr>
        <w:tab/>
        <w:t>335959</w:t>
      </w:r>
    </w:p>
    <w:p w:rsidR="004318D2" w:rsidRPr="004318D2" w:rsidRDefault="004318D2" w:rsidP="004318D2">
      <w:pPr>
        <w:spacing w:line="360" w:lineRule="auto"/>
        <w:rPr>
          <w:sz w:val="24"/>
          <w:szCs w:val="24"/>
          <w:lang w:val="en-US"/>
        </w:rPr>
      </w:pPr>
      <w:r w:rsidRPr="004318D2">
        <w:rPr>
          <w:sz w:val="24"/>
          <w:szCs w:val="24"/>
          <w:lang w:val="en-US"/>
        </w:rPr>
        <w:t>Master:</w:t>
      </w:r>
      <w:r w:rsidRPr="004318D2">
        <w:rPr>
          <w:sz w:val="24"/>
          <w:szCs w:val="24"/>
          <w:lang w:val="en-US"/>
        </w:rPr>
        <w:tab/>
      </w:r>
      <w:r w:rsidRPr="004318D2">
        <w:rPr>
          <w:sz w:val="24"/>
          <w:szCs w:val="24"/>
          <w:lang w:val="en-US"/>
        </w:rPr>
        <w:tab/>
        <w:t>Financial Economics</w:t>
      </w:r>
    </w:p>
    <w:p w:rsidR="004318D2" w:rsidRPr="004318D2" w:rsidRDefault="004318D2" w:rsidP="004318D2">
      <w:pPr>
        <w:spacing w:line="360" w:lineRule="auto"/>
        <w:rPr>
          <w:sz w:val="24"/>
          <w:szCs w:val="24"/>
          <w:lang w:val="en-US"/>
        </w:rPr>
      </w:pPr>
      <w:r w:rsidRPr="004318D2">
        <w:rPr>
          <w:sz w:val="24"/>
          <w:szCs w:val="24"/>
          <w:lang w:val="en-US"/>
        </w:rPr>
        <w:t>Date</w:t>
      </w:r>
      <w:r w:rsidR="00A441CD">
        <w:rPr>
          <w:sz w:val="24"/>
          <w:szCs w:val="24"/>
          <w:lang w:val="en-US"/>
        </w:rPr>
        <w:t xml:space="preserve"> and place</w:t>
      </w:r>
      <w:r w:rsidRPr="00644ACA">
        <w:rPr>
          <w:sz w:val="24"/>
          <w:szCs w:val="24"/>
          <w:lang w:val="en-US"/>
        </w:rPr>
        <w:t>:</w:t>
      </w:r>
      <w:r w:rsidRPr="00644ACA">
        <w:rPr>
          <w:sz w:val="24"/>
          <w:szCs w:val="24"/>
          <w:lang w:val="en-US"/>
        </w:rPr>
        <w:tab/>
        <w:t xml:space="preserve">Rotterdam, </w:t>
      </w:r>
      <w:r w:rsidR="00644ACA" w:rsidRPr="00644ACA">
        <w:rPr>
          <w:sz w:val="24"/>
          <w:szCs w:val="24"/>
          <w:lang w:val="en-US"/>
        </w:rPr>
        <w:t>Ju</w:t>
      </w:r>
      <w:r w:rsidR="004E6363">
        <w:rPr>
          <w:sz w:val="24"/>
          <w:szCs w:val="24"/>
          <w:lang w:val="en-US"/>
        </w:rPr>
        <w:t>ly</w:t>
      </w:r>
      <w:r w:rsidRPr="00644ACA">
        <w:rPr>
          <w:sz w:val="24"/>
          <w:szCs w:val="24"/>
          <w:lang w:val="en-US"/>
        </w:rPr>
        <w:t xml:space="preserve"> 2011</w:t>
      </w:r>
    </w:p>
    <w:p w:rsidR="004318D2" w:rsidRPr="004318D2" w:rsidRDefault="004318D2">
      <w:pPr>
        <w:rPr>
          <w:sz w:val="24"/>
          <w:szCs w:val="24"/>
          <w:lang w:val="en-US"/>
        </w:rPr>
      </w:pPr>
      <w:r w:rsidRPr="004318D2">
        <w:rPr>
          <w:sz w:val="24"/>
          <w:szCs w:val="24"/>
          <w:lang w:val="en-US"/>
        </w:rPr>
        <w:br w:type="page"/>
      </w:r>
    </w:p>
    <w:p w:rsidR="004318D2" w:rsidRPr="004318D2" w:rsidRDefault="004318D2" w:rsidP="004318D2">
      <w:pPr>
        <w:pStyle w:val="Heading1"/>
        <w:spacing w:before="240" w:line="360" w:lineRule="auto"/>
        <w:rPr>
          <w:sz w:val="32"/>
          <w:szCs w:val="32"/>
          <w:lang w:val="en-US"/>
        </w:rPr>
      </w:pPr>
      <w:bookmarkStart w:id="0" w:name="_Toc299180685"/>
      <w:r w:rsidRPr="004318D2">
        <w:rPr>
          <w:sz w:val="32"/>
          <w:szCs w:val="32"/>
          <w:lang w:val="en-US"/>
        </w:rPr>
        <w:lastRenderedPageBreak/>
        <w:t>Pré-face</w:t>
      </w:r>
      <w:bookmarkEnd w:id="0"/>
    </w:p>
    <w:p w:rsidR="004318D2" w:rsidRPr="004318D2" w:rsidRDefault="004318D2" w:rsidP="00371E85">
      <w:pPr>
        <w:spacing w:line="360" w:lineRule="auto"/>
        <w:jc w:val="both"/>
        <w:rPr>
          <w:lang w:val="en-US"/>
        </w:rPr>
      </w:pPr>
    </w:p>
    <w:p w:rsidR="00327E99" w:rsidRDefault="001936D8" w:rsidP="00371E85">
      <w:pPr>
        <w:spacing w:line="360" w:lineRule="auto"/>
        <w:jc w:val="both"/>
        <w:rPr>
          <w:lang w:val="en-US"/>
        </w:rPr>
      </w:pPr>
      <w:r>
        <w:rPr>
          <w:lang w:val="en-US"/>
        </w:rPr>
        <w:t>The report that lies before you is written as my master thesis into the field of financial economics</w:t>
      </w:r>
      <w:r w:rsidR="00155A9C">
        <w:rPr>
          <w:lang w:val="en-US"/>
        </w:rPr>
        <w:t>.</w:t>
      </w:r>
      <w:r w:rsidR="00327E99">
        <w:rPr>
          <w:lang w:val="en-US"/>
        </w:rPr>
        <w:t xml:space="preserve"> </w:t>
      </w:r>
      <w:r w:rsidR="00155A9C">
        <w:rPr>
          <w:lang w:val="en-US"/>
        </w:rPr>
        <w:t>T</w:t>
      </w:r>
      <w:r w:rsidR="00327E99">
        <w:rPr>
          <w:lang w:val="en-US"/>
        </w:rPr>
        <w:t>hrough this report I will show that I meet the require</w:t>
      </w:r>
      <w:r w:rsidR="00AC288E">
        <w:rPr>
          <w:lang w:val="en-US"/>
        </w:rPr>
        <w:t>d level of knowledge and skills</w:t>
      </w:r>
      <w:r w:rsidR="00327E99">
        <w:rPr>
          <w:lang w:val="en-US"/>
        </w:rPr>
        <w:t xml:space="preserve"> of </w:t>
      </w:r>
      <w:r w:rsidR="00AC288E">
        <w:rPr>
          <w:lang w:val="en-US"/>
        </w:rPr>
        <w:t>the</w:t>
      </w:r>
      <w:r w:rsidR="00327E99">
        <w:rPr>
          <w:lang w:val="en-US"/>
        </w:rPr>
        <w:t xml:space="preserve"> master student level. </w:t>
      </w:r>
    </w:p>
    <w:p w:rsidR="00644ACA" w:rsidRDefault="00644ACA" w:rsidP="00371E85">
      <w:pPr>
        <w:spacing w:line="360" w:lineRule="auto"/>
        <w:jc w:val="both"/>
        <w:rPr>
          <w:lang w:val="en-US"/>
        </w:rPr>
      </w:pPr>
    </w:p>
    <w:p w:rsidR="001936D8" w:rsidRDefault="001936D8" w:rsidP="00371E85">
      <w:pPr>
        <w:spacing w:line="360" w:lineRule="auto"/>
        <w:jc w:val="both"/>
        <w:rPr>
          <w:lang w:val="en-US"/>
        </w:rPr>
      </w:pPr>
      <w:r>
        <w:rPr>
          <w:lang w:val="en-US"/>
        </w:rPr>
        <w:t>The subject chosen for the thesis is governance in the charity sector. The choice of this subject is based both from an economic</w:t>
      </w:r>
      <w:r w:rsidR="00327E99">
        <w:rPr>
          <w:lang w:val="en-US"/>
        </w:rPr>
        <w:t>-scientific</w:t>
      </w:r>
      <w:r w:rsidR="00371E85">
        <w:rPr>
          <w:lang w:val="en-US"/>
        </w:rPr>
        <w:t>,</w:t>
      </w:r>
      <w:r>
        <w:rPr>
          <w:lang w:val="en-US"/>
        </w:rPr>
        <w:t xml:space="preserve"> as well as</w:t>
      </w:r>
      <w:r w:rsidR="00371E85">
        <w:rPr>
          <w:lang w:val="en-US"/>
        </w:rPr>
        <w:t>,</w:t>
      </w:r>
      <w:r>
        <w:rPr>
          <w:lang w:val="en-US"/>
        </w:rPr>
        <w:t xml:space="preserve"> a personal interest. With</w:t>
      </w:r>
      <w:r w:rsidR="00371E85">
        <w:rPr>
          <w:lang w:val="en-US"/>
        </w:rPr>
        <w:t xml:space="preserve"> annual revenues of close to</w:t>
      </w:r>
      <w:r>
        <w:rPr>
          <w:lang w:val="en-US"/>
        </w:rPr>
        <w:t xml:space="preserve"> 3.5 billion euro</w:t>
      </w:r>
      <w:r w:rsidR="00327E99">
        <w:rPr>
          <w:lang w:val="en-US"/>
        </w:rPr>
        <w:t xml:space="preserve"> the Dutch charity sector</w:t>
      </w:r>
      <w:r>
        <w:rPr>
          <w:lang w:val="en-US"/>
        </w:rPr>
        <w:t xml:space="preserve"> </w:t>
      </w:r>
      <w:r w:rsidR="00327E99">
        <w:rPr>
          <w:lang w:val="en-US"/>
        </w:rPr>
        <w:t>is a</w:t>
      </w:r>
      <w:r w:rsidR="00155A9C">
        <w:rPr>
          <w:lang w:val="en-US"/>
        </w:rPr>
        <w:t>n</w:t>
      </w:r>
      <w:r w:rsidR="00327E99">
        <w:rPr>
          <w:lang w:val="en-US"/>
        </w:rPr>
        <w:t xml:space="preserve"> economically relevant sector that thus far has received little scientific attention. My personal interest in the subject comes from the fact that, every time I received a phone call from charities asking if I would be interested to become a donor, I found myself looking up the annual report to see how many donors were needed just to pay for the salary of the top executives. </w:t>
      </w:r>
    </w:p>
    <w:p w:rsidR="001936D8" w:rsidRDefault="001936D8" w:rsidP="001936D8">
      <w:pPr>
        <w:spacing w:line="360" w:lineRule="auto"/>
        <w:rPr>
          <w:lang w:val="en-US"/>
        </w:rPr>
      </w:pPr>
    </w:p>
    <w:p w:rsidR="00644ACA" w:rsidRDefault="00644ACA" w:rsidP="00644ACA">
      <w:pPr>
        <w:spacing w:line="360" w:lineRule="auto"/>
        <w:jc w:val="both"/>
        <w:rPr>
          <w:lang w:val="en-US"/>
        </w:rPr>
      </w:pPr>
      <w:r>
        <w:rPr>
          <w:lang w:val="en-US"/>
        </w:rPr>
        <w:t>The report is written primarily for people with an interest in the field of governance, however, practitioners in the charity sector might be interested in this report</w:t>
      </w:r>
      <w:r w:rsidR="00911150" w:rsidRPr="00911150">
        <w:rPr>
          <w:lang w:val="en-US"/>
        </w:rPr>
        <w:t xml:space="preserve"> </w:t>
      </w:r>
      <w:r w:rsidR="00911150">
        <w:rPr>
          <w:lang w:val="en-US"/>
        </w:rPr>
        <w:t>too</w:t>
      </w:r>
      <w:r>
        <w:rPr>
          <w:lang w:val="en-US"/>
        </w:rPr>
        <w:t>.</w:t>
      </w:r>
    </w:p>
    <w:p w:rsidR="001936D8" w:rsidRDefault="001936D8" w:rsidP="001936D8">
      <w:pPr>
        <w:spacing w:line="360" w:lineRule="auto"/>
        <w:rPr>
          <w:lang w:val="en-US"/>
        </w:rPr>
      </w:pPr>
    </w:p>
    <w:p w:rsidR="00644ACA" w:rsidRDefault="00644ACA" w:rsidP="001936D8">
      <w:pPr>
        <w:spacing w:line="360" w:lineRule="auto"/>
        <w:rPr>
          <w:lang w:val="en-US"/>
        </w:rPr>
      </w:pPr>
    </w:p>
    <w:p w:rsidR="00315420" w:rsidRDefault="00315420">
      <w:pPr>
        <w:rPr>
          <w:lang w:val="en-US"/>
        </w:rPr>
      </w:pPr>
      <w:r>
        <w:rPr>
          <w:lang w:val="en-US"/>
        </w:rPr>
        <w:br w:type="page"/>
      </w:r>
    </w:p>
    <w:p w:rsidR="00315420" w:rsidRDefault="00B25AF5" w:rsidP="00B25AF5">
      <w:pPr>
        <w:pStyle w:val="Heading1"/>
        <w:spacing w:before="120" w:after="120" w:line="360" w:lineRule="auto"/>
      </w:pPr>
      <w:bookmarkStart w:id="1" w:name="_Toc299180686"/>
      <w:r>
        <w:t>Table of content</w:t>
      </w:r>
      <w:bookmarkEnd w:id="1"/>
    </w:p>
    <w:sdt>
      <w:sdtPr>
        <w:rPr>
          <w:rFonts w:asciiTheme="minorHAnsi" w:eastAsiaTheme="minorHAnsi" w:hAnsiTheme="minorHAnsi" w:cstheme="minorBidi"/>
          <w:b w:val="0"/>
          <w:bCs w:val="0"/>
          <w:color w:val="auto"/>
          <w:sz w:val="22"/>
          <w:szCs w:val="22"/>
        </w:rPr>
        <w:id w:val="1798876"/>
        <w:docPartObj>
          <w:docPartGallery w:val="Table of Contents"/>
          <w:docPartUnique/>
        </w:docPartObj>
      </w:sdtPr>
      <w:sdtContent>
        <w:p w:rsidR="00B25AF5" w:rsidRPr="00B25AF5" w:rsidRDefault="00B25AF5" w:rsidP="00B25AF5">
          <w:pPr>
            <w:pStyle w:val="TOCHeading"/>
            <w:spacing w:before="0" w:after="120" w:line="360" w:lineRule="auto"/>
            <w:rPr>
              <w:b w:val="0"/>
              <w:sz w:val="24"/>
              <w:szCs w:val="24"/>
            </w:rPr>
          </w:pPr>
        </w:p>
        <w:p w:rsidR="00153866" w:rsidRDefault="002800DD">
          <w:pPr>
            <w:pStyle w:val="TOC1"/>
            <w:tabs>
              <w:tab w:val="right" w:leader="dot" w:pos="9016"/>
            </w:tabs>
            <w:rPr>
              <w:rFonts w:eastAsiaTheme="minorEastAsia"/>
              <w:noProof/>
              <w:lang w:eastAsia="nl-NL"/>
            </w:rPr>
          </w:pPr>
          <w:r>
            <w:fldChar w:fldCharType="begin"/>
          </w:r>
          <w:r w:rsidR="00B25AF5">
            <w:instrText xml:space="preserve"> TOC \o "1-3" \h \z \u </w:instrText>
          </w:r>
          <w:r>
            <w:fldChar w:fldCharType="separate"/>
          </w:r>
          <w:hyperlink w:anchor="_Toc299180685" w:history="1">
            <w:r w:rsidR="00153866" w:rsidRPr="002E17A7">
              <w:rPr>
                <w:rStyle w:val="Hyperlink"/>
                <w:noProof/>
                <w:lang w:val="en-US"/>
              </w:rPr>
              <w:t>Pré-face</w:t>
            </w:r>
            <w:r w:rsidR="00153866">
              <w:rPr>
                <w:noProof/>
                <w:webHidden/>
              </w:rPr>
              <w:tab/>
            </w:r>
            <w:r>
              <w:rPr>
                <w:noProof/>
                <w:webHidden/>
              </w:rPr>
              <w:fldChar w:fldCharType="begin"/>
            </w:r>
            <w:r w:rsidR="00153866">
              <w:rPr>
                <w:noProof/>
                <w:webHidden/>
              </w:rPr>
              <w:instrText xml:space="preserve"> PAGEREF _Toc299180685 \h </w:instrText>
            </w:r>
            <w:r>
              <w:rPr>
                <w:noProof/>
                <w:webHidden/>
              </w:rPr>
            </w:r>
            <w:r>
              <w:rPr>
                <w:noProof/>
                <w:webHidden/>
              </w:rPr>
              <w:fldChar w:fldCharType="separate"/>
            </w:r>
            <w:r w:rsidR="00153866">
              <w:rPr>
                <w:noProof/>
                <w:webHidden/>
              </w:rPr>
              <w:t>3</w:t>
            </w:r>
            <w:r>
              <w:rPr>
                <w:noProof/>
                <w:webHidden/>
              </w:rPr>
              <w:fldChar w:fldCharType="end"/>
            </w:r>
          </w:hyperlink>
        </w:p>
        <w:p w:rsidR="00153866" w:rsidRDefault="002800DD">
          <w:pPr>
            <w:pStyle w:val="TOC1"/>
            <w:tabs>
              <w:tab w:val="right" w:leader="dot" w:pos="9016"/>
            </w:tabs>
            <w:rPr>
              <w:rFonts w:eastAsiaTheme="minorEastAsia"/>
              <w:noProof/>
              <w:lang w:eastAsia="nl-NL"/>
            </w:rPr>
          </w:pPr>
          <w:hyperlink w:anchor="_Toc299180686" w:history="1">
            <w:r w:rsidR="00153866" w:rsidRPr="002E17A7">
              <w:rPr>
                <w:rStyle w:val="Hyperlink"/>
                <w:noProof/>
              </w:rPr>
              <w:t>Table of content</w:t>
            </w:r>
            <w:r w:rsidR="00153866">
              <w:rPr>
                <w:noProof/>
                <w:webHidden/>
              </w:rPr>
              <w:tab/>
            </w:r>
            <w:r>
              <w:rPr>
                <w:noProof/>
                <w:webHidden/>
              </w:rPr>
              <w:fldChar w:fldCharType="begin"/>
            </w:r>
            <w:r w:rsidR="00153866">
              <w:rPr>
                <w:noProof/>
                <w:webHidden/>
              </w:rPr>
              <w:instrText xml:space="preserve"> PAGEREF _Toc299180686 \h </w:instrText>
            </w:r>
            <w:r>
              <w:rPr>
                <w:noProof/>
                <w:webHidden/>
              </w:rPr>
            </w:r>
            <w:r>
              <w:rPr>
                <w:noProof/>
                <w:webHidden/>
              </w:rPr>
              <w:fldChar w:fldCharType="separate"/>
            </w:r>
            <w:r w:rsidR="00153866">
              <w:rPr>
                <w:noProof/>
                <w:webHidden/>
              </w:rPr>
              <w:t>4</w:t>
            </w:r>
            <w:r>
              <w:rPr>
                <w:noProof/>
                <w:webHidden/>
              </w:rPr>
              <w:fldChar w:fldCharType="end"/>
            </w:r>
          </w:hyperlink>
        </w:p>
        <w:p w:rsidR="00153866" w:rsidRDefault="002800DD">
          <w:pPr>
            <w:pStyle w:val="TOC1"/>
            <w:tabs>
              <w:tab w:val="right" w:leader="dot" w:pos="9016"/>
            </w:tabs>
            <w:rPr>
              <w:rFonts w:eastAsiaTheme="minorEastAsia"/>
              <w:noProof/>
              <w:lang w:eastAsia="nl-NL"/>
            </w:rPr>
          </w:pPr>
          <w:hyperlink w:anchor="_Toc299180687" w:history="1">
            <w:r w:rsidR="00153866" w:rsidRPr="002E17A7">
              <w:rPr>
                <w:rStyle w:val="Hyperlink"/>
                <w:noProof/>
                <w:lang w:val="en-US"/>
              </w:rPr>
              <w:t>Abstract</w:t>
            </w:r>
            <w:r w:rsidR="00153866">
              <w:rPr>
                <w:noProof/>
                <w:webHidden/>
              </w:rPr>
              <w:tab/>
            </w:r>
            <w:r>
              <w:rPr>
                <w:noProof/>
                <w:webHidden/>
              </w:rPr>
              <w:fldChar w:fldCharType="begin"/>
            </w:r>
            <w:r w:rsidR="00153866">
              <w:rPr>
                <w:noProof/>
                <w:webHidden/>
              </w:rPr>
              <w:instrText xml:space="preserve"> PAGEREF _Toc299180687 \h </w:instrText>
            </w:r>
            <w:r>
              <w:rPr>
                <w:noProof/>
                <w:webHidden/>
              </w:rPr>
            </w:r>
            <w:r>
              <w:rPr>
                <w:noProof/>
                <w:webHidden/>
              </w:rPr>
              <w:fldChar w:fldCharType="separate"/>
            </w:r>
            <w:r w:rsidR="00153866">
              <w:rPr>
                <w:noProof/>
                <w:webHidden/>
              </w:rPr>
              <w:t>5</w:t>
            </w:r>
            <w:r>
              <w:rPr>
                <w:noProof/>
                <w:webHidden/>
              </w:rPr>
              <w:fldChar w:fldCharType="end"/>
            </w:r>
          </w:hyperlink>
        </w:p>
        <w:p w:rsidR="00153866" w:rsidRDefault="002800DD">
          <w:pPr>
            <w:pStyle w:val="TOC1"/>
            <w:tabs>
              <w:tab w:val="right" w:leader="dot" w:pos="9016"/>
            </w:tabs>
            <w:rPr>
              <w:rFonts w:eastAsiaTheme="minorEastAsia"/>
              <w:noProof/>
              <w:lang w:eastAsia="nl-NL"/>
            </w:rPr>
          </w:pPr>
          <w:hyperlink w:anchor="_Toc299180688" w:history="1">
            <w:r w:rsidR="00153866" w:rsidRPr="002E17A7">
              <w:rPr>
                <w:rStyle w:val="Hyperlink"/>
                <w:noProof/>
                <w:lang w:val="en-US"/>
              </w:rPr>
              <w:t>I: Introduction</w:t>
            </w:r>
            <w:r w:rsidR="00153866">
              <w:rPr>
                <w:noProof/>
                <w:webHidden/>
              </w:rPr>
              <w:tab/>
            </w:r>
            <w:r>
              <w:rPr>
                <w:noProof/>
                <w:webHidden/>
              </w:rPr>
              <w:fldChar w:fldCharType="begin"/>
            </w:r>
            <w:r w:rsidR="00153866">
              <w:rPr>
                <w:noProof/>
                <w:webHidden/>
              </w:rPr>
              <w:instrText xml:space="preserve"> PAGEREF _Toc299180688 \h </w:instrText>
            </w:r>
            <w:r>
              <w:rPr>
                <w:noProof/>
                <w:webHidden/>
              </w:rPr>
            </w:r>
            <w:r>
              <w:rPr>
                <w:noProof/>
                <w:webHidden/>
              </w:rPr>
              <w:fldChar w:fldCharType="separate"/>
            </w:r>
            <w:r w:rsidR="00153866">
              <w:rPr>
                <w:noProof/>
                <w:webHidden/>
              </w:rPr>
              <w:t>6</w:t>
            </w:r>
            <w:r>
              <w:rPr>
                <w:noProof/>
                <w:webHidden/>
              </w:rPr>
              <w:fldChar w:fldCharType="end"/>
            </w:r>
          </w:hyperlink>
        </w:p>
        <w:p w:rsidR="00153866" w:rsidRDefault="002800DD">
          <w:pPr>
            <w:pStyle w:val="TOC1"/>
            <w:tabs>
              <w:tab w:val="right" w:leader="dot" w:pos="9016"/>
            </w:tabs>
            <w:rPr>
              <w:rFonts w:eastAsiaTheme="minorEastAsia"/>
              <w:noProof/>
              <w:lang w:eastAsia="nl-NL"/>
            </w:rPr>
          </w:pPr>
          <w:hyperlink w:anchor="_Toc299180689" w:history="1">
            <w:r w:rsidR="00153866" w:rsidRPr="002E17A7">
              <w:rPr>
                <w:rStyle w:val="Hyperlink"/>
                <w:noProof/>
                <w:lang w:val="en-US"/>
              </w:rPr>
              <w:t>II: The Dutch charity sector</w:t>
            </w:r>
            <w:r w:rsidR="00153866">
              <w:rPr>
                <w:noProof/>
                <w:webHidden/>
              </w:rPr>
              <w:tab/>
            </w:r>
            <w:r>
              <w:rPr>
                <w:noProof/>
                <w:webHidden/>
              </w:rPr>
              <w:fldChar w:fldCharType="begin"/>
            </w:r>
            <w:r w:rsidR="00153866">
              <w:rPr>
                <w:noProof/>
                <w:webHidden/>
              </w:rPr>
              <w:instrText xml:space="preserve"> PAGEREF _Toc299180689 \h </w:instrText>
            </w:r>
            <w:r>
              <w:rPr>
                <w:noProof/>
                <w:webHidden/>
              </w:rPr>
            </w:r>
            <w:r>
              <w:rPr>
                <w:noProof/>
                <w:webHidden/>
              </w:rPr>
              <w:fldChar w:fldCharType="separate"/>
            </w:r>
            <w:r w:rsidR="00153866">
              <w:rPr>
                <w:noProof/>
                <w:webHidden/>
              </w:rPr>
              <w:t>9</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690" w:history="1">
            <w:r w:rsidR="00153866" w:rsidRPr="002E17A7">
              <w:rPr>
                <w:rStyle w:val="Hyperlink"/>
                <w:noProof/>
                <w:lang w:val="en-US"/>
              </w:rPr>
              <w:t>II.1</w:t>
            </w:r>
            <w:r w:rsidR="00153866">
              <w:rPr>
                <w:rFonts w:eastAsiaTheme="minorEastAsia"/>
                <w:noProof/>
                <w:lang w:eastAsia="nl-NL"/>
              </w:rPr>
              <w:tab/>
            </w:r>
            <w:r w:rsidR="00153866" w:rsidRPr="002E17A7">
              <w:rPr>
                <w:rStyle w:val="Hyperlink"/>
                <w:noProof/>
                <w:lang w:val="en-US"/>
              </w:rPr>
              <w:t>Facts and figures</w:t>
            </w:r>
            <w:r w:rsidR="00153866">
              <w:rPr>
                <w:noProof/>
                <w:webHidden/>
              </w:rPr>
              <w:tab/>
            </w:r>
            <w:r>
              <w:rPr>
                <w:noProof/>
                <w:webHidden/>
              </w:rPr>
              <w:fldChar w:fldCharType="begin"/>
            </w:r>
            <w:r w:rsidR="00153866">
              <w:rPr>
                <w:noProof/>
                <w:webHidden/>
              </w:rPr>
              <w:instrText xml:space="preserve"> PAGEREF _Toc299180690 \h </w:instrText>
            </w:r>
            <w:r>
              <w:rPr>
                <w:noProof/>
                <w:webHidden/>
              </w:rPr>
            </w:r>
            <w:r>
              <w:rPr>
                <w:noProof/>
                <w:webHidden/>
              </w:rPr>
              <w:fldChar w:fldCharType="separate"/>
            </w:r>
            <w:r w:rsidR="00153866">
              <w:rPr>
                <w:noProof/>
                <w:webHidden/>
              </w:rPr>
              <w:t>9</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691" w:history="1">
            <w:r w:rsidR="00153866" w:rsidRPr="002E17A7">
              <w:rPr>
                <w:rStyle w:val="Hyperlink"/>
                <w:noProof/>
                <w:lang w:val="en-US"/>
              </w:rPr>
              <w:t>II.2</w:t>
            </w:r>
            <w:r w:rsidR="00153866">
              <w:rPr>
                <w:rFonts w:eastAsiaTheme="minorEastAsia"/>
                <w:noProof/>
                <w:lang w:eastAsia="nl-NL"/>
              </w:rPr>
              <w:tab/>
            </w:r>
            <w:r w:rsidR="00153866" w:rsidRPr="002E17A7">
              <w:rPr>
                <w:rStyle w:val="Hyperlink"/>
                <w:noProof/>
                <w:lang w:val="en-US"/>
              </w:rPr>
              <w:t>Branch organizations</w:t>
            </w:r>
            <w:r w:rsidR="00153866">
              <w:rPr>
                <w:noProof/>
                <w:webHidden/>
              </w:rPr>
              <w:tab/>
            </w:r>
            <w:r>
              <w:rPr>
                <w:noProof/>
                <w:webHidden/>
              </w:rPr>
              <w:fldChar w:fldCharType="begin"/>
            </w:r>
            <w:r w:rsidR="00153866">
              <w:rPr>
                <w:noProof/>
                <w:webHidden/>
              </w:rPr>
              <w:instrText xml:space="preserve"> PAGEREF _Toc299180691 \h </w:instrText>
            </w:r>
            <w:r>
              <w:rPr>
                <w:noProof/>
                <w:webHidden/>
              </w:rPr>
            </w:r>
            <w:r>
              <w:rPr>
                <w:noProof/>
                <w:webHidden/>
              </w:rPr>
              <w:fldChar w:fldCharType="separate"/>
            </w:r>
            <w:r w:rsidR="00153866">
              <w:rPr>
                <w:noProof/>
                <w:webHidden/>
              </w:rPr>
              <w:t>12</w:t>
            </w:r>
            <w:r>
              <w:rPr>
                <w:noProof/>
                <w:webHidden/>
              </w:rPr>
              <w:fldChar w:fldCharType="end"/>
            </w:r>
          </w:hyperlink>
        </w:p>
        <w:p w:rsidR="00153866" w:rsidRDefault="002800DD">
          <w:pPr>
            <w:pStyle w:val="TOC1"/>
            <w:tabs>
              <w:tab w:val="right" w:leader="dot" w:pos="9016"/>
            </w:tabs>
            <w:rPr>
              <w:rFonts w:eastAsiaTheme="minorEastAsia"/>
              <w:noProof/>
              <w:lang w:eastAsia="nl-NL"/>
            </w:rPr>
          </w:pPr>
          <w:hyperlink w:anchor="_Toc299180692" w:history="1">
            <w:r w:rsidR="00153866" w:rsidRPr="002E17A7">
              <w:rPr>
                <w:rStyle w:val="Hyperlink"/>
                <w:noProof/>
                <w:lang w:val="en-US"/>
              </w:rPr>
              <w:t>III: Charity governance in The Netherlands</w:t>
            </w:r>
            <w:r w:rsidR="00153866">
              <w:rPr>
                <w:noProof/>
                <w:webHidden/>
              </w:rPr>
              <w:tab/>
            </w:r>
            <w:r>
              <w:rPr>
                <w:noProof/>
                <w:webHidden/>
              </w:rPr>
              <w:fldChar w:fldCharType="begin"/>
            </w:r>
            <w:r w:rsidR="00153866">
              <w:rPr>
                <w:noProof/>
                <w:webHidden/>
              </w:rPr>
              <w:instrText xml:space="preserve"> PAGEREF _Toc299180692 \h </w:instrText>
            </w:r>
            <w:r>
              <w:rPr>
                <w:noProof/>
                <w:webHidden/>
              </w:rPr>
            </w:r>
            <w:r>
              <w:rPr>
                <w:noProof/>
                <w:webHidden/>
              </w:rPr>
              <w:fldChar w:fldCharType="separate"/>
            </w:r>
            <w:r w:rsidR="00153866">
              <w:rPr>
                <w:noProof/>
                <w:webHidden/>
              </w:rPr>
              <w:t>14</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693" w:history="1">
            <w:r w:rsidR="00153866" w:rsidRPr="002E17A7">
              <w:rPr>
                <w:rStyle w:val="Hyperlink"/>
                <w:noProof/>
                <w:lang w:val="en-US"/>
              </w:rPr>
              <w:t>III.1</w:t>
            </w:r>
            <w:r w:rsidR="00153866">
              <w:rPr>
                <w:rFonts w:eastAsiaTheme="minorEastAsia"/>
                <w:noProof/>
                <w:lang w:eastAsia="nl-NL"/>
              </w:rPr>
              <w:tab/>
            </w:r>
            <w:r w:rsidR="00153866" w:rsidRPr="002E17A7">
              <w:rPr>
                <w:rStyle w:val="Hyperlink"/>
                <w:noProof/>
                <w:lang w:val="en-US"/>
              </w:rPr>
              <w:t>The code Wijffels</w:t>
            </w:r>
            <w:r w:rsidR="00153866">
              <w:rPr>
                <w:noProof/>
                <w:webHidden/>
              </w:rPr>
              <w:tab/>
            </w:r>
            <w:r>
              <w:rPr>
                <w:noProof/>
                <w:webHidden/>
              </w:rPr>
              <w:fldChar w:fldCharType="begin"/>
            </w:r>
            <w:r w:rsidR="00153866">
              <w:rPr>
                <w:noProof/>
                <w:webHidden/>
              </w:rPr>
              <w:instrText xml:space="preserve"> PAGEREF _Toc299180693 \h </w:instrText>
            </w:r>
            <w:r>
              <w:rPr>
                <w:noProof/>
                <w:webHidden/>
              </w:rPr>
            </w:r>
            <w:r>
              <w:rPr>
                <w:noProof/>
                <w:webHidden/>
              </w:rPr>
              <w:fldChar w:fldCharType="separate"/>
            </w:r>
            <w:r w:rsidR="00153866">
              <w:rPr>
                <w:noProof/>
                <w:webHidden/>
              </w:rPr>
              <w:t>14</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694" w:history="1">
            <w:r w:rsidR="00153866" w:rsidRPr="002E17A7">
              <w:rPr>
                <w:rStyle w:val="Hyperlink"/>
                <w:noProof/>
                <w:lang w:val="en-US"/>
              </w:rPr>
              <w:t>III.2</w:t>
            </w:r>
            <w:r w:rsidR="00153866">
              <w:rPr>
                <w:rFonts w:eastAsiaTheme="minorEastAsia"/>
                <w:noProof/>
                <w:lang w:eastAsia="nl-NL"/>
              </w:rPr>
              <w:tab/>
            </w:r>
            <w:r w:rsidR="00153866" w:rsidRPr="002E17A7">
              <w:rPr>
                <w:rStyle w:val="Hyperlink"/>
                <w:noProof/>
                <w:lang w:val="en-US"/>
              </w:rPr>
              <w:t>Executive remuneration</w:t>
            </w:r>
            <w:r w:rsidR="00153866">
              <w:rPr>
                <w:noProof/>
                <w:webHidden/>
              </w:rPr>
              <w:tab/>
            </w:r>
            <w:r>
              <w:rPr>
                <w:noProof/>
                <w:webHidden/>
              </w:rPr>
              <w:fldChar w:fldCharType="begin"/>
            </w:r>
            <w:r w:rsidR="00153866">
              <w:rPr>
                <w:noProof/>
                <w:webHidden/>
              </w:rPr>
              <w:instrText xml:space="preserve"> PAGEREF _Toc299180694 \h </w:instrText>
            </w:r>
            <w:r>
              <w:rPr>
                <w:noProof/>
                <w:webHidden/>
              </w:rPr>
            </w:r>
            <w:r>
              <w:rPr>
                <w:noProof/>
                <w:webHidden/>
              </w:rPr>
              <w:fldChar w:fldCharType="separate"/>
            </w:r>
            <w:r w:rsidR="00153866">
              <w:rPr>
                <w:noProof/>
                <w:webHidden/>
              </w:rPr>
              <w:t>17</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695" w:history="1">
            <w:r w:rsidR="00153866" w:rsidRPr="002E17A7">
              <w:rPr>
                <w:rStyle w:val="Hyperlink"/>
                <w:noProof/>
                <w:lang w:val="en-US"/>
              </w:rPr>
              <w:t>III.3</w:t>
            </w:r>
            <w:r w:rsidR="00153866">
              <w:rPr>
                <w:rFonts w:eastAsiaTheme="minorEastAsia"/>
                <w:noProof/>
                <w:lang w:eastAsia="nl-NL"/>
              </w:rPr>
              <w:tab/>
            </w:r>
            <w:r w:rsidR="00153866" w:rsidRPr="002E17A7">
              <w:rPr>
                <w:rStyle w:val="Hyperlink"/>
                <w:noProof/>
                <w:lang w:val="en-US"/>
              </w:rPr>
              <w:t>Financial reserves</w:t>
            </w:r>
            <w:r w:rsidR="00153866">
              <w:rPr>
                <w:noProof/>
                <w:webHidden/>
              </w:rPr>
              <w:tab/>
            </w:r>
            <w:r>
              <w:rPr>
                <w:noProof/>
                <w:webHidden/>
              </w:rPr>
              <w:fldChar w:fldCharType="begin"/>
            </w:r>
            <w:r w:rsidR="00153866">
              <w:rPr>
                <w:noProof/>
                <w:webHidden/>
              </w:rPr>
              <w:instrText xml:space="preserve"> PAGEREF _Toc299180695 \h </w:instrText>
            </w:r>
            <w:r>
              <w:rPr>
                <w:noProof/>
                <w:webHidden/>
              </w:rPr>
            </w:r>
            <w:r>
              <w:rPr>
                <w:noProof/>
                <w:webHidden/>
              </w:rPr>
              <w:fldChar w:fldCharType="separate"/>
            </w:r>
            <w:r w:rsidR="00153866">
              <w:rPr>
                <w:noProof/>
                <w:webHidden/>
              </w:rPr>
              <w:t>18</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696" w:history="1">
            <w:r w:rsidR="00153866" w:rsidRPr="002E17A7">
              <w:rPr>
                <w:rStyle w:val="Hyperlink"/>
                <w:noProof/>
                <w:lang w:val="en-US"/>
              </w:rPr>
              <w:t>III.4</w:t>
            </w:r>
            <w:r w:rsidR="00153866">
              <w:rPr>
                <w:rFonts w:eastAsiaTheme="minorEastAsia"/>
                <w:noProof/>
                <w:lang w:eastAsia="nl-NL"/>
              </w:rPr>
              <w:tab/>
            </w:r>
            <w:r w:rsidR="00153866" w:rsidRPr="002E17A7">
              <w:rPr>
                <w:rStyle w:val="Hyperlink"/>
                <w:noProof/>
                <w:lang w:val="en-US"/>
              </w:rPr>
              <w:t>Reflection</w:t>
            </w:r>
            <w:r w:rsidR="00153866">
              <w:rPr>
                <w:noProof/>
                <w:webHidden/>
              </w:rPr>
              <w:tab/>
            </w:r>
            <w:r>
              <w:rPr>
                <w:noProof/>
                <w:webHidden/>
              </w:rPr>
              <w:fldChar w:fldCharType="begin"/>
            </w:r>
            <w:r w:rsidR="00153866">
              <w:rPr>
                <w:noProof/>
                <w:webHidden/>
              </w:rPr>
              <w:instrText xml:space="preserve"> PAGEREF _Toc299180696 \h </w:instrText>
            </w:r>
            <w:r>
              <w:rPr>
                <w:noProof/>
                <w:webHidden/>
              </w:rPr>
            </w:r>
            <w:r>
              <w:rPr>
                <w:noProof/>
                <w:webHidden/>
              </w:rPr>
              <w:fldChar w:fldCharType="separate"/>
            </w:r>
            <w:r w:rsidR="00153866">
              <w:rPr>
                <w:noProof/>
                <w:webHidden/>
              </w:rPr>
              <w:t>18</w:t>
            </w:r>
            <w:r>
              <w:rPr>
                <w:noProof/>
                <w:webHidden/>
              </w:rPr>
              <w:fldChar w:fldCharType="end"/>
            </w:r>
          </w:hyperlink>
        </w:p>
        <w:p w:rsidR="00153866" w:rsidRDefault="002800DD">
          <w:pPr>
            <w:pStyle w:val="TOC1"/>
            <w:tabs>
              <w:tab w:val="right" w:leader="dot" w:pos="9016"/>
            </w:tabs>
            <w:rPr>
              <w:rFonts w:eastAsiaTheme="minorEastAsia"/>
              <w:noProof/>
              <w:lang w:eastAsia="nl-NL"/>
            </w:rPr>
          </w:pPr>
          <w:hyperlink w:anchor="_Toc299180697" w:history="1">
            <w:r w:rsidR="00153866" w:rsidRPr="002E17A7">
              <w:rPr>
                <w:rStyle w:val="Hyperlink"/>
                <w:noProof/>
                <w:lang w:val="en-US"/>
              </w:rPr>
              <w:t>IV: Literature review: Charity governance</w:t>
            </w:r>
            <w:r w:rsidR="00153866">
              <w:rPr>
                <w:noProof/>
                <w:webHidden/>
              </w:rPr>
              <w:tab/>
            </w:r>
            <w:r>
              <w:rPr>
                <w:noProof/>
                <w:webHidden/>
              </w:rPr>
              <w:fldChar w:fldCharType="begin"/>
            </w:r>
            <w:r w:rsidR="00153866">
              <w:rPr>
                <w:noProof/>
                <w:webHidden/>
              </w:rPr>
              <w:instrText xml:space="preserve"> PAGEREF _Toc299180697 \h </w:instrText>
            </w:r>
            <w:r>
              <w:rPr>
                <w:noProof/>
                <w:webHidden/>
              </w:rPr>
            </w:r>
            <w:r>
              <w:rPr>
                <w:noProof/>
                <w:webHidden/>
              </w:rPr>
              <w:fldChar w:fldCharType="separate"/>
            </w:r>
            <w:r w:rsidR="00153866">
              <w:rPr>
                <w:noProof/>
                <w:webHidden/>
              </w:rPr>
              <w:t>19</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698" w:history="1">
            <w:r w:rsidR="00153866" w:rsidRPr="002E17A7">
              <w:rPr>
                <w:rStyle w:val="Hyperlink"/>
                <w:noProof/>
                <w:lang w:val="en-US"/>
              </w:rPr>
              <w:t>IV.1</w:t>
            </w:r>
            <w:r w:rsidR="00153866">
              <w:rPr>
                <w:rFonts w:eastAsiaTheme="minorEastAsia"/>
                <w:noProof/>
                <w:lang w:eastAsia="nl-NL"/>
              </w:rPr>
              <w:tab/>
            </w:r>
            <w:r w:rsidR="00153866" w:rsidRPr="002E17A7">
              <w:rPr>
                <w:rStyle w:val="Hyperlink"/>
                <w:noProof/>
                <w:lang w:val="en-US"/>
              </w:rPr>
              <w:t>Governance structure</w:t>
            </w:r>
            <w:r w:rsidR="00153866">
              <w:rPr>
                <w:noProof/>
                <w:webHidden/>
              </w:rPr>
              <w:tab/>
            </w:r>
            <w:r>
              <w:rPr>
                <w:noProof/>
                <w:webHidden/>
              </w:rPr>
              <w:fldChar w:fldCharType="begin"/>
            </w:r>
            <w:r w:rsidR="00153866">
              <w:rPr>
                <w:noProof/>
                <w:webHidden/>
              </w:rPr>
              <w:instrText xml:space="preserve"> PAGEREF _Toc299180698 \h </w:instrText>
            </w:r>
            <w:r>
              <w:rPr>
                <w:noProof/>
                <w:webHidden/>
              </w:rPr>
            </w:r>
            <w:r>
              <w:rPr>
                <w:noProof/>
                <w:webHidden/>
              </w:rPr>
              <w:fldChar w:fldCharType="separate"/>
            </w:r>
            <w:r w:rsidR="00153866">
              <w:rPr>
                <w:noProof/>
                <w:webHidden/>
              </w:rPr>
              <w:t>19</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699" w:history="1">
            <w:r w:rsidR="00153866" w:rsidRPr="002E17A7">
              <w:rPr>
                <w:rStyle w:val="Hyperlink"/>
                <w:noProof/>
                <w:lang w:val="en-US"/>
              </w:rPr>
              <w:t>IV.2</w:t>
            </w:r>
            <w:r w:rsidR="00153866">
              <w:rPr>
                <w:rFonts w:eastAsiaTheme="minorEastAsia"/>
                <w:noProof/>
                <w:lang w:eastAsia="nl-NL"/>
              </w:rPr>
              <w:tab/>
            </w:r>
            <w:r w:rsidR="00153866" w:rsidRPr="002E17A7">
              <w:rPr>
                <w:rStyle w:val="Hyperlink"/>
                <w:noProof/>
                <w:lang w:val="en-US"/>
              </w:rPr>
              <w:t>External stakeholders model</w:t>
            </w:r>
            <w:r w:rsidR="00153866">
              <w:rPr>
                <w:noProof/>
                <w:webHidden/>
              </w:rPr>
              <w:tab/>
            </w:r>
            <w:r>
              <w:rPr>
                <w:noProof/>
                <w:webHidden/>
              </w:rPr>
              <w:fldChar w:fldCharType="begin"/>
            </w:r>
            <w:r w:rsidR="00153866">
              <w:rPr>
                <w:noProof/>
                <w:webHidden/>
              </w:rPr>
              <w:instrText xml:space="preserve"> PAGEREF _Toc299180699 \h </w:instrText>
            </w:r>
            <w:r>
              <w:rPr>
                <w:noProof/>
                <w:webHidden/>
              </w:rPr>
            </w:r>
            <w:r>
              <w:rPr>
                <w:noProof/>
                <w:webHidden/>
              </w:rPr>
              <w:fldChar w:fldCharType="separate"/>
            </w:r>
            <w:r w:rsidR="00153866">
              <w:rPr>
                <w:noProof/>
                <w:webHidden/>
              </w:rPr>
              <w:t>21</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700" w:history="1">
            <w:r w:rsidR="00153866" w:rsidRPr="002E17A7">
              <w:rPr>
                <w:rStyle w:val="Hyperlink"/>
                <w:noProof/>
                <w:lang w:val="en-US"/>
              </w:rPr>
              <w:t>IV.3</w:t>
            </w:r>
            <w:r w:rsidR="00153866">
              <w:rPr>
                <w:rFonts w:eastAsiaTheme="minorEastAsia"/>
                <w:noProof/>
                <w:lang w:eastAsia="nl-NL"/>
              </w:rPr>
              <w:tab/>
            </w:r>
            <w:r w:rsidR="00153866" w:rsidRPr="002E17A7">
              <w:rPr>
                <w:rStyle w:val="Hyperlink"/>
                <w:noProof/>
                <w:lang w:val="en-US"/>
              </w:rPr>
              <w:t>The board of directors</w:t>
            </w:r>
            <w:r w:rsidR="00153866">
              <w:rPr>
                <w:noProof/>
                <w:webHidden/>
              </w:rPr>
              <w:tab/>
            </w:r>
            <w:r>
              <w:rPr>
                <w:noProof/>
                <w:webHidden/>
              </w:rPr>
              <w:fldChar w:fldCharType="begin"/>
            </w:r>
            <w:r w:rsidR="00153866">
              <w:rPr>
                <w:noProof/>
                <w:webHidden/>
              </w:rPr>
              <w:instrText xml:space="preserve"> PAGEREF _Toc299180700 \h </w:instrText>
            </w:r>
            <w:r>
              <w:rPr>
                <w:noProof/>
                <w:webHidden/>
              </w:rPr>
            </w:r>
            <w:r>
              <w:rPr>
                <w:noProof/>
                <w:webHidden/>
              </w:rPr>
              <w:fldChar w:fldCharType="separate"/>
            </w:r>
            <w:r w:rsidR="00153866">
              <w:rPr>
                <w:noProof/>
                <w:webHidden/>
              </w:rPr>
              <w:t>23</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701" w:history="1">
            <w:r w:rsidR="00153866" w:rsidRPr="002E17A7">
              <w:rPr>
                <w:rStyle w:val="Hyperlink"/>
                <w:noProof/>
                <w:lang w:val="en-US"/>
              </w:rPr>
              <w:t>IV.4</w:t>
            </w:r>
            <w:r w:rsidR="00153866">
              <w:rPr>
                <w:rFonts w:eastAsiaTheme="minorEastAsia"/>
                <w:noProof/>
                <w:lang w:eastAsia="nl-NL"/>
              </w:rPr>
              <w:tab/>
            </w:r>
            <w:r w:rsidR="00153866" w:rsidRPr="002E17A7">
              <w:rPr>
                <w:rStyle w:val="Hyperlink"/>
                <w:noProof/>
                <w:lang w:val="en-US"/>
              </w:rPr>
              <w:t>(non-)Executive remuneration</w:t>
            </w:r>
            <w:r w:rsidR="00153866">
              <w:rPr>
                <w:noProof/>
                <w:webHidden/>
              </w:rPr>
              <w:tab/>
            </w:r>
            <w:r>
              <w:rPr>
                <w:noProof/>
                <w:webHidden/>
              </w:rPr>
              <w:fldChar w:fldCharType="begin"/>
            </w:r>
            <w:r w:rsidR="00153866">
              <w:rPr>
                <w:noProof/>
                <w:webHidden/>
              </w:rPr>
              <w:instrText xml:space="preserve"> PAGEREF _Toc299180701 \h </w:instrText>
            </w:r>
            <w:r>
              <w:rPr>
                <w:noProof/>
                <w:webHidden/>
              </w:rPr>
            </w:r>
            <w:r>
              <w:rPr>
                <w:noProof/>
                <w:webHidden/>
              </w:rPr>
              <w:fldChar w:fldCharType="separate"/>
            </w:r>
            <w:r w:rsidR="00153866">
              <w:rPr>
                <w:noProof/>
                <w:webHidden/>
              </w:rPr>
              <w:t>27</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702" w:history="1">
            <w:r w:rsidR="00153866" w:rsidRPr="002E17A7">
              <w:rPr>
                <w:rStyle w:val="Hyperlink"/>
                <w:noProof/>
                <w:lang w:val="en-US"/>
              </w:rPr>
              <w:t>IV.5</w:t>
            </w:r>
            <w:r w:rsidR="00153866">
              <w:rPr>
                <w:rFonts w:eastAsiaTheme="minorEastAsia"/>
                <w:noProof/>
                <w:lang w:eastAsia="nl-NL"/>
              </w:rPr>
              <w:tab/>
            </w:r>
            <w:r w:rsidR="00153866" w:rsidRPr="002E17A7">
              <w:rPr>
                <w:rStyle w:val="Hyperlink"/>
                <w:noProof/>
                <w:lang w:val="en-US"/>
              </w:rPr>
              <w:t>Discussion</w:t>
            </w:r>
            <w:r w:rsidR="00153866">
              <w:rPr>
                <w:noProof/>
                <w:webHidden/>
              </w:rPr>
              <w:tab/>
            </w:r>
            <w:r>
              <w:rPr>
                <w:noProof/>
                <w:webHidden/>
              </w:rPr>
              <w:fldChar w:fldCharType="begin"/>
            </w:r>
            <w:r w:rsidR="00153866">
              <w:rPr>
                <w:noProof/>
                <w:webHidden/>
              </w:rPr>
              <w:instrText xml:space="preserve"> PAGEREF _Toc299180702 \h </w:instrText>
            </w:r>
            <w:r>
              <w:rPr>
                <w:noProof/>
                <w:webHidden/>
              </w:rPr>
            </w:r>
            <w:r>
              <w:rPr>
                <w:noProof/>
                <w:webHidden/>
              </w:rPr>
              <w:fldChar w:fldCharType="separate"/>
            </w:r>
            <w:r w:rsidR="00153866">
              <w:rPr>
                <w:noProof/>
                <w:webHidden/>
              </w:rPr>
              <w:t>29</w:t>
            </w:r>
            <w:r>
              <w:rPr>
                <w:noProof/>
                <w:webHidden/>
              </w:rPr>
              <w:fldChar w:fldCharType="end"/>
            </w:r>
          </w:hyperlink>
        </w:p>
        <w:p w:rsidR="00153866" w:rsidRDefault="002800DD">
          <w:pPr>
            <w:pStyle w:val="TOC1"/>
            <w:tabs>
              <w:tab w:val="right" w:leader="dot" w:pos="9016"/>
            </w:tabs>
            <w:rPr>
              <w:rFonts w:eastAsiaTheme="minorEastAsia"/>
              <w:noProof/>
              <w:lang w:eastAsia="nl-NL"/>
            </w:rPr>
          </w:pPr>
          <w:hyperlink w:anchor="_Toc299180703" w:history="1">
            <w:r w:rsidR="00153866" w:rsidRPr="002E17A7">
              <w:rPr>
                <w:rStyle w:val="Hyperlink"/>
                <w:noProof/>
                <w:lang w:val="en-US"/>
              </w:rPr>
              <w:t>V: Own research: Charities in The Netherlands</w:t>
            </w:r>
            <w:r w:rsidR="00153866">
              <w:rPr>
                <w:noProof/>
                <w:webHidden/>
              </w:rPr>
              <w:tab/>
            </w:r>
            <w:r>
              <w:rPr>
                <w:noProof/>
                <w:webHidden/>
              </w:rPr>
              <w:fldChar w:fldCharType="begin"/>
            </w:r>
            <w:r w:rsidR="00153866">
              <w:rPr>
                <w:noProof/>
                <w:webHidden/>
              </w:rPr>
              <w:instrText xml:space="preserve"> PAGEREF _Toc299180703 \h </w:instrText>
            </w:r>
            <w:r>
              <w:rPr>
                <w:noProof/>
                <w:webHidden/>
              </w:rPr>
            </w:r>
            <w:r>
              <w:rPr>
                <w:noProof/>
                <w:webHidden/>
              </w:rPr>
              <w:fldChar w:fldCharType="separate"/>
            </w:r>
            <w:r w:rsidR="00153866">
              <w:rPr>
                <w:noProof/>
                <w:webHidden/>
              </w:rPr>
              <w:t>30</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704" w:history="1">
            <w:r w:rsidR="00153866" w:rsidRPr="002E17A7">
              <w:rPr>
                <w:rStyle w:val="Hyperlink"/>
                <w:noProof/>
                <w:lang w:val="en-US"/>
              </w:rPr>
              <w:t>V.1</w:t>
            </w:r>
            <w:r w:rsidR="00153866">
              <w:rPr>
                <w:rFonts w:eastAsiaTheme="minorEastAsia"/>
                <w:noProof/>
                <w:lang w:eastAsia="nl-NL"/>
              </w:rPr>
              <w:tab/>
            </w:r>
            <w:r w:rsidR="00153866" w:rsidRPr="002E17A7">
              <w:rPr>
                <w:rStyle w:val="Hyperlink"/>
                <w:noProof/>
                <w:lang w:val="en-US"/>
              </w:rPr>
              <w:t>Methodology</w:t>
            </w:r>
            <w:r w:rsidR="00153866">
              <w:rPr>
                <w:noProof/>
                <w:webHidden/>
              </w:rPr>
              <w:tab/>
            </w:r>
            <w:r>
              <w:rPr>
                <w:noProof/>
                <w:webHidden/>
              </w:rPr>
              <w:fldChar w:fldCharType="begin"/>
            </w:r>
            <w:r w:rsidR="00153866">
              <w:rPr>
                <w:noProof/>
                <w:webHidden/>
              </w:rPr>
              <w:instrText xml:space="preserve"> PAGEREF _Toc299180704 \h </w:instrText>
            </w:r>
            <w:r>
              <w:rPr>
                <w:noProof/>
                <w:webHidden/>
              </w:rPr>
            </w:r>
            <w:r>
              <w:rPr>
                <w:noProof/>
                <w:webHidden/>
              </w:rPr>
              <w:fldChar w:fldCharType="separate"/>
            </w:r>
            <w:r w:rsidR="00153866">
              <w:rPr>
                <w:noProof/>
                <w:webHidden/>
              </w:rPr>
              <w:t>30</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705" w:history="1">
            <w:r w:rsidR="00153866" w:rsidRPr="002E17A7">
              <w:rPr>
                <w:rStyle w:val="Hyperlink"/>
                <w:noProof/>
                <w:lang w:val="en-US"/>
              </w:rPr>
              <w:t>V.2</w:t>
            </w:r>
            <w:r w:rsidR="00153866">
              <w:rPr>
                <w:rFonts w:eastAsiaTheme="minorEastAsia"/>
                <w:noProof/>
                <w:lang w:eastAsia="nl-NL"/>
              </w:rPr>
              <w:tab/>
            </w:r>
            <w:r w:rsidR="00153866" w:rsidRPr="002E17A7">
              <w:rPr>
                <w:rStyle w:val="Hyperlink"/>
                <w:noProof/>
                <w:lang w:val="en-US"/>
              </w:rPr>
              <w:t>Descriptive statistics</w:t>
            </w:r>
            <w:r w:rsidR="00153866">
              <w:rPr>
                <w:noProof/>
                <w:webHidden/>
              </w:rPr>
              <w:tab/>
            </w:r>
            <w:r>
              <w:rPr>
                <w:noProof/>
                <w:webHidden/>
              </w:rPr>
              <w:fldChar w:fldCharType="begin"/>
            </w:r>
            <w:r w:rsidR="00153866">
              <w:rPr>
                <w:noProof/>
                <w:webHidden/>
              </w:rPr>
              <w:instrText xml:space="preserve"> PAGEREF _Toc299180705 \h </w:instrText>
            </w:r>
            <w:r>
              <w:rPr>
                <w:noProof/>
                <w:webHidden/>
              </w:rPr>
            </w:r>
            <w:r>
              <w:rPr>
                <w:noProof/>
                <w:webHidden/>
              </w:rPr>
              <w:fldChar w:fldCharType="separate"/>
            </w:r>
            <w:r w:rsidR="00153866">
              <w:rPr>
                <w:noProof/>
                <w:webHidden/>
              </w:rPr>
              <w:t>33</w:t>
            </w:r>
            <w:r>
              <w:rPr>
                <w:noProof/>
                <w:webHidden/>
              </w:rPr>
              <w:fldChar w:fldCharType="end"/>
            </w:r>
          </w:hyperlink>
        </w:p>
        <w:p w:rsidR="00153866" w:rsidRDefault="002800DD">
          <w:pPr>
            <w:pStyle w:val="TOC2"/>
            <w:tabs>
              <w:tab w:val="left" w:pos="880"/>
              <w:tab w:val="right" w:leader="dot" w:pos="9016"/>
            </w:tabs>
            <w:rPr>
              <w:rFonts w:eastAsiaTheme="minorEastAsia"/>
              <w:noProof/>
              <w:lang w:eastAsia="nl-NL"/>
            </w:rPr>
          </w:pPr>
          <w:hyperlink w:anchor="_Toc299180706" w:history="1">
            <w:r w:rsidR="00153866" w:rsidRPr="002E17A7">
              <w:rPr>
                <w:rStyle w:val="Hyperlink"/>
                <w:noProof/>
                <w:lang w:val="en-US"/>
              </w:rPr>
              <w:t>V.3</w:t>
            </w:r>
            <w:r w:rsidR="00153866">
              <w:rPr>
                <w:rFonts w:eastAsiaTheme="minorEastAsia"/>
                <w:noProof/>
                <w:lang w:eastAsia="nl-NL"/>
              </w:rPr>
              <w:tab/>
            </w:r>
            <w:r w:rsidR="00153866" w:rsidRPr="002E17A7">
              <w:rPr>
                <w:rStyle w:val="Hyperlink"/>
                <w:noProof/>
                <w:lang w:val="en-US"/>
              </w:rPr>
              <w:t>Regression analysis</w:t>
            </w:r>
            <w:r w:rsidR="00153866">
              <w:rPr>
                <w:noProof/>
                <w:webHidden/>
              </w:rPr>
              <w:tab/>
            </w:r>
            <w:r>
              <w:rPr>
                <w:noProof/>
                <w:webHidden/>
              </w:rPr>
              <w:fldChar w:fldCharType="begin"/>
            </w:r>
            <w:r w:rsidR="00153866">
              <w:rPr>
                <w:noProof/>
                <w:webHidden/>
              </w:rPr>
              <w:instrText xml:space="preserve"> PAGEREF _Toc299180706 \h </w:instrText>
            </w:r>
            <w:r>
              <w:rPr>
                <w:noProof/>
                <w:webHidden/>
              </w:rPr>
            </w:r>
            <w:r>
              <w:rPr>
                <w:noProof/>
                <w:webHidden/>
              </w:rPr>
              <w:fldChar w:fldCharType="separate"/>
            </w:r>
            <w:r w:rsidR="00153866">
              <w:rPr>
                <w:noProof/>
                <w:webHidden/>
              </w:rPr>
              <w:t>36</w:t>
            </w:r>
            <w:r>
              <w:rPr>
                <w:noProof/>
                <w:webHidden/>
              </w:rPr>
              <w:fldChar w:fldCharType="end"/>
            </w:r>
          </w:hyperlink>
        </w:p>
        <w:p w:rsidR="00153866" w:rsidRDefault="002800DD">
          <w:pPr>
            <w:pStyle w:val="TOC1"/>
            <w:tabs>
              <w:tab w:val="right" w:leader="dot" w:pos="9016"/>
            </w:tabs>
            <w:rPr>
              <w:rFonts w:eastAsiaTheme="minorEastAsia"/>
              <w:noProof/>
              <w:lang w:eastAsia="nl-NL"/>
            </w:rPr>
          </w:pPr>
          <w:hyperlink w:anchor="_Toc299180707" w:history="1">
            <w:r w:rsidR="00153866" w:rsidRPr="002E17A7">
              <w:rPr>
                <w:rStyle w:val="Hyperlink"/>
                <w:noProof/>
                <w:lang w:val="en-US"/>
              </w:rPr>
              <w:t>VI: Conclusion</w:t>
            </w:r>
            <w:r w:rsidR="00153866">
              <w:rPr>
                <w:noProof/>
                <w:webHidden/>
              </w:rPr>
              <w:tab/>
            </w:r>
            <w:r>
              <w:rPr>
                <w:noProof/>
                <w:webHidden/>
              </w:rPr>
              <w:fldChar w:fldCharType="begin"/>
            </w:r>
            <w:r w:rsidR="00153866">
              <w:rPr>
                <w:noProof/>
                <w:webHidden/>
              </w:rPr>
              <w:instrText xml:space="preserve"> PAGEREF _Toc299180707 \h </w:instrText>
            </w:r>
            <w:r>
              <w:rPr>
                <w:noProof/>
                <w:webHidden/>
              </w:rPr>
            </w:r>
            <w:r>
              <w:rPr>
                <w:noProof/>
                <w:webHidden/>
              </w:rPr>
              <w:fldChar w:fldCharType="separate"/>
            </w:r>
            <w:r w:rsidR="00153866">
              <w:rPr>
                <w:noProof/>
                <w:webHidden/>
              </w:rPr>
              <w:t>45</w:t>
            </w:r>
            <w:r>
              <w:rPr>
                <w:noProof/>
                <w:webHidden/>
              </w:rPr>
              <w:fldChar w:fldCharType="end"/>
            </w:r>
          </w:hyperlink>
        </w:p>
        <w:p w:rsidR="00153866" w:rsidRDefault="002800DD">
          <w:pPr>
            <w:pStyle w:val="TOC1"/>
            <w:tabs>
              <w:tab w:val="right" w:leader="dot" w:pos="9016"/>
            </w:tabs>
            <w:rPr>
              <w:rFonts w:eastAsiaTheme="minorEastAsia"/>
              <w:noProof/>
              <w:lang w:eastAsia="nl-NL"/>
            </w:rPr>
          </w:pPr>
          <w:hyperlink w:anchor="_Toc299180708" w:history="1">
            <w:r w:rsidR="00153866" w:rsidRPr="002E17A7">
              <w:rPr>
                <w:rStyle w:val="Hyperlink"/>
                <w:noProof/>
                <w:lang w:val="en-US"/>
              </w:rPr>
              <w:t>References</w:t>
            </w:r>
            <w:r w:rsidR="00153866">
              <w:rPr>
                <w:noProof/>
                <w:webHidden/>
              </w:rPr>
              <w:tab/>
            </w:r>
            <w:r>
              <w:rPr>
                <w:noProof/>
                <w:webHidden/>
              </w:rPr>
              <w:fldChar w:fldCharType="begin"/>
            </w:r>
            <w:r w:rsidR="00153866">
              <w:rPr>
                <w:noProof/>
                <w:webHidden/>
              </w:rPr>
              <w:instrText xml:space="preserve"> PAGEREF _Toc299180708 \h </w:instrText>
            </w:r>
            <w:r>
              <w:rPr>
                <w:noProof/>
                <w:webHidden/>
              </w:rPr>
            </w:r>
            <w:r>
              <w:rPr>
                <w:noProof/>
                <w:webHidden/>
              </w:rPr>
              <w:fldChar w:fldCharType="separate"/>
            </w:r>
            <w:r w:rsidR="00153866">
              <w:rPr>
                <w:noProof/>
                <w:webHidden/>
              </w:rPr>
              <w:t>47</w:t>
            </w:r>
            <w:r>
              <w:rPr>
                <w:noProof/>
                <w:webHidden/>
              </w:rPr>
              <w:fldChar w:fldCharType="end"/>
            </w:r>
          </w:hyperlink>
        </w:p>
        <w:p w:rsidR="00153866" w:rsidRDefault="002800DD">
          <w:pPr>
            <w:pStyle w:val="TOC1"/>
            <w:tabs>
              <w:tab w:val="right" w:leader="dot" w:pos="9016"/>
            </w:tabs>
            <w:rPr>
              <w:rFonts w:eastAsiaTheme="minorEastAsia"/>
              <w:noProof/>
              <w:lang w:eastAsia="nl-NL"/>
            </w:rPr>
          </w:pPr>
          <w:hyperlink w:anchor="_Toc299180709" w:history="1">
            <w:r w:rsidR="00153866" w:rsidRPr="002E17A7">
              <w:rPr>
                <w:rStyle w:val="Hyperlink"/>
                <w:noProof/>
                <w:lang w:val="en-US"/>
              </w:rPr>
              <w:t>Appendices</w:t>
            </w:r>
            <w:r w:rsidR="00153866">
              <w:rPr>
                <w:noProof/>
                <w:webHidden/>
              </w:rPr>
              <w:tab/>
            </w:r>
            <w:r>
              <w:rPr>
                <w:noProof/>
                <w:webHidden/>
              </w:rPr>
              <w:fldChar w:fldCharType="begin"/>
            </w:r>
            <w:r w:rsidR="00153866">
              <w:rPr>
                <w:noProof/>
                <w:webHidden/>
              </w:rPr>
              <w:instrText xml:space="preserve"> PAGEREF _Toc299180709 \h </w:instrText>
            </w:r>
            <w:r>
              <w:rPr>
                <w:noProof/>
                <w:webHidden/>
              </w:rPr>
            </w:r>
            <w:r>
              <w:rPr>
                <w:noProof/>
                <w:webHidden/>
              </w:rPr>
              <w:fldChar w:fldCharType="separate"/>
            </w:r>
            <w:r w:rsidR="00153866">
              <w:rPr>
                <w:noProof/>
                <w:webHidden/>
              </w:rPr>
              <w:t>51</w:t>
            </w:r>
            <w:r>
              <w:rPr>
                <w:noProof/>
                <w:webHidden/>
              </w:rPr>
              <w:fldChar w:fldCharType="end"/>
            </w:r>
          </w:hyperlink>
        </w:p>
        <w:p w:rsidR="00153866" w:rsidRDefault="002800DD">
          <w:pPr>
            <w:pStyle w:val="TOC2"/>
            <w:tabs>
              <w:tab w:val="right" w:leader="dot" w:pos="9016"/>
            </w:tabs>
            <w:rPr>
              <w:rFonts w:eastAsiaTheme="minorEastAsia"/>
              <w:noProof/>
              <w:lang w:eastAsia="nl-NL"/>
            </w:rPr>
          </w:pPr>
          <w:hyperlink w:anchor="_Toc299180710" w:history="1">
            <w:r w:rsidR="00153866" w:rsidRPr="002E17A7">
              <w:rPr>
                <w:rStyle w:val="Hyperlink"/>
                <w:noProof/>
                <w:lang w:val="en-US"/>
              </w:rPr>
              <w:t>Appendix 1: Data tables with section I</w:t>
            </w:r>
            <w:r w:rsidR="00153866">
              <w:rPr>
                <w:noProof/>
                <w:webHidden/>
              </w:rPr>
              <w:tab/>
            </w:r>
            <w:r>
              <w:rPr>
                <w:noProof/>
                <w:webHidden/>
              </w:rPr>
              <w:fldChar w:fldCharType="begin"/>
            </w:r>
            <w:r w:rsidR="00153866">
              <w:rPr>
                <w:noProof/>
                <w:webHidden/>
              </w:rPr>
              <w:instrText xml:space="preserve"> PAGEREF _Toc299180710 \h </w:instrText>
            </w:r>
            <w:r>
              <w:rPr>
                <w:noProof/>
                <w:webHidden/>
              </w:rPr>
            </w:r>
            <w:r>
              <w:rPr>
                <w:noProof/>
                <w:webHidden/>
              </w:rPr>
              <w:fldChar w:fldCharType="separate"/>
            </w:r>
            <w:r w:rsidR="00153866">
              <w:rPr>
                <w:noProof/>
                <w:webHidden/>
              </w:rPr>
              <w:t>51</w:t>
            </w:r>
            <w:r>
              <w:rPr>
                <w:noProof/>
                <w:webHidden/>
              </w:rPr>
              <w:fldChar w:fldCharType="end"/>
            </w:r>
          </w:hyperlink>
        </w:p>
        <w:p w:rsidR="00153866" w:rsidRDefault="002800DD">
          <w:pPr>
            <w:pStyle w:val="TOC2"/>
            <w:tabs>
              <w:tab w:val="right" w:leader="dot" w:pos="9016"/>
            </w:tabs>
            <w:rPr>
              <w:rFonts w:eastAsiaTheme="minorEastAsia"/>
              <w:noProof/>
              <w:lang w:eastAsia="nl-NL"/>
            </w:rPr>
          </w:pPr>
          <w:hyperlink w:anchor="_Toc299180711" w:history="1">
            <w:r w:rsidR="00153866" w:rsidRPr="002E17A7">
              <w:rPr>
                <w:rStyle w:val="Hyperlink"/>
                <w:noProof/>
                <w:lang w:val="en-US"/>
              </w:rPr>
              <w:t>Appendix 2: Graphical stakeholders framework</w:t>
            </w:r>
            <w:r w:rsidR="00153866">
              <w:rPr>
                <w:noProof/>
                <w:webHidden/>
              </w:rPr>
              <w:tab/>
            </w:r>
            <w:r>
              <w:rPr>
                <w:noProof/>
                <w:webHidden/>
              </w:rPr>
              <w:fldChar w:fldCharType="begin"/>
            </w:r>
            <w:r w:rsidR="00153866">
              <w:rPr>
                <w:noProof/>
                <w:webHidden/>
              </w:rPr>
              <w:instrText xml:space="preserve"> PAGEREF _Toc299180711 \h </w:instrText>
            </w:r>
            <w:r>
              <w:rPr>
                <w:noProof/>
                <w:webHidden/>
              </w:rPr>
            </w:r>
            <w:r>
              <w:rPr>
                <w:noProof/>
                <w:webHidden/>
              </w:rPr>
              <w:fldChar w:fldCharType="separate"/>
            </w:r>
            <w:r w:rsidR="00153866">
              <w:rPr>
                <w:noProof/>
                <w:webHidden/>
              </w:rPr>
              <w:t>54</w:t>
            </w:r>
            <w:r>
              <w:rPr>
                <w:noProof/>
                <w:webHidden/>
              </w:rPr>
              <w:fldChar w:fldCharType="end"/>
            </w:r>
          </w:hyperlink>
        </w:p>
        <w:p w:rsidR="00153866" w:rsidRDefault="002800DD">
          <w:pPr>
            <w:pStyle w:val="TOC2"/>
            <w:tabs>
              <w:tab w:val="right" w:leader="dot" w:pos="9016"/>
            </w:tabs>
            <w:rPr>
              <w:rFonts w:eastAsiaTheme="minorEastAsia"/>
              <w:noProof/>
              <w:lang w:eastAsia="nl-NL"/>
            </w:rPr>
          </w:pPr>
          <w:hyperlink w:anchor="_Toc299180712" w:history="1">
            <w:r w:rsidR="00153866" w:rsidRPr="002E17A7">
              <w:rPr>
                <w:rStyle w:val="Hyperlink"/>
                <w:noProof/>
                <w:lang w:val="en-US"/>
              </w:rPr>
              <w:t>Appendix 3: Variables table to measure board performance</w:t>
            </w:r>
            <w:r w:rsidR="00153866">
              <w:rPr>
                <w:noProof/>
                <w:webHidden/>
              </w:rPr>
              <w:tab/>
            </w:r>
            <w:r>
              <w:rPr>
                <w:noProof/>
                <w:webHidden/>
              </w:rPr>
              <w:fldChar w:fldCharType="begin"/>
            </w:r>
            <w:r w:rsidR="00153866">
              <w:rPr>
                <w:noProof/>
                <w:webHidden/>
              </w:rPr>
              <w:instrText xml:space="preserve"> PAGEREF _Toc299180712 \h </w:instrText>
            </w:r>
            <w:r>
              <w:rPr>
                <w:noProof/>
                <w:webHidden/>
              </w:rPr>
            </w:r>
            <w:r>
              <w:rPr>
                <w:noProof/>
                <w:webHidden/>
              </w:rPr>
              <w:fldChar w:fldCharType="separate"/>
            </w:r>
            <w:r w:rsidR="00153866">
              <w:rPr>
                <w:noProof/>
                <w:webHidden/>
              </w:rPr>
              <w:t>55</w:t>
            </w:r>
            <w:r>
              <w:rPr>
                <w:noProof/>
                <w:webHidden/>
              </w:rPr>
              <w:fldChar w:fldCharType="end"/>
            </w:r>
          </w:hyperlink>
        </w:p>
        <w:p w:rsidR="00153866" w:rsidRDefault="002800DD">
          <w:pPr>
            <w:pStyle w:val="TOC2"/>
            <w:tabs>
              <w:tab w:val="right" w:leader="dot" w:pos="9016"/>
            </w:tabs>
            <w:rPr>
              <w:rFonts w:eastAsiaTheme="minorEastAsia"/>
              <w:noProof/>
              <w:lang w:eastAsia="nl-NL"/>
            </w:rPr>
          </w:pPr>
          <w:hyperlink w:anchor="_Toc299180713" w:history="1">
            <w:r w:rsidR="00153866" w:rsidRPr="002E17A7">
              <w:rPr>
                <w:rStyle w:val="Hyperlink"/>
                <w:noProof/>
                <w:lang w:val="en-US"/>
              </w:rPr>
              <w:t>Appendix 4: Frequency &amp; cross tables dataset</w:t>
            </w:r>
            <w:r w:rsidR="00153866">
              <w:rPr>
                <w:noProof/>
                <w:webHidden/>
              </w:rPr>
              <w:tab/>
            </w:r>
            <w:r>
              <w:rPr>
                <w:noProof/>
                <w:webHidden/>
              </w:rPr>
              <w:fldChar w:fldCharType="begin"/>
            </w:r>
            <w:r w:rsidR="00153866">
              <w:rPr>
                <w:noProof/>
                <w:webHidden/>
              </w:rPr>
              <w:instrText xml:space="preserve"> PAGEREF _Toc299180713 \h </w:instrText>
            </w:r>
            <w:r>
              <w:rPr>
                <w:noProof/>
                <w:webHidden/>
              </w:rPr>
            </w:r>
            <w:r>
              <w:rPr>
                <w:noProof/>
                <w:webHidden/>
              </w:rPr>
              <w:fldChar w:fldCharType="separate"/>
            </w:r>
            <w:r w:rsidR="00153866">
              <w:rPr>
                <w:noProof/>
                <w:webHidden/>
              </w:rPr>
              <w:t>56</w:t>
            </w:r>
            <w:r>
              <w:rPr>
                <w:noProof/>
                <w:webHidden/>
              </w:rPr>
              <w:fldChar w:fldCharType="end"/>
            </w:r>
          </w:hyperlink>
        </w:p>
        <w:p w:rsidR="00153866" w:rsidRDefault="002800DD">
          <w:pPr>
            <w:pStyle w:val="TOC2"/>
            <w:tabs>
              <w:tab w:val="right" w:leader="dot" w:pos="9016"/>
            </w:tabs>
            <w:rPr>
              <w:rFonts w:eastAsiaTheme="minorEastAsia"/>
              <w:noProof/>
              <w:lang w:eastAsia="nl-NL"/>
            </w:rPr>
          </w:pPr>
          <w:hyperlink w:anchor="_Toc299180714" w:history="1">
            <w:r w:rsidR="00153866" w:rsidRPr="002E17A7">
              <w:rPr>
                <w:rStyle w:val="Hyperlink"/>
                <w:noProof/>
                <w:lang w:val="en-US"/>
              </w:rPr>
              <w:t>Appendix 5: Correlation matrix</w:t>
            </w:r>
            <w:r w:rsidR="00153866">
              <w:rPr>
                <w:noProof/>
                <w:webHidden/>
              </w:rPr>
              <w:tab/>
            </w:r>
            <w:r>
              <w:rPr>
                <w:noProof/>
                <w:webHidden/>
              </w:rPr>
              <w:fldChar w:fldCharType="begin"/>
            </w:r>
            <w:r w:rsidR="00153866">
              <w:rPr>
                <w:noProof/>
                <w:webHidden/>
              </w:rPr>
              <w:instrText xml:space="preserve"> PAGEREF _Toc299180714 \h </w:instrText>
            </w:r>
            <w:r>
              <w:rPr>
                <w:noProof/>
                <w:webHidden/>
              </w:rPr>
            </w:r>
            <w:r>
              <w:rPr>
                <w:noProof/>
                <w:webHidden/>
              </w:rPr>
              <w:fldChar w:fldCharType="separate"/>
            </w:r>
            <w:r w:rsidR="00153866">
              <w:rPr>
                <w:noProof/>
                <w:webHidden/>
              </w:rPr>
              <w:t>60</w:t>
            </w:r>
            <w:r>
              <w:rPr>
                <w:noProof/>
                <w:webHidden/>
              </w:rPr>
              <w:fldChar w:fldCharType="end"/>
            </w:r>
          </w:hyperlink>
        </w:p>
        <w:p w:rsidR="00153866" w:rsidRDefault="002800DD">
          <w:pPr>
            <w:pStyle w:val="TOC2"/>
            <w:tabs>
              <w:tab w:val="right" w:leader="dot" w:pos="9016"/>
            </w:tabs>
            <w:rPr>
              <w:rFonts w:eastAsiaTheme="minorEastAsia"/>
              <w:noProof/>
              <w:lang w:eastAsia="nl-NL"/>
            </w:rPr>
          </w:pPr>
          <w:hyperlink w:anchor="_Toc299180715" w:history="1">
            <w:r w:rsidR="00153866" w:rsidRPr="002E17A7">
              <w:rPr>
                <w:rStyle w:val="Hyperlink"/>
                <w:noProof/>
                <w:lang w:val="en-US"/>
              </w:rPr>
              <w:t>Appendix 6: Regression tables</w:t>
            </w:r>
            <w:r w:rsidR="00153866">
              <w:rPr>
                <w:noProof/>
                <w:webHidden/>
              </w:rPr>
              <w:tab/>
            </w:r>
            <w:r>
              <w:rPr>
                <w:noProof/>
                <w:webHidden/>
              </w:rPr>
              <w:fldChar w:fldCharType="begin"/>
            </w:r>
            <w:r w:rsidR="00153866">
              <w:rPr>
                <w:noProof/>
                <w:webHidden/>
              </w:rPr>
              <w:instrText xml:space="preserve"> PAGEREF _Toc299180715 \h </w:instrText>
            </w:r>
            <w:r>
              <w:rPr>
                <w:noProof/>
                <w:webHidden/>
              </w:rPr>
            </w:r>
            <w:r>
              <w:rPr>
                <w:noProof/>
                <w:webHidden/>
              </w:rPr>
              <w:fldChar w:fldCharType="separate"/>
            </w:r>
            <w:r w:rsidR="00153866">
              <w:rPr>
                <w:noProof/>
                <w:webHidden/>
              </w:rPr>
              <w:t>61</w:t>
            </w:r>
            <w:r>
              <w:rPr>
                <w:noProof/>
                <w:webHidden/>
              </w:rPr>
              <w:fldChar w:fldCharType="end"/>
            </w:r>
          </w:hyperlink>
        </w:p>
        <w:p w:rsidR="00B25AF5" w:rsidRDefault="002800DD" w:rsidP="00B25AF5">
          <w:r>
            <w:fldChar w:fldCharType="end"/>
          </w:r>
        </w:p>
      </w:sdtContent>
    </w:sdt>
    <w:p w:rsidR="004318D2" w:rsidRDefault="004318D2" w:rsidP="004318D2">
      <w:pPr>
        <w:rPr>
          <w:lang w:val="en-US"/>
        </w:rPr>
      </w:pPr>
    </w:p>
    <w:p w:rsidR="00315420" w:rsidRDefault="00315420" w:rsidP="004318D2">
      <w:pPr>
        <w:rPr>
          <w:lang w:val="en-US"/>
        </w:rPr>
      </w:pPr>
    </w:p>
    <w:p w:rsidR="00315420" w:rsidRDefault="00315420">
      <w:pPr>
        <w:rPr>
          <w:lang w:val="en-US"/>
        </w:rPr>
      </w:pPr>
      <w:r>
        <w:rPr>
          <w:lang w:val="en-US"/>
        </w:rPr>
        <w:br w:type="page"/>
      </w:r>
    </w:p>
    <w:p w:rsidR="00315420" w:rsidRDefault="00977704" w:rsidP="00315420">
      <w:pPr>
        <w:pStyle w:val="Heading1"/>
        <w:spacing w:before="240" w:line="360" w:lineRule="auto"/>
        <w:rPr>
          <w:sz w:val="32"/>
          <w:szCs w:val="32"/>
          <w:lang w:val="en-US"/>
        </w:rPr>
      </w:pPr>
      <w:bookmarkStart w:id="2" w:name="_Toc299180687"/>
      <w:r>
        <w:rPr>
          <w:sz w:val="32"/>
          <w:szCs w:val="32"/>
          <w:lang w:val="en-US"/>
        </w:rPr>
        <w:t>Abstract</w:t>
      </w:r>
      <w:bookmarkEnd w:id="2"/>
    </w:p>
    <w:p w:rsidR="00315420" w:rsidRDefault="00315420" w:rsidP="00BF787D">
      <w:pPr>
        <w:spacing w:line="360" w:lineRule="auto"/>
        <w:jc w:val="both"/>
        <w:rPr>
          <w:lang w:val="en-US"/>
        </w:rPr>
      </w:pPr>
    </w:p>
    <w:p w:rsidR="006C5E8D" w:rsidRDefault="007958BC" w:rsidP="00BF787D">
      <w:pPr>
        <w:spacing w:line="360" w:lineRule="auto"/>
        <w:jc w:val="both"/>
        <w:rPr>
          <w:lang w:val="en-US"/>
        </w:rPr>
      </w:pPr>
      <w:r>
        <w:rPr>
          <w:lang w:val="en-US"/>
        </w:rPr>
        <w:t xml:space="preserve">This report focuses on charity governance in The Netherlands. </w:t>
      </w:r>
      <w:r w:rsidR="00BF787D">
        <w:rPr>
          <w:lang w:val="en-US"/>
        </w:rPr>
        <w:t>After a review of the Dutch charity sector and a review of relevant literature, both theoretical and empirical, it continues with a</w:t>
      </w:r>
      <w:r w:rsidR="00155A9C">
        <w:rPr>
          <w:lang w:val="en-US"/>
        </w:rPr>
        <w:t>n</w:t>
      </w:r>
      <w:r w:rsidR="00BF787D">
        <w:rPr>
          <w:lang w:val="en-US"/>
        </w:rPr>
        <w:t xml:space="preserve"> empirical investigation into the influence of governance on income and performance of Dutch charities. The statistical evidence shows that governance </w:t>
      </w:r>
      <w:r w:rsidR="00AB1DD7">
        <w:rPr>
          <w:lang w:val="en-US"/>
        </w:rPr>
        <w:t>does have a significant influence on income</w:t>
      </w:r>
      <w:r w:rsidR="00155A9C">
        <w:rPr>
          <w:lang w:val="en-US"/>
        </w:rPr>
        <w:t xml:space="preserve"> and</w:t>
      </w:r>
      <w:r w:rsidR="00AB1DD7">
        <w:rPr>
          <w:lang w:val="en-US"/>
        </w:rPr>
        <w:t xml:space="preserve"> on performance</w:t>
      </w:r>
      <w:r w:rsidR="00C20904">
        <w:rPr>
          <w:lang w:val="en-US"/>
        </w:rPr>
        <w:t xml:space="preserve"> (measured as the program expenses as a percentage of total expenses)</w:t>
      </w:r>
      <w:r w:rsidR="00155A9C">
        <w:rPr>
          <w:lang w:val="en-US"/>
        </w:rPr>
        <w:t>.</w:t>
      </w:r>
      <w:r w:rsidR="00AB1DD7">
        <w:rPr>
          <w:lang w:val="en-US"/>
        </w:rPr>
        <w:t xml:space="preserve"> </w:t>
      </w:r>
      <w:r w:rsidR="00155A9C">
        <w:rPr>
          <w:lang w:val="en-US"/>
        </w:rPr>
        <w:t>O</w:t>
      </w:r>
      <w:r w:rsidR="00AB1DD7">
        <w:rPr>
          <w:lang w:val="en-US"/>
        </w:rPr>
        <w:t>n the o</w:t>
      </w:r>
      <w:r w:rsidR="002958F7">
        <w:rPr>
          <w:lang w:val="en-US"/>
        </w:rPr>
        <w:t>ther hand the results are mixed</w:t>
      </w:r>
      <w:r w:rsidR="002C07A4">
        <w:rPr>
          <w:lang w:val="en-US"/>
        </w:rPr>
        <w:t>. Certain variables, such as high level of financial oversight or branch organization membership, that were expected to have a positive effect on performance appear to have a significant negative influence.</w:t>
      </w:r>
    </w:p>
    <w:p w:rsidR="00315420" w:rsidRDefault="00315420">
      <w:pPr>
        <w:rPr>
          <w:lang w:val="en-US"/>
        </w:rPr>
      </w:pPr>
      <w:r>
        <w:rPr>
          <w:lang w:val="en-US"/>
        </w:rPr>
        <w:br w:type="page"/>
      </w:r>
    </w:p>
    <w:p w:rsidR="00315420" w:rsidRPr="007541EF" w:rsidRDefault="00315420" w:rsidP="00315420">
      <w:pPr>
        <w:pStyle w:val="Heading1"/>
        <w:spacing w:before="240" w:line="360" w:lineRule="auto"/>
        <w:rPr>
          <w:sz w:val="32"/>
          <w:szCs w:val="32"/>
          <w:lang w:val="en-US"/>
        </w:rPr>
      </w:pPr>
      <w:bookmarkStart w:id="3" w:name="_Toc299180688"/>
      <w:r w:rsidRPr="007541EF">
        <w:rPr>
          <w:sz w:val="32"/>
          <w:szCs w:val="32"/>
          <w:lang w:val="en-US"/>
        </w:rPr>
        <w:t>I: Introduction</w:t>
      </w:r>
      <w:bookmarkEnd w:id="3"/>
    </w:p>
    <w:p w:rsidR="00315420" w:rsidRDefault="00315420" w:rsidP="00E45D6E">
      <w:pPr>
        <w:spacing w:line="360" w:lineRule="auto"/>
        <w:rPr>
          <w:lang w:val="en-US"/>
        </w:rPr>
      </w:pPr>
    </w:p>
    <w:p w:rsidR="005867D0" w:rsidRDefault="00155A9C" w:rsidP="00F06FEB">
      <w:pPr>
        <w:spacing w:line="360" w:lineRule="auto"/>
        <w:jc w:val="both"/>
        <w:rPr>
          <w:lang w:val="en-US"/>
        </w:rPr>
      </w:pPr>
      <w:r>
        <w:rPr>
          <w:lang w:val="en-US"/>
        </w:rPr>
        <w:t>I</w:t>
      </w:r>
      <w:r w:rsidR="005867D0">
        <w:rPr>
          <w:lang w:val="en-US"/>
        </w:rPr>
        <w:t xml:space="preserve">n the corporate sector </w:t>
      </w:r>
      <w:r>
        <w:rPr>
          <w:lang w:val="en-US"/>
        </w:rPr>
        <w:t>governance</w:t>
      </w:r>
      <w:r w:rsidR="00E45D6E">
        <w:rPr>
          <w:lang w:val="en-US"/>
        </w:rPr>
        <w:t xml:space="preserve"> already was a hot topic for quite some years. Since the debacles with for example Enron, or closer to home Ahold, new legislation and corporate governance codes were created around the world. Governance for the non-profit sector on the other hand just got </w:t>
      </w:r>
      <w:r w:rsidR="001936D8">
        <w:rPr>
          <w:lang w:val="en-US"/>
        </w:rPr>
        <w:t xml:space="preserve">some attention since a few year. This thesis will focus on a subsector of the non-profit sector, namely the charity sector. </w:t>
      </w:r>
    </w:p>
    <w:p w:rsidR="005867D0" w:rsidRDefault="005867D0" w:rsidP="00F06FEB">
      <w:pPr>
        <w:spacing w:line="360" w:lineRule="auto"/>
        <w:jc w:val="both"/>
        <w:rPr>
          <w:lang w:val="en-US"/>
        </w:rPr>
      </w:pPr>
    </w:p>
    <w:p w:rsidR="00977704" w:rsidRDefault="00802A28" w:rsidP="00F06FEB">
      <w:pPr>
        <w:spacing w:line="360" w:lineRule="auto"/>
        <w:jc w:val="both"/>
        <w:rPr>
          <w:lang w:val="en-US"/>
        </w:rPr>
      </w:pPr>
      <w:r>
        <w:rPr>
          <w:lang w:val="en-US"/>
        </w:rPr>
        <w:t>Charity is basically as old as human civilization itself, random acts of altruism can all be classified as charity. Until the 19</w:t>
      </w:r>
      <w:r w:rsidRPr="00802A28">
        <w:rPr>
          <w:vertAlign w:val="superscript"/>
          <w:lang w:val="en-US"/>
        </w:rPr>
        <w:t>th</w:t>
      </w:r>
      <w:r>
        <w:rPr>
          <w:lang w:val="en-US"/>
        </w:rPr>
        <w:t xml:space="preserve"> century charity work was conducted by wealthy </w:t>
      </w:r>
      <w:r w:rsidR="00C20904">
        <w:rPr>
          <w:lang w:val="en-US"/>
        </w:rPr>
        <w:t>people</w:t>
      </w:r>
      <w:r>
        <w:rPr>
          <w:lang w:val="en-US"/>
        </w:rPr>
        <w:t xml:space="preserve"> who helped out the less fortunate. Over time much of the early charity work has been taken over by governments, changing charity to what we see today. In The Netherlands the charity sector consists of over 1,200 charities working in a wide variety of sectors and ranging in size from having just a few hundred euro to spend to organizations who receive </w:t>
      </w:r>
      <w:r w:rsidR="00E24E32">
        <w:rPr>
          <w:lang w:val="en-US"/>
        </w:rPr>
        <w:t>many</w:t>
      </w:r>
      <w:r>
        <w:rPr>
          <w:lang w:val="en-US"/>
        </w:rPr>
        <w:t xml:space="preserve"> million</w:t>
      </w:r>
      <w:r w:rsidR="00E24E32">
        <w:rPr>
          <w:lang w:val="en-US"/>
        </w:rPr>
        <w:t>s</w:t>
      </w:r>
      <w:r>
        <w:rPr>
          <w:lang w:val="en-US"/>
        </w:rPr>
        <w:t xml:space="preserve">. </w:t>
      </w:r>
    </w:p>
    <w:p w:rsidR="00802A28" w:rsidRDefault="00802A28" w:rsidP="00F06FEB">
      <w:pPr>
        <w:spacing w:line="360" w:lineRule="auto"/>
        <w:jc w:val="both"/>
        <w:rPr>
          <w:lang w:val="en-US"/>
        </w:rPr>
      </w:pPr>
      <w:r>
        <w:rPr>
          <w:lang w:val="en-US"/>
        </w:rPr>
        <w:t>In total the Dutch charities received over € 3,5 billion in 2009</w:t>
      </w:r>
      <w:r w:rsidR="00C70FE0">
        <w:rPr>
          <w:lang w:val="en-US"/>
        </w:rPr>
        <w:t>, which is just over half a percent of the Dutch GDP</w:t>
      </w:r>
      <w:r>
        <w:rPr>
          <w:lang w:val="en-US"/>
        </w:rPr>
        <w:t xml:space="preserve">. The biggest contributor </w:t>
      </w:r>
      <w:r w:rsidR="00C70FE0">
        <w:rPr>
          <w:lang w:val="en-US"/>
        </w:rPr>
        <w:t>to charity is the government, which has spent € 1,45 billion on charity in 2009. With close to a billion euro being directly donated by the Dutch people the charity sector has every reason to ensure that charity organizations are trustworthy and open towards the public. Since 1925 this has been the objective of the Central Bureau of Fundraising (CBF)</w:t>
      </w:r>
      <w:r w:rsidR="00155A9C">
        <w:rPr>
          <w:lang w:val="en-US"/>
        </w:rPr>
        <w:t>.</w:t>
      </w:r>
      <w:r w:rsidR="00C70FE0">
        <w:rPr>
          <w:lang w:val="en-US"/>
        </w:rPr>
        <w:t xml:space="preserve"> </w:t>
      </w:r>
      <w:r w:rsidR="00155A9C">
        <w:rPr>
          <w:lang w:val="en-US"/>
        </w:rPr>
        <w:t>The CBF is an</w:t>
      </w:r>
      <w:r w:rsidR="00C70FE0">
        <w:rPr>
          <w:lang w:val="en-US"/>
        </w:rPr>
        <w:t xml:space="preserve"> independent organization </w:t>
      </w:r>
      <w:r w:rsidR="00155A9C">
        <w:rPr>
          <w:lang w:val="en-US"/>
        </w:rPr>
        <w:t>which</w:t>
      </w:r>
      <w:r w:rsidR="00C70FE0">
        <w:rPr>
          <w:lang w:val="en-US"/>
        </w:rPr>
        <w:t xml:space="preserve"> monitor</w:t>
      </w:r>
      <w:r w:rsidR="00155A9C">
        <w:rPr>
          <w:lang w:val="en-US"/>
        </w:rPr>
        <w:t>s</w:t>
      </w:r>
      <w:r w:rsidR="00C70FE0">
        <w:rPr>
          <w:lang w:val="en-US"/>
        </w:rPr>
        <w:t xml:space="preserve"> charities and provide</w:t>
      </w:r>
      <w:r w:rsidR="00155A9C">
        <w:rPr>
          <w:lang w:val="en-US"/>
        </w:rPr>
        <w:t>s</w:t>
      </w:r>
      <w:r w:rsidR="00C70FE0">
        <w:rPr>
          <w:lang w:val="en-US"/>
        </w:rPr>
        <w:t xml:space="preserve"> information and advice to both the general public and the government.</w:t>
      </w:r>
    </w:p>
    <w:p w:rsidR="00C5486C" w:rsidRDefault="00C5486C" w:rsidP="00F06FEB">
      <w:pPr>
        <w:spacing w:line="360" w:lineRule="auto"/>
        <w:jc w:val="both"/>
        <w:rPr>
          <w:lang w:val="en-US"/>
        </w:rPr>
      </w:pPr>
    </w:p>
    <w:p w:rsidR="00C70FE0" w:rsidRDefault="00C70FE0" w:rsidP="00F06FEB">
      <w:pPr>
        <w:spacing w:line="360" w:lineRule="auto"/>
        <w:jc w:val="both"/>
        <w:rPr>
          <w:lang w:val="en-US"/>
        </w:rPr>
      </w:pPr>
      <w:r>
        <w:rPr>
          <w:lang w:val="en-US"/>
        </w:rPr>
        <w:t xml:space="preserve">Another organization </w:t>
      </w:r>
      <w:r w:rsidR="003C4632">
        <w:rPr>
          <w:lang w:val="en-US"/>
        </w:rPr>
        <w:t xml:space="preserve">that advocates the interest of charities is the branch-organization VFI, which is short for ‘Vereniging Fondsenwervende Instellingen’ or association of fundraising institutions. VFI members are mainly the larger, nationally operating charities. In 2004 it was the VFI who established an independent committee to come up with a formal governance code for the Dutch charities. </w:t>
      </w:r>
    </w:p>
    <w:p w:rsidR="003C4632" w:rsidRDefault="003C4632" w:rsidP="00F06FEB">
      <w:pPr>
        <w:spacing w:line="360" w:lineRule="auto"/>
        <w:jc w:val="both"/>
        <w:rPr>
          <w:lang w:val="en-US"/>
        </w:rPr>
      </w:pPr>
      <w:r>
        <w:rPr>
          <w:lang w:val="en-US"/>
        </w:rPr>
        <w:t>The code W</w:t>
      </w:r>
      <w:r w:rsidR="006C5E8D">
        <w:rPr>
          <w:lang w:val="en-US"/>
        </w:rPr>
        <w:t>i</w:t>
      </w:r>
      <w:r>
        <w:rPr>
          <w:lang w:val="en-US"/>
        </w:rPr>
        <w:t xml:space="preserve">jffels, named after the chairman of the committee, </w:t>
      </w:r>
      <w:r w:rsidR="00C5486C">
        <w:rPr>
          <w:lang w:val="en-US"/>
        </w:rPr>
        <w:t>is the governance code for charities in The Netherlands</w:t>
      </w:r>
      <w:r w:rsidR="00155A9C">
        <w:rPr>
          <w:lang w:val="en-US"/>
        </w:rPr>
        <w:t xml:space="preserve"> since 2005.</w:t>
      </w:r>
      <w:r w:rsidR="00C5486C">
        <w:rPr>
          <w:lang w:val="en-US"/>
        </w:rPr>
        <w:t xml:space="preserve"> </w:t>
      </w:r>
      <w:r w:rsidR="00155A9C">
        <w:rPr>
          <w:lang w:val="en-US"/>
        </w:rPr>
        <w:t>It is built</w:t>
      </w:r>
      <w:r w:rsidR="00C5486C">
        <w:rPr>
          <w:lang w:val="en-US"/>
        </w:rPr>
        <w:t xml:space="preserve"> around a core of three pillars to provide checks and </w:t>
      </w:r>
      <w:r w:rsidR="00546E1E">
        <w:rPr>
          <w:lang w:val="en-US"/>
        </w:rPr>
        <w:t xml:space="preserve">balances in the organizations and to make sure outside parties keep their trust in charities. </w:t>
      </w:r>
    </w:p>
    <w:p w:rsidR="00802A28" w:rsidRDefault="00802A28" w:rsidP="00F06FEB">
      <w:pPr>
        <w:spacing w:line="360" w:lineRule="auto"/>
        <w:jc w:val="both"/>
        <w:rPr>
          <w:lang w:val="en-US"/>
        </w:rPr>
      </w:pPr>
    </w:p>
    <w:p w:rsidR="000A2DCC" w:rsidRDefault="000A2DCC">
      <w:pPr>
        <w:rPr>
          <w:lang w:val="en-US"/>
        </w:rPr>
      </w:pPr>
      <w:r>
        <w:rPr>
          <w:lang w:val="en-US"/>
        </w:rPr>
        <w:br w:type="page"/>
      </w:r>
    </w:p>
    <w:p w:rsidR="006C5E8D" w:rsidRDefault="006C5E8D" w:rsidP="00F06FEB">
      <w:pPr>
        <w:spacing w:line="360" w:lineRule="auto"/>
        <w:jc w:val="both"/>
        <w:rPr>
          <w:lang w:val="en-US"/>
        </w:rPr>
      </w:pPr>
      <w:r>
        <w:rPr>
          <w:lang w:val="en-US"/>
        </w:rPr>
        <w:t>From an academic point of view charity, or more broadly, non-profit governance has received little attention compared to the corporate sector.</w:t>
      </w:r>
      <w:r w:rsidR="00546E1E">
        <w:rPr>
          <w:lang w:val="en-US"/>
        </w:rPr>
        <w:t xml:space="preserve"> Especially empirical research</w:t>
      </w:r>
      <w:r w:rsidR="004F79E9">
        <w:rPr>
          <w:lang w:val="en-US"/>
        </w:rPr>
        <w:t xml:space="preserve"> on</w:t>
      </w:r>
      <w:r w:rsidR="00546E1E">
        <w:rPr>
          <w:lang w:val="en-US"/>
        </w:rPr>
        <w:t xml:space="preserve"> charity governance is relatively </w:t>
      </w:r>
      <w:r w:rsidR="00E24E32">
        <w:rPr>
          <w:lang w:val="en-US"/>
        </w:rPr>
        <w:t>scarce</w:t>
      </w:r>
      <w:r w:rsidR="00546E1E">
        <w:rPr>
          <w:lang w:val="en-US"/>
        </w:rPr>
        <w:t xml:space="preserve"> due to the fact that</w:t>
      </w:r>
      <w:r w:rsidR="00155A9C">
        <w:rPr>
          <w:lang w:val="en-US"/>
        </w:rPr>
        <w:t xml:space="preserve"> little</w:t>
      </w:r>
      <w:r w:rsidR="00546E1E">
        <w:rPr>
          <w:lang w:val="en-US"/>
        </w:rPr>
        <w:t xml:space="preserve"> data is available. </w:t>
      </w:r>
      <w:r>
        <w:rPr>
          <w:lang w:val="en-US"/>
        </w:rPr>
        <w:t xml:space="preserve">A general definition of charity governance is provided </w:t>
      </w:r>
      <w:r w:rsidRPr="006C5E8D">
        <w:rPr>
          <w:lang w:val="en-US"/>
        </w:rPr>
        <w:t>by Hyndman and McDonnell (2009)</w:t>
      </w:r>
      <w:r>
        <w:rPr>
          <w:lang w:val="en-US"/>
        </w:rPr>
        <w:t>: “charity governance could be viewed as relating to the distribution of rights and responsibilities among and within the various stakeholder groups involved, including the way in which they are accountable to one another; and also to the performance of the organization.”</w:t>
      </w:r>
      <w:r w:rsidR="00C308C1">
        <w:rPr>
          <w:lang w:val="en-US"/>
        </w:rPr>
        <w:t xml:space="preserve"> </w:t>
      </w:r>
      <w:r w:rsidR="00546E1E">
        <w:rPr>
          <w:lang w:val="en-US"/>
        </w:rPr>
        <w:t xml:space="preserve">One thing most academics do agree on is that there is no one-size-fits-all solution for governance. </w:t>
      </w:r>
    </w:p>
    <w:p w:rsidR="000A2DCC" w:rsidRDefault="000A2DCC" w:rsidP="00F06FEB">
      <w:pPr>
        <w:spacing w:line="360" w:lineRule="auto"/>
        <w:jc w:val="both"/>
        <w:rPr>
          <w:lang w:val="en-US"/>
        </w:rPr>
      </w:pPr>
    </w:p>
    <w:p w:rsidR="00C308C1" w:rsidRDefault="00C308C1" w:rsidP="00F06FEB">
      <w:pPr>
        <w:spacing w:line="360" w:lineRule="auto"/>
        <w:jc w:val="both"/>
        <w:rPr>
          <w:lang w:val="en-US"/>
        </w:rPr>
      </w:pPr>
      <w:r>
        <w:rPr>
          <w:lang w:val="en-US"/>
        </w:rPr>
        <w:t xml:space="preserve">Looking at the definition </w:t>
      </w:r>
      <w:r w:rsidR="00155A9C">
        <w:rPr>
          <w:lang w:val="en-US"/>
        </w:rPr>
        <w:t xml:space="preserve">above </w:t>
      </w:r>
      <w:r>
        <w:rPr>
          <w:lang w:val="en-US"/>
        </w:rPr>
        <w:t>it is obvious that ‘stakeholders’ and ‘distribution of rights and responsibilities’ are the most important parts. The stakeholders can be divided</w:t>
      </w:r>
      <w:r w:rsidR="00155A9C">
        <w:rPr>
          <w:lang w:val="en-US"/>
        </w:rPr>
        <w:t xml:space="preserve"> into</w:t>
      </w:r>
      <w:r>
        <w:rPr>
          <w:lang w:val="en-US"/>
        </w:rPr>
        <w:t xml:space="preserve"> inside and outside stakeholders. Inside stakeholders are for example the board, the executives, employees and volunteers. Outside stakeholders are the donors, beneficiaries and regulators.</w:t>
      </w:r>
    </w:p>
    <w:p w:rsidR="00C308C1" w:rsidRDefault="007836C9" w:rsidP="00F06FEB">
      <w:pPr>
        <w:spacing w:line="360" w:lineRule="auto"/>
        <w:jc w:val="both"/>
        <w:rPr>
          <w:lang w:val="en-US"/>
        </w:rPr>
      </w:pPr>
      <w:r>
        <w:rPr>
          <w:lang w:val="en-US"/>
        </w:rPr>
        <w:t>It is generally accepted that the donors are the most important (external) stakeholders.</w:t>
      </w:r>
      <w:r w:rsidR="00D84C8C">
        <w:rPr>
          <w:lang w:val="en-US"/>
        </w:rPr>
        <w:t xml:space="preserve"> Donors come in many forms, from a government subsidy or a major donor to </w:t>
      </w:r>
      <w:r w:rsidR="003107DA">
        <w:rPr>
          <w:lang w:val="en-US"/>
        </w:rPr>
        <w:t>a</w:t>
      </w:r>
      <w:r w:rsidR="00D84C8C">
        <w:rPr>
          <w:lang w:val="en-US"/>
        </w:rPr>
        <w:t xml:space="preserve"> large group of small donors. When it comes to small, individual donors the free-rider problem seems to be a problem as small donors often </w:t>
      </w:r>
      <w:r w:rsidR="00BC7194">
        <w:rPr>
          <w:lang w:val="en-US"/>
        </w:rPr>
        <w:t>have little incentive to monitor</w:t>
      </w:r>
      <w:r w:rsidR="003107DA">
        <w:rPr>
          <w:lang w:val="en-US"/>
        </w:rPr>
        <w:t>.</w:t>
      </w:r>
      <w:r w:rsidR="00BC7194">
        <w:rPr>
          <w:lang w:val="en-US"/>
        </w:rPr>
        <w:t xml:space="preserve"> </w:t>
      </w:r>
      <w:r w:rsidR="003107DA">
        <w:rPr>
          <w:lang w:val="en-US"/>
        </w:rPr>
        <w:t>A</w:t>
      </w:r>
      <w:r w:rsidR="00BC7194">
        <w:rPr>
          <w:lang w:val="en-US"/>
        </w:rPr>
        <w:t xml:space="preserve"> survey has shown</w:t>
      </w:r>
      <w:r w:rsidR="003107DA">
        <w:rPr>
          <w:lang w:val="en-US"/>
        </w:rPr>
        <w:t xml:space="preserve"> however</w:t>
      </w:r>
      <w:r w:rsidR="00BC7194">
        <w:rPr>
          <w:lang w:val="en-US"/>
        </w:rPr>
        <w:t xml:space="preserve"> that small donors do use criteria such as effectiveness before deciding whether to donate or not.</w:t>
      </w:r>
      <w:r w:rsidR="00D84C8C">
        <w:rPr>
          <w:lang w:val="en-US"/>
        </w:rPr>
        <w:t xml:space="preserve"> Large donors on the other hand do ha</w:t>
      </w:r>
      <w:r w:rsidR="00BC7194">
        <w:rPr>
          <w:lang w:val="en-US"/>
        </w:rPr>
        <w:t xml:space="preserve">ve incentives to monitor. Empirical studies show that large donors on the board </w:t>
      </w:r>
      <w:r w:rsidR="003107DA">
        <w:rPr>
          <w:lang w:val="en-US"/>
        </w:rPr>
        <w:t xml:space="preserve">have </w:t>
      </w:r>
      <w:r w:rsidR="00BC7194">
        <w:rPr>
          <w:lang w:val="en-US"/>
        </w:rPr>
        <w:t>a positive effect on the efficiency of the charity.</w:t>
      </w:r>
    </w:p>
    <w:p w:rsidR="00D84C8C" w:rsidRDefault="00D84C8C" w:rsidP="00F06FEB">
      <w:pPr>
        <w:spacing w:line="360" w:lineRule="auto"/>
        <w:jc w:val="both"/>
        <w:rPr>
          <w:lang w:val="en-US"/>
        </w:rPr>
      </w:pPr>
    </w:p>
    <w:p w:rsidR="00546E1E" w:rsidRDefault="000136A3" w:rsidP="00F06FEB">
      <w:pPr>
        <w:spacing w:line="360" w:lineRule="auto"/>
        <w:jc w:val="both"/>
        <w:rPr>
          <w:lang w:val="en-US"/>
        </w:rPr>
      </w:pPr>
      <w:r>
        <w:rPr>
          <w:lang w:val="en-US"/>
        </w:rPr>
        <w:t>From the</w:t>
      </w:r>
      <w:r w:rsidR="003107DA">
        <w:rPr>
          <w:lang w:val="en-US"/>
        </w:rPr>
        <w:t xml:space="preserve"> perspective of</w:t>
      </w:r>
      <w:r>
        <w:rPr>
          <w:lang w:val="en-US"/>
        </w:rPr>
        <w:t xml:space="preserve"> internal stakeholders</w:t>
      </w:r>
      <w:r w:rsidR="003107DA">
        <w:rPr>
          <w:lang w:val="en-US"/>
        </w:rPr>
        <w:t>,</w:t>
      </w:r>
      <w:r>
        <w:rPr>
          <w:lang w:val="en-US"/>
        </w:rPr>
        <w:t xml:space="preserve"> the board of directors is considered to be the most important </w:t>
      </w:r>
      <w:r w:rsidR="007836C9">
        <w:rPr>
          <w:lang w:val="en-US"/>
        </w:rPr>
        <w:t>source</w:t>
      </w:r>
      <w:r>
        <w:rPr>
          <w:lang w:val="en-US"/>
        </w:rPr>
        <w:t xml:space="preserve"> of internal governance. The board of non-profit organizations is often larger th</w:t>
      </w:r>
      <w:r w:rsidR="003107DA">
        <w:rPr>
          <w:lang w:val="en-US"/>
        </w:rPr>
        <w:t>a</w:t>
      </w:r>
      <w:r>
        <w:rPr>
          <w:lang w:val="en-US"/>
        </w:rPr>
        <w:t xml:space="preserve">n corporate boards, </w:t>
      </w:r>
      <w:r w:rsidR="003107DA">
        <w:rPr>
          <w:lang w:val="en-US"/>
        </w:rPr>
        <w:t>which</w:t>
      </w:r>
      <w:r>
        <w:rPr>
          <w:lang w:val="en-US"/>
        </w:rPr>
        <w:t xml:space="preserve"> is explained by the fact that board members often have a more direct role in the organization. From an agency theory perspective the board should primarily monitor the executives, staff and volunteers. Contrary to agency theory the stewardship theory suggest that the board should be a partner of the staff instead of solely a monitoring organ. </w:t>
      </w:r>
      <w:r w:rsidR="00C20904">
        <w:rPr>
          <w:lang w:val="en-US"/>
        </w:rPr>
        <w:t xml:space="preserve">This is empirically confirmed by </w:t>
      </w:r>
      <w:r w:rsidR="00670C6F" w:rsidRPr="00670C6F">
        <w:rPr>
          <w:lang w:val="en-US"/>
        </w:rPr>
        <w:t xml:space="preserve">Conforth and Hall (2001) </w:t>
      </w:r>
      <w:r w:rsidR="00C20904">
        <w:rPr>
          <w:lang w:val="en-US"/>
        </w:rPr>
        <w:t xml:space="preserve">who </w:t>
      </w:r>
      <w:r w:rsidR="00670C6F" w:rsidRPr="00670C6F">
        <w:rPr>
          <w:lang w:val="en-US"/>
        </w:rPr>
        <w:t>looked at what ma</w:t>
      </w:r>
      <w:r w:rsidR="001F1213">
        <w:rPr>
          <w:lang w:val="en-US"/>
        </w:rPr>
        <w:t>kes</w:t>
      </w:r>
      <w:r w:rsidR="00670C6F" w:rsidRPr="00670C6F">
        <w:rPr>
          <w:lang w:val="en-US"/>
        </w:rPr>
        <w:t xml:space="preserve"> boards effective</w:t>
      </w:r>
      <w:r w:rsidR="003107DA">
        <w:rPr>
          <w:lang w:val="en-US"/>
        </w:rPr>
        <w:t>.</w:t>
      </w:r>
      <w:r w:rsidR="001F1213">
        <w:rPr>
          <w:lang w:val="en-US"/>
        </w:rPr>
        <w:t xml:space="preserve"> </w:t>
      </w:r>
      <w:r w:rsidR="003107DA">
        <w:rPr>
          <w:lang w:val="en-US"/>
        </w:rPr>
        <w:t>T</w:t>
      </w:r>
      <w:r w:rsidR="001F1213">
        <w:rPr>
          <w:lang w:val="en-US"/>
        </w:rPr>
        <w:t xml:space="preserve">hey found </w:t>
      </w:r>
      <w:r w:rsidR="003107DA">
        <w:rPr>
          <w:lang w:val="en-US"/>
        </w:rPr>
        <w:t xml:space="preserve">that </w:t>
      </w:r>
      <w:r w:rsidR="001F1213">
        <w:rPr>
          <w:lang w:val="en-US"/>
        </w:rPr>
        <w:t>having the right mix of skill and experience, a clear understanding of the role of the board and a common vision between the board and the</w:t>
      </w:r>
      <w:r w:rsidR="0036785B">
        <w:rPr>
          <w:lang w:val="en-US"/>
        </w:rPr>
        <w:t xml:space="preserve"> management are most important to have a</w:t>
      </w:r>
      <w:r w:rsidR="003107DA">
        <w:rPr>
          <w:lang w:val="en-US"/>
        </w:rPr>
        <w:t>n</w:t>
      </w:r>
      <w:r w:rsidR="0036785B">
        <w:rPr>
          <w:lang w:val="en-US"/>
        </w:rPr>
        <w:t xml:space="preserve"> effective board.</w:t>
      </w:r>
    </w:p>
    <w:p w:rsidR="001F1213" w:rsidRDefault="001F1213" w:rsidP="00F06FEB">
      <w:pPr>
        <w:spacing w:line="360" w:lineRule="auto"/>
        <w:jc w:val="both"/>
        <w:rPr>
          <w:lang w:val="en-US"/>
        </w:rPr>
      </w:pPr>
    </w:p>
    <w:p w:rsidR="000A2DCC" w:rsidRDefault="000A2DCC">
      <w:pPr>
        <w:rPr>
          <w:lang w:val="en-US"/>
        </w:rPr>
      </w:pPr>
      <w:r>
        <w:rPr>
          <w:lang w:val="en-US"/>
        </w:rPr>
        <w:br w:type="page"/>
      </w:r>
    </w:p>
    <w:p w:rsidR="00670C6F" w:rsidRDefault="00DA5592" w:rsidP="00F06FEB">
      <w:pPr>
        <w:spacing w:line="360" w:lineRule="auto"/>
        <w:jc w:val="both"/>
        <w:rPr>
          <w:lang w:val="en-US"/>
        </w:rPr>
      </w:pPr>
      <w:r>
        <w:rPr>
          <w:lang w:val="en-US"/>
        </w:rPr>
        <w:t>The remuneration of executives in the non-profit sector is a much debated subject. Empirical evidence suggests that the remuneration of executives mostly follows the stewardship theory that suggests that managers are more driven by intrinsic motivation such as self-fulfillment</w:t>
      </w:r>
      <w:r w:rsidR="00B66CBD">
        <w:rPr>
          <w:lang w:val="en-US"/>
        </w:rPr>
        <w:t xml:space="preserve"> and serving the collective good</w:t>
      </w:r>
      <w:r>
        <w:rPr>
          <w:lang w:val="en-US"/>
        </w:rPr>
        <w:t xml:space="preserve"> th</w:t>
      </w:r>
      <w:r w:rsidR="003107DA">
        <w:rPr>
          <w:lang w:val="en-US"/>
        </w:rPr>
        <w:t>a</w:t>
      </w:r>
      <w:r>
        <w:rPr>
          <w:lang w:val="en-US"/>
        </w:rPr>
        <w:t>n by extrinsic motivation such as salaries</w:t>
      </w:r>
      <w:r w:rsidR="0015202B">
        <w:rPr>
          <w:lang w:val="en-US"/>
        </w:rPr>
        <w:t xml:space="preserve">. </w:t>
      </w:r>
    </w:p>
    <w:p w:rsidR="001F1213" w:rsidRDefault="001F1213" w:rsidP="00F06FEB">
      <w:pPr>
        <w:spacing w:line="360" w:lineRule="auto"/>
        <w:jc w:val="both"/>
        <w:rPr>
          <w:lang w:val="en-US"/>
        </w:rPr>
      </w:pPr>
    </w:p>
    <w:p w:rsidR="004264C8" w:rsidRDefault="00546E1E" w:rsidP="00F06FEB">
      <w:pPr>
        <w:spacing w:line="360" w:lineRule="auto"/>
        <w:jc w:val="both"/>
        <w:rPr>
          <w:lang w:val="en-US"/>
        </w:rPr>
      </w:pPr>
      <w:r>
        <w:rPr>
          <w:lang w:val="en-US"/>
        </w:rPr>
        <w:t>For my own empirical research I look at the influence of governance on the inco</w:t>
      </w:r>
      <w:r w:rsidR="00C17DA8">
        <w:rPr>
          <w:lang w:val="en-US"/>
        </w:rPr>
        <w:t>me and performance of charities, where performance is measured by the ratio of program expenses to total expenses.</w:t>
      </w:r>
      <w:r>
        <w:rPr>
          <w:lang w:val="en-US"/>
        </w:rPr>
        <w:t xml:space="preserve"> </w:t>
      </w:r>
      <w:r w:rsidR="0015202B">
        <w:rPr>
          <w:lang w:val="en-US"/>
        </w:rPr>
        <w:t xml:space="preserve">For this I created a dataset of </w:t>
      </w:r>
      <w:r w:rsidR="00C17DA8">
        <w:rPr>
          <w:lang w:val="en-US"/>
        </w:rPr>
        <w:t>774</w:t>
      </w:r>
      <w:r w:rsidR="0015202B">
        <w:rPr>
          <w:lang w:val="en-US"/>
        </w:rPr>
        <w:t xml:space="preserve"> charities </w:t>
      </w:r>
      <w:r w:rsidR="00810244">
        <w:rPr>
          <w:lang w:val="en-US"/>
        </w:rPr>
        <w:t>that operate in The Netherlands.</w:t>
      </w:r>
      <w:r w:rsidR="004264C8">
        <w:rPr>
          <w:lang w:val="en-US"/>
        </w:rPr>
        <w:t xml:space="preserve"> Looking at the data we see that over 58% of the charities are classified as small, with annual revenues lower th</w:t>
      </w:r>
      <w:r w:rsidR="003107DA">
        <w:rPr>
          <w:lang w:val="en-US"/>
        </w:rPr>
        <w:t>a</w:t>
      </w:r>
      <w:r w:rsidR="004264C8">
        <w:rPr>
          <w:lang w:val="en-US"/>
        </w:rPr>
        <w:t>n €500.000. On average 86% of the costs of charities are program expenses, indicating that overhead costs are on average on a level of around 15%.</w:t>
      </w:r>
    </w:p>
    <w:p w:rsidR="00546E1E" w:rsidRDefault="00810244" w:rsidP="00F06FEB">
      <w:pPr>
        <w:spacing w:line="360" w:lineRule="auto"/>
        <w:jc w:val="both"/>
        <w:rPr>
          <w:lang w:val="en-US"/>
        </w:rPr>
      </w:pPr>
      <w:r>
        <w:rPr>
          <w:lang w:val="en-US"/>
        </w:rPr>
        <w:t>From this dataset I run a series of regression models in order to test a set of hypothesis.</w:t>
      </w:r>
      <w:r w:rsidR="00C17DA8">
        <w:rPr>
          <w:lang w:val="en-US"/>
        </w:rPr>
        <w:t xml:space="preserve"> The first three hypothes</w:t>
      </w:r>
      <w:r w:rsidR="00833D99">
        <w:rPr>
          <w:lang w:val="en-US"/>
        </w:rPr>
        <w:t>e</w:t>
      </w:r>
      <w:r w:rsidR="00C17DA8">
        <w:rPr>
          <w:lang w:val="en-US"/>
        </w:rPr>
        <w:t>s are concerned with the income of charities,</w:t>
      </w:r>
    </w:p>
    <w:p w:rsidR="004264C8" w:rsidRDefault="004264C8" w:rsidP="004264C8">
      <w:pPr>
        <w:spacing w:line="360" w:lineRule="auto"/>
        <w:jc w:val="both"/>
        <w:rPr>
          <w:i/>
          <w:lang w:val="en-US"/>
        </w:rPr>
      </w:pPr>
      <w:r>
        <w:rPr>
          <w:lang w:val="en-US"/>
        </w:rPr>
        <w:tab/>
      </w:r>
      <w:r w:rsidRPr="0034774D">
        <w:rPr>
          <w:i/>
          <w:lang w:val="en-US"/>
        </w:rPr>
        <w:t xml:space="preserve">H1: A CBF certificate has a positive effect on the income of a charity </w:t>
      </w:r>
    </w:p>
    <w:p w:rsidR="004264C8" w:rsidRDefault="004264C8" w:rsidP="004264C8">
      <w:pPr>
        <w:spacing w:line="360" w:lineRule="auto"/>
        <w:jc w:val="both"/>
        <w:rPr>
          <w:i/>
          <w:lang w:val="en-US"/>
        </w:rPr>
      </w:pPr>
      <w:r>
        <w:rPr>
          <w:i/>
          <w:lang w:val="en-US"/>
        </w:rPr>
        <w:tab/>
        <w:t xml:space="preserve">H2: Financial oversight has a positive effect on </w:t>
      </w:r>
      <w:r w:rsidRPr="0034774D">
        <w:rPr>
          <w:i/>
          <w:lang w:val="en-US"/>
        </w:rPr>
        <w:t>the income of a charity</w:t>
      </w:r>
    </w:p>
    <w:p w:rsidR="004264C8" w:rsidRPr="0034774D" w:rsidRDefault="004264C8" w:rsidP="004264C8">
      <w:pPr>
        <w:spacing w:line="360" w:lineRule="auto"/>
        <w:jc w:val="both"/>
        <w:rPr>
          <w:i/>
          <w:lang w:val="en-US"/>
        </w:rPr>
      </w:pPr>
      <w:r>
        <w:rPr>
          <w:i/>
          <w:lang w:val="en-US"/>
        </w:rPr>
        <w:tab/>
        <w:t>H3: Board size has a positive effect on the income of a charity</w:t>
      </w:r>
    </w:p>
    <w:p w:rsidR="00B66CBD" w:rsidRDefault="00B66CBD" w:rsidP="00F06FEB">
      <w:pPr>
        <w:spacing w:line="360" w:lineRule="auto"/>
        <w:jc w:val="both"/>
        <w:rPr>
          <w:lang w:val="en-US"/>
        </w:rPr>
      </w:pPr>
    </w:p>
    <w:p w:rsidR="00FD2332" w:rsidRDefault="00FD2332" w:rsidP="00F06FEB">
      <w:pPr>
        <w:spacing w:line="360" w:lineRule="auto"/>
        <w:jc w:val="both"/>
        <w:rPr>
          <w:lang w:val="en-US"/>
        </w:rPr>
      </w:pPr>
      <w:r>
        <w:rPr>
          <w:lang w:val="en-US"/>
        </w:rPr>
        <w:t>Next to the hypothes</w:t>
      </w:r>
      <w:r w:rsidR="00833D99">
        <w:rPr>
          <w:lang w:val="en-US"/>
        </w:rPr>
        <w:t>e</w:t>
      </w:r>
      <w:r>
        <w:rPr>
          <w:lang w:val="en-US"/>
        </w:rPr>
        <w:t>s concerning income</w:t>
      </w:r>
      <w:r w:rsidR="003107DA">
        <w:rPr>
          <w:lang w:val="en-US"/>
        </w:rPr>
        <w:t xml:space="preserve"> there</w:t>
      </w:r>
      <w:r>
        <w:rPr>
          <w:lang w:val="en-US"/>
        </w:rPr>
        <w:t xml:space="preserve"> are the hypothes</w:t>
      </w:r>
      <w:r w:rsidR="00833D99">
        <w:rPr>
          <w:lang w:val="en-US"/>
        </w:rPr>
        <w:t>e</w:t>
      </w:r>
      <w:r w:rsidR="003107DA">
        <w:rPr>
          <w:lang w:val="en-US"/>
        </w:rPr>
        <w:t>s concerning performance.</w:t>
      </w:r>
      <w:r>
        <w:rPr>
          <w:lang w:val="en-US"/>
        </w:rPr>
        <w:t xml:space="preserve"> </w:t>
      </w:r>
      <w:r w:rsidR="003107DA">
        <w:rPr>
          <w:lang w:val="en-US"/>
        </w:rPr>
        <w:t>T</w:t>
      </w:r>
      <w:r>
        <w:rPr>
          <w:lang w:val="en-US"/>
        </w:rPr>
        <w:t>he following four hypothes</w:t>
      </w:r>
      <w:r w:rsidR="00833D99">
        <w:rPr>
          <w:lang w:val="en-US"/>
        </w:rPr>
        <w:t>e</w:t>
      </w:r>
      <w:r>
        <w:rPr>
          <w:lang w:val="en-US"/>
        </w:rPr>
        <w:t xml:space="preserve">s are tested: </w:t>
      </w:r>
    </w:p>
    <w:p w:rsidR="00FD2332" w:rsidRPr="00C75471" w:rsidRDefault="00FD2332" w:rsidP="00FD2332">
      <w:pPr>
        <w:spacing w:line="360" w:lineRule="auto"/>
        <w:jc w:val="both"/>
        <w:rPr>
          <w:i/>
          <w:lang w:val="en-US"/>
        </w:rPr>
      </w:pPr>
      <w:r w:rsidRPr="00C75471">
        <w:rPr>
          <w:i/>
          <w:lang w:val="en-US"/>
        </w:rPr>
        <w:tab/>
        <w:t>H4: CBF certification has a positive influence on performance</w:t>
      </w:r>
    </w:p>
    <w:p w:rsidR="00FD2332" w:rsidRDefault="00FD2332" w:rsidP="00FD2332">
      <w:pPr>
        <w:spacing w:line="360" w:lineRule="auto"/>
        <w:jc w:val="both"/>
        <w:rPr>
          <w:i/>
          <w:lang w:val="en-US"/>
        </w:rPr>
      </w:pPr>
      <w:r w:rsidRPr="00C75471">
        <w:rPr>
          <w:i/>
          <w:lang w:val="en-US"/>
        </w:rPr>
        <w:tab/>
        <w:t>H5: VFI membership has a positive influence on performance</w:t>
      </w:r>
    </w:p>
    <w:p w:rsidR="00FD2332" w:rsidRDefault="00FD2332" w:rsidP="00FD2332">
      <w:pPr>
        <w:spacing w:line="360" w:lineRule="auto"/>
        <w:ind w:firstLine="708"/>
        <w:jc w:val="both"/>
        <w:rPr>
          <w:i/>
          <w:lang w:val="en-US"/>
        </w:rPr>
      </w:pPr>
      <w:r w:rsidRPr="00C75471">
        <w:rPr>
          <w:i/>
          <w:lang w:val="en-US"/>
        </w:rPr>
        <w:t>H</w:t>
      </w:r>
      <w:r>
        <w:rPr>
          <w:i/>
          <w:lang w:val="en-US"/>
        </w:rPr>
        <w:t>6</w:t>
      </w:r>
      <w:r w:rsidRPr="00C75471">
        <w:rPr>
          <w:i/>
          <w:lang w:val="en-US"/>
        </w:rPr>
        <w:t xml:space="preserve">: </w:t>
      </w:r>
      <w:r>
        <w:rPr>
          <w:i/>
          <w:lang w:val="en-US"/>
        </w:rPr>
        <w:t>Legal form of an association</w:t>
      </w:r>
      <w:r w:rsidRPr="00C75471">
        <w:rPr>
          <w:i/>
          <w:lang w:val="en-US"/>
        </w:rPr>
        <w:t xml:space="preserve"> has a positive influence on performance</w:t>
      </w:r>
    </w:p>
    <w:p w:rsidR="00FD2332" w:rsidRDefault="00FD2332" w:rsidP="00FD2332">
      <w:pPr>
        <w:spacing w:line="360" w:lineRule="auto"/>
        <w:jc w:val="both"/>
        <w:rPr>
          <w:lang w:val="en-US"/>
        </w:rPr>
      </w:pPr>
      <w:r>
        <w:rPr>
          <w:lang w:val="en-US"/>
        </w:rPr>
        <w:tab/>
      </w:r>
      <w:r w:rsidRPr="00C75471">
        <w:rPr>
          <w:i/>
          <w:lang w:val="en-US"/>
        </w:rPr>
        <w:t>H</w:t>
      </w:r>
      <w:r>
        <w:rPr>
          <w:i/>
          <w:lang w:val="en-US"/>
        </w:rPr>
        <w:t>7</w:t>
      </w:r>
      <w:r w:rsidRPr="00C75471">
        <w:rPr>
          <w:i/>
          <w:lang w:val="en-US"/>
        </w:rPr>
        <w:t xml:space="preserve">: </w:t>
      </w:r>
      <w:r>
        <w:rPr>
          <w:i/>
          <w:lang w:val="en-US"/>
        </w:rPr>
        <w:t xml:space="preserve">High level of financial oversight </w:t>
      </w:r>
      <w:r w:rsidRPr="00C75471">
        <w:rPr>
          <w:i/>
          <w:lang w:val="en-US"/>
        </w:rPr>
        <w:t>has a positive influence on performance</w:t>
      </w:r>
    </w:p>
    <w:p w:rsidR="00FD2332" w:rsidRPr="00FD2332" w:rsidRDefault="00FD2332" w:rsidP="00FD2332">
      <w:pPr>
        <w:spacing w:line="360" w:lineRule="auto"/>
        <w:jc w:val="both"/>
        <w:rPr>
          <w:lang w:val="en-US"/>
        </w:rPr>
      </w:pPr>
    </w:p>
    <w:p w:rsidR="00FD2332" w:rsidRDefault="00FD2332" w:rsidP="00F06FEB">
      <w:pPr>
        <w:spacing w:line="360" w:lineRule="auto"/>
        <w:jc w:val="both"/>
        <w:rPr>
          <w:lang w:val="en-US"/>
        </w:rPr>
      </w:pPr>
      <w:r>
        <w:rPr>
          <w:lang w:val="en-US"/>
        </w:rPr>
        <w:t>In order to derive the right conclusions both models control for certain characteristics of the charities such as size, what category</w:t>
      </w:r>
      <w:r w:rsidR="00C20904">
        <w:rPr>
          <w:lang w:val="en-US"/>
        </w:rPr>
        <w:t xml:space="preserve"> of activities</w:t>
      </w:r>
      <w:r>
        <w:rPr>
          <w:lang w:val="en-US"/>
        </w:rPr>
        <w:t xml:space="preserve"> they focus on and whether they operate international</w:t>
      </w:r>
      <w:r w:rsidR="00833D99">
        <w:rPr>
          <w:lang w:val="en-US"/>
        </w:rPr>
        <w:t xml:space="preserve"> or in The Netherlands</w:t>
      </w:r>
      <w:r w:rsidR="003107DA">
        <w:rPr>
          <w:lang w:val="en-US"/>
        </w:rPr>
        <w:t xml:space="preserve"> only</w:t>
      </w:r>
      <w:r>
        <w:rPr>
          <w:lang w:val="en-US"/>
        </w:rPr>
        <w:t>. From the regression models I conclude that the first three hypothesis are true. However</w:t>
      </w:r>
      <w:r w:rsidR="000A2DCC">
        <w:rPr>
          <w:lang w:val="en-US"/>
        </w:rPr>
        <w:t>,</w:t>
      </w:r>
      <w:r>
        <w:rPr>
          <w:lang w:val="en-US"/>
        </w:rPr>
        <w:t xml:space="preserve"> </w:t>
      </w:r>
      <w:r w:rsidR="003655B2">
        <w:rPr>
          <w:lang w:val="en-US"/>
        </w:rPr>
        <w:t>when looking solely at income there are some issues with causality. Especially with hypothesis 2 this is a real concern</w:t>
      </w:r>
      <w:r>
        <w:rPr>
          <w:lang w:val="en-US"/>
        </w:rPr>
        <w:t xml:space="preserve">. </w:t>
      </w:r>
      <w:r w:rsidR="003655B2">
        <w:rPr>
          <w:lang w:val="en-US"/>
        </w:rPr>
        <w:t>Hypothesis 1 and 3 are less prone to causality issues. The data shows there are quite a few smaller charities that are CBF certified. Furthermore, board size is quite diverse among the smaller and larger charities.</w:t>
      </w:r>
    </w:p>
    <w:p w:rsidR="00491F17" w:rsidRDefault="00491F17" w:rsidP="00F06FEB">
      <w:pPr>
        <w:spacing w:line="360" w:lineRule="auto"/>
        <w:jc w:val="both"/>
        <w:rPr>
          <w:lang w:val="en-US"/>
        </w:rPr>
      </w:pPr>
    </w:p>
    <w:p w:rsidR="000A2DCC" w:rsidRDefault="000A2DCC">
      <w:pPr>
        <w:rPr>
          <w:lang w:val="en-US"/>
        </w:rPr>
      </w:pPr>
      <w:r>
        <w:rPr>
          <w:lang w:val="en-US"/>
        </w:rPr>
        <w:br w:type="page"/>
      </w:r>
    </w:p>
    <w:p w:rsidR="00B66CBD" w:rsidRDefault="00606A57" w:rsidP="00F06FEB">
      <w:pPr>
        <w:spacing w:line="360" w:lineRule="auto"/>
        <w:jc w:val="both"/>
        <w:rPr>
          <w:lang w:val="en-US"/>
        </w:rPr>
      </w:pPr>
      <w:r>
        <w:rPr>
          <w:lang w:val="en-US"/>
        </w:rPr>
        <w:t xml:space="preserve">From the performance hypothesis only hypothesis 4 is confirmed with a significant positive influence on performance. Surprisingly, </w:t>
      </w:r>
      <w:r w:rsidR="003107DA">
        <w:rPr>
          <w:lang w:val="en-US"/>
        </w:rPr>
        <w:t xml:space="preserve">the coefficients that describe </w:t>
      </w:r>
      <w:r>
        <w:rPr>
          <w:lang w:val="en-US"/>
        </w:rPr>
        <w:t xml:space="preserve">hypothesis 5 and 7 are significantly negative. </w:t>
      </w:r>
      <w:r w:rsidR="003107DA">
        <w:rPr>
          <w:lang w:val="en-US"/>
        </w:rPr>
        <w:t>The coefficient that describes h</w:t>
      </w:r>
      <w:r>
        <w:rPr>
          <w:lang w:val="en-US"/>
        </w:rPr>
        <w:t>ypothesis 6 is negative</w:t>
      </w:r>
      <w:r w:rsidR="003107DA">
        <w:rPr>
          <w:lang w:val="en-US"/>
        </w:rPr>
        <w:t xml:space="preserve"> too,</w:t>
      </w:r>
      <w:r>
        <w:rPr>
          <w:lang w:val="en-US"/>
        </w:rPr>
        <w:t xml:space="preserve"> but only significant at the 10% level.</w:t>
      </w:r>
    </w:p>
    <w:p w:rsidR="00FD2332" w:rsidRDefault="00D93480" w:rsidP="00F06FEB">
      <w:pPr>
        <w:spacing w:line="360" w:lineRule="auto"/>
        <w:jc w:val="both"/>
        <w:rPr>
          <w:lang w:val="en-US"/>
        </w:rPr>
      </w:pPr>
      <w:r>
        <w:rPr>
          <w:lang w:val="en-US"/>
        </w:rPr>
        <w:t>R</w:t>
      </w:r>
      <w:r w:rsidR="00491F17">
        <w:rPr>
          <w:lang w:val="en-US"/>
        </w:rPr>
        <w:t xml:space="preserve">unning separate regressions for the smaller, altruistic charities and the more professional operating charities I find some mixed results. CBF certification is positive and significant for the altruistic charities but insignificant for the professional charities. </w:t>
      </w:r>
    </w:p>
    <w:p w:rsidR="00491F17" w:rsidRDefault="00491F17" w:rsidP="00F06FEB">
      <w:pPr>
        <w:spacing w:line="360" w:lineRule="auto"/>
        <w:jc w:val="both"/>
        <w:rPr>
          <w:lang w:val="en-US"/>
        </w:rPr>
      </w:pPr>
    </w:p>
    <w:p w:rsidR="00D33788" w:rsidRDefault="00E45D6E" w:rsidP="00EC0466">
      <w:pPr>
        <w:spacing w:line="360" w:lineRule="auto"/>
        <w:jc w:val="both"/>
        <w:rPr>
          <w:lang w:val="en-US"/>
        </w:rPr>
      </w:pPr>
      <w:r>
        <w:rPr>
          <w:lang w:val="en-US"/>
        </w:rPr>
        <w:t xml:space="preserve">This thesis </w:t>
      </w:r>
      <w:r w:rsidR="00C4105F">
        <w:rPr>
          <w:lang w:val="en-US"/>
        </w:rPr>
        <w:t xml:space="preserve">roughly follows the same lines as the </w:t>
      </w:r>
      <w:r w:rsidR="00800972">
        <w:rPr>
          <w:lang w:val="en-US"/>
        </w:rPr>
        <w:t>above summary</w:t>
      </w:r>
      <w:r w:rsidR="001565DE">
        <w:rPr>
          <w:lang w:val="en-US"/>
        </w:rPr>
        <w:t>,</w:t>
      </w:r>
      <w:r w:rsidR="00C4105F">
        <w:rPr>
          <w:lang w:val="en-US"/>
        </w:rPr>
        <w:t xml:space="preserve"> </w:t>
      </w:r>
      <w:r w:rsidR="001565DE">
        <w:rPr>
          <w:lang w:val="en-US"/>
        </w:rPr>
        <w:t>s</w:t>
      </w:r>
      <w:r>
        <w:rPr>
          <w:lang w:val="en-US"/>
        </w:rPr>
        <w:t>tart</w:t>
      </w:r>
      <w:r w:rsidR="00800972">
        <w:rPr>
          <w:lang w:val="en-US"/>
        </w:rPr>
        <w:t>ing</w:t>
      </w:r>
      <w:r>
        <w:rPr>
          <w:lang w:val="en-US"/>
        </w:rPr>
        <w:t xml:space="preserve"> by outlining the Dut</w:t>
      </w:r>
      <w:r w:rsidR="00C34CEB">
        <w:rPr>
          <w:lang w:val="en-US"/>
        </w:rPr>
        <w:t xml:space="preserve">ch charity sector in </w:t>
      </w:r>
      <w:r w:rsidR="001565DE">
        <w:rPr>
          <w:lang w:val="en-US"/>
        </w:rPr>
        <w:t>S</w:t>
      </w:r>
      <w:r w:rsidR="00C34CEB">
        <w:rPr>
          <w:lang w:val="en-US"/>
        </w:rPr>
        <w:t>ection II</w:t>
      </w:r>
      <w:r>
        <w:rPr>
          <w:lang w:val="en-US"/>
        </w:rPr>
        <w:t xml:space="preserve">. Section III continues with a description of the current governance </w:t>
      </w:r>
      <w:r w:rsidR="000403B9">
        <w:rPr>
          <w:lang w:val="en-US"/>
        </w:rPr>
        <w:t>practices</w:t>
      </w:r>
      <w:r>
        <w:rPr>
          <w:lang w:val="en-US"/>
        </w:rPr>
        <w:t xml:space="preserve"> for charities</w:t>
      </w:r>
      <w:r w:rsidR="0032015C">
        <w:rPr>
          <w:lang w:val="en-US"/>
        </w:rPr>
        <w:t xml:space="preserve"> in The Netherlands</w:t>
      </w:r>
      <w:r>
        <w:rPr>
          <w:lang w:val="en-US"/>
        </w:rPr>
        <w:t xml:space="preserve">. In section IV I will review relevant literature on a variety of governance </w:t>
      </w:r>
      <w:r w:rsidR="00D25D10">
        <w:rPr>
          <w:lang w:val="en-US"/>
        </w:rPr>
        <w:t xml:space="preserve">related </w:t>
      </w:r>
      <w:r>
        <w:rPr>
          <w:lang w:val="en-US"/>
        </w:rPr>
        <w:t>subject and section V will give my own research into the performance of Dutch charities.</w:t>
      </w:r>
      <w:r w:rsidR="00D002DE">
        <w:rPr>
          <w:lang w:val="en-US"/>
        </w:rPr>
        <w:t xml:space="preserve"> In section VI I will conclude my findings on my own research and propose ideas for</w:t>
      </w:r>
      <w:r w:rsidR="004F79E9">
        <w:rPr>
          <w:lang w:val="en-US"/>
        </w:rPr>
        <w:t xml:space="preserve"> additional</w:t>
      </w:r>
      <w:r w:rsidR="00D002DE">
        <w:rPr>
          <w:lang w:val="en-US"/>
        </w:rPr>
        <w:t xml:space="preserve"> future research.</w:t>
      </w:r>
    </w:p>
    <w:p w:rsidR="00D33788" w:rsidRDefault="00D33788" w:rsidP="00EC0466">
      <w:pPr>
        <w:spacing w:line="360" w:lineRule="auto"/>
        <w:jc w:val="both"/>
        <w:rPr>
          <w:lang w:val="en-US"/>
        </w:rPr>
      </w:pPr>
    </w:p>
    <w:p w:rsidR="00977704" w:rsidRDefault="00977704" w:rsidP="00EC0466">
      <w:pPr>
        <w:spacing w:line="360" w:lineRule="auto"/>
        <w:jc w:val="both"/>
        <w:rPr>
          <w:lang w:val="en-US"/>
        </w:rPr>
      </w:pPr>
      <w:r>
        <w:rPr>
          <w:lang w:val="en-US"/>
        </w:rPr>
        <w:br w:type="page"/>
      </w:r>
    </w:p>
    <w:p w:rsidR="00977704" w:rsidRDefault="00977704" w:rsidP="00977704">
      <w:pPr>
        <w:pStyle w:val="Heading1"/>
        <w:spacing w:before="240" w:line="360" w:lineRule="auto"/>
        <w:rPr>
          <w:lang w:val="en-US"/>
        </w:rPr>
      </w:pPr>
      <w:bookmarkStart w:id="4" w:name="_Toc299180689"/>
      <w:r>
        <w:rPr>
          <w:lang w:val="en-US"/>
        </w:rPr>
        <w:t xml:space="preserve">II: The </w:t>
      </w:r>
      <w:r w:rsidR="008B252C">
        <w:rPr>
          <w:lang w:val="en-US"/>
        </w:rPr>
        <w:t xml:space="preserve">Dutch </w:t>
      </w:r>
      <w:r>
        <w:rPr>
          <w:lang w:val="en-US"/>
        </w:rPr>
        <w:t>charity sector</w:t>
      </w:r>
      <w:bookmarkEnd w:id="4"/>
    </w:p>
    <w:p w:rsidR="00153C92" w:rsidRDefault="00153C92" w:rsidP="00DE29B4">
      <w:pPr>
        <w:spacing w:line="360" w:lineRule="auto"/>
        <w:jc w:val="both"/>
        <w:rPr>
          <w:lang w:val="en-US"/>
        </w:rPr>
      </w:pPr>
    </w:p>
    <w:p w:rsidR="00D42B2D" w:rsidRDefault="00977704" w:rsidP="00DE29B4">
      <w:pPr>
        <w:spacing w:line="360" w:lineRule="auto"/>
        <w:jc w:val="both"/>
        <w:rPr>
          <w:lang w:val="en-US"/>
        </w:rPr>
      </w:pPr>
      <w:r>
        <w:rPr>
          <w:lang w:val="en-US"/>
        </w:rPr>
        <w:t xml:space="preserve">Before </w:t>
      </w:r>
      <w:r w:rsidR="00482364">
        <w:rPr>
          <w:lang w:val="en-US"/>
        </w:rPr>
        <w:t>looking in to</w:t>
      </w:r>
      <w:r>
        <w:rPr>
          <w:lang w:val="en-US"/>
        </w:rPr>
        <w:t xml:space="preserve"> </w:t>
      </w:r>
      <w:r w:rsidR="009511FA">
        <w:rPr>
          <w:lang w:val="en-US"/>
        </w:rPr>
        <w:t xml:space="preserve">the </w:t>
      </w:r>
      <w:r>
        <w:rPr>
          <w:lang w:val="en-US"/>
        </w:rPr>
        <w:t xml:space="preserve">governance </w:t>
      </w:r>
      <w:r w:rsidR="009511FA">
        <w:rPr>
          <w:lang w:val="en-US"/>
        </w:rPr>
        <w:t xml:space="preserve">of charities </w:t>
      </w:r>
      <w:r>
        <w:rPr>
          <w:lang w:val="en-US"/>
        </w:rPr>
        <w:t xml:space="preserve">it’s important to have a clear picture </w:t>
      </w:r>
      <w:r w:rsidR="009511FA">
        <w:rPr>
          <w:lang w:val="en-US"/>
        </w:rPr>
        <w:t xml:space="preserve">on how the </w:t>
      </w:r>
      <w:r w:rsidRPr="00DE4383">
        <w:rPr>
          <w:lang w:val="en-US"/>
        </w:rPr>
        <w:t>charity sector</w:t>
      </w:r>
      <w:r w:rsidR="009511FA" w:rsidRPr="00DE4383">
        <w:rPr>
          <w:lang w:val="en-US"/>
        </w:rPr>
        <w:t xml:space="preserve"> is organized.</w:t>
      </w:r>
      <w:r w:rsidRPr="00DE4383">
        <w:rPr>
          <w:lang w:val="en-US"/>
        </w:rPr>
        <w:t xml:space="preserve"> </w:t>
      </w:r>
      <w:r w:rsidR="00482364">
        <w:rPr>
          <w:lang w:val="en-US"/>
        </w:rPr>
        <w:t>T</w:t>
      </w:r>
      <w:r w:rsidRPr="00DE4383">
        <w:rPr>
          <w:lang w:val="en-US"/>
        </w:rPr>
        <w:t xml:space="preserve">his section will </w:t>
      </w:r>
      <w:r w:rsidR="00482364">
        <w:rPr>
          <w:lang w:val="en-US"/>
        </w:rPr>
        <w:t>provide</w:t>
      </w:r>
      <w:r w:rsidRPr="00DE4383">
        <w:rPr>
          <w:lang w:val="en-US"/>
        </w:rPr>
        <w:t xml:space="preserve"> an overview of the </w:t>
      </w:r>
      <w:r w:rsidR="008D4A3D" w:rsidRPr="00DE4383">
        <w:rPr>
          <w:lang w:val="en-US"/>
        </w:rPr>
        <w:t>facts and figures of the charity sector in The Netherlands.</w:t>
      </w:r>
      <w:r w:rsidR="00D42B2D" w:rsidRPr="00DE4383">
        <w:rPr>
          <w:lang w:val="en-US"/>
        </w:rPr>
        <w:t xml:space="preserve"> </w:t>
      </w:r>
      <w:r w:rsidR="008B252C" w:rsidRPr="00DE4383">
        <w:rPr>
          <w:lang w:val="en-US"/>
        </w:rPr>
        <w:t xml:space="preserve">The main source of data is the Central Bureau </w:t>
      </w:r>
      <w:r w:rsidR="00153C92" w:rsidRPr="00DE4383">
        <w:rPr>
          <w:lang w:val="en-US"/>
        </w:rPr>
        <w:t>on</w:t>
      </w:r>
      <w:r w:rsidR="008B252C" w:rsidRPr="00DE4383">
        <w:rPr>
          <w:lang w:val="en-US"/>
        </w:rPr>
        <w:t xml:space="preserve"> Fundraising (CBF</w:t>
      </w:r>
      <w:r w:rsidR="00D42B2D" w:rsidRPr="00DE4383">
        <w:rPr>
          <w:lang w:val="en-US"/>
        </w:rPr>
        <w:t>)</w:t>
      </w:r>
      <w:r w:rsidR="00002A80" w:rsidRPr="00DE4383">
        <w:rPr>
          <w:lang w:val="en-US"/>
        </w:rPr>
        <w:t xml:space="preserve"> (also see section </w:t>
      </w:r>
      <w:r w:rsidR="00C308C1" w:rsidRPr="00DE4383">
        <w:rPr>
          <w:lang w:val="en-US"/>
        </w:rPr>
        <w:t>II</w:t>
      </w:r>
      <w:r w:rsidR="00002A80" w:rsidRPr="00DE4383">
        <w:rPr>
          <w:lang w:val="en-US"/>
        </w:rPr>
        <w:t>.2)</w:t>
      </w:r>
      <w:r w:rsidR="00D42B2D" w:rsidRPr="00DE4383">
        <w:rPr>
          <w:lang w:val="en-US"/>
        </w:rPr>
        <w:t xml:space="preserve">. </w:t>
      </w:r>
      <w:r w:rsidR="00225DEA" w:rsidRPr="00DE4383">
        <w:rPr>
          <w:lang w:val="en-US"/>
        </w:rPr>
        <w:t>The data for the various graphs, as well as other figures, can be found in appendix I.</w:t>
      </w:r>
    </w:p>
    <w:p w:rsidR="00977704" w:rsidRDefault="00977704" w:rsidP="008B252C">
      <w:pPr>
        <w:spacing w:line="360" w:lineRule="auto"/>
        <w:rPr>
          <w:lang w:val="en-US"/>
        </w:rPr>
      </w:pPr>
    </w:p>
    <w:p w:rsidR="00CD2E0B" w:rsidRDefault="00F55A4D" w:rsidP="00CD2E0B">
      <w:pPr>
        <w:pStyle w:val="Heading2"/>
        <w:spacing w:before="120" w:line="360" w:lineRule="auto"/>
        <w:rPr>
          <w:lang w:val="en-US"/>
        </w:rPr>
      </w:pPr>
      <w:bookmarkStart w:id="5" w:name="_Toc299180690"/>
      <w:r>
        <w:rPr>
          <w:lang w:val="en-US"/>
        </w:rPr>
        <w:t>II.1</w:t>
      </w:r>
      <w:r>
        <w:rPr>
          <w:lang w:val="en-US"/>
        </w:rPr>
        <w:tab/>
      </w:r>
      <w:r w:rsidR="00CD2E0B">
        <w:rPr>
          <w:lang w:val="en-US"/>
        </w:rPr>
        <w:t>Facts and figures</w:t>
      </w:r>
      <w:bookmarkEnd w:id="5"/>
    </w:p>
    <w:p w:rsidR="00F55A4D" w:rsidRDefault="00482364" w:rsidP="00DE29B4">
      <w:pPr>
        <w:spacing w:line="360" w:lineRule="auto"/>
        <w:jc w:val="both"/>
        <w:rPr>
          <w:lang w:val="en-US"/>
        </w:rPr>
      </w:pPr>
      <w:r>
        <w:rPr>
          <w:lang w:val="en-US"/>
        </w:rPr>
        <w:t>In order to create a clear picture this section</w:t>
      </w:r>
      <w:r w:rsidR="00D824C0">
        <w:rPr>
          <w:lang w:val="en-US"/>
        </w:rPr>
        <w:t xml:space="preserve"> will provide an outline of the Dutch charity sector by looking at the amount of organizations, </w:t>
      </w:r>
      <w:r w:rsidR="00C96D0E">
        <w:rPr>
          <w:lang w:val="en-US"/>
        </w:rPr>
        <w:t>what</w:t>
      </w:r>
      <w:r>
        <w:rPr>
          <w:lang w:val="en-US"/>
        </w:rPr>
        <w:t xml:space="preserve"> category</w:t>
      </w:r>
      <w:r w:rsidR="00810244">
        <w:rPr>
          <w:lang w:val="en-US"/>
        </w:rPr>
        <w:t xml:space="preserve"> or</w:t>
      </w:r>
      <w:r w:rsidR="004F79E9">
        <w:rPr>
          <w:lang w:val="en-US"/>
        </w:rPr>
        <w:t>,</w:t>
      </w:r>
      <w:r w:rsidR="00C96D0E">
        <w:rPr>
          <w:lang w:val="en-US"/>
        </w:rPr>
        <w:t xml:space="preserve"> area </w:t>
      </w:r>
      <w:r w:rsidR="004F79E9">
        <w:rPr>
          <w:lang w:val="en-US"/>
        </w:rPr>
        <w:t xml:space="preserve">of activities, </w:t>
      </w:r>
      <w:r w:rsidR="00C96D0E">
        <w:rPr>
          <w:lang w:val="en-US"/>
        </w:rPr>
        <w:t>they focus on, how much</w:t>
      </w:r>
      <w:r w:rsidR="00D824C0">
        <w:rPr>
          <w:lang w:val="en-US"/>
        </w:rPr>
        <w:t xml:space="preserve"> money</w:t>
      </w:r>
      <w:r w:rsidR="00C96D0E">
        <w:rPr>
          <w:lang w:val="en-US"/>
        </w:rPr>
        <w:t xml:space="preserve"> is involved</w:t>
      </w:r>
      <w:r w:rsidR="00DE29B4">
        <w:rPr>
          <w:lang w:val="en-US"/>
        </w:rPr>
        <w:t xml:space="preserve"> in the charity sector, w</w:t>
      </w:r>
      <w:r w:rsidR="00B030DD">
        <w:rPr>
          <w:lang w:val="en-US"/>
        </w:rPr>
        <w:t>here the money comes from and how it is distributed.</w:t>
      </w:r>
      <w:r w:rsidR="006B0248">
        <w:rPr>
          <w:lang w:val="en-US"/>
        </w:rPr>
        <w:t xml:space="preserve"> </w:t>
      </w:r>
    </w:p>
    <w:p w:rsidR="00F03697" w:rsidRDefault="00F03697" w:rsidP="00DE29B4">
      <w:pPr>
        <w:spacing w:line="360" w:lineRule="auto"/>
        <w:jc w:val="both"/>
        <w:rPr>
          <w:lang w:val="en-US"/>
        </w:rPr>
      </w:pPr>
    </w:p>
    <w:p w:rsidR="006F4997" w:rsidRPr="00465BB2" w:rsidRDefault="006F4997" w:rsidP="00DE29B4">
      <w:pPr>
        <w:spacing w:line="360" w:lineRule="auto"/>
        <w:jc w:val="both"/>
        <w:rPr>
          <w:rFonts w:ascii="ScalaSans-Caps" w:hAnsi="ScalaSans-Caps"/>
          <w:b/>
          <w:lang w:val="en-US"/>
        </w:rPr>
      </w:pPr>
      <w:r w:rsidRPr="00465BB2">
        <w:rPr>
          <w:rFonts w:ascii="ScalaSans-Caps" w:hAnsi="ScalaSans-Caps"/>
          <w:b/>
          <w:lang w:val="en-US"/>
        </w:rPr>
        <w:t>Charity organizations</w:t>
      </w:r>
    </w:p>
    <w:p w:rsidR="00CD2E0B" w:rsidRDefault="00D824C0" w:rsidP="00DE29B4">
      <w:pPr>
        <w:spacing w:line="360" w:lineRule="auto"/>
        <w:jc w:val="both"/>
        <w:rPr>
          <w:lang w:val="en-US"/>
        </w:rPr>
      </w:pPr>
      <w:r>
        <w:rPr>
          <w:lang w:val="en-US"/>
        </w:rPr>
        <w:t>The CBF database contains over 1.2</w:t>
      </w:r>
      <w:r w:rsidR="00321028">
        <w:rPr>
          <w:lang w:val="en-US"/>
        </w:rPr>
        <w:t>5</w:t>
      </w:r>
      <w:r>
        <w:rPr>
          <w:lang w:val="en-US"/>
        </w:rPr>
        <w:t xml:space="preserve">0 different charity organizations, </w:t>
      </w:r>
      <w:r w:rsidR="009A4F3E">
        <w:rPr>
          <w:lang w:val="en-US"/>
        </w:rPr>
        <w:t>ranging from multi-million euro organizations to organizations that have ju</w:t>
      </w:r>
      <w:r w:rsidR="00C20904">
        <w:rPr>
          <w:lang w:val="en-US"/>
        </w:rPr>
        <w:t>st a few thousand euro to spend and a</w:t>
      </w:r>
      <w:r w:rsidR="009A4F3E">
        <w:rPr>
          <w:lang w:val="en-US"/>
        </w:rPr>
        <w:t>ctivities that range from the promotion of human rights across the planet to highly localized development projects.</w:t>
      </w:r>
      <w:r>
        <w:rPr>
          <w:lang w:val="en-US"/>
        </w:rPr>
        <w:t xml:space="preserve"> </w:t>
      </w:r>
      <w:r w:rsidR="00C02F3F">
        <w:rPr>
          <w:lang w:val="en-US"/>
        </w:rPr>
        <w:t xml:space="preserve">To provide an overview of all these activities and goals they have been defined in to four </w:t>
      </w:r>
      <w:r w:rsidR="00C02F3F" w:rsidRPr="00DE4383">
        <w:rPr>
          <w:lang w:val="en-US"/>
        </w:rPr>
        <w:t>broad categories</w:t>
      </w:r>
      <w:r w:rsidR="009A4F3E" w:rsidRPr="00DE4383">
        <w:rPr>
          <w:lang w:val="en-US"/>
        </w:rPr>
        <w:t xml:space="preserve"> </w:t>
      </w:r>
      <w:r w:rsidR="00321028" w:rsidRPr="00DE4383">
        <w:rPr>
          <w:lang w:val="en-US"/>
        </w:rPr>
        <w:t xml:space="preserve">. Figure 1 shows the </w:t>
      </w:r>
      <w:r w:rsidR="002D101A" w:rsidRPr="00DE4383">
        <w:rPr>
          <w:lang w:val="en-US"/>
        </w:rPr>
        <w:t xml:space="preserve">number </w:t>
      </w:r>
      <w:r w:rsidR="00321028" w:rsidRPr="00DE4383">
        <w:rPr>
          <w:lang w:val="en-US"/>
        </w:rPr>
        <w:t xml:space="preserve">of organizations per </w:t>
      </w:r>
      <w:r w:rsidR="00C02F3F" w:rsidRPr="00DE4383">
        <w:rPr>
          <w:lang w:val="en-US"/>
        </w:rPr>
        <w:t>category</w:t>
      </w:r>
      <w:r w:rsidR="00321028" w:rsidRPr="00DE4383">
        <w:rPr>
          <w:lang w:val="en-US"/>
        </w:rPr>
        <w:t>.</w:t>
      </w:r>
      <w:r w:rsidR="003A4B1A" w:rsidRPr="00DE4383">
        <w:rPr>
          <w:lang w:val="en-US"/>
        </w:rPr>
        <w:t xml:space="preserve"> The data can be found in appendix 1</w:t>
      </w:r>
      <w:r w:rsidR="00796D93" w:rsidRPr="00DE4383">
        <w:rPr>
          <w:lang w:val="en-US"/>
        </w:rPr>
        <w:t>a</w:t>
      </w:r>
      <w:r w:rsidR="00816F9A" w:rsidRPr="00DE4383">
        <w:rPr>
          <w:lang w:val="en-US"/>
        </w:rPr>
        <w:t>, as well as a more detailed outline of the different categories</w:t>
      </w:r>
      <w:r w:rsidR="003A4B1A" w:rsidRPr="00DE4383">
        <w:rPr>
          <w:lang w:val="en-US"/>
        </w:rPr>
        <w:t>.</w:t>
      </w:r>
    </w:p>
    <w:p w:rsidR="00D25D10" w:rsidRDefault="00D25D10" w:rsidP="00DE29B4">
      <w:pPr>
        <w:spacing w:line="360" w:lineRule="auto"/>
        <w:jc w:val="both"/>
        <w:rPr>
          <w:lang w:val="en-US"/>
        </w:rPr>
      </w:pPr>
    </w:p>
    <w:p w:rsidR="00321028" w:rsidRDefault="002800DD" w:rsidP="00321028">
      <w:pPr>
        <w:spacing w:line="360" w:lineRule="auto"/>
        <w:jc w:val="center"/>
        <w:rPr>
          <w:lang w:val="en-US"/>
        </w:rPr>
      </w:pPr>
      <w:r w:rsidRPr="002800DD">
        <w:rPr>
          <w:noProof/>
          <w:lang w:val="en-US"/>
        </w:rPr>
        <w:pict>
          <v:shapetype id="_x0000_t202" coordsize="21600,21600" o:spt="202" path="m,l,21600r21600,l21600,xe">
            <v:stroke joinstyle="miter"/>
            <v:path gradientshapeok="t" o:connecttype="rect"/>
          </v:shapetype>
          <v:shape id="_x0000_s1026" type="#_x0000_t202" style="position:absolute;left:0;text-align:left;margin-left:339.3pt;margin-top:152.8pt;width:53.2pt;height:20.65pt;z-index:251660288;mso-height-percent:200;mso-height-percent:200;mso-width-relative:margin;mso-height-relative:margin" stroked="f">
            <v:textbox style="mso-fit-shape-to-text:t">
              <w:txbxContent>
                <w:p w:rsidR="002C07A4" w:rsidRPr="004F79E9" w:rsidRDefault="002C07A4">
                  <w:pPr>
                    <w:rPr>
                      <w:i/>
                      <w:lang w:val="en-US"/>
                    </w:rPr>
                  </w:pPr>
                  <w:r w:rsidRPr="004F79E9">
                    <w:rPr>
                      <w:i/>
                      <w:lang w:val="en-US"/>
                    </w:rPr>
                    <w:t>Figure 1</w:t>
                  </w:r>
                </w:p>
              </w:txbxContent>
            </v:textbox>
          </v:shape>
        </w:pict>
      </w:r>
      <w:r w:rsidR="00321028" w:rsidRPr="00321028">
        <w:rPr>
          <w:noProof/>
          <w:lang w:eastAsia="nl-NL"/>
        </w:rPr>
        <w:drawing>
          <wp:inline distT="0" distB="0" distL="0" distR="0">
            <wp:extent cx="4257675" cy="2305050"/>
            <wp:effectExtent l="19050" t="0" r="9525" b="0"/>
            <wp:docPr id="2"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25D10" w:rsidRDefault="00D25D10">
      <w:pPr>
        <w:rPr>
          <w:lang w:val="en-US"/>
        </w:rPr>
      </w:pPr>
      <w:r>
        <w:rPr>
          <w:lang w:val="en-US"/>
        </w:rPr>
        <w:br w:type="page"/>
      </w:r>
    </w:p>
    <w:p w:rsidR="00CD2E0B" w:rsidRDefault="00141605" w:rsidP="00DE29B4">
      <w:pPr>
        <w:spacing w:line="360" w:lineRule="auto"/>
        <w:jc w:val="both"/>
        <w:rPr>
          <w:lang w:val="en-US"/>
        </w:rPr>
      </w:pPr>
      <w:r>
        <w:rPr>
          <w:lang w:val="en-US"/>
        </w:rPr>
        <w:t xml:space="preserve">For most </w:t>
      </w:r>
      <w:r w:rsidR="00BD7C06">
        <w:rPr>
          <w:lang w:val="en-US"/>
        </w:rPr>
        <w:t>categories</w:t>
      </w:r>
      <w:r>
        <w:rPr>
          <w:lang w:val="en-US"/>
        </w:rPr>
        <w:t xml:space="preserve"> it’s self-evident what the charities focus on, however, for the general welfare </w:t>
      </w:r>
      <w:r w:rsidR="00BD7C06">
        <w:rPr>
          <w:lang w:val="en-US"/>
        </w:rPr>
        <w:t>category</w:t>
      </w:r>
      <w:r>
        <w:rPr>
          <w:lang w:val="en-US"/>
        </w:rPr>
        <w:t xml:space="preserve"> this might not be so clear. The general welfare </w:t>
      </w:r>
      <w:r w:rsidR="00BD7C06">
        <w:rPr>
          <w:lang w:val="en-US"/>
        </w:rPr>
        <w:t>category</w:t>
      </w:r>
      <w:r>
        <w:rPr>
          <w:lang w:val="en-US"/>
        </w:rPr>
        <w:t xml:space="preserve"> is a mix of charities that operate both national and international with different goals</w:t>
      </w:r>
      <w:r w:rsidR="00BD7C06">
        <w:rPr>
          <w:lang w:val="en-US"/>
        </w:rPr>
        <w:t xml:space="preserve"> such as</w:t>
      </w:r>
      <w:r>
        <w:rPr>
          <w:lang w:val="en-US"/>
        </w:rPr>
        <w:t xml:space="preserve">, sports, culture, human rights, education and </w:t>
      </w:r>
      <w:r w:rsidR="00E51D22">
        <w:rPr>
          <w:lang w:val="en-US"/>
        </w:rPr>
        <w:t>religion.</w:t>
      </w:r>
      <w:r>
        <w:rPr>
          <w:lang w:val="en-US"/>
        </w:rPr>
        <w:t xml:space="preserve"> As you can see, the international aid sector has the most organizations, this can be explained by the fact that there are a lot of small charities that help in very specific countries, regions or even villages. </w:t>
      </w:r>
    </w:p>
    <w:p w:rsidR="00321028" w:rsidRDefault="00321028" w:rsidP="008B252C">
      <w:pPr>
        <w:spacing w:line="360" w:lineRule="auto"/>
        <w:rPr>
          <w:lang w:val="en-US"/>
        </w:rPr>
      </w:pPr>
    </w:p>
    <w:p w:rsidR="00321028" w:rsidRPr="00465BB2" w:rsidRDefault="00BD7C06" w:rsidP="008B252C">
      <w:pPr>
        <w:spacing w:line="360" w:lineRule="auto"/>
        <w:rPr>
          <w:rFonts w:ascii="ScalaSans-Caps" w:hAnsi="ScalaSans-Caps"/>
          <w:b/>
          <w:lang w:val="en-US"/>
        </w:rPr>
      </w:pPr>
      <w:r w:rsidRPr="00465BB2">
        <w:rPr>
          <w:rFonts w:ascii="ScalaSans-Caps" w:hAnsi="ScalaSans-Caps"/>
          <w:b/>
          <w:lang w:val="en-US"/>
        </w:rPr>
        <w:t>Charity funding</w:t>
      </w:r>
    </w:p>
    <w:p w:rsidR="00D535BF" w:rsidRDefault="00BD7C06" w:rsidP="00DE29B4">
      <w:pPr>
        <w:spacing w:line="360" w:lineRule="auto"/>
        <w:jc w:val="both"/>
        <w:rPr>
          <w:lang w:val="en-US"/>
        </w:rPr>
      </w:pPr>
      <w:r w:rsidRPr="00DE4383">
        <w:rPr>
          <w:lang w:val="en-US"/>
        </w:rPr>
        <w:t xml:space="preserve">In 2009 the total income of charity funds was over 3,6 billion euro, which is </w:t>
      </w:r>
      <w:r w:rsidR="00DE29B4" w:rsidRPr="00DE4383">
        <w:rPr>
          <w:lang w:val="en-US"/>
        </w:rPr>
        <w:t xml:space="preserve">just over </w:t>
      </w:r>
      <w:r w:rsidRPr="00DE4383">
        <w:rPr>
          <w:lang w:val="en-US"/>
        </w:rPr>
        <w:t>half a percent of the Dutch GDP</w:t>
      </w:r>
      <w:r w:rsidR="00DE29B4" w:rsidRPr="00DE4383">
        <w:rPr>
          <w:lang w:val="en-US"/>
        </w:rPr>
        <w:t>.</w:t>
      </w:r>
      <w:r w:rsidR="00D535BF" w:rsidRPr="00DE4383">
        <w:rPr>
          <w:lang w:val="en-US"/>
        </w:rPr>
        <w:t xml:space="preserve"> Figure 2</w:t>
      </w:r>
      <w:r w:rsidR="003A4B1A" w:rsidRPr="00DE4383">
        <w:rPr>
          <w:lang w:val="en-US"/>
        </w:rPr>
        <w:t xml:space="preserve"> (data in appendix 1</w:t>
      </w:r>
      <w:r w:rsidR="00796D93" w:rsidRPr="00DE4383">
        <w:rPr>
          <w:lang w:val="en-US"/>
        </w:rPr>
        <w:t>b</w:t>
      </w:r>
      <w:r w:rsidR="003A4B1A" w:rsidRPr="00DE4383">
        <w:rPr>
          <w:lang w:val="en-US"/>
        </w:rPr>
        <w:t>)</w:t>
      </w:r>
      <w:r w:rsidR="00D535BF" w:rsidRPr="00DE4383">
        <w:rPr>
          <w:lang w:val="en-US"/>
        </w:rPr>
        <w:t xml:space="preserve"> below shows the 5 year historical income, divided over the different categories mentioned </w:t>
      </w:r>
      <w:r w:rsidR="00225DEA" w:rsidRPr="00DE4383">
        <w:rPr>
          <w:lang w:val="en-US"/>
        </w:rPr>
        <w:t>above.</w:t>
      </w:r>
    </w:p>
    <w:p w:rsidR="00D535BF" w:rsidRDefault="002800DD" w:rsidP="00D535BF">
      <w:pPr>
        <w:spacing w:line="360" w:lineRule="auto"/>
        <w:jc w:val="center"/>
        <w:rPr>
          <w:lang w:val="en-US"/>
        </w:rPr>
      </w:pPr>
      <w:r w:rsidRPr="002800DD">
        <w:rPr>
          <w:noProof/>
          <w:lang w:val="en-US"/>
        </w:rPr>
        <w:pict>
          <v:shape id="_x0000_s1031" type="#_x0000_t202" style="position:absolute;left:0;text-align:left;margin-left:340.75pt;margin-top:187.95pt;width:57.7pt;height:20.65pt;z-index:251664384;mso-height-percent:200;mso-height-percent:200;mso-width-relative:margin;mso-height-relative:margin" stroked="f">
            <v:textbox style="mso-fit-shape-to-text:t">
              <w:txbxContent>
                <w:p w:rsidR="002C07A4" w:rsidRPr="004F79E9" w:rsidRDefault="002C07A4">
                  <w:pPr>
                    <w:rPr>
                      <w:i/>
                      <w:lang w:val="en-US"/>
                    </w:rPr>
                  </w:pPr>
                  <w:r w:rsidRPr="004F79E9">
                    <w:rPr>
                      <w:i/>
                      <w:lang w:val="en-US"/>
                    </w:rPr>
                    <w:t>Figure 2</w:t>
                  </w:r>
                </w:p>
              </w:txbxContent>
            </v:textbox>
          </v:shape>
        </w:pict>
      </w:r>
      <w:r w:rsidR="00D535BF" w:rsidRPr="00D535BF">
        <w:rPr>
          <w:noProof/>
          <w:lang w:eastAsia="nl-NL"/>
        </w:rPr>
        <w:drawing>
          <wp:inline distT="0" distB="0" distL="0" distR="0">
            <wp:extent cx="4572000" cy="2743200"/>
            <wp:effectExtent l="19050" t="0" r="1905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25D10" w:rsidRDefault="00D535BF" w:rsidP="00DE29B4">
      <w:pPr>
        <w:spacing w:line="360" w:lineRule="auto"/>
        <w:jc w:val="both"/>
        <w:rPr>
          <w:lang w:val="en-US"/>
        </w:rPr>
      </w:pPr>
      <w:r>
        <w:rPr>
          <w:lang w:val="en-US"/>
        </w:rPr>
        <w:t>We see that the charity sector grew from 3 billion euro in 2005 to 3,6 billion euro in 2009, with a small decline in 2008, most likely due to the financial crisis.</w:t>
      </w:r>
      <w:r w:rsidR="00225DEA">
        <w:rPr>
          <w:lang w:val="en-US"/>
        </w:rPr>
        <w:t xml:space="preserve"> In line with the number of charities we see that the international aid and general welfare categories receive the most funds (combined 70%).</w:t>
      </w:r>
      <w:r>
        <w:rPr>
          <w:lang w:val="en-US"/>
        </w:rPr>
        <w:t xml:space="preserve"> </w:t>
      </w:r>
    </w:p>
    <w:p w:rsidR="00D25D10" w:rsidRDefault="00D25D10">
      <w:pPr>
        <w:rPr>
          <w:lang w:val="en-US"/>
        </w:rPr>
      </w:pPr>
      <w:r>
        <w:rPr>
          <w:lang w:val="en-US"/>
        </w:rPr>
        <w:br w:type="page"/>
      </w:r>
    </w:p>
    <w:p w:rsidR="00807760" w:rsidRDefault="00D535BF" w:rsidP="00DE29B4">
      <w:pPr>
        <w:spacing w:line="360" w:lineRule="auto"/>
        <w:jc w:val="both"/>
        <w:rPr>
          <w:lang w:val="en-US"/>
        </w:rPr>
      </w:pPr>
      <w:r w:rsidRPr="00DE4383">
        <w:rPr>
          <w:lang w:val="en-US"/>
        </w:rPr>
        <w:t xml:space="preserve">With an income of 3,6 billion it is interesting to know who </w:t>
      </w:r>
      <w:r w:rsidR="00412B75" w:rsidRPr="00DE4383">
        <w:rPr>
          <w:lang w:val="en-US"/>
        </w:rPr>
        <w:t>‘</w:t>
      </w:r>
      <w:r w:rsidRPr="00DE4383">
        <w:rPr>
          <w:lang w:val="en-US"/>
        </w:rPr>
        <w:t>provides</w:t>
      </w:r>
      <w:r w:rsidR="00412B75" w:rsidRPr="00DE4383">
        <w:rPr>
          <w:lang w:val="en-US"/>
        </w:rPr>
        <w:t>’</w:t>
      </w:r>
      <w:r w:rsidRPr="00DE4383">
        <w:rPr>
          <w:lang w:val="en-US"/>
        </w:rPr>
        <w:t xml:space="preserve"> this money,</w:t>
      </w:r>
      <w:r w:rsidR="00DE29B4" w:rsidRPr="00DE4383">
        <w:rPr>
          <w:lang w:val="en-US"/>
        </w:rPr>
        <w:t xml:space="preserve"> figure </w:t>
      </w:r>
      <w:r w:rsidRPr="00DE4383">
        <w:rPr>
          <w:lang w:val="en-US"/>
        </w:rPr>
        <w:t>3</w:t>
      </w:r>
      <w:r w:rsidR="00DE29B4" w:rsidRPr="00DE4383">
        <w:rPr>
          <w:lang w:val="en-US"/>
        </w:rPr>
        <w:t xml:space="preserve"> shows </w:t>
      </w:r>
      <w:r w:rsidRPr="00DE4383">
        <w:rPr>
          <w:lang w:val="en-US"/>
        </w:rPr>
        <w:t xml:space="preserve">the various </w:t>
      </w:r>
      <w:r w:rsidR="00DE29B4" w:rsidRPr="00DE4383">
        <w:rPr>
          <w:lang w:val="en-US"/>
        </w:rPr>
        <w:t xml:space="preserve">sources of income for charities </w:t>
      </w:r>
      <w:r w:rsidRPr="00DE4383">
        <w:rPr>
          <w:lang w:val="en-US"/>
        </w:rPr>
        <w:t>were in 2009</w:t>
      </w:r>
      <w:r w:rsidR="00DE29B4" w:rsidRPr="00DE4383">
        <w:rPr>
          <w:lang w:val="en-US"/>
        </w:rPr>
        <w:t>.</w:t>
      </w:r>
      <w:r w:rsidR="00751AAA" w:rsidRPr="00DE4383">
        <w:rPr>
          <w:lang w:val="en-US"/>
        </w:rPr>
        <w:t xml:space="preserve"> </w:t>
      </w:r>
      <w:r w:rsidR="003A4B1A" w:rsidRPr="00DE4383">
        <w:rPr>
          <w:lang w:val="en-US"/>
        </w:rPr>
        <w:t>Data for this graph, as well as for other years, can be found in appendix 1</w:t>
      </w:r>
      <w:r w:rsidR="00796D93" w:rsidRPr="00DE4383">
        <w:rPr>
          <w:lang w:val="en-US"/>
        </w:rPr>
        <w:t>c</w:t>
      </w:r>
      <w:r w:rsidR="003A4B1A" w:rsidRPr="00DE4383">
        <w:rPr>
          <w:lang w:val="en-US"/>
        </w:rPr>
        <w:t>.</w:t>
      </w:r>
      <w:r w:rsidR="004C49B2">
        <w:rPr>
          <w:lang w:val="en-US"/>
        </w:rPr>
        <w:t xml:space="preserve"> </w:t>
      </w:r>
    </w:p>
    <w:p w:rsidR="00DE29B4" w:rsidRDefault="002800DD" w:rsidP="00DE29B4">
      <w:pPr>
        <w:spacing w:line="360" w:lineRule="auto"/>
        <w:jc w:val="center"/>
        <w:rPr>
          <w:lang w:val="en-US"/>
        </w:rPr>
      </w:pPr>
      <w:r w:rsidRPr="002800DD">
        <w:rPr>
          <w:noProof/>
          <w:lang w:val="en-US"/>
        </w:rPr>
        <w:pict>
          <v:shape id="_x0000_s1027" type="#_x0000_t202" style="position:absolute;left:0;text-align:left;margin-left:360.55pt;margin-top:208.6pt;width:54.15pt;height:20.65pt;z-index:251662336;mso-height-percent:200;mso-height-percent:200;mso-width-relative:margin;mso-height-relative:margin" stroked="f">
            <v:textbox style="mso-next-textbox:#_x0000_s1027;mso-fit-shape-to-text:t">
              <w:txbxContent>
                <w:p w:rsidR="002C07A4" w:rsidRPr="004F79E9" w:rsidRDefault="002C07A4">
                  <w:pPr>
                    <w:rPr>
                      <w:i/>
                      <w:lang w:val="en-US"/>
                    </w:rPr>
                  </w:pPr>
                  <w:r w:rsidRPr="004F79E9">
                    <w:rPr>
                      <w:i/>
                      <w:lang w:val="en-US"/>
                    </w:rPr>
                    <w:t>Figure 3</w:t>
                  </w:r>
                </w:p>
              </w:txbxContent>
            </v:textbox>
          </v:shape>
        </w:pict>
      </w:r>
      <w:r w:rsidR="00807760" w:rsidRPr="00807760">
        <w:rPr>
          <w:noProof/>
          <w:lang w:eastAsia="nl-NL"/>
        </w:rPr>
        <w:drawing>
          <wp:inline distT="0" distB="0" distL="0" distR="0">
            <wp:extent cx="5229225" cy="2952750"/>
            <wp:effectExtent l="19050" t="0" r="9525" b="0"/>
            <wp:docPr id="12"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B40BA" w:rsidRDefault="000B40BA" w:rsidP="000B40BA">
      <w:pPr>
        <w:spacing w:line="360" w:lineRule="auto"/>
        <w:rPr>
          <w:lang w:val="en-US"/>
        </w:rPr>
      </w:pPr>
    </w:p>
    <w:p w:rsidR="00CD2E0B" w:rsidRDefault="00751AAA" w:rsidP="00AB0664">
      <w:pPr>
        <w:spacing w:line="360" w:lineRule="auto"/>
        <w:jc w:val="both"/>
        <w:rPr>
          <w:lang w:val="en-US"/>
        </w:rPr>
      </w:pPr>
      <w:r>
        <w:rPr>
          <w:lang w:val="en-US"/>
        </w:rPr>
        <w:t xml:space="preserve">With a contribution of 1,45 billion euro the Dutch government is by far the biggest contributor to the Dutch charities. Another great contributor to charities are lotteries and other games of chance, these are reflected in the income from third parties and make up for almost 90% of this income </w:t>
      </w:r>
      <w:r w:rsidR="00002A80">
        <w:rPr>
          <w:lang w:val="en-US"/>
        </w:rPr>
        <w:t>category</w:t>
      </w:r>
      <w:r>
        <w:rPr>
          <w:lang w:val="en-US"/>
        </w:rPr>
        <w:t>.</w:t>
      </w:r>
      <w:r w:rsidR="006F3E6C">
        <w:rPr>
          <w:lang w:val="en-US"/>
        </w:rPr>
        <w:t xml:space="preserve"> </w:t>
      </w:r>
      <w:r w:rsidR="004C49B2">
        <w:rPr>
          <w:lang w:val="en-US"/>
        </w:rPr>
        <w:t>It is interesting to note that in 2008, at the height of the financial crisis, the charities lost over € 96 million on their investments.</w:t>
      </w:r>
    </w:p>
    <w:p w:rsidR="00412B75" w:rsidRDefault="00412B75" w:rsidP="004C49B2">
      <w:pPr>
        <w:spacing w:line="360" w:lineRule="auto"/>
        <w:jc w:val="both"/>
        <w:rPr>
          <w:lang w:val="en-US"/>
        </w:rPr>
      </w:pPr>
    </w:p>
    <w:p w:rsidR="00412B75" w:rsidRDefault="00412B75" w:rsidP="004C49B2">
      <w:pPr>
        <w:spacing w:line="360" w:lineRule="auto"/>
        <w:jc w:val="both"/>
        <w:rPr>
          <w:lang w:val="en-US"/>
        </w:rPr>
      </w:pPr>
      <w:r>
        <w:rPr>
          <w:lang w:val="en-US"/>
        </w:rPr>
        <w:t>When we look at the individual charities we see major differences, the smallest charity in 2009 had a total income of just €100 where the biggest had a total income of €278</w:t>
      </w:r>
      <w:r w:rsidR="00F03697">
        <w:rPr>
          <w:lang w:val="en-US"/>
        </w:rPr>
        <w:t>,</w:t>
      </w:r>
      <w:r>
        <w:rPr>
          <w:lang w:val="en-US"/>
        </w:rPr>
        <w:t>7 million. Seeing these differences it is interesting to look at the concentration of the charity sector</w:t>
      </w:r>
      <w:r w:rsidR="00361986">
        <w:rPr>
          <w:lang w:val="en-US"/>
        </w:rPr>
        <w:t xml:space="preserve">, looking at the 5 biggest charities in 2009 (CR5-ratio) we find that they </w:t>
      </w:r>
      <w:r w:rsidR="00361986" w:rsidRPr="00DE4383">
        <w:rPr>
          <w:lang w:val="en-US"/>
        </w:rPr>
        <w:t>receive a total of 25,30% of the total income. Over the past five years this ratio has been around 25-29%, appendix 1</w:t>
      </w:r>
      <w:r w:rsidR="00796D93" w:rsidRPr="00DE4383">
        <w:rPr>
          <w:lang w:val="en-US"/>
        </w:rPr>
        <w:t>d</w:t>
      </w:r>
      <w:r w:rsidR="00361986" w:rsidRPr="00DE4383">
        <w:rPr>
          <w:lang w:val="en-US"/>
        </w:rPr>
        <w:t xml:space="preserve"> shows the </w:t>
      </w:r>
      <w:r w:rsidR="004252A5" w:rsidRPr="00DE4383">
        <w:rPr>
          <w:lang w:val="en-US"/>
        </w:rPr>
        <w:t xml:space="preserve">C5-ratio for the last 5 years, over these years just </w:t>
      </w:r>
      <w:r w:rsidR="0072456E" w:rsidRPr="00DE4383">
        <w:rPr>
          <w:lang w:val="en-US"/>
        </w:rPr>
        <w:t>six</w:t>
      </w:r>
      <w:r w:rsidR="004252A5" w:rsidRPr="00DE4383">
        <w:rPr>
          <w:lang w:val="en-US"/>
        </w:rPr>
        <w:t xml:space="preserve"> different charities where in this top 5.</w:t>
      </w:r>
    </w:p>
    <w:p w:rsidR="00412B75" w:rsidRPr="00412B75" w:rsidRDefault="00412B75" w:rsidP="008B252C">
      <w:pPr>
        <w:spacing w:line="360" w:lineRule="auto"/>
        <w:rPr>
          <w:lang w:val="en-US"/>
        </w:rPr>
      </w:pPr>
    </w:p>
    <w:p w:rsidR="008B252C" w:rsidRDefault="00D25D10" w:rsidP="00810244">
      <w:pPr>
        <w:pStyle w:val="Heading2"/>
        <w:spacing w:before="120" w:line="360" w:lineRule="auto"/>
        <w:rPr>
          <w:lang w:val="en-US"/>
        </w:rPr>
      </w:pPr>
      <w:r>
        <w:rPr>
          <w:lang w:val="en-US"/>
        </w:rPr>
        <w:br w:type="page"/>
      </w:r>
      <w:bookmarkStart w:id="6" w:name="_Toc299180691"/>
      <w:r w:rsidR="00F55A4D">
        <w:rPr>
          <w:lang w:val="en-US"/>
        </w:rPr>
        <w:t>II.2</w:t>
      </w:r>
      <w:r w:rsidR="00F55A4D">
        <w:rPr>
          <w:lang w:val="en-US"/>
        </w:rPr>
        <w:tab/>
      </w:r>
      <w:r w:rsidR="006F218F">
        <w:rPr>
          <w:lang w:val="en-US"/>
        </w:rPr>
        <w:t xml:space="preserve">Branch </w:t>
      </w:r>
      <w:r w:rsidR="007024A6">
        <w:rPr>
          <w:lang w:val="en-US"/>
        </w:rPr>
        <w:t>organizations</w:t>
      </w:r>
      <w:bookmarkEnd w:id="6"/>
    </w:p>
    <w:p w:rsidR="009511FA" w:rsidRDefault="007024A6" w:rsidP="00AB0664">
      <w:pPr>
        <w:spacing w:line="360" w:lineRule="auto"/>
        <w:jc w:val="both"/>
        <w:rPr>
          <w:lang w:val="en-US"/>
        </w:rPr>
      </w:pPr>
      <w:r>
        <w:rPr>
          <w:lang w:val="en-US"/>
        </w:rPr>
        <w:t xml:space="preserve">Within the Dutch charity sector there are two organizations active whose goal it is to promote the interests of charities, these organizations are the Central Bureau for Fundraising and the Association of Fundraising Institutions, both will be </w:t>
      </w:r>
      <w:r w:rsidR="0083631B">
        <w:rPr>
          <w:lang w:val="en-US"/>
        </w:rPr>
        <w:t>reviewed below.</w:t>
      </w:r>
      <w:r w:rsidR="0003416D">
        <w:rPr>
          <w:lang w:val="en-US"/>
        </w:rPr>
        <w:t xml:space="preserve"> </w:t>
      </w:r>
      <w:r w:rsidR="003A2FF6">
        <w:rPr>
          <w:lang w:val="en-US"/>
        </w:rPr>
        <w:t xml:space="preserve">Furthermore </w:t>
      </w:r>
      <w:r w:rsidR="00482364">
        <w:rPr>
          <w:lang w:val="en-US"/>
        </w:rPr>
        <w:t>this section will</w:t>
      </w:r>
      <w:r w:rsidR="003A2FF6">
        <w:rPr>
          <w:lang w:val="en-US"/>
        </w:rPr>
        <w:t xml:space="preserve"> briefly review the influence of the government regarding charities.</w:t>
      </w:r>
    </w:p>
    <w:p w:rsidR="00681316" w:rsidRDefault="00681316" w:rsidP="009511FA">
      <w:pPr>
        <w:spacing w:line="360" w:lineRule="auto"/>
        <w:rPr>
          <w:lang w:val="en-US"/>
        </w:rPr>
      </w:pPr>
    </w:p>
    <w:p w:rsidR="00153C92" w:rsidRPr="00465BB2" w:rsidRDefault="00681316" w:rsidP="009511FA">
      <w:pPr>
        <w:spacing w:line="360" w:lineRule="auto"/>
        <w:rPr>
          <w:rFonts w:ascii="ScalaSans-Caps" w:hAnsi="ScalaSans-Caps"/>
          <w:b/>
          <w:lang w:val="en-US"/>
        </w:rPr>
      </w:pPr>
      <w:r w:rsidRPr="00465BB2">
        <w:rPr>
          <w:rFonts w:ascii="ScalaSans-Caps" w:hAnsi="ScalaSans-Caps"/>
          <w:b/>
          <w:lang w:val="en-US"/>
        </w:rPr>
        <w:t>Central Bureau for Fundraising</w:t>
      </w:r>
    </w:p>
    <w:p w:rsidR="00681316" w:rsidRDefault="00153C92" w:rsidP="00AB0664">
      <w:pPr>
        <w:spacing w:line="360" w:lineRule="auto"/>
        <w:jc w:val="both"/>
        <w:rPr>
          <w:lang w:val="en-US"/>
        </w:rPr>
      </w:pPr>
      <w:r>
        <w:rPr>
          <w:lang w:val="en-US"/>
        </w:rPr>
        <w:t>The Central Bureau for Fundraising (CBF), mention</w:t>
      </w:r>
      <w:r w:rsidR="00D93480">
        <w:rPr>
          <w:lang w:val="en-US"/>
        </w:rPr>
        <w:t>ed</w:t>
      </w:r>
      <w:r>
        <w:rPr>
          <w:lang w:val="en-US"/>
        </w:rPr>
        <w:t xml:space="preserve"> above</w:t>
      </w:r>
      <w:r w:rsidR="00681316">
        <w:rPr>
          <w:lang w:val="en-US"/>
        </w:rPr>
        <w:t>,</w:t>
      </w:r>
      <w:r>
        <w:rPr>
          <w:lang w:val="en-US"/>
        </w:rPr>
        <w:t xml:space="preserve"> is the oldest</w:t>
      </w:r>
      <w:r w:rsidR="00482364">
        <w:rPr>
          <w:lang w:val="en-US"/>
        </w:rPr>
        <w:t xml:space="preserve"> </w:t>
      </w:r>
      <w:r w:rsidR="00D93480">
        <w:rPr>
          <w:lang w:val="en-US"/>
        </w:rPr>
        <w:t>(active since 1925)</w:t>
      </w:r>
      <w:r>
        <w:rPr>
          <w:lang w:val="en-US"/>
        </w:rPr>
        <w:t xml:space="preserve"> independent organization t</w:t>
      </w:r>
      <w:r w:rsidR="00D42B2D">
        <w:rPr>
          <w:lang w:val="en-US"/>
        </w:rPr>
        <w:t>hat has been monitoring fundraising</w:t>
      </w:r>
      <w:r w:rsidR="00E46D59">
        <w:rPr>
          <w:lang w:val="en-US"/>
        </w:rPr>
        <w:t xml:space="preserve"> organizations</w:t>
      </w:r>
      <w:r w:rsidR="00D42B2D">
        <w:rPr>
          <w:lang w:val="en-US"/>
        </w:rPr>
        <w:t xml:space="preserve"> in The Netherlands. The goal of the CBF is: </w:t>
      </w:r>
      <w:r w:rsidR="00D42B2D" w:rsidRPr="008B252C">
        <w:rPr>
          <w:i/>
          <w:lang w:val="en-US"/>
        </w:rPr>
        <w:t>“to promote trustworthy fundraising and expenditure by reviewing fundraising organizations and giving information and advice to government institutions and the public”</w:t>
      </w:r>
      <w:r w:rsidR="00D42B2D">
        <w:rPr>
          <w:rStyle w:val="FootnoteReference"/>
          <w:i/>
          <w:lang w:val="en-US"/>
        </w:rPr>
        <w:footnoteReference w:id="1"/>
      </w:r>
      <w:r w:rsidR="00D42B2D" w:rsidRPr="008B252C">
        <w:rPr>
          <w:lang w:val="en-US"/>
        </w:rPr>
        <w:t>.</w:t>
      </w:r>
      <w:r>
        <w:rPr>
          <w:lang w:val="en-US"/>
        </w:rPr>
        <w:t xml:space="preserve"> In practical terms this means performing assessments of fund raising organizations, monitoring these organizations and providing information to the general public.</w:t>
      </w:r>
      <w:r w:rsidR="00284231">
        <w:rPr>
          <w:lang w:val="en-US"/>
        </w:rPr>
        <w:t xml:space="preserve"> </w:t>
      </w:r>
    </w:p>
    <w:p w:rsidR="00681316" w:rsidRDefault="00681316" w:rsidP="00CB7409">
      <w:pPr>
        <w:spacing w:line="360" w:lineRule="auto"/>
        <w:jc w:val="both"/>
        <w:rPr>
          <w:lang w:val="en-US"/>
        </w:rPr>
      </w:pPr>
    </w:p>
    <w:p w:rsidR="005D39B0" w:rsidRDefault="00371E85" w:rsidP="00CB7409">
      <w:pPr>
        <w:spacing w:line="360" w:lineRule="auto"/>
        <w:jc w:val="both"/>
        <w:rPr>
          <w:lang w:val="en-US"/>
        </w:rPr>
      </w:pPr>
      <w:r>
        <w:rPr>
          <w:lang w:val="en-US"/>
        </w:rPr>
        <w:t>Charities that apply for an assessment</w:t>
      </w:r>
      <w:r w:rsidR="005D39B0">
        <w:rPr>
          <w:lang w:val="en-US"/>
        </w:rPr>
        <w:t xml:space="preserve"> by the CBF</w:t>
      </w:r>
      <w:r>
        <w:rPr>
          <w:lang w:val="en-US"/>
        </w:rPr>
        <w:t xml:space="preserve"> </w:t>
      </w:r>
      <w:r w:rsidR="005D39B0">
        <w:rPr>
          <w:lang w:val="en-US"/>
        </w:rPr>
        <w:t xml:space="preserve">are subjected to a thorough assessment process. This process </w:t>
      </w:r>
      <w:r w:rsidR="00353F28">
        <w:rPr>
          <w:lang w:val="en-US"/>
        </w:rPr>
        <w:t>focuses on</w:t>
      </w:r>
      <w:r w:rsidR="005D39B0">
        <w:rPr>
          <w:lang w:val="en-US"/>
        </w:rPr>
        <w:t xml:space="preserve"> the following areas:</w:t>
      </w:r>
    </w:p>
    <w:p w:rsidR="005D39B0" w:rsidRDefault="005D39B0" w:rsidP="005D39B0">
      <w:pPr>
        <w:pStyle w:val="ListParagraph"/>
        <w:numPr>
          <w:ilvl w:val="0"/>
          <w:numId w:val="5"/>
        </w:numPr>
        <w:spacing w:line="360" w:lineRule="auto"/>
        <w:jc w:val="both"/>
        <w:rPr>
          <w:lang w:val="en-US"/>
        </w:rPr>
      </w:pPr>
      <w:r>
        <w:rPr>
          <w:lang w:val="en-US"/>
        </w:rPr>
        <w:t>The board</w:t>
      </w:r>
    </w:p>
    <w:p w:rsidR="00F03697" w:rsidRDefault="00651C88" w:rsidP="00F03697">
      <w:pPr>
        <w:spacing w:line="360" w:lineRule="auto"/>
        <w:ind w:left="720"/>
        <w:jc w:val="both"/>
        <w:rPr>
          <w:lang w:val="en-US"/>
        </w:rPr>
      </w:pPr>
      <w:r>
        <w:rPr>
          <w:lang w:val="en-US"/>
        </w:rPr>
        <w:t xml:space="preserve">The board is required to split </w:t>
      </w:r>
      <w:r w:rsidR="00353F28">
        <w:rPr>
          <w:lang w:val="en-US"/>
        </w:rPr>
        <w:t>monitoring</w:t>
      </w:r>
      <w:r>
        <w:rPr>
          <w:lang w:val="en-US"/>
        </w:rPr>
        <w:t xml:space="preserve"> duties from management duties</w:t>
      </w:r>
      <w:r w:rsidR="001565DE">
        <w:rPr>
          <w:lang w:val="en-US"/>
        </w:rPr>
        <w:t>.</w:t>
      </w:r>
      <w:r>
        <w:rPr>
          <w:lang w:val="en-US"/>
        </w:rPr>
        <w:t xml:space="preserve"> </w:t>
      </w:r>
      <w:r w:rsidR="001565DE">
        <w:rPr>
          <w:lang w:val="en-US"/>
        </w:rPr>
        <w:t>I</w:t>
      </w:r>
      <w:r>
        <w:rPr>
          <w:lang w:val="en-US"/>
        </w:rPr>
        <w:t xml:space="preserve">n order to </w:t>
      </w:r>
      <w:r w:rsidR="001565DE">
        <w:rPr>
          <w:lang w:val="en-US"/>
        </w:rPr>
        <w:t>ensure</w:t>
      </w:r>
      <w:r>
        <w:rPr>
          <w:lang w:val="en-US"/>
        </w:rPr>
        <w:t xml:space="preserve"> </w:t>
      </w:r>
      <w:r w:rsidR="00AC288E">
        <w:rPr>
          <w:lang w:val="en-US"/>
        </w:rPr>
        <w:t>independence</w:t>
      </w:r>
      <w:r w:rsidR="001565DE">
        <w:rPr>
          <w:lang w:val="en-US"/>
        </w:rPr>
        <w:t>,</w:t>
      </w:r>
      <w:r>
        <w:rPr>
          <w:lang w:val="en-US"/>
        </w:rPr>
        <w:t xml:space="preserve"> the </w:t>
      </w:r>
      <w:r w:rsidR="00353F28">
        <w:rPr>
          <w:lang w:val="en-US"/>
        </w:rPr>
        <w:t>two</w:t>
      </w:r>
      <w:r>
        <w:rPr>
          <w:lang w:val="en-US"/>
        </w:rPr>
        <w:t xml:space="preserve"> duties are not</w:t>
      </w:r>
      <w:r w:rsidR="00F03697">
        <w:rPr>
          <w:lang w:val="en-US"/>
        </w:rPr>
        <w:t xml:space="preserve"> to have conflicts of interest </w:t>
      </w:r>
    </w:p>
    <w:p w:rsidR="005D39B0" w:rsidRPr="00F03697" w:rsidRDefault="00651C88" w:rsidP="00F03697">
      <w:pPr>
        <w:pStyle w:val="ListParagraph"/>
        <w:numPr>
          <w:ilvl w:val="0"/>
          <w:numId w:val="5"/>
        </w:numPr>
        <w:spacing w:line="360" w:lineRule="auto"/>
        <w:jc w:val="both"/>
        <w:rPr>
          <w:lang w:val="en-US"/>
        </w:rPr>
      </w:pPr>
      <w:r w:rsidRPr="00F03697">
        <w:rPr>
          <w:lang w:val="en-US"/>
        </w:rPr>
        <w:t>The p</w:t>
      </w:r>
      <w:r w:rsidR="005D39B0" w:rsidRPr="00F03697">
        <w:rPr>
          <w:lang w:val="en-US"/>
        </w:rPr>
        <w:t>olicies</w:t>
      </w:r>
    </w:p>
    <w:p w:rsidR="005D39B0" w:rsidRDefault="00651C88" w:rsidP="005D39B0">
      <w:pPr>
        <w:pStyle w:val="ListParagraph"/>
        <w:spacing w:line="360" w:lineRule="auto"/>
        <w:jc w:val="both"/>
        <w:rPr>
          <w:lang w:val="en-US"/>
        </w:rPr>
      </w:pPr>
      <w:r>
        <w:rPr>
          <w:lang w:val="en-US"/>
        </w:rPr>
        <w:t xml:space="preserve">The policies of the charity </w:t>
      </w:r>
      <w:r w:rsidR="001565DE">
        <w:rPr>
          <w:lang w:val="en-US"/>
        </w:rPr>
        <w:t>must</w:t>
      </w:r>
      <w:r>
        <w:rPr>
          <w:lang w:val="en-US"/>
        </w:rPr>
        <w:t xml:space="preserve"> be clearly formulated and reflected in a long term planning, both operationally and financially</w:t>
      </w:r>
      <w:r w:rsidR="00516BF9">
        <w:rPr>
          <w:lang w:val="en-US"/>
        </w:rPr>
        <w:t>. The board is responsible for formulating the policies.</w:t>
      </w:r>
    </w:p>
    <w:p w:rsidR="005D39B0" w:rsidRDefault="005D39B0" w:rsidP="005D39B0">
      <w:pPr>
        <w:pStyle w:val="ListParagraph"/>
        <w:numPr>
          <w:ilvl w:val="0"/>
          <w:numId w:val="5"/>
        </w:numPr>
        <w:spacing w:line="360" w:lineRule="auto"/>
        <w:jc w:val="both"/>
        <w:rPr>
          <w:lang w:val="en-US"/>
        </w:rPr>
      </w:pPr>
      <w:r>
        <w:rPr>
          <w:lang w:val="en-US"/>
        </w:rPr>
        <w:t>Fundraising</w:t>
      </w:r>
    </w:p>
    <w:p w:rsidR="00651C88" w:rsidRDefault="00651C88" w:rsidP="00651C88">
      <w:pPr>
        <w:pStyle w:val="ListParagraph"/>
        <w:spacing w:line="360" w:lineRule="auto"/>
        <w:jc w:val="both"/>
        <w:rPr>
          <w:lang w:val="en-US"/>
        </w:rPr>
      </w:pPr>
      <w:r>
        <w:rPr>
          <w:lang w:val="en-US"/>
        </w:rPr>
        <w:t>Fundraising needs to be conducted on an open and honest basis</w:t>
      </w:r>
      <w:r w:rsidR="001565DE">
        <w:rPr>
          <w:lang w:val="en-US"/>
        </w:rPr>
        <w:t>.</w:t>
      </w:r>
      <w:r>
        <w:rPr>
          <w:lang w:val="en-US"/>
        </w:rPr>
        <w:t xml:space="preserve"> </w:t>
      </w:r>
      <w:r w:rsidR="001565DE">
        <w:rPr>
          <w:lang w:val="en-US"/>
        </w:rPr>
        <w:t>T</w:t>
      </w:r>
      <w:r>
        <w:rPr>
          <w:lang w:val="en-US"/>
        </w:rPr>
        <w:t>he use of aggressive fundraising methods is</w:t>
      </w:r>
      <w:r w:rsidR="00353F28">
        <w:rPr>
          <w:lang w:val="en-US"/>
        </w:rPr>
        <w:t xml:space="preserve"> </w:t>
      </w:r>
      <w:r>
        <w:rPr>
          <w:lang w:val="en-US"/>
        </w:rPr>
        <w:t>n</w:t>
      </w:r>
      <w:r w:rsidR="00353F28">
        <w:rPr>
          <w:lang w:val="en-US"/>
        </w:rPr>
        <w:t>o</w:t>
      </w:r>
      <w:r>
        <w:rPr>
          <w:lang w:val="en-US"/>
        </w:rPr>
        <w:t>t allowed</w:t>
      </w:r>
      <w:r w:rsidR="00516BF9">
        <w:rPr>
          <w:lang w:val="en-US"/>
        </w:rPr>
        <w:t>.</w:t>
      </w:r>
    </w:p>
    <w:p w:rsidR="005D39B0" w:rsidRDefault="00516BF9" w:rsidP="005D39B0">
      <w:pPr>
        <w:pStyle w:val="ListParagraph"/>
        <w:numPr>
          <w:ilvl w:val="0"/>
          <w:numId w:val="5"/>
        </w:numPr>
        <w:spacing w:line="360" w:lineRule="auto"/>
        <w:jc w:val="both"/>
        <w:rPr>
          <w:lang w:val="en-US"/>
        </w:rPr>
      </w:pPr>
      <w:r>
        <w:rPr>
          <w:lang w:val="en-US"/>
        </w:rPr>
        <w:t>The u</w:t>
      </w:r>
      <w:r w:rsidR="005D39B0">
        <w:rPr>
          <w:lang w:val="en-US"/>
        </w:rPr>
        <w:t>sage of funds</w:t>
      </w:r>
    </w:p>
    <w:p w:rsidR="00516BF9" w:rsidRDefault="00516BF9" w:rsidP="00516BF9">
      <w:pPr>
        <w:pStyle w:val="ListParagraph"/>
        <w:spacing w:line="360" w:lineRule="auto"/>
        <w:jc w:val="both"/>
        <w:rPr>
          <w:lang w:val="en-US"/>
        </w:rPr>
      </w:pPr>
      <w:r>
        <w:rPr>
          <w:lang w:val="en-US"/>
        </w:rPr>
        <w:t>Funds need to be spen</w:t>
      </w:r>
      <w:r w:rsidR="001565DE">
        <w:rPr>
          <w:lang w:val="en-US"/>
        </w:rPr>
        <w:t>t</w:t>
      </w:r>
      <w:r>
        <w:rPr>
          <w:lang w:val="en-US"/>
        </w:rPr>
        <w:t xml:space="preserve"> in a</w:t>
      </w:r>
      <w:r w:rsidR="001565DE">
        <w:rPr>
          <w:lang w:val="en-US"/>
        </w:rPr>
        <w:t>n</w:t>
      </w:r>
      <w:r>
        <w:rPr>
          <w:lang w:val="en-US"/>
        </w:rPr>
        <w:t xml:space="preserve"> effective and efficient way to achieve the goal(s) of the organization. </w:t>
      </w:r>
    </w:p>
    <w:p w:rsidR="005D39B0" w:rsidRDefault="005D39B0" w:rsidP="005D39B0">
      <w:pPr>
        <w:pStyle w:val="ListParagraph"/>
        <w:numPr>
          <w:ilvl w:val="0"/>
          <w:numId w:val="5"/>
        </w:numPr>
        <w:spacing w:line="360" w:lineRule="auto"/>
        <w:jc w:val="both"/>
        <w:rPr>
          <w:lang w:val="en-US"/>
        </w:rPr>
      </w:pPr>
      <w:r>
        <w:rPr>
          <w:lang w:val="en-US"/>
        </w:rPr>
        <w:t>Reporting and accountability</w:t>
      </w:r>
    </w:p>
    <w:p w:rsidR="00516BF9" w:rsidRPr="005D39B0" w:rsidRDefault="00516BF9" w:rsidP="00516BF9">
      <w:pPr>
        <w:pStyle w:val="ListParagraph"/>
        <w:spacing w:line="360" w:lineRule="auto"/>
        <w:jc w:val="both"/>
        <w:rPr>
          <w:lang w:val="en-US"/>
        </w:rPr>
      </w:pPr>
      <w:r>
        <w:rPr>
          <w:lang w:val="en-US"/>
        </w:rPr>
        <w:t>Organizations are required to publish a</w:t>
      </w:r>
      <w:r w:rsidR="001565DE">
        <w:rPr>
          <w:lang w:val="en-US"/>
        </w:rPr>
        <w:t>n</w:t>
      </w:r>
      <w:r>
        <w:rPr>
          <w:lang w:val="en-US"/>
        </w:rPr>
        <w:t xml:space="preserve"> annual report alongside with a financial report. </w:t>
      </w:r>
    </w:p>
    <w:p w:rsidR="005D39B0" w:rsidRDefault="005D39B0" w:rsidP="00CB7409">
      <w:pPr>
        <w:spacing w:line="360" w:lineRule="auto"/>
        <w:jc w:val="both"/>
        <w:rPr>
          <w:lang w:val="en-US"/>
        </w:rPr>
      </w:pPr>
    </w:p>
    <w:p w:rsidR="00371E85" w:rsidRDefault="005D39B0" w:rsidP="00CB7409">
      <w:pPr>
        <w:spacing w:line="360" w:lineRule="auto"/>
        <w:jc w:val="both"/>
        <w:rPr>
          <w:lang w:val="en-US"/>
        </w:rPr>
      </w:pPr>
      <w:r>
        <w:rPr>
          <w:lang w:val="en-US"/>
        </w:rPr>
        <w:t xml:space="preserve">Once the assessment is </w:t>
      </w:r>
      <w:r w:rsidR="00371E85">
        <w:rPr>
          <w:lang w:val="en-US"/>
        </w:rPr>
        <w:t>pass</w:t>
      </w:r>
      <w:r>
        <w:rPr>
          <w:lang w:val="en-US"/>
        </w:rPr>
        <w:t>ed</w:t>
      </w:r>
      <w:r w:rsidR="00371E85">
        <w:rPr>
          <w:lang w:val="en-US"/>
        </w:rPr>
        <w:t xml:space="preserve"> </w:t>
      </w:r>
      <w:r>
        <w:rPr>
          <w:lang w:val="en-US"/>
        </w:rPr>
        <w:t>the organization</w:t>
      </w:r>
      <w:r w:rsidR="00CB7409">
        <w:rPr>
          <w:lang w:val="en-US"/>
        </w:rPr>
        <w:t xml:space="preserve"> allowed to carry the seal of a CBF certified charity in order to signal </w:t>
      </w:r>
      <w:r>
        <w:rPr>
          <w:lang w:val="en-US"/>
        </w:rPr>
        <w:t xml:space="preserve">to </w:t>
      </w:r>
      <w:r w:rsidR="00CB7409">
        <w:rPr>
          <w:lang w:val="en-US"/>
        </w:rPr>
        <w:t xml:space="preserve">donors </w:t>
      </w:r>
      <w:r>
        <w:rPr>
          <w:lang w:val="en-US"/>
        </w:rPr>
        <w:t xml:space="preserve">and others </w:t>
      </w:r>
      <w:r w:rsidR="00CB7409">
        <w:rPr>
          <w:lang w:val="en-US"/>
        </w:rPr>
        <w:t>that they uphold strict guidelines concerning fundraising and governance.</w:t>
      </w:r>
      <w:r>
        <w:rPr>
          <w:lang w:val="en-US"/>
        </w:rPr>
        <w:t xml:space="preserve"> CBF certification lasts for 3 years, with annual reviews to check if they still comply.</w:t>
      </w:r>
      <w:r w:rsidR="00F03697">
        <w:rPr>
          <w:lang w:val="en-US"/>
        </w:rPr>
        <w:t xml:space="preserve"> </w:t>
      </w:r>
    </w:p>
    <w:p w:rsidR="00F03697" w:rsidRPr="008B252C" w:rsidRDefault="00F03697" w:rsidP="00153C92">
      <w:pPr>
        <w:spacing w:line="360" w:lineRule="auto"/>
        <w:rPr>
          <w:lang w:val="en-US"/>
        </w:rPr>
      </w:pPr>
    </w:p>
    <w:p w:rsidR="009511FA" w:rsidRPr="00465BB2" w:rsidRDefault="006F218F" w:rsidP="009511FA">
      <w:pPr>
        <w:spacing w:line="360" w:lineRule="auto"/>
        <w:rPr>
          <w:rFonts w:ascii="ScalaSans-Caps" w:hAnsi="ScalaSans-Caps"/>
          <w:b/>
          <w:lang w:val="en-US"/>
        </w:rPr>
      </w:pPr>
      <w:r w:rsidRPr="00465BB2">
        <w:rPr>
          <w:rFonts w:ascii="ScalaSans-Caps" w:hAnsi="ScalaSans-Caps"/>
          <w:b/>
          <w:lang w:val="en-US"/>
        </w:rPr>
        <w:t>VFI Charity branch organization</w:t>
      </w:r>
    </w:p>
    <w:p w:rsidR="006F218F" w:rsidRDefault="006F218F" w:rsidP="00AB0664">
      <w:pPr>
        <w:spacing w:line="360" w:lineRule="auto"/>
        <w:jc w:val="both"/>
        <w:rPr>
          <w:lang w:val="en-US"/>
        </w:rPr>
      </w:pPr>
      <w:r>
        <w:rPr>
          <w:lang w:val="en-US"/>
        </w:rPr>
        <w:t>Another organization concerned charity funds is their branch organization VFI,</w:t>
      </w:r>
      <w:r w:rsidR="00640371">
        <w:rPr>
          <w:lang w:val="en-US"/>
        </w:rPr>
        <w:t xml:space="preserve"> which is short for ‘Vereniging Fondsenwervende Instellingen’ (EN: Association of Fundraising Institutions)</w:t>
      </w:r>
      <w:r>
        <w:rPr>
          <w:lang w:val="en-US"/>
        </w:rPr>
        <w:t xml:space="preserve"> with 120 member organizations it’s mainly the </w:t>
      </w:r>
      <w:r w:rsidR="002B398A">
        <w:rPr>
          <w:lang w:val="en-US"/>
        </w:rPr>
        <w:t>larger</w:t>
      </w:r>
      <w:r w:rsidR="00640371">
        <w:rPr>
          <w:lang w:val="en-US"/>
        </w:rPr>
        <w:t>, nationally operating,</w:t>
      </w:r>
      <w:r>
        <w:rPr>
          <w:lang w:val="en-US"/>
        </w:rPr>
        <w:t xml:space="preserve"> charities that are a member of VFI. </w:t>
      </w:r>
      <w:r w:rsidR="00032E2E">
        <w:rPr>
          <w:lang w:val="en-US"/>
        </w:rPr>
        <w:t>As a branch organization the core activities of the VFI are:</w:t>
      </w:r>
    </w:p>
    <w:p w:rsidR="00032E2E" w:rsidRDefault="006173AE" w:rsidP="00AB0664">
      <w:pPr>
        <w:pStyle w:val="ListParagraph"/>
        <w:numPr>
          <w:ilvl w:val="0"/>
          <w:numId w:val="1"/>
        </w:numPr>
        <w:spacing w:line="360" w:lineRule="auto"/>
        <w:jc w:val="both"/>
        <w:rPr>
          <w:lang w:val="en-US"/>
        </w:rPr>
      </w:pPr>
      <w:r>
        <w:rPr>
          <w:lang w:val="en-US"/>
        </w:rPr>
        <w:t>Advocate</w:t>
      </w:r>
      <w:r w:rsidR="00032E2E">
        <w:rPr>
          <w:lang w:val="en-US"/>
        </w:rPr>
        <w:t xml:space="preserve"> </w:t>
      </w:r>
      <w:r>
        <w:rPr>
          <w:lang w:val="en-US"/>
        </w:rPr>
        <w:t>the interest of charity funds</w:t>
      </w:r>
    </w:p>
    <w:p w:rsidR="00032E2E" w:rsidRDefault="00032E2E" w:rsidP="00AB0664">
      <w:pPr>
        <w:pStyle w:val="ListParagraph"/>
        <w:numPr>
          <w:ilvl w:val="0"/>
          <w:numId w:val="1"/>
        </w:numPr>
        <w:spacing w:line="360" w:lineRule="auto"/>
        <w:jc w:val="both"/>
        <w:rPr>
          <w:lang w:val="en-US"/>
        </w:rPr>
      </w:pPr>
      <w:r>
        <w:rPr>
          <w:lang w:val="en-US"/>
        </w:rPr>
        <w:t xml:space="preserve">Increasing transparency and visibility </w:t>
      </w:r>
      <w:r w:rsidR="006173AE">
        <w:rPr>
          <w:lang w:val="en-US"/>
        </w:rPr>
        <w:t>of the social contribution made by charities</w:t>
      </w:r>
    </w:p>
    <w:p w:rsidR="00032E2E" w:rsidRPr="00032E2E" w:rsidRDefault="00032E2E" w:rsidP="00AB0664">
      <w:pPr>
        <w:pStyle w:val="ListParagraph"/>
        <w:numPr>
          <w:ilvl w:val="0"/>
          <w:numId w:val="1"/>
        </w:numPr>
        <w:spacing w:line="360" w:lineRule="auto"/>
        <w:jc w:val="both"/>
        <w:rPr>
          <w:lang w:val="en-US"/>
        </w:rPr>
      </w:pPr>
      <w:r>
        <w:rPr>
          <w:lang w:val="en-US"/>
        </w:rPr>
        <w:t>Increas</w:t>
      </w:r>
      <w:r w:rsidR="006173AE">
        <w:rPr>
          <w:lang w:val="en-US"/>
        </w:rPr>
        <w:t>ing</w:t>
      </w:r>
      <w:r>
        <w:rPr>
          <w:lang w:val="en-US"/>
        </w:rPr>
        <w:t xml:space="preserve"> self-regulation within the charity sector</w:t>
      </w:r>
    </w:p>
    <w:p w:rsidR="006F218F" w:rsidRDefault="006F218F" w:rsidP="00AB0664">
      <w:pPr>
        <w:spacing w:line="360" w:lineRule="auto"/>
        <w:jc w:val="both"/>
        <w:rPr>
          <w:lang w:val="en-US"/>
        </w:rPr>
      </w:pPr>
    </w:p>
    <w:p w:rsidR="00371E85" w:rsidRDefault="006173AE" w:rsidP="00AB0664">
      <w:pPr>
        <w:spacing w:line="360" w:lineRule="auto"/>
        <w:jc w:val="both"/>
        <w:rPr>
          <w:lang w:val="en-US"/>
        </w:rPr>
      </w:pPr>
      <w:r>
        <w:rPr>
          <w:lang w:val="en-US"/>
        </w:rPr>
        <w:t>On the last point the VFI was responsible for the creation of the new governance code for the charity sector, the</w:t>
      </w:r>
      <w:r w:rsidR="00765D97">
        <w:rPr>
          <w:lang w:val="en-US"/>
        </w:rPr>
        <w:t xml:space="preserve"> Code Wijffels (named after the chairman of the committee). Furthermore the VFI has created </w:t>
      </w:r>
      <w:r w:rsidR="00284231">
        <w:rPr>
          <w:lang w:val="en-US"/>
        </w:rPr>
        <w:t xml:space="preserve">various codes and guidelines for the charity sector, such as </w:t>
      </w:r>
      <w:r w:rsidR="00765D97">
        <w:rPr>
          <w:lang w:val="en-US"/>
        </w:rPr>
        <w:t xml:space="preserve">a remuneration scheme for the top </w:t>
      </w:r>
      <w:r w:rsidR="00284231">
        <w:rPr>
          <w:lang w:val="en-US"/>
        </w:rPr>
        <w:t>executives</w:t>
      </w:r>
      <w:r w:rsidR="00765D97">
        <w:rPr>
          <w:lang w:val="en-US"/>
        </w:rPr>
        <w:t xml:space="preserve"> of charities</w:t>
      </w:r>
      <w:r w:rsidR="00AC288E">
        <w:rPr>
          <w:lang w:val="en-US"/>
        </w:rPr>
        <w:t xml:space="preserve"> and guidelines on </w:t>
      </w:r>
      <w:r w:rsidR="00482364">
        <w:rPr>
          <w:lang w:val="en-US"/>
        </w:rPr>
        <w:t>how</w:t>
      </w:r>
      <w:r w:rsidR="00AC288E">
        <w:rPr>
          <w:lang w:val="en-US"/>
        </w:rPr>
        <w:t xml:space="preserve"> to </w:t>
      </w:r>
      <w:r w:rsidR="00482364">
        <w:rPr>
          <w:lang w:val="en-US"/>
        </w:rPr>
        <w:t>deal with</w:t>
      </w:r>
      <w:r w:rsidR="00AC288E">
        <w:rPr>
          <w:lang w:val="en-US"/>
        </w:rPr>
        <w:t xml:space="preserve"> financial reserves</w:t>
      </w:r>
      <w:r w:rsidR="00765D97">
        <w:rPr>
          <w:lang w:val="en-US"/>
        </w:rPr>
        <w:t>.</w:t>
      </w:r>
      <w:r w:rsidR="00371E85">
        <w:rPr>
          <w:lang w:val="en-US"/>
        </w:rPr>
        <w:t xml:space="preserve"> </w:t>
      </w:r>
      <w:r w:rsidR="00CB7409">
        <w:rPr>
          <w:lang w:val="en-US"/>
        </w:rPr>
        <w:t>Members of the VFI are mandatory to comply with the codes, again signaling that they uphold to strict guidelines.</w:t>
      </w:r>
    </w:p>
    <w:p w:rsidR="00CB7409" w:rsidRDefault="00CB7409" w:rsidP="00AB0664">
      <w:pPr>
        <w:spacing w:line="360" w:lineRule="auto"/>
        <w:jc w:val="both"/>
        <w:rPr>
          <w:lang w:val="en-US"/>
        </w:rPr>
      </w:pPr>
    </w:p>
    <w:p w:rsidR="00CB7409" w:rsidRPr="00465BB2" w:rsidRDefault="00CB7409" w:rsidP="00AB0664">
      <w:pPr>
        <w:spacing w:line="360" w:lineRule="auto"/>
        <w:jc w:val="both"/>
        <w:rPr>
          <w:rFonts w:ascii="ScalaSans-Caps" w:hAnsi="ScalaSans-Caps"/>
          <w:b/>
          <w:lang w:val="en-US"/>
        </w:rPr>
      </w:pPr>
      <w:r w:rsidRPr="00465BB2">
        <w:rPr>
          <w:rFonts w:ascii="ScalaSans-Caps" w:hAnsi="ScalaSans-Caps"/>
          <w:b/>
          <w:lang w:val="en-US"/>
        </w:rPr>
        <w:t>Government influence</w:t>
      </w:r>
    </w:p>
    <w:p w:rsidR="00155F6A" w:rsidRDefault="00CB7409" w:rsidP="00AB0664">
      <w:pPr>
        <w:spacing w:line="360" w:lineRule="auto"/>
        <w:jc w:val="both"/>
        <w:rPr>
          <w:lang w:val="en-US"/>
        </w:rPr>
      </w:pPr>
      <w:r>
        <w:rPr>
          <w:lang w:val="en-US"/>
        </w:rPr>
        <w:t xml:space="preserve">In The Netherlands the government has little direct regulations directed specific at charities. </w:t>
      </w:r>
      <w:r w:rsidR="003A2FF6">
        <w:rPr>
          <w:lang w:val="en-US"/>
        </w:rPr>
        <w:t>Under Dutch law charities are regarded much the same as any other organization.</w:t>
      </w:r>
      <w:r w:rsidR="00AD7603">
        <w:rPr>
          <w:lang w:val="en-US"/>
        </w:rPr>
        <w:t xml:space="preserve"> However, that doesn’t mean that the government has no influence. First of all, as already seen in the previous section, the government is the biggest contributor to charities and thus has a major indirect influence</w:t>
      </w:r>
      <w:r w:rsidR="00AC288E">
        <w:rPr>
          <w:lang w:val="en-US"/>
        </w:rPr>
        <w:t xml:space="preserve"> as subsidies are only </w:t>
      </w:r>
      <w:r w:rsidR="00155F6A">
        <w:rPr>
          <w:lang w:val="en-US"/>
        </w:rPr>
        <w:t>granted</w:t>
      </w:r>
      <w:r w:rsidR="00AC288E">
        <w:rPr>
          <w:lang w:val="en-US"/>
        </w:rPr>
        <w:t xml:space="preserve"> </w:t>
      </w:r>
      <w:r w:rsidR="00155F6A">
        <w:rPr>
          <w:lang w:val="en-US"/>
        </w:rPr>
        <w:t>if they meet the requirements of the government</w:t>
      </w:r>
      <w:r w:rsidR="00AD7603">
        <w:rPr>
          <w:lang w:val="en-US"/>
        </w:rPr>
        <w:t xml:space="preserve">. </w:t>
      </w:r>
      <w:r w:rsidR="00155F6A">
        <w:rPr>
          <w:lang w:val="en-US"/>
        </w:rPr>
        <w:t xml:space="preserve">The exact requirement are listed in the 2005 decree regarding the provision of subsidies of the Dutch foreign affairs ministry.  </w:t>
      </w:r>
    </w:p>
    <w:p w:rsidR="00155F6A" w:rsidRDefault="00155F6A" w:rsidP="00AB0664">
      <w:pPr>
        <w:spacing w:line="360" w:lineRule="auto"/>
        <w:jc w:val="both"/>
        <w:rPr>
          <w:lang w:val="en-US"/>
        </w:rPr>
      </w:pPr>
    </w:p>
    <w:p w:rsidR="00002A80" w:rsidRDefault="00AD7603" w:rsidP="00D25D10">
      <w:pPr>
        <w:spacing w:line="360" w:lineRule="auto"/>
        <w:jc w:val="both"/>
        <w:rPr>
          <w:lang w:val="en-US"/>
        </w:rPr>
      </w:pPr>
      <w:r>
        <w:rPr>
          <w:lang w:val="en-US"/>
        </w:rPr>
        <w:t>Furthermore t</w:t>
      </w:r>
      <w:r w:rsidR="003A2FF6">
        <w:rPr>
          <w:lang w:val="en-US"/>
        </w:rPr>
        <w:t xml:space="preserve">he government has </w:t>
      </w:r>
      <w:r>
        <w:rPr>
          <w:lang w:val="en-US"/>
        </w:rPr>
        <w:t>created</w:t>
      </w:r>
      <w:r w:rsidR="003A2FF6">
        <w:rPr>
          <w:lang w:val="en-US"/>
        </w:rPr>
        <w:t xml:space="preserve"> specific tax rules for c</w:t>
      </w:r>
      <w:r w:rsidR="00CB7409">
        <w:rPr>
          <w:lang w:val="en-US"/>
        </w:rPr>
        <w:t>harities</w:t>
      </w:r>
      <w:r w:rsidR="003A2FF6">
        <w:rPr>
          <w:lang w:val="en-US"/>
        </w:rPr>
        <w:t xml:space="preserve"> through the</w:t>
      </w:r>
      <w:r w:rsidR="00CB7409">
        <w:rPr>
          <w:lang w:val="en-US"/>
        </w:rPr>
        <w:t xml:space="preserve"> so called </w:t>
      </w:r>
      <w:r w:rsidR="003A2FF6">
        <w:rPr>
          <w:lang w:val="en-US"/>
        </w:rPr>
        <w:t>‘</w:t>
      </w:r>
      <w:r w:rsidR="00CB7409">
        <w:rPr>
          <w:lang w:val="en-US"/>
        </w:rPr>
        <w:t>A</w:t>
      </w:r>
      <w:r w:rsidR="003A2FF6">
        <w:rPr>
          <w:lang w:val="en-US"/>
        </w:rPr>
        <w:t>lgemeen Nut Beogende Instelling’ (EN: general benefits organization), or A</w:t>
      </w:r>
      <w:r w:rsidR="00CB7409">
        <w:rPr>
          <w:lang w:val="en-US"/>
        </w:rPr>
        <w:t>NBI</w:t>
      </w:r>
      <w:r w:rsidR="003A2FF6">
        <w:rPr>
          <w:lang w:val="en-US"/>
        </w:rPr>
        <w:t xml:space="preserve"> for short,</w:t>
      </w:r>
      <w:r w:rsidR="00CB7409">
        <w:rPr>
          <w:lang w:val="en-US"/>
        </w:rPr>
        <w:t xml:space="preserve"> </w:t>
      </w:r>
      <w:r w:rsidR="003A2FF6">
        <w:rPr>
          <w:lang w:val="en-US"/>
        </w:rPr>
        <w:t>status</w:t>
      </w:r>
      <w:r w:rsidR="00CB7409">
        <w:rPr>
          <w:lang w:val="en-US"/>
        </w:rPr>
        <w:t xml:space="preserve">. </w:t>
      </w:r>
      <w:r w:rsidR="003A2FF6">
        <w:rPr>
          <w:lang w:val="en-US"/>
        </w:rPr>
        <w:t xml:space="preserve">Charities can apply for a ANBI status if they meet certain conditions, key among them is that 90% of their efforts is for the common good and that </w:t>
      </w:r>
      <w:r w:rsidR="00AC288E">
        <w:rPr>
          <w:lang w:val="en-US"/>
        </w:rPr>
        <w:t>non</w:t>
      </w:r>
      <w:r>
        <w:rPr>
          <w:lang w:val="en-US"/>
        </w:rPr>
        <w:t>-executive directors do not receive any remuneration apart from small expenses</w:t>
      </w:r>
      <w:r w:rsidR="003A2FF6">
        <w:rPr>
          <w:lang w:val="en-US"/>
        </w:rPr>
        <w:t xml:space="preserve">. Once charities have the ANBI status they get tax </w:t>
      </w:r>
      <w:r>
        <w:rPr>
          <w:lang w:val="en-US"/>
        </w:rPr>
        <w:t>benefits, for example no taxes on inheritances or gift ha</w:t>
      </w:r>
      <w:r w:rsidR="00353F28">
        <w:rPr>
          <w:lang w:val="en-US"/>
        </w:rPr>
        <w:t>ve</w:t>
      </w:r>
      <w:r>
        <w:rPr>
          <w:lang w:val="en-US"/>
        </w:rPr>
        <w:t xml:space="preserve"> to be paid and donors are allowed to subtract gifts from their income taxes.</w:t>
      </w:r>
      <w:r w:rsidR="00002A80">
        <w:rPr>
          <w:lang w:val="en-US"/>
        </w:rPr>
        <w:br w:type="page"/>
      </w:r>
    </w:p>
    <w:p w:rsidR="009511FA" w:rsidRDefault="00002A80" w:rsidP="00002A80">
      <w:pPr>
        <w:pStyle w:val="Heading1"/>
        <w:spacing w:before="240" w:line="360" w:lineRule="auto"/>
        <w:rPr>
          <w:lang w:val="en-US"/>
        </w:rPr>
      </w:pPr>
      <w:bookmarkStart w:id="7" w:name="_Toc299180692"/>
      <w:r>
        <w:rPr>
          <w:lang w:val="en-US"/>
        </w:rPr>
        <w:t xml:space="preserve">III: </w:t>
      </w:r>
      <w:r w:rsidR="00731FCA">
        <w:rPr>
          <w:lang w:val="en-US"/>
        </w:rPr>
        <w:t>Charity governance in The Netherlands</w:t>
      </w:r>
      <w:bookmarkEnd w:id="7"/>
    </w:p>
    <w:p w:rsidR="00002A80" w:rsidRDefault="00002A80" w:rsidP="00002A80">
      <w:pPr>
        <w:spacing w:line="360" w:lineRule="auto"/>
        <w:rPr>
          <w:lang w:val="en-US"/>
        </w:rPr>
      </w:pPr>
    </w:p>
    <w:p w:rsidR="00344165" w:rsidRDefault="00731FCA" w:rsidP="00AB0664">
      <w:pPr>
        <w:spacing w:line="360" w:lineRule="auto"/>
        <w:jc w:val="both"/>
        <w:rPr>
          <w:lang w:val="en-US"/>
        </w:rPr>
      </w:pPr>
      <w:r>
        <w:rPr>
          <w:lang w:val="en-US"/>
        </w:rPr>
        <w:t>Over the past few years governance has become more and more important, both within profit and non-profit organizations. For profit organizations there is a specific governance code</w:t>
      </w:r>
      <w:r w:rsidR="00F03697">
        <w:rPr>
          <w:lang w:val="en-US"/>
        </w:rPr>
        <w:t xml:space="preserve"> in The Netherlands</w:t>
      </w:r>
      <w:r w:rsidR="00D41164">
        <w:rPr>
          <w:lang w:val="en-US"/>
        </w:rPr>
        <w:t xml:space="preserve"> </w:t>
      </w:r>
      <w:r>
        <w:rPr>
          <w:lang w:val="en-US"/>
        </w:rPr>
        <w:t xml:space="preserve">(code Tabaksblat), for non-profit organizations such as schools and hospitals there are legislative requirements and government oversight, for charities however there never were clear guidelines. </w:t>
      </w:r>
      <w:r w:rsidR="00344165">
        <w:rPr>
          <w:lang w:val="en-US"/>
        </w:rPr>
        <w:t>In the summer of 2004 the VFI established a independent committee to come up</w:t>
      </w:r>
      <w:r w:rsidR="006C78FE">
        <w:rPr>
          <w:lang w:val="en-US"/>
        </w:rPr>
        <w:t xml:space="preserve"> with a new governance code for </w:t>
      </w:r>
      <w:r>
        <w:rPr>
          <w:lang w:val="en-US"/>
        </w:rPr>
        <w:t>its</w:t>
      </w:r>
      <w:r w:rsidR="006C78FE">
        <w:rPr>
          <w:lang w:val="en-US"/>
        </w:rPr>
        <w:t xml:space="preserve"> members</w:t>
      </w:r>
      <w:r w:rsidR="00344165">
        <w:rPr>
          <w:lang w:val="en-US"/>
        </w:rPr>
        <w:t xml:space="preserve">. </w:t>
      </w:r>
      <w:r>
        <w:rPr>
          <w:lang w:val="en-US"/>
        </w:rPr>
        <w:t>In the summer of 2005 the committee presented its governance code, named after the chairman of the committee, dr. H.H.F. Wijffels.</w:t>
      </w:r>
    </w:p>
    <w:p w:rsidR="00002A80" w:rsidRDefault="00002A80" w:rsidP="00AB0664">
      <w:pPr>
        <w:spacing w:line="360" w:lineRule="auto"/>
        <w:jc w:val="both"/>
        <w:rPr>
          <w:lang w:val="en-US"/>
        </w:rPr>
      </w:pPr>
    </w:p>
    <w:p w:rsidR="00002A80" w:rsidRDefault="00482364" w:rsidP="00AB0664">
      <w:pPr>
        <w:spacing w:line="360" w:lineRule="auto"/>
        <w:jc w:val="both"/>
        <w:rPr>
          <w:lang w:val="en-US"/>
        </w:rPr>
      </w:pPr>
      <w:r>
        <w:rPr>
          <w:lang w:val="en-US"/>
        </w:rPr>
        <w:t>T</w:t>
      </w:r>
      <w:r w:rsidR="00731FCA">
        <w:rPr>
          <w:lang w:val="en-US"/>
        </w:rPr>
        <w:t>his section will shortly</w:t>
      </w:r>
      <w:r w:rsidR="00611BA9">
        <w:rPr>
          <w:lang w:val="en-US"/>
        </w:rPr>
        <w:t xml:space="preserve"> review the outline of the code </w:t>
      </w:r>
      <w:r>
        <w:rPr>
          <w:lang w:val="en-US"/>
        </w:rPr>
        <w:t xml:space="preserve">Wijffels </w:t>
      </w:r>
      <w:r w:rsidR="00611BA9">
        <w:rPr>
          <w:lang w:val="en-US"/>
        </w:rPr>
        <w:t>and other important governance related guidelines such as</w:t>
      </w:r>
      <w:r w:rsidR="00731FCA">
        <w:rPr>
          <w:lang w:val="en-US"/>
        </w:rPr>
        <w:t xml:space="preserve"> the proposed remuneration scheme of professional </w:t>
      </w:r>
      <w:r w:rsidR="00284231">
        <w:rPr>
          <w:lang w:val="en-US"/>
        </w:rPr>
        <w:t xml:space="preserve">executives </w:t>
      </w:r>
      <w:r w:rsidR="00F06FEB">
        <w:rPr>
          <w:lang w:val="en-US"/>
        </w:rPr>
        <w:t>in the charity sector</w:t>
      </w:r>
      <w:r w:rsidR="00731FCA">
        <w:rPr>
          <w:lang w:val="en-US"/>
        </w:rPr>
        <w:t xml:space="preserve"> </w:t>
      </w:r>
      <w:r w:rsidR="00611BA9">
        <w:rPr>
          <w:lang w:val="en-US"/>
        </w:rPr>
        <w:t>and how financial reserves are to be dealt with.</w:t>
      </w:r>
      <w:r w:rsidR="00B815C3">
        <w:rPr>
          <w:lang w:val="en-US"/>
        </w:rPr>
        <w:t xml:space="preserve"> It should be noted that only the bigger charities have professional organizations, m</w:t>
      </w:r>
      <w:r w:rsidR="00284231">
        <w:rPr>
          <w:lang w:val="en-US"/>
        </w:rPr>
        <w:t>ost</w:t>
      </w:r>
      <w:r w:rsidR="00B815C3">
        <w:rPr>
          <w:lang w:val="en-US"/>
        </w:rPr>
        <w:t xml:space="preserve"> of the small and medium sized organizations are often ran completely by volunteers</w:t>
      </w:r>
      <w:r w:rsidR="00187E59">
        <w:rPr>
          <w:lang w:val="en-US"/>
        </w:rPr>
        <w:t xml:space="preserve">, thus making it difficult to </w:t>
      </w:r>
      <w:r w:rsidR="004F449A">
        <w:rPr>
          <w:lang w:val="en-US"/>
        </w:rPr>
        <w:t>implement all</w:t>
      </w:r>
      <w:r w:rsidR="00187E59">
        <w:rPr>
          <w:lang w:val="en-US"/>
        </w:rPr>
        <w:t xml:space="preserve"> governance guidelines</w:t>
      </w:r>
      <w:r w:rsidR="00B815C3">
        <w:rPr>
          <w:lang w:val="en-US"/>
        </w:rPr>
        <w:t>.</w:t>
      </w:r>
    </w:p>
    <w:p w:rsidR="00731FCA" w:rsidRDefault="00731FCA" w:rsidP="00002A80">
      <w:pPr>
        <w:spacing w:line="360" w:lineRule="auto"/>
        <w:rPr>
          <w:lang w:val="en-US"/>
        </w:rPr>
      </w:pPr>
    </w:p>
    <w:p w:rsidR="00731FCA" w:rsidRDefault="00731FCA" w:rsidP="00731FCA">
      <w:pPr>
        <w:pStyle w:val="Heading2"/>
        <w:spacing w:before="120" w:line="360" w:lineRule="auto"/>
        <w:rPr>
          <w:lang w:val="en-US"/>
        </w:rPr>
      </w:pPr>
      <w:bookmarkStart w:id="8" w:name="_Toc299180693"/>
      <w:r>
        <w:rPr>
          <w:lang w:val="en-US"/>
        </w:rPr>
        <w:t>III.1</w:t>
      </w:r>
      <w:r w:rsidR="001D784F">
        <w:rPr>
          <w:lang w:val="en-US"/>
        </w:rPr>
        <w:tab/>
      </w:r>
      <w:r>
        <w:rPr>
          <w:lang w:val="en-US"/>
        </w:rPr>
        <w:t>The code Wijffels</w:t>
      </w:r>
      <w:bookmarkEnd w:id="8"/>
    </w:p>
    <w:p w:rsidR="0034140A" w:rsidRDefault="00AB0664" w:rsidP="002D101A">
      <w:pPr>
        <w:spacing w:line="360" w:lineRule="auto"/>
        <w:jc w:val="both"/>
        <w:rPr>
          <w:lang w:val="en-US"/>
        </w:rPr>
      </w:pPr>
      <w:r>
        <w:rPr>
          <w:lang w:val="en-US"/>
        </w:rPr>
        <w:t>T</w:t>
      </w:r>
      <w:r w:rsidR="00264E92">
        <w:rPr>
          <w:lang w:val="en-US"/>
        </w:rPr>
        <w:t>he code Wijffels is build around a core of three pillars that the committee finds essential for governing charity funds. These three pillars are</w:t>
      </w:r>
      <w:r w:rsidR="0034140A">
        <w:rPr>
          <w:lang w:val="en-US"/>
        </w:rPr>
        <w:t>;</w:t>
      </w:r>
    </w:p>
    <w:p w:rsidR="0034140A" w:rsidRDefault="003C4632" w:rsidP="002D101A">
      <w:pPr>
        <w:pStyle w:val="ListParagraph"/>
        <w:numPr>
          <w:ilvl w:val="0"/>
          <w:numId w:val="2"/>
        </w:numPr>
        <w:spacing w:line="360" w:lineRule="auto"/>
        <w:jc w:val="both"/>
        <w:rPr>
          <w:lang w:val="en-US"/>
        </w:rPr>
      </w:pPr>
      <w:r>
        <w:rPr>
          <w:lang w:val="en-US"/>
        </w:rPr>
        <w:t>G</w:t>
      </w:r>
      <w:r w:rsidR="00935624">
        <w:rPr>
          <w:lang w:val="en-US"/>
        </w:rPr>
        <w:t>overning</w:t>
      </w:r>
      <w:r>
        <w:rPr>
          <w:lang w:val="en-US"/>
        </w:rPr>
        <w:t xml:space="preserve"> / managing</w:t>
      </w:r>
      <w:r w:rsidR="00264E92" w:rsidRPr="0034140A">
        <w:rPr>
          <w:lang w:val="en-US"/>
        </w:rPr>
        <w:t xml:space="preserve">, </w:t>
      </w:r>
    </w:p>
    <w:p w:rsidR="0034140A" w:rsidRDefault="00442E95" w:rsidP="002D101A">
      <w:pPr>
        <w:pStyle w:val="ListParagraph"/>
        <w:numPr>
          <w:ilvl w:val="0"/>
          <w:numId w:val="2"/>
        </w:numPr>
        <w:spacing w:line="360" w:lineRule="auto"/>
        <w:jc w:val="both"/>
        <w:rPr>
          <w:lang w:val="en-US"/>
        </w:rPr>
      </w:pPr>
      <w:r>
        <w:rPr>
          <w:lang w:val="en-US"/>
        </w:rPr>
        <w:t>monitoring</w:t>
      </w:r>
      <w:r w:rsidR="00264E92" w:rsidRPr="0034140A">
        <w:rPr>
          <w:lang w:val="en-US"/>
        </w:rPr>
        <w:t xml:space="preserve"> and </w:t>
      </w:r>
    </w:p>
    <w:p w:rsidR="0034140A" w:rsidRDefault="00264E92" w:rsidP="002D101A">
      <w:pPr>
        <w:pStyle w:val="ListParagraph"/>
        <w:numPr>
          <w:ilvl w:val="0"/>
          <w:numId w:val="2"/>
        </w:numPr>
        <w:spacing w:line="360" w:lineRule="auto"/>
        <w:jc w:val="both"/>
        <w:rPr>
          <w:lang w:val="en-US"/>
        </w:rPr>
      </w:pPr>
      <w:r w:rsidRPr="0034140A">
        <w:rPr>
          <w:lang w:val="en-US"/>
        </w:rPr>
        <w:t xml:space="preserve">accountability to third parties. </w:t>
      </w:r>
    </w:p>
    <w:p w:rsidR="00731FCA" w:rsidRDefault="009B71F2" w:rsidP="002D101A">
      <w:pPr>
        <w:spacing w:line="360" w:lineRule="auto"/>
        <w:jc w:val="both"/>
        <w:rPr>
          <w:lang w:val="en-US"/>
        </w:rPr>
      </w:pPr>
      <w:r>
        <w:rPr>
          <w:lang w:val="en-US"/>
        </w:rPr>
        <w:t xml:space="preserve">These three pillars are to provide checks and balances within the organization. </w:t>
      </w:r>
      <w:r w:rsidR="0034140A" w:rsidRPr="0034140A">
        <w:rPr>
          <w:lang w:val="en-US"/>
        </w:rPr>
        <w:t xml:space="preserve">Surrounding these three pillars the committee identified </w:t>
      </w:r>
      <w:r w:rsidR="0034140A">
        <w:rPr>
          <w:lang w:val="en-US"/>
        </w:rPr>
        <w:t>five specific areas to focus on, namely:</w:t>
      </w:r>
    </w:p>
    <w:p w:rsidR="0034140A" w:rsidRDefault="0034140A" w:rsidP="002D101A">
      <w:pPr>
        <w:pStyle w:val="ListParagraph"/>
        <w:numPr>
          <w:ilvl w:val="0"/>
          <w:numId w:val="3"/>
        </w:numPr>
        <w:spacing w:line="360" w:lineRule="auto"/>
        <w:jc w:val="both"/>
        <w:rPr>
          <w:lang w:val="en-US"/>
        </w:rPr>
      </w:pPr>
      <w:r>
        <w:rPr>
          <w:lang w:val="en-US"/>
        </w:rPr>
        <w:t>the goals of the charity</w:t>
      </w:r>
      <w:r w:rsidR="00AB0664">
        <w:rPr>
          <w:lang w:val="en-US"/>
        </w:rPr>
        <w:t>,</w:t>
      </w:r>
    </w:p>
    <w:p w:rsidR="0034140A" w:rsidRDefault="0034140A" w:rsidP="002D101A">
      <w:pPr>
        <w:pStyle w:val="ListParagraph"/>
        <w:numPr>
          <w:ilvl w:val="0"/>
          <w:numId w:val="3"/>
        </w:numPr>
        <w:spacing w:line="360" w:lineRule="auto"/>
        <w:jc w:val="both"/>
        <w:rPr>
          <w:lang w:val="en-US"/>
        </w:rPr>
      </w:pPr>
      <w:r>
        <w:rPr>
          <w:lang w:val="en-US"/>
        </w:rPr>
        <w:t>the usage of funds</w:t>
      </w:r>
      <w:r w:rsidR="00AB0664">
        <w:rPr>
          <w:lang w:val="en-US"/>
        </w:rPr>
        <w:t>,</w:t>
      </w:r>
    </w:p>
    <w:p w:rsidR="0034140A" w:rsidRDefault="0034140A" w:rsidP="002D101A">
      <w:pPr>
        <w:pStyle w:val="ListParagraph"/>
        <w:numPr>
          <w:ilvl w:val="0"/>
          <w:numId w:val="3"/>
        </w:numPr>
        <w:spacing w:line="360" w:lineRule="auto"/>
        <w:jc w:val="both"/>
        <w:rPr>
          <w:lang w:val="en-US"/>
        </w:rPr>
      </w:pPr>
      <w:r>
        <w:rPr>
          <w:lang w:val="en-US"/>
        </w:rPr>
        <w:t>the fundraising</w:t>
      </w:r>
      <w:r w:rsidR="00AB0664">
        <w:rPr>
          <w:lang w:val="en-US"/>
        </w:rPr>
        <w:t>,</w:t>
      </w:r>
    </w:p>
    <w:p w:rsidR="00AB0664" w:rsidRDefault="00AB0664" w:rsidP="002D101A">
      <w:pPr>
        <w:pStyle w:val="ListParagraph"/>
        <w:numPr>
          <w:ilvl w:val="0"/>
          <w:numId w:val="3"/>
        </w:numPr>
        <w:spacing w:line="360" w:lineRule="auto"/>
        <w:jc w:val="both"/>
        <w:rPr>
          <w:lang w:val="en-US"/>
        </w:rPr>
      </w:pPr>
      <w:r>
        <w:rPr>
          <w:lang w:val="en-US"/>
        </w:rPr>
        <w:t>the handling of volunteers and</w:t>
      </w:r>
    </w:p>
    <w:p w:rsidR="00AB0664" w:rsidRDefault="00AB0664" w:rsidP="002D101A">
      <w:pPr>
        <w:pStyle w:val="ListParagraph"/>
        <w:numPr>
          <w:ilvl w:val="0"/>
          <w:numId w:val="3"/>
        </w:numPr>
        <w:spacing w:line="360" w:lineRule="auto"/>
        <w:jc w:val="both"/>
        <w:rPr>
          <w:lang w:val="en-US"/>
        </w:rPr>
      </w:pPr>
      <w:r>
        <w:rPr>
          <w:lang w:val="en-US"/>
        </w:rPr>
        <w:t>the functioning of the organization</w:t>
      </w:r>
    </w:p>
    <w:p w:rsidR="0034140A" w:rsidRDefault="00516BF9" w:rsidP="002D101A">
      <w:pPr>
        <w:spacing w:line="360" w:lineRule="auto"/>
        <w:jc w:val="both"/>
        <w:rPr>
          <w:lang w:val="en-US"/>
        </w:rPr>
      </w:pPr>
      <w:r>
        <w:rPr>
          <w:lang w:val="en-US"/>
        </w:rPr>
        <w:t xml:space="preserve">As you can see these areas are very similar to the assessment areas of the CBF. </w:t>
      </w:r>
    </w:p>
    <w:p w:rsidR="00516BF9" w:rsidRDefault="00516BF9" w:rsidP="002D101A">
      <w:pPr>
        <w:spacing w:line="360" w:lineRule="auto"/>
        <w:jc w:val="both"/>
        <w:rPr>
          <w:lang w:val="en-US"/>
        </w:rPr>
      </w:pPr>
    </w:p>
    <w:p w:rsidR="00AB0664" w:rsidRDefault="00AB0664" w:rsidP="002D101A">
      <w:pPr>
        <w:spacing w:line="360" w:lineRule="auto"/>
        <w:jc w:val="both"/>
        <w:rPr>
          <w:lang w:val="en-US"/>
        </w:rPr>
      </w:pPr>
      <w:r w:rsidRPr="00DE4383">
        <w:rPr>
          <w:lang w:val="en-US"/>
        </w:rPr>
        <w:t>As shown in section II charities are very diverse, a ‘one size fits all’ code is there for quite difficult. The code is thus not completely</w:t>
      </w:r>
      <w:r>
        <w:rPr>
          <w:lang w:val="en-US"/>
        </w:rPr>
        <w:t xml:space="preserve"> mandatory, </w:t>
      </w:r>
      <w:r w:rsidR="00D002DE">
        <w:rPr>
          <w:lang w:val="en-US"/>
        </w:rPr>
        <w:t>VFI members</w:t>
      </w:r>
      <w:r>
        <w:rPr>
          <w:lang w:val="en-US"/>
        </w:rPr>
        <w:t xml:space="preserve"> can deviate from certain aspects under the principal of ‘comply or explain’.</w:t>
      </w:r>
      <w:r w:rsidR="00006E55">
        <w:rPr>
          <w:lang w:val="en-US"/>
        </w:rPr>
        <w:t xml:space="preserve"> </w:t>
      </w:r>
    </w:p>
    <w:p w:rsidR="004635FE" w:rsidRPr="00465BB2" w:rsidRDefault="004635FE" w:rsidP="002D101A">
      <w:pPr>
        <w:spacing w:line="360" w:lineRule="auto"/>
        <w:jc w:val="both"/>
        <w:rPr>
          <w:rFonts w:ascii="ScalaSans-Caps" w:hAnsi="ScalaSans-Caps"/>
          <w:b/>
          <w:lang w:val="en-US"/>
        </w:rPr>
      </w:pPr>
      <w:r w:rsidRPr="00465BB2">
        <w:rPr>
          <w:rFonts w:ascii="ScalaSans-Caps" w:hAnsi="ScalaSans-Caps"/>
          <w:b/>
          <w:lang w:val="en-US"/>
        </w:rPr>
        <w:t>Organizational structure</w:t>
      </w:r>
    </w:p>
    <w:p w:rsidR="00AA4461" w:rsidRDefault="00A97235" w:rsidP="002D101A">
      <w:pPr>
        <w:spacing w:line="360" w:lineRule="auto"/>
        <w:jc w:val="both"/>
        <w:rPr>
          <w:lang w:val="en-US"/>
        </w:rPr>
      </w:pPr>
      <w:r>
        <w:rPr>
          <w:lang w:val="en-US"/>
        </w:rPr>
        <w:t xml:space="preserve">As non-profit organizations most charities use the legal format of a foundation or a association. </w:t>
      </w:r>
      <w:r w:rsidR="00AA4461">
        <w:rPr>
          <w:lang w:val="en-US"/>
        </w:rPr>
        <w:t xml:space="preserve">The </w:t>
      </w:r>
      <w:r w:rsidR="008C0ABF">
        <w:rPr>
          <w:lang w:val="en-US"/>
        </w:rPr>
        <w:t xml:space="preserve">internal </w:t>
      </w:r>
      <w:r w:rsidR="00AA4461">
        <w:rPr>
          <w:lang w:val="en-US"/>
        </w:rPr>
        <w:t xml:space="preserve">organization structure of a charity </w:t>
      </w:r>
      <w:r w:rsidR="00E04D58">
        <w:rPr>
          <w:lang w:val="en-US"/>
        </w:rPr>
        <w:t>i</w:t>
      </w:r>
      <w:r w:rsidR="00AA4461">
        <w:rPr>
          <w:lang w:val="en-US"/>
        </w:rPr>
        <w:t xml:space="preserve">s vital to allow the checks and balances to work, managers and supervisors </w:t>
      </w:r>
      <w:r w:rsidR="00654E65">
        <w:rPr>
          <w:lang w:val="en-US"/>
        </w:rPr>
        <w:t xml:space="preserve">should </w:t>
      </w:r>
      <w:r w:rsidR="00AA4461">
        <w:rPr>
          <w:lang w:val="en-US"/>
        </w:rPr>
        <w:t xml:space="preserve">not be the same people, however, within charities this can be quite difficult as small organizations often don’t have the required size to allow different organizational </w:t>
      </w:r>
      <w:r w:rsidR="00935624">
        <w:rPr>
          <w:lang w:val="en-US"/>
        </w:rPr>
        <w:t>bodie</w:t>
      </w:r>
      <w:r w:rsidR="00AA4461">
        <w:rPr>
          <w:lang w:val="en-US"/>
        </w:rPr>
        <w:t>s.</w:t>
      </w:r>
    </w:p>
    <w:p w:rsidR="009E2E9D" w:rsidRDefault="00AA4461" w:rsidP="009E2E9D">
      <w:pPr>
        <w:spacing w:line="360" w:lineRule="auto"/>
        <w:jc w:val="both"/>
        <w:rPr>
          <w:lang w:val="en-US"/>
        </w:rPr>
      </w:pPr>
      <w:r>
        <w:rPr>
          <w:lang w:val="en-US"/>
        </w:rPr>
        <w:t xml:space="preserve">The governance code recognized this and states that charities with ≥ 15 FTE or income ≥ €2,5 million are mandatory to split the management and the </w:t>
      </w:r>
      <w:r w:rsidR="009B7567">
        <w:rPr>
          <w:lang w:val="en-US"/>
        </w:rPr>
        <w:t>monitoring</w:t>
      </w:r>
      <w:r>
        <w:rPr>
          <w:lang w:val="en-US"/>
        </w:rPr>
        <w:t>, for smaller charities this is not mandatory</w:t>
      </w:r>
      <w:r w:rsidR="00B41F65">
        <w:rPr>
          <w:lang w:val="en-US"/>
        </w:rPr>
        <w:t xml:space="preserve"> however it is recommended</w:t>
      </w:r>
      <w:r>
        <w:rPr>
          <w:lang w:val="en-US"/>
        </w:rPr>
        <w:t>.</w:t>
      </w:r>
      <w:r w:rsidR="009E2E9D">
        <w:rPr>
          <w:lang w:val="en-US"/>
        </w:rPr>
        <w:t xml:space="preserve"> Small </w:t>
      </w:r>
      <w:r w:rsidR="008C0ABF">
        <w:rPr>
          <w:lang w:val="en-US"/>
        </w:rPr>
        <w:t>organizations</w:t>
      </w:r>
      <w:r w:rsidR="009E2E9D">
        <w:rPr>
          <w:lang w:val="en-US"/>
        </w:rPr>
        <w:t xml:space="preserve"> that can’t split management and supervision in to separate </w:t>
      </w:r>
      <w:r w:rsidR="00935624">
        <w:rPr>
          <w:lang w:val="en-US"/>
        </w:rPr>
        <w:t>bodies</w:t>
      </w:r>
      <w:r w:rsidR="009E2E9D">
        <w:rPr>
          <w:lang w:val="en-US"/>
        </w:rPr>
        <w:t xml:space="preserve"> should still separate the res</w:t>
      </w:r>
      <w:r w:rsidR="00935624">
        <w:rPr>
          <w:lang w:val="en-US"/>
        </w:rPr>
        <w:t>ponsibilities within the board, for example by having board members solely responsible for supervision.</w:t>
      </w:r>
    </w:p>
    <w:p w:rsidR="004635FE" w:rsidRDefault="004635FE" w:rsidP="002D101A">
      <w:pPr>
        <w:spacing w:line="360" w:lineRule="auto"/>
        <w:jc w:val="both"/>
        <w:rPr>
          <w:lang w:val="en-US"/>
        </w:rPr>
      </w:pPr>
    </w:p>
    <w:p w:rsidR="00901D63" w:rsidRDefault="009E2E9D" w:rsidP="002D101A">
      <w:pPr>
        <w:spacing w:line="360" w:lineRule="auto"/>
        <w:jc w:val="both"/>
        <w:rPr>
          <w:lang w:val="en-US"/>
        </w:rPr>
      </w:pPr>
      <w:r w:rsidRPr="00DE4383">
        <w:rPr>
          <w:lang w:val="en-US"/>
        </w:rPr>
        <w:t>The separation of the management and supervisory</w:t>
      </w:r>
      <w:r w:rsidR="00AA4461" w:rsidRPr="00DE4383">
        <w:rPr>
          <w:lang w:val="en-US"/>
        </w:rPr>
        <w:t xml:space="preserve"> functions can be done in a variety of ways,</w:t>
      </w:r>
      <w:r w:rsidR="00901D63" w:rsidRPr="00DE4383">
        <w:rPr>
          <w:lang w:val="en-US"/>
        </w:rPr>
        <w:t xml:space="preserve"> </w:t>
      </w:r>
      <w:r w:rsidR="007F502C" w:rsidRPr="00DE4383">
        <w:rPr>
          <w:lang w:val="en-US"/>
        </w:rPr>
        <w:t>figure 4 below</w:t>
      </w:r>
      <w:r w:rsidR="00901D63" w:rsidRPr="00DE4383">
        <w:rPr>
          <w:lang w:val="en-US"/>
        </w:rPr>
        <w:t xml:space="preserve"> shows four </w:t>
      </w:r>
      <w:r w:rsidR="003D6014" w:rsidRPr="00DE4383">
        <w:rPr>
          <w:lang w:val="en-US"/>
        </w:rPr>
        <w:t>(</w:t>
      </w:r>
      <w:r w:rsidR="00901D63" w:rsidRPr="00DE4383">
        <w:rPr>
          <w:lang w:val="en-US"/>
        </w:rPr>
        <w:t>abstract</w:t>
      </w:r>
      <w:r w:rsidR="003D6014" w:rsidRPr="00DE4383">
        <w:rPr>
          <w:lang w:val="en-US"/>
        </w:rPr>
        <w:t>)</w:t>
      </w:r>
      <w:r w:rsidR="00901D63" w:rsidRPr="00DE4383">
        <w:rPr>
          <w:lang w:val="en-US"/>
        </w:rPr>
        <w:t xml:space="preserve"> models of how this can be done.</w:t>
      </w:r>
      <w:r w:rsidR="00901D63">
        <w:rPr>
          <w:lang w:val="en-US"/>
        </w:rPr>
        <w:t xml:space="preserve"> </w:t>
      </w:r>
    </w:p>
    <w:p w:rsidR="00901D63" w:rsidRDefault="00901D63" w:rsidP="002D101A">
      <w:pPr>
        <w:spacing w:line="360" w:lineRule="auto"/>
        <w:jc w:val="both"/>
        <w:rPr>
          <w:lang w:val="en-US"/>
        </w:rPr>
      </w:pPr>
    </w:p>
    <w:p w:rsidR="00061C7D" w:rsidRDefault="00DF2C73" w:rsidP="002D101A">
      <w:pPr>
        <w:spacing w:line="360" w:lineRule="auto"/>
        <w:jc w:val="both"/>
        <w:rPr>
          <w:lang w:val="en-US"/>
        </w:rPr>
      </w:pPr>
      <w:r>
        <w:rPr>
          <w:noProof/>
          <w:lang w:eastAsia="nl-NL"/>
        </w:rPr>
        <w:drawing>
          <wp:inline distT="0" distB="0" distL="0" distR="0">
            <wp:extent cx="5819775" cy="3200400"/>
            <wp:effectExtent l="1905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E2E9D" w:rsidRPr="00A97235" w:rsidRDefault="00A97235" w:rsidP="002D101A">
      <w:pPr>
        <w:spacing w:line="360" w:lineRule="auto"/>
        <w:jc w:val="both"/>
        <w:rPr>
          <w:i/>
          <w:sz w:val="16"/>
          <w:szCs w:val="16"/>
        </w:rPr>
      </w:pPr>
      <w:r w:rsidRPr="00A97235">
        <w:rPr>
          <w:i/>
          <w:sz w:val="16"/>
          <w:szCs w:val="16"/>
        </w:rPr>
        <w:t>Source: Advies goed bestuur voor goede doelen; VFI; june 2005</w:t>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t xml:space="preserve">             </w:t>
      </w:r>
      <w:r w:rsidR="00AA7540">
        <w:rPr>
          <w:i/>
        </w:rPr>
        <w:t>F</w:t>
      </w:r>
      <w:r w:rsidRPr="00A97235">
        <w:rPr>
          <w:i/>
        </w:rPr>
        <w:t>igure 4</w:t>
      </w:r>
    </w:p>
    <w:p w:rsidR="00A97235" w:rsidRDefault="00A97235" w:rsidP="002D101A">
      <w:pPr>
        <w:spacing w:line="360" w:lineRule="auto"/>
        <w:jc w:val="both"/>
      </w:pPr>
    </w:p>
    <w:p w:rsidR="00855CDB" w:rsidRDefault="00733589" w:rsidP="002D101A">
      <w:pPr>
        <w:spacing w:line="360" w:lineRule="auto"/>
        <w:jc w:val="both"/>
        <w:rPr>
          <w:lang w:val="en-US"/>
        </w:rPr>
      </w:pPr>
      <w:r w:rsidRPr="00733589">
        <w:rPr>
          <w:lang w:val="en-US"/>
        </w:rPr>
        <w:t>The general assembly</w:t>
      </w:r>
      <w:r w:rsidR="00AA7540">
        <w:rPr>
          <w:lang w:val="en-US"/>
        </w:rPr>
        <w:t xml:space="preserve"> (GA)</w:t>
      </w:r>
      <w:r w:rsidRPr="00733589">
        <w:rPr>
          <w:lang w:val="en-US"/>
        </w:rPr>
        <w:t xml:space="preserve"> is only available at charities with the </w:t>
      </w:r>
      <w:r>
        <w:rPr>
          <w:lang w:val="en-US"/>
        </w:rPr>
        <w:t>l</w:t>
      </w:r>
      <w:r w:rsidRPr="00733589">
        <w:rPr>
          <w:lang w:val="en-US"/>
        </w:rPr>
        <w:t xml:space="preserve">egal form </w:t>
      </w:r>
      <w:r>
        <w:rPr>
          <w:lang w:val="en-US"/>
        </w:rPr>
        <w:t xml:space="preserve">of a association, under Dutch law the general assembly has the power to vote on a variety of subject, thus giving them a role in </w:t>
      </w:r>
      <w:r w:rsidR="00007EE4">
        <w:rPr>
          <w:lang w:val="en-US"/>
        </w:rPr>
        <w:t>monitoring</w:t>
      </w:r>
      <w:r>
        <w:rPr>
          <w:lang w:val="en-US"/>
        </w:rPr>
        <w:t>.</w:t>
      </w:r>
      <w:r w:rsidR="00C751D8">
        <w:rPr>
          <w:lang w:val="en-US"/>
        </w:rPr>
        <w:t xml:space="preserve"> </w:t>
      </w:r>
      <w:r w:rsidR="00007EE4">
        <w:rPr>
          <w:lang w:val="en-US"/>
        </w:rPr>
        <w:t>M</w:t>
      </w:r>
      <w:r w:rsidR="00C751D8">
        <w:rPr>
          <w:lang w:val="en-US"/>
        </w:rPr>
        <w:t>ost charities</w:t>
      </w:r>
      <w:r w:rsidR="00007EE4">
        <w:rPr>
          <w:lang w:val="en-US"/>
        </w:rPr>
        <w:t>,</w:t>
      </w:r>
      <w:r w:rsidR="00C751D8">
        <w:rPr>
          <w:lang w:val="en-US"/>
        </w:rPr>
        <w:t xml:space="preserve"> </w:t>
      </w:r>
      <w:r w:rsidR="00007EE4">
        <w:rPr>
          <w:lang w:val="en-US"/>
        </w:rPr>
        <w:t>however, use</w:t>
      </w:r>
      <w:r w:rsidR="00C751D8">
        <w:rPr>
          <w:lang w:val="en-US"/>
        </w:rPr>
        <w:t xml:space="preserve"> the legal form of a foundation, thus the GA doesn’t exist.</w:t>
      </w:r>
      <w:r>
        <w:rPr>
          <w:lang w:val="en-US"/>
        </w:rPr>
        <w:t xml:space="preserve"> </w:t>
      </w:r>
      <w:r w:rsidR="00006E55">
        <w:rPr>
          <w:lang w:val="en-US"/>
        </w:rPr>
        <w:t xml:space="preserve">Next to the mentioned bodies some charities also use (independent) advisory committees, these can give advice (either when asked or on </w:t>
      </w:r>
      <w:r w:rsidR="00007EE4">
        <w:rPr>
          <w:lang w:val="en-US"/>
        </w:rPr>
        <w:t>their</w:t>
      </w:r>
      <w:r w:rsidR="00006E55">
        <w:rPr>
          <w:lang w:val="en-US"/>
        </w:rPr>
        <w:t xml:space="preserve"> own account) to the supervisor</w:t>
      </w:r>
      <w:r w:rsidR="00211C9C">
        <w:rPr>
          <w:lang w:val="en-US"/>
        </w:rPr>
        <w:t>y and/</w:t>
      </w:r>
      <w:r w:rsidR="00006E55">
        <w:rPr>
          <w:lang w:val="en-US"/>
        </w:rPr>
        <w:t xml:space="preserve">or governing bodies. </w:t>
      </w:r>
      <w:r w:rsidR="00D002DE">
        <w:rPr>
          <w:lang w:val="en-US"/>
        </w:rPr>
        <w:t xml:space="preserve">In </w:t>
      </w:r>
      <w:r w:rsidR="006A7455">
        <w:rPr>
          <w:lang w:val="en-US"/>
        </w:rPr>
        <w:t>the context of</w:t>
      </w:r>
      <w:r w:rsidR="00D002DE">
        <w:rPr>
          <w:lang w:val="en-US"/>
        </w:rPr>
        <w:t xml:space="preserve"> figure</w:t>
      </w:r>
      <w:r w:rsidR="006A7455">
        <w:rPr>
          <w:lang w:val="en-US"/>
        </w:rPr>
        <w:t xml:space="preserve"> 4</w:t>
      </w:r>
      <w:r w:rsidR="00D002DE">
        <w:rPr>
          <w:lang w:val="en-US"/>
        </w:rPr>
        <w:t xml:space="preserve"> the governing task can be viewed as the strategic </w:t>
      </w:r>
      <w:r w:rsidR="00604175">
        <w:rPr>
          <w:lang w:val="en-US"/>
        </w:rPr>
        <w:t>long-term management with tasks such as</w:t>
      </w:r>
      <w:r w:rsidR="00D002DE">
        <w:rPr>
          <w:lang w:val="en-US"/>
        </w:rPr>
        <w:t xml:space="preserve"> outlining the goals an</w:t>
      </w:r>
      <w:r w:rsidR="00604175">
        <w:rPr>
          <w:lang w:val="en-US"/>
        </w:rPr>
        <w:t>d targets of the charity.</w:t>
      </w:r>
    </w:p>
    <w:p w:rsidR="00855CDB" w:rsidRDefault="00855CDB" w:rsidP="002D101A">
      <w:pPr>
        <w:spacing w:line="360" w:lineRule="auto"/>
        <w:jc w:val="both"/>
        <w:rPr>
          <w:lang w:val="en-US"/>
        </w:rPr>
      </w:pPr>
    </w:p>
    <w:p w:rsidR="00C751D8" w:rsidRDefault="00C751D8" w:rsidP="002D101A">
      <w:pPr>
        <w:spacing w:line="360" w:lineRule="auto"/>
        <w:jc w:val="both"/>
        <w:rPr>
          <w:lang w:val="en-US"/>
        </w:rPr>
      </w:pPr>
      <w:r>
        <w:rPr>
          <w:lang w:val="en-US"/>
        </w:rPr>
        <w:t>Within model 1 the statutory board takes on most of the responsibilities, quite often including supervision, generally this model is used by the smallest charities. Within model 2 the daily management is split fro</w:t>
      </w:r>
      <w:r w:rsidR="00A731E7">
        <w:rPr>
          <w:lang w:val="en-US"/>
        </w:rPr>
        <w:t xml:space="preserve">m the governing and </w:t>
      </w:r>
      <w:r w:rsidR="00442E95">
        <w:rPr>
          <w:lang w:val="en-US"/>
        </w:rPr>
        <w:t>monitoring</w:t>
      </w:r>
      <w:r w:rsidR="00A731E7">
        <w:rPr>
          <w:lang w:val="en-US"/>
        </w:rPr>
        <w:t xml:space="preserve"> (often both done by the statutory board)</w:t>
      </w:r>
      <w:r>
        <w:rPr>
          <w:lang w:val="en-US"/>
        </w:rPr>
        <w:t xml:space="preserve">. Models 3 and 4 have a clear distinction between the 3 roles, in model 3 the statutory board takes on the supervisory role, where in model 4 they take the role </w:t>
      </w:r>
      <w:r w:rsidR="00442E95">
        <w:rPr>
          <w:lang w:val="en-US"/>
        </w:rPr>
        <w:t>of governing body, leaving the monitoring</w:t>
      </w:r>
      <w:r>
        <w:rPr>
          <w:lang w:val="en-US"/>
        </w:rPr>
        <w:t xml:space="preserve"> role to another body.</w:t>
      </w:r>
    </w:p>
    <w:p w:rsidR="00C751D8" w:rsidRDefault="00C751D8" w:rsidP="002D101A">
      <w:pPr>
        <w:spacing w:line="360" w:lineRule="auto"/>
        <w:jc w:val="both"/>
        <w:rPr>
          <w:lang w:val="en-US"/>
        </w:rPr>
      </w:pPr>
    </w:p>
    <w:p w:rsidR="00DA045F" w:rsidRDefault="00DA045F" w:rsidP="002D101A">
      <w:pPr>
        <w:spacing w:line="360" w:lineRule="auto"/>
        <w:jc w:val="both"/>
        <w:rPr>
          <w:lang w:val="en-US"/>
        </w:rPr>
      </w:pPr>
      <w:r>
        <w:rPr>
          <w:lang w:val="en-US"/>
        </w:rPr>
        <w:t xml:space="preserve">Within the different boards it can be the case that someone has a potential conflict of interest. </w:t>
      </w:r>
      <w:r w:rsidR="001D1EE7">
        <w:rPr>
          <w:lang w:val="en-US"/>
        </w:rPr>
        <w:t xml:space="preserve">In general conflicts of interest should be avoided, but if they do exist it is to be openly communicated to both the governing body, supervisory body and externally. </w:t>
      </w:r>
      <w:r w:rsidR="00604175">
        <w:rPr>
          <w:lang w:val="en-US"/>
        </w:rPr>
        <w:t xml:space="preserve">Sometimes conflicts of interest only exist on a specific area, when this is the case the person(s) cannot be involved in this specific area. </w:t>
      </w:r>
    </w:p>
    <w:p w:rsidR="00DA045F" w:rsidRDefault="00DA045F" w:rsidP="002D101A">
      <w:pPr>
        <w:spacing w:line="360" w:lineRule="auto"/>
        <w:jc w:val="both"/>
        <w:rPr>
          <w:lang w:val="en-US"/>
        </w:rPr>
      </w:pPr>
    </w:p>
    <w:p w:rsidR="00C751D8" w:rsidRPr="00465BB2" w:rsidRDefault="00102536" w:rsidP="002D101A">
      <w:pPr>
        <w:spacing w:line="360" w:lineRule="auto"/>
        <w:jc w:val="both"/>
        <w:rPr>
          <w:rFonts w:ascii="ScalaSans-Caps" w:hAnsi="ScalaSans-Caps"/>
          <w:b/>
          <w:lang w:val="en-US"/>
        </w:rPr>
      </w:pPr>
      <w:r w:rsidRPr="00465BB2">
        <w:rPr>
          <w:rFonts w:ascii="ScalaSans-Caps" w:hAnsi="ScalaSans-Caps"/>
          <w:b/>
          <w:lang w:val="en-US"/>
        </w:rPr>
        <w:t>Responsibilities</w:t>
      </w:r>
    </w:p>
    <w:p w:rsidR="00C751D8" w:rsidRDefault="00706839" w:rsidP="002D101A">
      <w:pPr>
        <w:spacing w:line="360" w:lineRule="auto"/>
        <w:jc w:val="both"/>
        <w:rPr>
          <w:lang w:val="en-US"/>
        </w:rPr>
      </w:pPr>
      <w:r>
        <w:rPr>
          <w:lang w:val="en-US"/>
        </w:rPr>
        <w:t xml:space="preserve">The different bodies as described above have different responsibilities. The code Wijffels doesn’t distinguish the governing and daily management bodies when it comes to these responsibilities, thus in this part they will both be referred to as management. </w:t>
      </w:r>
    </w:p>
    <w:p w:rsidR="00706839" w:rsidRDefault="00706839" w:rsidP="002D101A">
      <w:pPr>
        <w:spacing w:line="360" w:lineRule="auto"/>
        <w:jc w:val="both"/>
        <w:rPr>
          <w:lang w:val="en-US"/>
        </w:rPr>
      </w:pPr>
    </w:p>
    <w:p w:rsidR="00812075" w:rsidRDefault="00706839" w:rsidP="002D101A">
      <w:pPr>
        <w:spacing w:line="360" w:lineRule="auto"/>
        <w:jc w:val="both"/>
        <w:rPr>
          <w:lang w:val="en-US"/>
        </w:rPr>
      </w:pPr>
      <w:r>
        <w:rPr>
          <w:lang w:val="en-US"/>
        </w:rPr>
        <w:t xml:space="preserve">The management of a charity is responsible </w:t>
      </w:r>
      <w:r w:rsidR="004D4B94">
        <w:rPr>
          <w:lang w:val="en-US"/>
        </w:rPr>
        <w:t xml:space="preserve">for all the activities of the charity. They make sure that the goals of the charity are reflected in the policies and strategies and implement these. </w:t>
      </w:r>
      <w:r w:rsidR="00812075">
        <w:rPr>
          <w:lang w:val="en-US"/>
        </w:rPr>
        <w:t>Furthermore they are responsible for all operational activities that have to do with the 5 points mentioned above.</w:t>
      </w:r>
      <w:r w:rsidR="000415E6">
        <w:rPr>
          <w:lang w:val="en-US"/>
        </w:rPr>
        <w:t xml:space="preserve"> </w:t>
      </w:r>
      <w:r w:rsidR="00812075">
        <w:rPr>
          <w:lang w:val="en-US"/>
        </w:rPr>
        <w:t xml:space="preserve">On certain aspects the management has to get permission of the supervisors before they can proceed, this </w:t>
      </w:r>
      <w:r w:rsidR="00446D25">
        <w:rPr>
          <w:lang w:val="en-US"/>
        </w:rPr>
        <w:t>creates pre-emptive supervision. On other aspects the supervisory board has the responsibility to carefully monitor the management</w:t>
      </w:r>
      <w:r w:rsidR="00A731E7">
        <w:rPr>
          <w:lang w:val="en-US"/>
        </w:rPr>
        <w:t xml:space="preserve"> and the management </w:t>
      </w:r>
      <w:r w:rsidR="000415E6">
        <w:rPr>
          <w:lang w:val="en-US"/>
        </w:rPr>
        <w:t>c</w:t>
      </w:r>
      <w:r w:rsidR="00A731E7">
        <w:rPr>
          <w:lang w:val="en-US"/>
        </w:rPr>
        <w:t xml:space="preserve">an be held accountable. </w:t>
      </w:r>
    </w:p>
    <w:p w:rsidR="00A731E7" w:rsidRDefault="00A731E7" w:rsidP="002D101A">
      <w:pPr>
        <w:spacing w:line="360" w:lineRule="auto"/>
        <w:jc w:val="both"/>
        <w:rPr>
          <w:lang w:val="en-US"/>
        </w:rPr>
      </w:pPr>
      <w:r>
        <w:rPr>
          <w:lang w:val="en-US"/>
        </w:rPr>
        <w:t xml:space="preserve">When it comes to accountability to external parties the management and supervisors are jointly responsible. They have to make sure that </w:t>
      </w:r>
      <w:r w:rsidR="00F73A4C">
        <w:rPr>
          <w:lang w:val="en-US"/>
        </w:rPr>
        <w:t xml:space="preserve">all relevant </w:t>
      </w:r>
      <w:r>
        <w:rPr>
          <w:lang w:val="en-US"/>
        </w:rPr>
        <w:t xml:space="preserve">information is available, transparent and </w:t>
      </w:r>
      <w:r w:rsidR="00F73A4C">
        <w:rPr>
          <w:lang w:val="en-US"/>
        </w:rPr>
        <w:t>clear</w:t>
      </w:r>
      <w:r>
        <w:rPr>
          <w:lang w:val="en-US"/>
        </w:rPr>
        <w:t xml:space="preserve"> to anyone interested. </w:t>
      </w:r>
      <w:r w:rsidR="00DA045F">
        <w:rPr>
          <w:lang w:val="en-US"/>
        </w:rPr>
        <w:t xml:space="preserve">Financial information is key among the accountability towards external parties, </w:t>
      </w:r>
      <w:r w:rsidR="0095638B">
        <w:rPr>
          <w:lang w:val="en-US"/>
        </w:rPr>
        <w:t>VFI members</w:t>
      </w:r>
      <w:r w:rsidR="00DA045F">
        <w:rPr>
          <w:lang w:val="en-US"/>
        </w:rPr>
        <w:t xml:space="preserve"> are there for required to have their financial books audited by a certified accountant. </w:t>
      </w:r>
      <w:r w:rsidR="00127A2B">
        <w:rPr>
          <w:lang w:val="en-US"/>
        </w:rPr>
        <w:t xml:space="preserve">Performance of charities is however not subjected to strict guidelines, there are no guidelines that state a maximum percentage of costs or a minimum requirement on percentage spend on the goals of the charity, the code only says to minimize the costs and thus maximize expenses on charity goals. </w:t>
      </w:r>
    </w:p>
    <w:p w:rsidR="00211C9C" w:rsidRDefault="00211C9C" w:rsidP="00211C9C">
      <w:pPr>
        <w:pStyle w:val="Heading2"/>
        <w:spacing w:before="120" w:line="360" w:lineRule="auto"/>
        <w:rPr>
          <w:lang w:val="en-US"/>
        </w:rPr>
      </w:pPr>
      <w:bookmarkStart w:id="9" w:name="_Toc299180694"/>
      <w:r>
        <w:rPr>
          <w:lang w:val="en-US"/>
        </w:rPr>
        <w:t>III.2</w:t>
      </w:r>
      <w:r w:rsidR="001D784F">
        <w:rPr>
          <w:lang w:val="en-US"/>
        </w:rPr>
        <w:tab/>
      </w:r>
      <w:r w:rsidR="006041AC">
        <w:rPr>
          <w:lang w:val="en-US"/>
        </w:rPr>
        <w:t>E</w:t>
      </w:r>
      <w:r>
        <w:rPr>
          <w:lang w:val="en-US"/>
        </w:rPr>
        <w:t>xecutive remuneration</w:t>
      </w:r>
      <w:bookmarkEnd w:id="9"/>
    </w:p>
    <w:p w:rsidR="00211C9C" w:rsidRDefault="00C43BF6" w:rsidP="00C43BF6">
      <w:pPr>
        <w:spacing w:line="360" w:lineRule="auto"/>
        <w:jc w:val="both"/>
        <w:rPr>
          <w:lang w:val="en-US"/>
        </w:rPr>
      </w:pPr>
      <w:r>
        <w:rPr>
          <w:lang w:val="en-US"/>
        </w:rPr>
        <w:t xml:space="preserve">The Wijffels committee also gives advice on </w:t>
      </w:r>
      <w:r w:rsidR="00EE493E">
        <w:rPr>
          <w:lang w:val="en-US"/>
        </w:rPr>
        <w:t xml:space="preserve">what basis </w:t>
      </w:r>
      <w:r>
        <w:rPr>
          <w:lang w:val="en-US"/>
        </w:rPr>
        <w:t xml:space="preserve">the remuneration of executives should be </w:t>
      </w:r>
      <w:r w:rsidR="00EE493E">
        <w:rPr>
          <w:lang w:val="en-US"/>
        </w:rPr>
        <w:t>made</w:t>
      </w:r>
      <w:r>
        <w:rPr>
          <w:lang w:val="en-US"/>
        </w:rPr>
        <w:t xml:space="preserve">. This advice was worked out by </w:t>
      </w:r>
      <w:r w:rsidR="00EE493E">
        <w:rPr>
          <w:lang w:val="en-US"/>
        </w:rPr>
        <w:t>the VFI in cooperation with the</w:t>
      </w:r>
      <w:r>
        <w:rPr>
          <w:lang w:val="en-US"/>
        </w:rPr>
        <w:t xml:space="preserve"> Hay Group, in the 2005 guidelines on remuneration of charity </w:t>
      </w:r>
      <w:r w:rsidR="00BD0DB0">
        <w:rPr>
          <w:lang w:val="en-US"/>
        </w:rPr>
        <w:t>executives</w:t>
      </w:r>
      <w:r>
        <w:rPr>
          <w:lang w:val="en-US"/>
        </w:rPr>
        <w:t>.</w:t>
      </w:r>
    </w:p>
    <w:p w:rsidR="00211C9C" w:rsidRDefault="00211C9C" w:rsidP="00C43BF6">
      <w:pPr>
        <w:spacing w:line="360" w:lineRule="auto"/>
        <w:jc w:val="both"/>
        <w:rPr>
          <w:lang w:val="en-US"/>
        </w:rPr>
      </w:pPr>
    </w:p>
    <w:p w:rsidR="00211C9C" w:rsidRDefault="00C43BF6" w:rsidP="00C43BF6">
      <w:pPr>
        <w:spacing w:line="360" w:lineRule="auto"/>
        <w:jc w:val="both"/>
        <w:rPr>
          <w:lang w:val="en-US"/>
        </w:rPr>
      </w:pPr>
      <w:r>
        <w:rPr>
          <w:lang w:val="en-US"/>
        </w:rPr>
        <w:t>The Wijffels committee noticed that a paradox exists in the subject of executive remuneration</w:t>
      </w:r>
      <w:r w:rsidR="001565DE">
        <w:rPr>
          <w:lang w:val="en-US"/>
        </w:rPr>
        <w:t>.</w:t>
      </w:r>
      <w:r>
        <w:rPr>
          <w:lang w:val="en-US"/>
        </w:rPr>
        <w:t xml:space="preserve"> </w:t>
      </w:r>
      <w:r w:rsidR="001565DE">
        <w:rPr>
          <w:lang w:val="en-US"/>
        </w:rPr>
        <w:t>O</w:t>
      </w:r>
      <w:r>
        <w:rPr>
          <w:lang w:val="en-US"/>
        </w:rPr>
        <w:t xml:space="preserve">n the one hand </w:t>
      </w:r>
      <w:r w:rsidR="00516BF9">
        <w:rPr>
          <w:lang w:val="en-US"/>
        </w:rPr>
        <w:t xml:space="preserve">big charities </w:t>
      </w:r>
      <w:r>
        <w:rPr>
          <w:lang w:val="en-US"/>
        </w:rPr>
        <w:t xml:space="preserve">need a </w:t>
      </w:r>
      <w:r w:rsidR="00D93480">
        <w:rPr>
          <w:lang w:val="en-US"/>
        </w:rPr>
        <w:t>professional organization with</w:t>
      </w:r>
      <w:r>
        <w:rPr>
          <w:lang w:val="en-US"/>
        </w:rPr>
        <w:t xml:space="preserve"> good management</w:t>
      </w:r>
      <w:r w:rsidR="00D93480">
        <w:rPr>
          <w:lang w:val="en-US"/>
        </w:rPr>
        <w:t>.</w:t>
      </w:r>
      <w:r>
        <w:rPr>
          <w:lang w:val="en-US"/>
        </w:rPr>
        <w:t xml:space="preserve"> </w:t>
      </w:r>
      <w:r w:rsidR="00D93480">
        <w:rPr>
          <w:lang w:val="en-US"/>
        </w:rPr>
        <w:t>O</w:t>
      </w:r>
      <w:r>
        <w:rPr>
          <w:lang w:val="en-US"/>
        </w:rPr>
        <w:t xml:space="preserve">n the other </w:t>
      </w:r>
      <w:r w:rsidR="00830459">
        <w:rPr>
          <w:lang w:val="en-US"/>
        </w:rPr>
        <w:t>the general public</w:t>
      </w:r>
      <w:r>
        <w:rPr>
          <w:lang w:val="en-US"/>
        </w:rPr>
        <w:t xml:space="preserve"> </w:t>
      </w:r>
      <w:r w:rsidR="001D784F">
        <w:rPr>
          <w:lang w:val="en-US"/>
        </w:rPr>
        <w:t>might</w:t>
      </w:r>
      <w:r>
        <w:rPr>
          <w:lang w:val="en-US"/>
        </w:rPr>
        <w:t xml:space="preserve"> not tolerate high remuneration</w:t>
      </w:r>
      <w:r w:rsidR="001565DE">
        <w:rPr>
          <w:lang w:val="en-US"/>
        </w:rPr>
        <w:t>.</w:t>
      </w:r>
      <w:r>
        <w:rPr>
          <w:lang w:val="en-US"/>
        </w:rPr>
        <w:t xml:space="preserve"> </w:t>
      </w:r>
      <w:r w:rsidR="001565DE">
        <w:rPr>
          <w:lang w:val="en-US"/>
        </w:rPr>
        <w:t>T</w:t>
      </w:r>
      <w:r>
        <w:rPr>
          <w:lang w:val="en-US"/>
        </w:rPr>
        <w:t>hey give money to</w:t>
      </w:r>
      <w:r w:rsidR="001565DE">
        <w:rPr>
          <w:lang w:val="en-US"/>
        </w:rPr>
        <w:t xml:space="preserve"> the</w:t>
      </w:r>
      <w:r>
        <w:rPr>
          <w:lang w:val="en-US"/>
        </w:rPr>
        <w:t xml:space="preserve"> charity, not to pay a top executive.</w:t>
      </w:r>
      <w:r w:rsidR="00830459">
        <w:rPr>
          <w:lang w:val="en-US"/>
        </w:rPr>
        <w:t xml:space="preserve"> </w:t>
      </w:r>
      <w:r w:rsidR="0004084F">
        <w:rPr>
          <w:lang w:val="en-US"/>
        </w:rPr>
        <w:t>In order to balance this paradox between idealism and professionalism the Wijffels committee suggested to make remuneration</w:t>
      </w:r>
      <w:r w:rsidR="00007EE4">
        <w:rPr>
          <w:lang w:val="en-US"/>
        </w:rPr>
        <w:t xml:space="preserve"> levels</w:t>
      </w:r>
      <w:r w:rsidR="0004084F">
        <w:rPr>
          <w:lang w:val="en-US"/>
        </w:rPr>
        <w:t xml:space="preserve"> similar to how the government pays the higher personnel. </w:t>
      </w:r>
    </w:p>
    <w:p w:rsidR="00830459" w:rsidRDefault="00830459" w:rsidP="00C43BF6">
      <w:pPr>
        <w:spacing w:line="360" w:lineRule="auto"/>
        <w:jc w:val="both"/>
        <w:rPr>
          <w:lang w:val="en-US"/>
        </w:rPr>
      </w:pPr>
    </w:p>
    <w:p w:rsidR="00830459" w:rsidRDefault="005E7D3C" w:rsidP="005E7D3C">
      <w:pPr>
        <w:spacing w:line="360" w:lineRule="auto"/>
        <w:jc w:val="both"/>
        <w:rPr>
          <w:lang w:val="en-US"/>
        </w:rPr>
      </w:pPr>
      <w:r>
        <w:rPr>
          <w:lang w:val="en-US"/>
        </w:rPr>
        <w:t>The remuneration scheme is in essence a scorecard model</w:t>
      </w:r>
      <w:r w:rsidR="007A78F7">
        <w:rPr>
          <w:lang w:val="en-US"/>
        </w:rPr>
        <w:t xml:space="preserve"> to measure the complexity of charity organization and the responsibilities of a</w:t>
      </w:r>
      <w:r w:rsidR="00D93480">
        <w:rPr>
          <w:lang w:val="en-US"/>
        </w:rPr>
        <w:t>n</w:t>
      </w:r>
      <w:r w:rsidR="007A78F7">
        <w:rPr>
          <w:lang w:val="en-US"/>
        </w:rPr>
        <w:t xml:space="preserve"> executive</w:t>
      </w:r>
      <w:r w:rsidR="005E31F3">
        <w:rPr>
          <w:lang w:val="en-US"/>
        </w:rPr>
        <w:t xml:space="preserve">. </w:t>
      </w:r>
      <w:r w:rsidR="00BF6998">
        <w:rPr>
          <w:lang w:val="en-US"/>
        </w:rPr>
        <w:t>The model is based on four main criteria, which are the following;</w:t>
      </w:r>
    </w:p>
    <w:p w:rsidR="007A78F7" w:rsidRDefault="005E7D3C" w:rsidP="005E7D3C">
      <w:pPr>
        <w:pStyle w:val="ListParagraph"/>
        <w:numPr>
          <w:ilvl w:val="0"/>
          <w:numId w:val="4"/>
        </w:numPr>
        <w:spacing w:line="360" w:lineRule="auto"/>
        <w:jc w:val="both"/>
        <w:rPr>
          <w:lang w:val="en-US"/>
        </w:rPr>
      </w:pPr>
      <w:r>
        <w:rPr>
          <w:lang w:val="en-US"/>
        </w:rPr>
        <w:t>Size of the organization</w:t>
      </w:r>
      <w:r w:rsidR="007A78F7">
        <w:rPr>
          <w:lang w:val="en-US"/>
        </w:rPr>
        <w:t xml:space="preserve">, </w:t>
      </w:r>
    </w:p>
    <w:p w:rsidR="005E7D3C" w:rsidRDefault="007A78F7" w:rsidP="007A78F7">
      <w:pPr>
        <w:pStyle w:val="ListParagraph"/>
        <w:spacing w:line="360" w:lineRule="auto"/>
        <w:jc w:val="both"/>
        <w:rPr>
          <w:lang w:val="en-US"/>
        </w:rPr>
      </w:pPr>
      <w:r>
        <w:rPr>
          <w:lang w:val="en-US"/>
        </w:rPr>
        <w:t>measured by looking at the gross income of fundraising (excluding income from all third parties), the net expenditure on the goals of the charity and the employees (measured in FTE)</w:t>
      </w:r>
      <w:r w:rsidR="00D41164">
        <w:rPr>
          <w:lang w:val="en-US"/>
        </w:rPr>
        <w:t>.</w:t>
      </w:r>
    </w:p>
    <w:p w:rsidR="007A78F7" w:rsidRDefault="005E7D3C" w:rsidP="007A78F7">
      <w:pPr>
        <w:pStyle w:val="ListParagraph"/>
        <w:numPr>
          <w:ilvl w:val="0"/>
          <w:numId w:val="4"/>
        </w:numPr>
        <w:spacing w:line="360" w:lineRule="auto"/>
        <w:jc w:val="both"/>
        <w:rPr>
          <w:lang w:val="en-US"/>
        </w:rPr>
      </w:pPr>
      <w:r>
        <w:rPr>
          <w:lang w:val="en-US"/>
        </w:rPr>
        <w:t>Complexity of the organization</w:t>
      </w:r>
      <w:r w:rsidR="007A78F7">
        <w:rPr>
          <w:lang w:val="en-US"/>
        </w:rPr>
        <w:t>,</w:t>
      </w:r>
    </w:p>
    <w:p w:rsidR="007A78F7" w:rsidRPr="007A78F7" w:rsidRDefault="007A78F7" w:rsidP="007A78F7">
      <w:pPr>
        <w:pStyle w:val="ListParagraph"/>
        <w:spacing w:line="360" w:lineRule="auto"/>
        <w:jc w:val="both"/>
        <w:rPr>
          <w:lang w:val="en-US"/>
        </w:rPr>
      </w:pPr>
      <w:r w:rsidRPr="007A78F7">
        <w:rPr>
          <w:lang w:val="en-US"/>
        </w:rPr>
        <w:t>measured by looking at the diversity of activities of the charity and the financing structure of the charity.</w:t>
      </w:r>
    </w:p>
    <w:p w:rsidR="005E7D3C" w:rsidRDefault="001D784F" w:rsidP="005E7D3C">
      <w:pPr>
        <w:pStyle w:val="ListParagraph"/>
        <w:numPr>
          <w:ilvl w:val="0"/>
          <w:numId w:val="4"/>
        </w:numPr>
        <w:spacing w:line="360" w:lineRule="auto"/>
        <w:jc w:val="both"/>
        <w:rPr>
          <w:lang w:val="en-US"/>
        </w:rPr>
      </w:pPr>
      <w:r>
        <w:rPr>
          <w:lang w:val="en-US"/>
        </w:rPr>
        <w:t>Organizational</w:t>
      </w:r>
      <w:r w:rsidR="005E7D3C">
        <w:rPr>
          <w:lang w:val="en-US"/>
        </w:rPr>
        <w:t xml:space="preserve"> context of the organization</w:t>
      </w:r>
      <w:r w:rsidR="007A78F7">
        <w:rPr>
          <w:lang w:val="en-US"/>
        </w:rPr>
        <w:t>,</w:t>
      </w:r>
    </w:p>
    <w:p w:rsidR="007A78F7" w:rsidRDefault="001B59CD" w:rsidP="007A78F7">
      <w:pPr>
        <w:pStyle w:val="ListParagraph"/>
        <w:spacing w:line="360" w:lineRule="auto"/>
        <w:jc w:val="both"/>
        <w:rPr>
          <w:lang w:val="en-US"/>
        </w:rPr>
      </w:pPr>
      <w:r>
        <w:rPr>
          <w:lang w:val="en-US"/>
        </w:rPr>
        <w:t>m</w:t>
      </w:r>
      <w:r w:rsidR="007A78F7">
        <w:rPr>
          <w:lang w:val="en-US"/>
        </w:rPr>
        <w:t>easured by the degree of independence of the charity and how much power a</w:t>
      </w:r>
      <w:r w:rsidR="001565DE">
        <w:rPr>
          <w:lang w:val="en-US"/>
        </w:rPr>
        <w:t>n</w:t>
      </w:r>
      <w:r w:rsidR="007A78F7">
        <w:rPr>
          <w:lang w:val="en-US"/>
        </w:rPr>
        <w:t xml:space="preserve"> executive has to take decisions on his own without approval of the </w:t>
      </w:r>
      <w:r w:rsidR="00FF6F80">
        <w:rPr>
          <w:lang w:val="en-US"/>
        </w:rPr>
        <w:t>board</w:t>
      </w:r>
      <w:r w:rsidR="00D41164">
        <w:rPr>
          <w:lang w:val="en-US"/>
        </w:rPr>
        <w:t>.</w:t>
      </w:r>
    </w:p>
    <w:p w:rsidR="005E7D3C" w:rsidRDefault="007A78F7" w:rsidP="005E7D3C">
      <w:pPr>
        <w:pStyle w:val="ListParagraph"/>
        <w:numPr>
          <w:ilvl w:val="0"/>
          <w:numId w:val="4"/>
        </w:numPr>
        <w:spacing w:line="360" w:lineRule="auto"/>
        <w:jc w:val="both"/>
        <w:rPr>
          <w:lang w:val="en-US"/>
        </w:rPr>
      </w:pPr>
      <w:r>
        <w:rPr>
          <w:lang w:val="en-US"/>
        </w:rPr>
        <w:t>Executive model of the organization,</w:t>
      </w:r>
    </w:p>
    <w:p w:rsidR="007A78F7" w:rsidRDefault="007A78F7" w:rsidP="007A78F7">
      <w:pPr>
        <w:pStyle w:val="ListParagraph"/>
        <w:spacing w:line="360" w:lineRule="auto"/>
        <w:jc w:val="both"/>
        <w:rPr>
          <w:lang w:val="en-US"/>
        </w:rPr>
      </w:pPr>
      <w:r>
        <w:rPr>
          <w:lang w:val="en-US"/>
        </w:rPr>
        <w:t>measured by t</w:t>
      </w:r>
      <w:r w:rsidR="00D41164">
        <w:rPr>
          <w:lang w:val="en-US"/>
        </w:rPr>
        <w:t>he number of executives and how responsibilities are assigned</w:t>
      </w:r>
      <w:r w:rsidR="008C0ABF">
        <w:rPr>
          <w:lang w:val="en-US"/>
        </w:rPr>
        <w:t xml:space="preserve"> between the executives and between board and executive(s)</w:t>
      </w:r>
      <w:r w:rsidR="00D41164">
        <w:rPr>
          <w:lang w:val="en-US"/>
        </w:rPr>
        <w:t>.</w:t>
      </w:r>
    </w:p>
    <w:p w:rsidR="005E31F3" w:rsidRDefault="005E31F3" w:rsidP="005E31F3">
      <w:pPr>
        <w:spacing w:line="360" w:lineRule="auto"/>
        <w:jc w:val="both"/>
        <w:rPr>
          <w:lang w:val="en-US"/>
        </w:rPr>
      </w:pPr>
    </w:p>
    <w:p w:rsidR="001D784F" w:rsidRDefault="00BF6998" w:rsidP="005E31F3">
      <w:pPr>
        <w:spacing w:line="360" w:lineRule="auto"/>
        <w:jc w:val="both"/>
        <w:rPr>
          <w:lang w:val="en-US"/>
        </w:rPr>
      </w:pPr>
      <w:r>
        <w:rPr>
          <w:lang w:val="en-US"/>
        </w:rPr>
        <w:t>For the first three criteria points are awarded, the more points</w:t>
      </w:r>
      <w:r w:rsidR="001565DE">
        <w:rPr>
          <w:lang w:val="en-US"/>
        </w:rPr>
        <w:t>,</w:t>
      </w:r>
      <w:r>
        <w:rPr>
          <w:lang w:val="en-US"/>
        </w:rPr>
        <w:t xml:space="preserve"> the more complex a</w:t>
      </w:r>
      <w:r w:rsidR="001565DE">
        <w:rPr>
          <w:lang w:val="en-US"/>
        </w:rPr>
        <w:t>n</w:t>
      </w:r>
      <w:r>
        <w:rPr>
          <w:lang w:val="en-US"/>
        </w:rPr>
        <w:t xml:space="preserve"> organization is and the higher the responsibilities of an executive are. The cumulated points from the first three criteria are multiplied by a percentage (70% - 100%) that’s scored on the fourth criteria, resulting in the final score. The </w:t>
      </w:r>
      <w:r w:rsidR="00112D7A">
        <w:rPr>
          <w:lang w:val="en-US"/>
        </w:rPr>
        <w:t>remuneration guideline maximizes the remuneration to €140,000 a year for the highest scoring executive positions</w:t>
      </w:r>
      <w:r>
        <w:rPr>
          <w:lang w:val="en-US"/>
        </w:rPr>
        <w:t>.</w:t>
      </w:r>
    </w:p>
    <w:p w:rsidR="00F06FEB" w:rsidRPr="00F06FEB" w:rsidRDefault="00F06FEB" w:rsidP="00B76AFD">
      <w:pPr>
        <w:pStyle w:val="Heading2"/>
        <w:spacing w:before="120" w:line="360" w:lineRule="auto"/>
        <w:rPr>
          <w:lang w:val="en-US"/>
        </w:rPr>
      </w:pPr>
      <w:bookmarkStart w:id="10" w:name="_Toc299180695"/>
      <w:r>
        <w:rPr>
          <w:lang w:val="en-US"/>
        </w:rPr>
        <w:t>III.3</w:t>
      </w:r>
      <w:r>
        <w:rPr>
          <w:lang w:val="en-US"/>
        </w:rPr>
        <w:tab/>
      </w:r>
      <w:r w:rsidR="006041AC">
        <w:rPr>
          <w:lang w:val="en-US"/>
        </w:rPr>
        <w:t>F</w:t>
      </w:r>
      <w:r w:rsidRPr="00F06FEB">
        <w:rPr>
          <w:lang w:val="en-US"/>
        </w:rPr>
        <w:t>inancial reserves</w:t>
      </w:r>
      <w:bookmarkEnd w:id="10"/>
    </w:p>
    <w:p w:rsidR="00071503" w:rsidRDefault="00850FD0" w:rsidP="00073C9E">
      <w:pPr>
        <w:spacing w:line="360" w:lineRule="auto"/>
        <w:jc w:val="both"/>
        <w:rPr>
          <w:lang w:val="en-US"/>
        </w:rPr>
      </w:pPr>
      <w:r>
        <w:rPr>
          <w:lang w:val="en-US"/>
        </w:rPr>
        <w:t>For some years there have been general discussions about charities not directly using the funds they had</w:t>
      </w:r>
      <w:r w:rsidR="007B2406">
        <w:rPr>
          <w:lang w:val="en-US"/>
        </w:rPr>
        <w:t xml:space="preserve"> available</w:t>
      </w:r>
      <w:r>
        <w:rPr>
          <w:lang w:val="en-US"/>
        </w:rPr>
        <w:t xml:space="preserve">. These discussions led to the creation of a general guideline for financial reserves of charities issued by the VFI in 2002. </w:t>
      </w:r>
    </w:p>
    <w:p w:rsidR="00071503" w:rsidRDefault="00071503" w:rsidP="00073C9E">
      <w:pPr>
        <w:spacing w:line="360" w:lineRule="auto"/>
        <w:jc w:val="both"/>
        <w:rPr>
          <w:lang w:val="en-US"/>
        </w:rPr>
      </w:pPr>
    </w:p>
    <w:p w:rsidR="00D07B27" w:rsidRDefault="00850FD0" w:rsidP="00073C9E">
      <w:pPr>
        <w:spacing w:line="360" w:lineRule="auto"/>
        <w:jc w:val="both"/>
        <w:rPr>
          <w:lang w:val="en-US"/>
        </w:rPr>
      </w:pPr>
      <w:r>
        <w:rPr>
          <w:lang w:val="en-US"/>
        </w:rPr>
        <w:t>The general notion of the guideline is that financial reserves should only be created for specific purposes</w:t>
      </w:r>
      <w:r w:rsidR="00D07B27">
        <w:rPr>
          <w:lang w:val="en-US"/>
        </w:rPr>
        <w:t xml:space="preserve"> such </w:t>
      </w:r>
      <w:r w:rsidR="006A7455">
        <w:rPr>
          <w:lang w:val="en-US"/>
        </w:rPr>
        <w:t>as future project</w:t>
      </w:r>
      <w:r w:rsidR="00112D7A">
        <w:rPr>
          <w:lang w:val="en-US"/>
        </w:rPr>
        <w:t>s</w:t>
      </w:r>
      <w:r w:rsidR="006A7455">
        <w:rPr>
          <w:lang w:val="en-US"/>
        </w:rPr>
        <w:t xml:space="preserve"> where the resources are not needed yet b</w:t>
      </w:r>
      <w:r w:rsidR="00E23515">
        <w:rPr>
          <w:lang w:val="en-US"/>
        </w:rPr>
        <w:t>ut</w:t>
      </w:r>
      <w:r w:rsidR="006A7455">
        <w:rPr>
          <w:lang w:val="en-US"/>
        </w:rPr>
        <w:t xml:space="preserve"> where it is certain that they are needed. Other types of reserves are trust funds, where donations are made over a</w:t>
      </w:r>
      <w:r w:rsidR="00D93480">
        <w:rPr>
          <w:lang w:val="en-US"/>
        </w:rPr>
        <w:t>n</w:t>
      </w:r>
      <w:r w:rsidR="006A7455">
        <w:rPr>
          <w:lang w:val="en-US"/>
        </w:rPr>
        <w:t xml:space="preserve"> extended period. Reserves can also be held to ensure the continuity of the organization, these are however limited in size with a maximum of 1</w:t>
      </w:r>
      <w:r w:rsidR="004E5C6E">
        <w:rPr>
          <w:lang w:val="en-US"/>
        </w:rPr>
        <w:t>,</w:t>
      </w:r>
      <w:r w:rsidR="006A7455">
        <w:rPr>
          <w:lang w:val="en-US"/>
        </w:rPr>
        <w:t>5 times the annual operational costs.</w:t>
      </w:r>
    </w:p>
    <w:p w:rsidR="00071503" w:rsidRDefault="00071503" w:rsidP="00073C9E">
      <w:pPr>
        <w:spacing w:line="360" w:lineRule="auto"/>
        <w:jc w:val="both"/>
        <w:rPr>
          <w:lang w:val="en-US"/>
        </w:rPr>
      </w:pPr>
    </w:p>
    <w:p w:rsidR="00D07B27" w:rsidRDefault="002F531A" w:rsidP="00073C9E">
      <w:pPr>
        <w:spacing w:line="360" w:lineRule="auto"/>
        <w:jc w:val="both"/>
        <w:rPr>
          <w:lang w:val="en-US"/>
        </w:rPr>
      </w:pPr>
      <w:r>
        <w:rPr>
          <w:lang w:val="en-US"/>
        </w:rPr>
        <w:t>Charities themselves are responsible for managing these funds and are al</w:t>
      </w:r>
      <w:r w:rsidR="00112D7A">
        <w:rPr>
          <w:lang w:val="en-US"/>
        </w:rPr>
        <w:t>lowed to invest as they see fit.</w:t>
      </w:r>
      <w:r>
        <w:rPr>
          <w:lang w:val="en-US"/>
        </w:rPr>
        <w:t xml:space="preserve"> </w:t>
      </w:r>
      <w:r w:rsidR="00112D7A">
        <w:rPr>
          <w:lang w:val="en-US"/>
        </w:rPr>
        <w:t>H</w:t>
      </w:r>
      <w:r>
        <w:rPr>
          <w:lang w:val="en-US"/>
        </w:rPr>
        <w:t>owever they are obliged to do</w:t>
      </w:r>
      <w:r w:rsidR="006A7455">
        <w:rPr>
          <w:lang w:val="en-US"/>
        </w:rPr>
        <w:t xml:space="preserve"> this carefully and transparent</w:t>
      </w:r>
      <w:r w:rsidR="00112D7A">
        <w:rPr>
          <w:lang w:val="en-US"/>
        </w:rPr>
        <w:t>ly</w:t>
      </w:r>
      <w:r w:rsidR="006A7455">
        <w:rPr>
          <w:lang w:val="en-US"/>
        </w:rPr>
        <w:t>, reporting the risk profile of the investments.</w:t>
      </w:r>
      <w:r w:rsidR="00BD7F66">
        <w:rPr>
          <w:lang w:val="en-US"/>
        </w:rPr>
        <w:t xml:space="preserve"> </w:t>
      </w:r>
    </w:p>
    <w:p w:rsidR="001B59CD" w:rsidRDefault="001B59CD" w:rsidP="00073C9E">
      <w:pPr>
        <w:spacing w:line="360" w:lineRule="auto"/>
        <w:jc w:val="both"/>
        <w:rPr>
          <w:lang w:val="en-US"/>
        </w:rPr>
      </w:pPr>
    </w:p>
    <w:p w:rsidR="001B59CD" w:rsidRDefault="001B59CD" w:rsidP="001B59CD">
      <w:pPr>
        <w:pStyle w:val="Heading2"/>
        <w:spacing w:before="120" w:line="360" w:lineRule="auto"/>
        <w:rPr>
          <w:lang w:val="en-US"/>
        </w:rPr>
      </w:pPr>
      <w:bookmarkStart w:id="11" w:name="_Toc299180696"/>
      <w:r>
        <w:rPr>
          <w:lang w:val="en-US"/>
        </w:rPr>
        <w:t>III.4</w:t>
      </w:r>
      <w:r>
        <w:rPr>
          <w:lang w:val="en-US"/>
        </w:rPr>
        <w:tab/>
        <w:t>Reflection</w:t>
      </w:r>
      <w:bookmarkEnd w:id="11"/>
    </w:p>
    <w:p w:rsidR="00916C1D" w:rsidRPr="0075718E" w:rsidRDefault="003702DD" w:rsidP="00FF0D11">
      <w:pPr>
        <w:spacing w:line="360" w:lineRule="auto"/>
        <w:jc w:val="both"/>
        <w:rPr>
          <w:lang w:val="en-US"/>
        </w:rPr>
      </w:pPr>
      <w:r w:rsidRPr="0075718E">
        <w:rPr>
          <w:lang w:val="en-US"/>
        </w:rPr>
        <w:t xml:space="preserve">In the context of the 2005 transparency price, </w:t>
      </w:r>
      <w:r w:rsidR="004B263A" w:rsidRPr="0075718E">
        <w:rPr>
          <w:lang w:val="en-US"/>
        </w:rPr>
        <w:t>PriceWaterhouseCoopers (PWC)</w:t>
      </w:r>
      <w:r w:rsidRPr="0075718E">
        <w:rPr>
          <w:lang w:val="en-US"/>
        </w:rPr>
        <w:t>,</w:t>
      </w:r>
      <w:r w:rsidR="004B263A" w:rsidRPr="0075718E">
        <w:rPr>
          <w:lang w:val="en-US"/>
        </w:rPr>
        <w:t xml:space="preserve"> in cooperation with the Dutch associations of donors</w:t>
      </w:r>
      <w:r w:rsidRPr="0075718E">
        <w:rPr>
          <w:lang w:val="en-US"/>
        </w:rPr>
        <w:t xml:space="preserve">, reviewed 168 annual reports of charities to see how well they report on </w:t>
      </w:r>
      <w:r w:rsidR="00916C1D" w:rsidRPr="0075718E">
        <w:rPr>
          <w:lang w:val="en-US"/>
        </w:rPr>
        <w:t xml:space="preserve">various </w:t>
      </w:r>
      <w:r w:rsidRPr="0075718E">
        <w:rPr>
          <w:lang w:val="en-US"/>
        </w:rPr>
        <w:t>governance</w:t>
      </w:r>
      <w:r w:rsidR="00916C1D" w:rsidRPr="0075718E">
        <w:rPr>
          <w:lang w:val="en-US"/>
        </w:rPr>
        <w:t xml:space="preserve"> related subjects</w:t>
      </w:r>
      <w:r w:rsidR="00007EE4">
        <w:rPr>
          <w:lang w:val="en-US"/>
        </w:rPr>
        <w:t xml:space="preserve"> and if they were ready to comply with the new code W</w:t>
      </w:r>
      <w:r w:rsidR="00353F28">
        <w:rPr>
          <w:lang w:val="en-US"/>
        </w:rPr>
        <w:t>i</w:t>
      </w:r>
      <w:r w:rsidR="00007EE4">
        <w:rPr>
          <w:lang w:val="en-US"/>
        </w:rPr>
        <w:t>jffels.</w:t>
      </w:r>
    </w:p>
    <w:p w:rsidR="00916C1D" w:rsidRPr="0075718E" w:rsidRDefault="00916C1D" w:rsidP="00FF0D11">
      <w:pPr>
        <w:spacing w:line="360" w:lineRule="auto"/>
        <w:jc w:val="both"/>
        <w:rPr>
          <w:lang w:val="en-US"/>
        </w:rPr>
      </w:pPr>
    </w:p>
    <w:p w:rsidR="003702DD" w:rsidRPr="0075718E" w:rsidRDefault="00916C1D" w:rsidP="00FF0D11">
      <w:pPr>
        <w:spacing w:line="360" w:lineRule="auto"/>
        <w:jc w:val="both"/>
        <w:rPr>
          <w:lang w:val="en-US"/>
        </w:rPr>
      </w:pPr>
      <w:r w:rsidRPr="0075718E">
        <w:rPr>
          <w:lang w:val="en-US"/>
        </w:rPr>
        <w:t xml:space="preserve">The review shows that, for example, most charities (63%) give insufficient insight into other positions held by the executive(s). </w:t>
      </w:r>
      <w:r w:rsidR="00215BEF" w:rsidRPr="0075718E">
        <w:rPr>
          <w:lang w:val="en-US"/>
        </w:rPr>
        <w:t xml:space="preserve">Looking at the </w:t>
      </w:r>
      <w:r w:rsidR="006541E2" w:rsidRPr="0075718E">
        <w:rPr>
          <w:lang w:val="en-US"/>
        </w:rPr>
        <w:t xml:space="preserve">other positions of </w:t>
      </w:r>
      <w:r w:rsidR="00215BEF" w:rsidRPr="0075718E">
        <w:rPr>
          <w:lang w:val="en-US"/>
        </w:rPr>
        <w:t xml:space="preserve">non-executives it is sufficient, but can be improved. In over 60% the reviewed reports </w:t>
      </w:r>
      <w:r w:rsidR="00FF0D11" w:rsidRPr="0075718E">
        <w:rPr>
          <w:lang w:val="en-US"/>
        </w:rPr>
        <w:t>provided i</w:t>
      </w:r>
      <w:r w:rsidR="00215BEF" w:rsidRPr="0075718E">
        <w:rPr>
          <w:lang w:val="en-US"/>
        </w:rPr>
        <w:t xml:space="preserve">nsufficient information on how the </w:t>
      </w:r>
      <w:r w:rsidR="006541E2" w:rsidRPr="0075718E">
        <w:rPr>
          <w:lang w:val="en-US"/>
        </w:rPr>
        <w:t>(re-)</w:t>
      </w:r>
      <w:r w:rsidR="00215BEF" w:rsidRPr="0075718E">
        <w:rPr>
          <w:lang w:val="en-US"/>
        </w:rPr>
        <w:t xml:space="preserve">appointment procedure </w:t>
      </w:r>
      <w:r w:rsidR="006541E2" w:rsidRPr="0075718E">
        <w:rPr>
          <w:lang w:val="en-US"/>
        </w:rPr>
        <w:t xml:space="preserve">of board members </w:t>
      </w:r>
      <w:r w:rsidR="006872F0">
        <w:rPr>
          <w:lang w:val="en-US"/>
        </w:rPr>
        <w:t>works and is conducted</w:t>
      </w:r>
      <w:r w:rsidR="006541E2" w:rsidRPr="0075718E">
        <w:rPr>
          <w:lang w:val="en-US"/>
        </w:rPr>
        <w:t xml:space="preserve">. </w:t>
      </w:r>
      <w:r w:rsidR="00FF0D11" w:rsidRPr="0075718E">
        <w:rPr>
          <w:lang w:val="en-US"/>
        </w:rPr>
        <w:t>Evaluation of the internal governance mechanisms by the board is insufficient or should be improved in most cases (74%).</w:t>
      </w:r>
    </w:p>
    <w:p w:rsidR="006541E2" w:rsidRPr="0075718E" w:rsidRDefault="006541E2" w:rsidP="00FF0D11">
      <w:pPr>
        <w:spacing w:line="360" w:lineRule="auto"/>
        <w:jc w:val="both"/>
        <w:rPr>
          <w:lang w:val="en-US"/>
        </w:rPr>
      </w:pPr>
    </w:p>
    <w:p w:rsidR="006541E2" w:rsidRDefault="0075718E" w:rsidP="00FF0D11">
      <w:pPr>
        <w:spacing w:line="360" w:lineRule="auto"/>
        <w:jc w:val="both"/>
        <w:rPr>
          <w:lang w:val="en-US"/>
        </w:rPr>
      </w:pPr>
      <w:r w:rsidRPr="0075718E">
        <w:rPr>
          <w:lang w:val="en-US"/>
        </w:rPr>
        <w:t>Next to the review of the annual reports PWC hosted a workshop during the June 2005 C</w:t>
      </w:r>
      <w:r w:rsidR="00463910" w:rsidRPr="0075718E">
        <w:rPr>
          <w:lang w:val="en-US"/>
        </w:rPr>
        <w:t xml:space="preserve">ivil Society Congress, with participants from the boards of charities. Participants were asked to answer on a few propositions, that also look on governance. The answers received </w:t>
      </w:r>
      <w:r w:rsidR="00FF0D11" w:rsidRPr="0075718E">
        <w:rPr>
          <w:lang w:val="en-US"/>
        </w:rPr>
        <w:t>show that people inside the organizations have quite</w:t>
      </w:r>
      <w:r w:rsidR="00463910" w:rsidRPr="0075718E">
        <w:rPr>
          <w:lang w:val="en-US"/>
        </w:rPr>
        <w:t xml:space="preserve"> a different look on charities th</w:t>
      </w:r>
      <w:r w:rsidR="001565DE">
        <w:rPr>
          <w:lang w:val="en-US"/>
        </w:rPr>
        <w:t>a</w:t>
      </w:r>
      <w:r w:rsidR="00463910" w:rsidRPr="0075718E">
        <w:rPr>
          <w:lang w:val="en-US"/>
        </w:rPr>
        <w:t xml:space="preserve">n the review PWC had done themselves. For example, close to 75% of the participants answered that the independence and diversity of the </w:t>
      </w:r>
      <w:r>
        <w:rPr>
          <w:lang w:val="en-US"/>
        </w:rPr>
        <w:t>board</w:t>
      </w:r>
      <w:r w:rsidR="00463910" w:rsidRPr="0075718E">
        <w:rPr>
          <w:lang w:val="en-US"/>
        </w:rPr>
        <w:t xml:space="preserve"> was adequate.</w:t>
      </w:r>
      <w:r w:rsidR="00463910">
        <w:rPr>
          <w:lang w:val="en-US"/>
        </w:rPr>
        <w:t xml:space="preserve"> </w:t>
      </w:r>
    </w:p>
    <w:p w:rsidR="007541EF" w:rsidRDefault="007541EF">
      <w:pPr>
        <w:rPr>
          <w:lang w:val="en-US"/>
        </w:rPr>
      </w:pPr>
      <w:r w:rsidRPr="00733589">
        <w:rPr>
          <w:lang w:val="en-US"/>
        </w:rPr>
        <w:br w:type="page"/>
      </w:r>
    </w:p>
    <w:p w:rsidR="00D75835" w:rsidRDefault="00D75835" w:rsidP="00D75835">
      <w:pPr>
        <w:pStyle w:val="Heading1"/>
        <w:spacing w:before="240" w:line="360" w:lineRule="auto"/>
        <w:rPr>
          <w:lang w:val="en-US"/>
        </w:rPr>
      </w:pPr>
      <w:bookmarkStart w:id="12" w:name="_Toc299180697"/>
      <w:r>
        <w:rPr>
          <w:lang w:val="en-US"/>
        </w:rPr>
        <w:t xml:space="preserve">IV: </w:t>
      </w:r>
      <w:r w:rsidR="00112D7A">
        <w:rPr>
          <w:lang w:val="en-US"/>
        </w:rPr>
        <w:t>Literature</w:t>
      </w:r>
      <w:r>
        <w:rPr>
          <w:lang w:val="en-US"/>
        </w:rPr>
        <w:t xml:space="preserve"> review</w:t>
      </w:r>
      <w:r w:rsidR="00112D7A">
        <w:rPr>
          <w:lang w:val="en-US"/>
        </w:rPr>
        <w:t>:</w:t>
      </w:r>
      <w:r>
        <w:rPr>
          <w:lang w:val="en-US"/>
        </w:rPr>
        <w:t xml:space="preserve"> </w:t>
      </w:r>
      <w:r w:rsidR="00112D7A">
        <w:rPr>
          <w:lang w:val="en-US"/>
        </w:rPr>
        <w:t>C</w:t>
      </w:r>
      <w:r w:rsidR="002B27E0">
        <w:rPr>
          <w:lang w:val="en-US"/>
        </w:rPr>
        <w:t>harity</w:t>
      </w:r>
      <w:r>
        <w:rPr>
          <w:lang w:val="en-US"/>
        </w:rPr>
        <w:t xml:space="preserve"> governance</w:t>
      </w:r>
      <w:bookmarkEnd w:id="12"/>
    </w:p>
    <w:p w:rsidR="00D75835" w:rsidRDefault="00D75835" w:rsidP="00AB1C41">
      <w:pPr>
        <w:spacing w:line="360" w:lineRule="auto"/>
        <w:jc w:val="both"/>
        <w:rPr>
          <w:lang w:val="en-US"/>
        </w:rPr>
      </w:pPr>
    </w:p>
    <w:p w:rsidR="00E815E4" w:rsidRDefault="00E815E4" w:rsidP="00AB1C41">
      <w:pPr>
        <w:spacing w:line="360" w:lineRule="auto"/>
        <w:jc w:val="both"/>
        <w:rPr>
          <w:lang w:val="en-US"/>
        </w:rPr>
      </w:pPr>
      <w:r w:rsidRPr="0075718E">
        <w:rPr>
          <w:lang w:val="en-US"/>
        </w:rPr>
        <w:t xml:space="preserve">Hyndman and McDonnell (2009) give a clear view on what charity governance entails, they </w:t>
      </w:r>
      <w:r w:rsidR="007F19D8">
        <w:rPr>
          <w:lang w:val="en-US"/>
        </w:rPr>
        <w:t>define charity governance as followed</w:t>
      </w:r>
      <w:r w:rsidR="00EA1966" w:rsidRPr="0075718E">
        <w:rPr>
          <w:lang w:val="en-US"/>
        </w:rPr>
        <w:t>:</w:t>
      </w:r>
      <w:r w:rsidRPr="0075718E">
        <w:rPr>
          <w:lang w:val="en-US"/>
        </w:rPr>
        <w:t xml:space="preserve"> “charity governance could be viewed as relating to the distribution of rights and responsibilities </w:t>
      </w:r>
      <w:r>
        <w:rPr>
          <w:lang w:val="en-US"/>
        </w:rPr>
        <w:t>among and within the various stakeholder groups involved, including the way in which they are accountable to one another; and also to the performance of the organization”</w:t>
      </w:r>
      <w:r>
        <w:rPr>
          <w:rStyle w:val="FootnoteReference"/>
          <w:lang w:val="en-US"/>
        </w:rPr>
        <w:footnoteReference w:id="2"/>
      </w:r>
      <w:r>
        <w:rPr>
          <w:lang w:val="en-US"/>
        </w:rPr>
        <w:t>.</w:t>
      </w:r>
    </w:p>
    <w:p w:rsidR="00E815E4" w:rsidRDefault="00E815E4" w:rsidP="00AB1C41">
      <w:pPr>
        <w:spacing w:line="360" w:lineRule="auto"/>
        <w:jc w:val="both"/>
        <w:rPr>
          <w:lang w:val="en-US"/>
        </w:rPr>
      </w:pPr>
    </w:p>
    <w:p w:rsidR="00E815E4" w:rsidRDefault="00E815E4" w:rsidP="00AB1C41">
      <w:pPr>
        <w:spacing w:line="360" w:lineRule="auto"/>
        <w:jc w:val="both"/>
        <w:rPr>
          <w:lang w:val="en-US"/>
        </w:rPr>
      </w:pPr>
      <w:r>
        <w:rPr>
          <w:lang w:val="en-US"/>
        </w:rPr>
        <w:t xml:space="preserve">From this definition I will </w:t>
      </w:r>
      <w:r w:rsidR="00975450">
        <w:rPr>
          <w:lang w:val="en-US"/>
        </w:rPr>
        <w:t>first look at a</w:t>
      </w:r>
      <w:r w:rsidR="00FA5E15">
        <w:rPr>
          <w:lang w:val="en-US"/>
        </w:rPr>
        <w:t xml:space="preserve"> general </w:t>
      </w:r>
      <w:r w:rsidR="005B64D6">
        <w:rPr>
          <w:lang w:val="en-US"/>
        </w:rPr>
        <w:t>governance</w:t>
      </w:r>
      <w:r w:rsidR="00FA5E15">
        <w:rPr>
          <w:lang w:val="en-US"/>
        </w:rPr>
        <w:t xml:space="preserve"> </w:t>
      </w:r>
      <w:r w:rsidR="00E12D19">
        <w:rPr>
          <w:lang w:val="en-US"/>
        </w:rPr>
        <w:t>structure</w:t>
      </w:r>
      <w:r w:rsidR="00FA5E15">
        <w:rPr>
          <w:lang w:val="en-US"/>
        </w:rPr>
        <w:t>, secondly into the</w:t>
      </w:r>
      <w:r w:rsidR="00975450">
        <w:rPr>
          <w:lang w:val="en-US"/>
        </w:rPr>
        <w:t xml:space="preserve"> stakeholder model of charities and the</w:t>
      </w:r>
      <w:r w:rsidR="00FA5E15">
        <w:rPr>
          <w:lang w:val="en-US"/>
        </w:rPr>
        <w:t xml:space="preserve"> </w:t>
      </w:r>
      <w:r w:rsidR="00975450">
        <w:rPr>
          <w:lang w:val="en-US"/>
        </w:rPr>
        <w:t>interests</w:t>
      </w:r>
      <w:r w:rsidR="00FA5E15">
        <w:rPr>
          <w:lang w:val="en-US"/>
        </w:rPr>
        <w:t xml:space="preserve"> of stakeholders</w:t>
      </w:r>
      <w:r w:rsidR="00975450">
        <w:rPr>
          <w:lang w:val="en-US"/>
        </w:rPr>
        <w:t>, followed by looking at</w:t>
      </w:r>
      <w:r w:rsidR="007F19D8">
        <w:rPr>
          <w:lang w:val="en-US"/>
        </w:rPr>
        <w:t xml:space="preserve"> the</w:t>
      </w:r>
      <w:r w:rsidR="00975450">
        <w:rPr>
          <w:lang w:val="en-US"/>
        </w:rPr>
        <w:t xml:space="preserve"> board </w:t>
      </w:r>
      <w:r w:rsidR="00AE63C6">
        <w:rPr>
          <w:lang w:val="en-US"/>
        </w:rPr>
        <w:t>of directors</w:t>
      </w:r>
      <w:r w:rsidR="00975450">
        <w:rPr>
          <w:lang w:val="en-US"/>
        </w:rPr>
        <w:t xml:space="preserve"> and </w:t>
      </w:r>
      <w:r w:rsidR="00AA5841">
        <w:rPr>
          <w:lang w:val="en-US"/>
        </w:rPr>
        <w:t>the</w:t>
      </w:r>
      <w:r w:rsidR="00975450">
        <w:rPr>
          <w:lang w:val="en-US"/>
        </w:rPr>
        <w:t xml:space="preserve"> (non-)executive remuneration.</w:t>
      </w:r>
    </w:p>
    <w:p w:rsidR="00975450" w:rsidRDefault="00975450" w:rsidP="00D75835">
      <w:pPr>
        <w:spacing w:line="360" w:lineRule="auto"/>
        <w:rPr>
          <w:lang w:val="en-US"/>
        </w:rPr>
      </w:pPr>
    </w:p>
    <w:p w:rsidR="00FA5E15" w:rsidRDefault="00FA5E15" w:rsidP="00FA5E15">
      <w:pPr>
        <w:pStyle w:val="Heading2"/>
        <w:spacing w:before="120" w:line="360" w:lineRule="auto"/>
        <w:rPr>
          <w:lang w:val="en-US"/>
        </w:rPr>
      </w:pPr>
      <w:bookmarkStart w:id="13" w:name="_Toc299180698"/>
      <w:r>
        <w:rPr>
          <w:lang w:val="en-US"/>
        </w:rPr>
        <w:t>IV.1</w:t>
      </w:r>
      <w:r>
        <w:rPr>
          <w:lang w:val="en-US"/>
        </w:rPr>
        <w:tab/>
      </w:r>
      <w:r w:rsidR="002C28A0">
        <w:rPr>
          <w:lang w:val="en-US"/>
        </w:rPr>
        <w:t>Governance</w:t>
      </w:r>
      <w:r>
        <w:rPr>
          <w:lang w:val="en-US"/>
        </w:rPr>
        <w:t xml:space="preserve"> </w:t>
      </w:r>
      <w:r w:rsidR="00E12D19">
        <w:rPr>
          <w:lang w:val="en-US"/>
        </w:rPr>
        <w:t>structure</w:t>
      </w:r>
      <w:bookmarkEnd w:id="13"/>
    </w:p>
    <w:p w:rsidR="005B64D6" w:rsidRPr="005B64D6" w:rsidRDefault="00E12D19" w:rsidP="00C56104">
      <w:pPr>
        <w:spacing w:line="360" w:lineRule="auto"/>
        <w:jc w:val="both"/>
        <w:rPr>
          <w:lang w:val="en-US"/>
        </w:rPr>
      </w:pPr>
      <w:r>
        <w:rPr>
          <w:lang w:val="en-US"/>
        </w:rPr>
        <w:t xml:space="preserve">Over the years it has become commonly accepted that there is no one-size-fits-all type of </w:t>
      </w:r>
      <w:r w:rsidR="002C28A0">
        <w:rPr>
          <w:lang w:val="en-US"/>
        </w:rPr>
        <w:t>organizing governance</w:t>
      </w:r>
      <w:r>
        <w:rPr>
          <w:lang w:val="en-US"/>
        </w:rPr>
        <w:t xml:space="preserve">, this counts both to for-profit as non-profit organizations. </w:t>
      </w:r>
      <w:r w:rsidR="00EF6479">
        <w:rPr>
          <w:lang w:val="en-US"/>
        </w:rPr>
        <w:t xml:space="preserve">When looking at the </w:t>
      </w:r>
      <w:r w:rsidR="00EF6479" w:rsidRPr="0075718E">
        <w:rPr>
          <w:lang w:val="en-US"/>
        </w:rPr>
        <w:t xml:space="preserve">characteristics between for-profit (corporate) and non-profit (philanthropic) governance models, </w:t>
      </w:r>
      <w:r w:rsidRPr="0075718E">
        <w:rPr>
          <w:lang w:val="en-US"/>
        </w:rPr>
        <w:t>Alexander</w:t>
      </w:r>
      <w:r w:rsidR="00EF6479" w:rsidRPr="0075718E">
        <w:rPr>
          <w:lang w:val="en-US"/>
        </w:rPr>
        <w:t xml:space="preserve">, Morlock and Gifford </w:t>
      </w:r>
      <w:r w:rsidRPr="0075718E">
        <w:rPr>
          <w:lang w:val="en-US"/>
        </w:rPr>
        <w:t xml:space="preserve">(1998) </w:t>
      </w:r>
      <w:r w:rsidR="00EF6479" w:rsidRPr="0075718E">
        <w:rPr>
          <w:lang w:val="en-US"/>
        </w:rPr>
        <w:t xml:space="preserve">found </w:t>
      </w:r>
      <w:r w:rsidR="00EF6479">
        <w:rPr>
          <w:lang w:val="en-US"/>
        </w:rPr>
        <w:t xml:space="preserve">the following characteristics as shown </w:t>
      </w:r>
      <w:r w:rsidR="00EF6479" w:rsidRPr="00DE4383">
        <w:rPr>
          <w:lang w:val="en-US"/>
        </w:rPr>
        <w:t>in table 1 below</w:t>
      </w:r>
      <w:r w:rsidR="005B64D6">
        <w:rPr>
          <w:lang w:val="en-US"/>
        </w:rPr>
        <w:t>. The table doesn’t only show the differences, it also shows the various areas that a</w:t>
      </w:r>
      <w:r w:rsidR="00D93480">
        <w:rPr>
          <w:lang w:val="en-US"/>
        </w:rPr>
        <w:t>n</w:t>
      </w:r>
      <w:r w:rsidR="005B64D6">
        <w:rPr>
          <w:lang w:val="en-US"/>
        </w:rPr>
        <w:t xml:space="preserve"> organization has to focus on when determining its governance structure. </w:t>
      </w:r>
    </w:p>
    <w:p w:rsidR="00416D69" w:rsidRPr="00416D69" w:rsidRDefault="00416D69" w:rsidP="00D75835">
      <w:pPr>
        <w:spacing w:line="360" w:lineRule="auto"/>
        <w:rPr>
          <w:sz w:val="12"/>
          <w:szCs w:val="12"/>
          <w:lang w:val="en-US"/>
        </w:rPr>
      </w:pPr>
    </w:p>
    <w:p w:rsidR="00EF6479" w:rsidRDefault="002800DD" w:rsidP="00EF6479">
      <w:pPr>
        <w:spacing w:line="360" w:lineRule="auto"/>
        <w:jc w:val="center"/>
        <w:rPr>
          <w:lang w:val="en-US"/>
        </w:rPr>
      </w:pPr>
      <w:r w:rsidRPr="002800DD">
        <w:rPr>
          <w:noProof/>
          <w:lang w:val="en-US"/>
        </w:rPr>
        <w:pict>
          <v:shape id="_x0000_s1033" type="#_x0000_t202" style="position:absolute;left:0;text-align:left;margin-left:334.05pt;margin-top:178.15pt;width:62.2pt;height:21.9pt;z-index:251666432;mso-width-relative:margin;mso-height-relative:margin" stroked="f">
            <v:textbox style="mso-next-textbox:#_x0000_s1033">
              <w:txbxContent>
                <w:p w:rsidR="002C07A4" w:rsidRPr="00EF6479" w:rsidRDefault="002C07A4">
                  <w:pPr>
                    <w:rPr>
                      <w:i/>
                    </w:rPr>
                  </w:pPr>
                  <w:r w:rsidRPr="00EF6479">
                    <w:rPr>
                      <w:i/>
                    </w:rPr>
                    <w:t xml:space="preserve">Table </w:t>
                  </w:r>
                  <w:r>
                    <w:rPr>
                      <w:i/>
                    </w:rPr>
                    <w:t>1</w:t>
                  </w:r>
                </w:p>
              </w:txbxContent>
            </v:textbox>
          </v:shape>
        </w:pict>
      </w:r>
      <w:r w:rsidR="00EF6479">
        <w:rPr>
          <w:noProof/>
          <w:lang w:eastAsia="nl-NL"/>
        </w:rPr>
        <w:drawing>
          <wp:inline distT="0" distB="0" distL="0" distR="0">
            <wp:extent cx="4352925" cy="2428875"/>
            <wp:effectExtent l="19050" t="0" r="9525"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352925" cy="2428875"/>
                    </a:xfrm>
                    <a:prstGeom prst="rect">
                      <a:avLst/>
                    </a:prstGeom>
                    <a:noFill/>
                    <a:ln w="9525">
                      <a:noFill/>
                      <a:miter lim="800000"/>
                      <a:headEnd/>
                      <a:tailEnd/>
                    </a:ln>
                  </pic:spPr>
                </pic:pic>
              </a:graphicData>
            </a:graphic>
          </wp:inline>
        </w:drawing>
      </w:r>
    </w:p>
    <w:p w:rsidR="00112D7A" w:rsidRDefault="00112D7A">
      <w:pPr>
        <w:rPr>
          <w:lang w:val="en-US"/>
        </w:rPr>
      </w:pPr>
      <w:r>
        <w:rPr>
          <w:lang w:val="en-US"/>
        </w:rPr>
        <w:br w:type="page"/>
      </w:r>
    </w:p>
    <w:p w:rsidR="00EF6479" w:rsidRDefault="00DF1315" w:rsidP="00C56104">
      <w:pPr>
        <w:spacing w:line="360" w:lineRule="auto"/>
        <w:jc w:val="both"/>
        <w:rPr>
          <w:lang w:val="en-US"/>
        </w:rPr>
      </w:pPr>
      <w:r>
        <w:rPr>
          <w:lang w:val="en-US"/>
        </w:rPr>
        <w:t>As there isn’t a one-size-fits-all model most organizations combine characteristics from both models that suit them best, creating so called hybrid models of governance.</w:t>
      </w:r>
      <w:r w:rsidRPr="00DF1315">
        <w:rPr>
          <w:lang w:val="en-US"/>
        </w:rPr>
        <w:t xml:space="preserve"> </w:t>
      </w:r>
      <w:r>
        <w:rPr>
          <w:lang w:val="en-US"/>
        </w:rPr>
        <w:t>Furthermore, governance model shouldn’t be viewed as static models</w:t>
      </w:r>
      <w:r w:rsidR="007B6274">
        <w:rPr>
          <w:lang w:val="en-US"/>
        </w:rPr>
        <w:t>.</w:t>
      </w:r>
      <w:r>
        <w:rPr>
          <w:lang w:val="en-US"/>
        </w:rPr>
        <w:t xml:space="preserve"> </w:t>
      </w:r>
      <w:r w:rsidR="007B6274">
        <w:rPr>
          <w:lang w:val="en-US"/>
        </w:rPr>
        <w:t>W</w:t>
      </w:r>
      <w:r>
        <w:rPr>
          <w:lang w:val="en-US"/>
        </w:rPr>
        <w:t>hen organizations evolve so should the</w:t>
      </w:r>
      <w:r w:rsidR="00E23515">
        <w:rPr>
          <w:lang w:val="en-US"/>
        </w:rPr>
        <w:t>ir</w:t>
      </w:r>
      <w:r>
        <w:rPr>
          <w:lang w:val="en-US"/>
        </w:rPr>
        <w:t xml:space="preserve"> governance structure. </w:t>
      </w:r>
      <w:r w:rsidR="002C28A0" w:rsidRPr="0075718E">
        <w:rPr>
          <w:lang w:val="en-US"/>
        </w:rPr>
        <w:t>Alexander and Weiner (1998),</w:t>
      </w:r>
      <w:r w:rsidR="002C28A0">
        <w:rPr>
          <w:lang w:val="en-US"/>
        </w:rPr>
        <w:t xml:space="preserve"> looking at US hospitals switching from </w:t>
      </w:r>
      <w:r w:rsidR="00796B24">
        <w:rPr>
          <w:lang w:val="en-US"/>
        </w:rPr>
        <w:t>a</w:t>
      </w:r>
      <w:r w:rsidR="002C28A0">
        <w:rPr>
          <w:lang w:val="en-US"/>
        </w:rPr>
        <w:t xml:space="preserve"> philanthropic model to </w:t>
      </w:r>
      <w:r w:rsidR="00796B24">
        <w:rPr>
          <w:lang w:val="en-US"/>
        </w:rPr>
        <w:t>a</w:t>
      </w:r>
      <w:r w:rsidR="002C28A0">
        <w:rPr>
          <w:lang w:val="en-US"/>
        </w:rPr>
        <w:t xml:space="preserve"> corporate model, conclude quite strongly that “the adoption of structures and practices from the for-profit sector is neither feasible nor even desirable solution to problems facing many nonprofit organizations”</w:t>
      </w:r>
      <w:r w:rsidR="002C28A0">
        <w:rPr>
          <w:rStyle w:val="FootnoteReference"/>
          <w:lang w:val="en-US"/>
        </w:rPr>
        <w:footnoteReference w:id="3"/>
      </w:r>
      <w:r w:rsidR="00416D69">
        <w:rPr>
          <w:lang w:val="en-US"/>
        </w:rPr>
        <w:t>. Although this resea</w:t>
      </w:r>
      <w:r w:rsidR="00C07B59">
        <w:rPr>
          <w:lang w:val="en-US"/>
        </w:rPr>
        <w:t>rch is done on hospitals</w:t>
      </w:r>
      <w:r w:rsidR="004C4F66">
        <w:rPr>
          <w:lang w:val="en-US"/>
        </w:rPr>
        <w:t>, a very different non-profit organization compared to</w:t>
      </w:r>
      <w:r w:rsidR="00C07B59">
        <w:rPr>
          <w:lang w:val="en-US"/>
        </w:rPr>
        <w:t xml:space="preserve"> charities, it does indicate that </w:t>
      </w:r>
      <w:r w:rsidR="004C4F66">
        <w:rPr>
          <w:lang w:val="en-US"/>
        </w:rPr>
        <w:t xml:space="preserve">changing the governance structure to a more </w:t>
      </w:r>
      <w:r w:rsidR="00C07B59">
        <w:rPr>
          <w:lang w:val="en-US"/>
        </w:rPr>
        <w:t>corporate like governance</w:t>
      </w:r>
      <w:r w:rsidR="004C4F66">
        <w:rPr>
          <w:lang w:val="en-US"/>
        </w:rPr>
        <w:t xml:space="preserve"> structure</w:t>
      </w:r>
      <w:r w:rsidR="00C07B59">
        <w:rPr>
          <w:lang w:val="en-US"/>
        </w:rPr>
        <w:t xml:space="preserve"> might not be desirable for charities as well, however little research on this subject has been done</w:t>
      </w:r>
      <w:r w:rsidR="00416D69">
        <w:rPr>
          <w:lang w:val="en-US"/>
        </w:rPr>
        <w:t>.</w:t>
      </w:r>
    </w:p>
    <w:p w:rsidR="00EF6479" w:rsidRDefault="00EF6479" w:rsidP="00D75835">
      <w:pPr>
        <w:spacing w:line="360" w:lineRule="auto"/>
        <w:rPr>
          <w:lang w:val="en-US"/>
        </w:rPr>
      </w:pPr>
    </w:p>
    <w:p w:rsidR="00EA1966" w:rsidRDefault="001F770A" w:rsidP="009A149D">
      <w:pPr>
        <w:spacing w:line="360" w:lineRule="auto"/>
        <w:jc w:val="both"/>
        <w:rPr>
          <w:lang w:val="en-US"/>
        </w:rPr>
      </w:pPr>
      <w:r w:rsidRPr="002958F7">
        <w:rPr>
          <w:lang w:val="en-US"/>
        </w:rPr>
        <w:t xml:space="preserve">Although there is no one-size-fits-all model for </w:t>
      </w:r>
      <w:r w:rsidR="007F19D8" w:rsidRPr="002958F7">
        <w:rPr>
          <w:lang w:val="en-US"/>
        </w:rPr>
        <w:t xml:space="preserve">governance </w:t>
      </w:r>
      <w:r w:rsidRPr="002958F7">
        <w:rPr>
          <w:lang w:val="en-US"/>
        </w:rPr>
        <w:t>there is a tendency that organizations in a certain field seem to organize in a similar fashion</w:t>
      </w:r>
      <w:r w:rsidR="007B6274">
        <w:rPr>
          <w:lang w:val="en-US"/>
        </w:rPr>
        <w:t>.</w:t>
      </w:r>
      <w:r w:rsidR="00950D96" w:rsidRPr="002958F7">
        <w:rPr>
          <w:lang w:val="en-US"/>
        </w:rPr>
        <w:t xml:space="preserve"> </w:t>
      </w:r>
      <w:r w:rsidR="007B6274">
        <w:rPr>
          <w:lang w:val="en-US"/>
        </w:rPr>
        <w:t>T</w:t>
      </w:r>
      <w:r w:rsidR="00950D96" w:rsidRPr="002958F7">
        <w:rPr>
          <w:lang w:val="en-US"/>
        </w:rPr>
        <w:t>his is known as institutional theory</w:t>
      </w:r>
      <w:r w:rsidRPr="002958F7">
        <w:rPr>
          <w:lang w:val="en-US"/>
        </w:rPr>
        <w:t xml:space="preserve">. Williamson (1997) </w:t>
      </w:r>
      <w:r w:rsidR="009A149D" w:rsidRPr="002958F7">
        <w:rPr>
          <w:lang w:val="en-US"/>
        </w:rPr>
        <w:t>explains this from a transaction cost economics (TCE) point of view. Within the theory of TCE</w:t>
      </w:r>
      <w:r w:rsidR="009A149D">
        <w:rPr>
          <w:lang w:val="en-US"/>
        </w:rPr>
        <w:t xml:space="preserve"> organizations organize themselves to minimize costs and be as efficient as possible</w:t>
      </w:r>
      <w:r w:rsidR="00175CEA">
        <w:rPr>
          <w:lang w:val="en-US"/>
        </w:rPr>
        <w:t xml:space="preserve"> (economically fit)</w:t>
      </w:r>
      <w:r w:rsidR="009A149D">
        <w:rPr>
          <w:lang w:val="en-US"/>
        </w:rPr>
        <w:t xml:space="preserve">, </w:t>
      </w:r>
      <w:r w:rsidR="00175CEA">
        <w:rPr>
          <w:lang w:val="en-US"/>
        </w:rPr>
        <w:t xml:space="preserve">using governance to provide checks and balances in the </w:t>
      </w:r>
      <w:r w:rsidR="00175CEA" w:rsidRPr="00EE270C">
        <w:rPr>
          <w:lang w:val="en-US"/>
        </w:rPr>
        <w:t>organization</w:t>
      </w:r>
      <w:r w:rsidR="007F19D8">
        <w:rPr>
          <w:lang w:val="en-US"/>
        </w:rPr>
        <w:t xml:space="preserve"> to ensure fitness of the organization</w:t>
      </w:r>
      <w:r w:rsidR="009A149D" w:rsidRPr="00EE270C">
        <w:rPr>
          <w:lang w:val="en-US"/>
        </w:rPr>
        <w:t xml:space="preserve">. </w:t>
      </w:r>
      <w:r w:rsidR="00175CEA" w:rsidRPr="00EE270C">
        <w:rPr>
          <w:lang w:val="en-US"/>
        </w:rPr>
        <w:t xml:space="preserve">Di Maggio and Powell (1983) </w:t>
      </w:r>
      <w:r w:rsidR="00950D96" w:rsidRPr="00EE270C">
        <w:rPr>
          <w:lang w:val="en-US"/>
        </w:rPr>
        <w:t>on the other hand argue that organizations don’t necessarily need to be economically efficient, they just need to appear legitimate</w:t>
      </w:r>
      <w:r w:rsidR="00455811" w:rsidRPr="00EE270C">
        <w:rPr>
          <w:lang w:val="en-US"/>
        </w:rPr>
        <w:t xml:space="preserve"> to justify their existence</w:t>
      </w:r>
      <w:r w:rsidR="00950D96" w:rsidRPr="00EE270C">
        <w:rPr>
          <w:lang w:val="en-US"/>
        </w:rPr>
        <w:t>. In this view governance</w:t>
      </w:r>
      <w:r w:rsidR="00950D96">
        <w:rPr>
          <w:lang w:val="en-US"/>
        </w:rPr>
        <w:t xml:space="preserve"> isn’t used to make the organization efficient, but merely</w:t>
      </w:r>
      <w:r w:rsidR="00455811">
        <w:rPr>
          <w:lang w:val="en-US"/>
        </w:rPr>
        <w:t xml:space="preserve"> to</w:t>
      </w:r>
      <w:r w:rsidR="00950D96">
        <w:rPr>
          <w:lang w:val="en-US"/>
        </w:rPr>
        <w:t xml:space="preserve"> look legitimate. </w:t>
      </w:r>
    </w:p>
    <w:p w:rsidR="00E12D19" w:rsidRDefault="00E12D19" w:rsidP="00D75835">
      <w:pPr>
        <w:spacing w:line="360" w:lineRule="auto"/>
        <w:rPr>
          <w:lang w:val="en-US"/>
        </w:rPr>
      </w:pPr>
    </w:p>
    <w:p w:rsidR="00D25D10" w:rsidRDefault="00D25D10">
      <w:pPr>
        <w:rPr>
          <w:rFonts w:asciiTheme="majorHAnsi" w:eastAsiaTheme="majorEastAsia" w:hAnsiTheme="majorHAnsi" w:cstheme="majorBidi"/>
          <w:b/>
          <w:bCs/>
          <w:color w:val="4F81BD" w:themeColor="accent1"/>
          <w:sz w:val="26"/>
          <w:szCs w:val="26"/>
          <w:lang w:val="en-US"/>
        </w:rPr>
      </w:pPr>
      <w:r>
        <w:rPr>
          <w:lang w:val="en-US"/>
        </w:rPr>
        <w:br w:type="page"/>
      </w:r>
    </w:p>
    <w:p w:rsidR="00950B8D" w:rsidRDefault="00950B8D" w:rsidP="00950B8D">
      <w:pPr>
        <w:pStyle w:val="Heading2"/>
        <w:spacing w:before="120" w:line="360" w:lineRule="auto"/>
        <w:rPr>
          <w:lang w:val="en-US"/>
        </w:rPr>
      </w:pPr>
      <w:bookmarkStart w:id="14" w:name="_Toc299180699"/>
      <w:r>
        <w:rPr>
          <w:lang w:val="en-US"/>
        </w:rPr>
        <w:t>IV.</w:t>
      </w:r>
      <w:r w:rsidR="00FA5E15">
        <w:rPr>
          <w:lang w:val="en-US"/>
        </w:rPr>
        <w:t>2</w:t>
      </w:r>
      <w:r>
        <w:rPr>
          <w:lang w:val="en-US"/>
        </w:rPr>
        <w:tab/>
      </w:r>
      <w:r w:rsidR="00612D09">
        <w:rPr>
          <w:lang w:val="en-US"/>
        </w:rPr>
        <w:t>External s</w:t>
      </w:r>
      <w:r>
        <w:rPr>
          <w:lang w:val="en-US"/>
        </w:rPr>
        <w:t xml:space="preserve">takeholders </w:t>
      </w:r>
      <w:r w:rsidR="00AA5841">
        <w:rPr>
          <w:lang w:val="en-US"/>
        </w:rPr>
        <w:t>model</w:t>
      </w:r>
      <w:bookmarkEnd w:id="14"/>
    </w:p>
    <w:p w:rsidR="00975450" w:rsidRDefault="00512F26" w:rsidP="00AB1C41">
      <w:pPr>
        <w:spacing w:line="360" w:lineRule="auto"/>
        <w:jc w:val="both"/>
        <w:rPr>
          <w:lang w:val="en-US"/>
        </w:rPr>
      </w:pPr>
      <w:r>
        <w:rPr>
          <w:lang w:val="en-US"/>
        </w:rPr>
        <w:t>When looking at the stakeholders of a charity it can be broken down in two groups, internal and external stakeholders. Internal stakeholders would be the board</w:t>
      </w:r>
      <w:r w:rsidR="005652C9">
        <w:rPr>
          <w:lang w:val="en-US"/>
        </w:rPr>
        <w:t>,</w:t>
      </w:r>
      <w:r>
        <w:rPr>
          <w:lang w:val="en-US"/>
        </w:rPr>
        <w:t xml:space="preserve"> </w:t>
      </w:r>
      <w:r w:rsidR="00D84C8C">
        <w:rPr>
          <w:lang w:val="en-US"/>
        </w:rPr>
        <w:t xml:space="preserve">executives, </w:t>
      </w:r>
      <w:r>
        <w:rPr>
          <w:lang w:val="en-US"/>
        </w:rPr>
        <w:t>employees</w:t>
      </w:r>
      <w:r w:rsidR="005652C9">
        <w:rPr>
          <w:lang w:val="en-US"/>
        </w:rPr>
        <w:t xml:space="preserve"> and </w:t>
      </w:r>
      <w:r w:rsidR="005652C9" w:rsidRPr="00DE4383">
        <w:rPr>
          <w:lang w:val="en-US"/>
        </w:rPr>
        <w:t>volunteers</w:t>
      </w:r>
      <w:r w:rsidRPr="00DE4383">
        <w:rPr>
          <w:lang w:val="en-US"/>
        </w:rPr>
        <w:t xml:space="preserve">. External stakeholders would be the donors, beneficiaries, regulators and others. </w:t>
      </w:r>
      <w:r w:rsidR="00944A64" w:rsidRPr="00DE4383">
        <w:rPr>
          <w:lang w:val="en-US"/>
        </w:rPr>
        <w:t>The figu</w:t>
      </w:r>
      <w:r w:rsidR="003A4B1A" w:rsidRPr="00DE4383">
        <w:rPr>
          <w:lang w:val="en-US"/>
        </w:rPr>
        <w:t>r</w:t>
      </w:r>
      <w:r w:rsidR="00944A64" w:rsidRPr="00DE4383">
        <w:rPr>
          <w:lang w:val="en-US"/>
        </w:rPr>
        <w:t>e</w:t>
      </w:r>
      <w:r w:rsidRPr="00DE4383">
        <w:rPr>
          <w:lang w:val="en-US"/>
        </w:rPr>
        <w:t xml:space="preserve"> in appendix </w:t>
      </w:r>
      <w:r w:rsidR="00944A64" w:rsidRPr="00DE4383">
        <w:rPr>
          <w:lang w:val="en-US"/>
        </w:rPr>
        <w:t>2</w:t>
      </w:r>
      <w:r w:rsidRPr="00DE4383">
        <w:rPr>
          <w:lang w:val="en-US"/>
        </w:rPr>
        <w:t xml:space="preserve"> gives a schematic overview of the </w:t>
      </w:r>
      <w:r w:rsidR="00716981" w:rsidRPr="00DE4383">
        <w:rPr>
          <w:lang w:val="en-US"/>
        </w:rPr>
        <w:t xml:space="preserve">external </w:t>
      </w:r>
      <w:r w:rsidRPr="00DE4383">
        <w:rPr>
          <w:lang w:val="en-US"/>
        </w:rPr>
        <w:t>stakeholder model</w:t>
      </w:r>
      <w:r w:rsidR="00434C09" w:rsidRPr="00DE4383">
        <w:rPr>
          <w:lang w:val="en-US"/>
        </w:rPr>
        <w:t xml:space="preserve"> with</w:t>
      </w:r>
      <w:r w:rsidR="00434C09">
        <w:rPr>
          <w:lang w:val="en-US"/>
        </w:rPr>
        <w:t xml:space="preserve"> the various links between </w:t>
      </w:r>
      <w:r w:rsidR="005B64D6">
        <w:rPr>
          <w:lang w:val="en-US"/>
        </w:rPr>
        <w:t>stakeholders and the charity</w:t>
      </w:r>
      <w:r w:rsidR="00716981">
        <w:rPr>
          <w:lang w:val="en-US"/>
        </w:rPr>
        <w:t>.</w:t>
      </w:r>
    </w:p>
    <w:p w:rsidR="00C86C4B" w:rsidRDefault="00C86C4B" w:rsidP="00AB1C41">
      <w:pPr>
        <w:spacing w:line="360" w:lineRule="auto"/>
        <w:jc w:val="both"/>
        <w:rPr>
          <w:lang w:val="en-US"/>
        </w:rPr>
      </w:pPr>
    </w:p>
    <w:p w:rsidR="00E62F4B" w:rsidRPr="00465BB2" w:rsidRDefault="00E62F4B" w:rsidP="00AB1C41">
      <w:pPr>
        <w:spacing w:line="360" w:lineRule="auto"/>
        <w:jc w:val="both"/>
        <w:rPr>
          <w:rFonts w:ascii="ScalaSans-Caps" w:hAnsi="ScalaSans-Caps"/>
          <w:b/>
          <w:lang w:val="en-US"/>
        </w:rPr>
      </w:pPr>
      <w:r w:rsidRPr="00465BB2">
        <w:rPr>
          <w:rFonts w:ascii="ScalaSans-Caps" w:hAnsi="ScalaSans-Caps"/>
          <w:b/>
          <w:lang w:val="en-US"/>
        </w:rPr>
        <w:t>Donors</w:t>
      </w:r>
    </w:p>
    <w:p w:rsidR="00E74322" w:rsidRDefault="00AA5841" w:rsidP="00AB1C41">
      <w:pPr>
        <w:spacing w:line="360" w:lineRule="auto"/>
        <w:jc w:val="both"/>
        <w:rPr>
          <w:lang w:val="en-US"/>
        </w:rPr>
      </w:pPr>
      <w:r>
        <w:rPr>
          <w:lang w:val="en-US"/>
        </w:rPr>
        <w:t>Similar to the for-profit sector where the shareholders are the biggest stakeholder, it is generally accepted that within charities the donors are the primary</w:t>
      </w:r>
      <w:r w:rsidR="006872F0">
        <w:rPr>
          <w:lang w:val="en-US"/>
        </w:rPr>
        <w:t xml:space="preserve"> (external)</w:t>
      </w:r>
      <w:r>
        <w:rPr>
          <w:lang w:val="en-US"/>
        </w:rPr>
        <w:t xml:space="preserve"> stakeholder</w:t>
      </w:r>
      <w:r w:rsidR="009535CC">
        <w:rPr>
          <w:lang w:val="en-US"/>
        </w:rPr>
        <w:t xml:space="preserve">, as without donations the charity </w:t>
      </w:r>
      <w:r w:rsidR="004D24D9">
        <w:rPr>
          <w:lang w:val="en-US"/>
        </w:rPr>
        <w:t>can’t</w:t>
      </w:r>
      <w:r w:rsidR="009535CC">
        <w:rPr>
          <w:lang w:val="en-US"/>
        </w:rPr>
        <w:t xml:space="preserve"> operate</w:t>
      </w:r>
      <w:r>
        <w:rPr>
          <w:lang w:val="en-US"/>
        </w:rPr>
        <w:t>.</w:t>
      </w:r>
      <w:r w:rsidR="00E74322">
        <w:rPr>
          <w:lang w:val="en-US"/>
        </w:rPr>
        <w:t xml:space="preserve"> It should be noted that donors come in many forms, where some charities are mostly dependant on lotteries or subsidies for their income others have a very dispersed field of a lot of small donors. </w:t>
      </w:r>
    </w:p>
    <w:p w:rsidR="00E74322" w:rsidRDefault="00E74322" w:rsidP="00AB1C41">
      <w:pPr>
        <w:spacing w:line="360" w:lineRule="auto"/>
        <w:jc w:val="both"/>
        <w:rPr>
          <w:lang w:val="en-US"/>
        </w:rPr>
      </w:pPr>
    </w:p>
    <w:p w:rsidR="00DF1479" w:rsidRDefault="00E74322" w:rsidP="00AB1C41">
      <w:pPr>
        <w:spacing w:line="360" w:lineRule="auto"/>
        <w:jc w:val="both"/>
        <w:rPr>
          <w:lang w:val="en-US"/>
        </w:rPr>
      </w:pPr>
      <w:r>
        <w:rPr>
          <w:lang w:val="en-US"/>
        </w:rPr>
        <w:t>Looking at the question why people donate money to charity is interesting from an economic point of view.</w:t>
      </w:r>
      <w:r w:rsidR="00AA5841">
        <w:rPr>
          <w:lang w:val="en-US"/>
        </w:rPr>
        <w:t xml:space="preserve"> </w:t>
      </w:r>
      <w:r w:rsidR="00AF6AAA">
        <w:rPr>
          <w:lang w:val="en-US"/>
        </w:rPr>
        <w:t>Within economics</w:t>
      </w:r>
      <w:r w:rsidR="00AA5841">
        <w:rPr>
          <w:lang w:val="en-US"/>
        </w:rPr>
        <w:t xml:space="preserve"> </w:t>
      </w:r>
      <w:r>
        <w:rPr>
          <w:lang w:val="en-US"/>
        </w:rPr>
        <w:t xml:space="preserve">people are mainly driven by self-interest and donating money to charity doesn’t </w:t>
      </w:r>
      <w:r w:rsidRPr="00EE270C">
        <w:rPr>
          <w:lang w:val="en-US"/>
        </w:rPr>
        <w:t>appear logical</w:t>
      </w:r>
      <w:r w:rsidR="00AA5841" w:rsidRPr="00EE270C">
        <w:rPr>
          <w:lang w:val="en-US"/>
        </w:rPr>
        <w:t xml:space="preserve">. </w:t>
      </w:r>
      <w:r w:rsidR="00216F80" w:rsidRPr="00EE270C">
        <w:rPr>
          <w:lang w:val="en-US"/>
        </w:rPr>
        <w:t>Andreoni (1990) refers to</w:t>
      </w:r>
      <w:r w:rsidR="00216F80">
        <w:rPr>
          <w:lang w:val="en-US"/>
        </w:rPr>
        <w:t xml:space="preserve"> this as a ‘warm glow of giving’, using a</w:t>
      </w:r>
      <w:r w:rsidR="00D93480">
        <w:rPr>
          <w:lang w:val="en-US"/>
        </w:rPr>
        <w:t>n</w:t>
      </w:r>
      <w:r w:rsidR="00216F80">
        <w:rPr>
          <w:lang w:val="en-US"/>
        </w:rPr>
        <w:t xml:space="preserve"> utility framework he argues that the act of giving money </w:t>
      </w:r>
      <w:r>
        <w:rPr>
          <w:lang w:val="en-US"/>
        </w:rPr>
        <w:t>to charity</w:t>
      </w:r>
      <w:r w:rsidR="00216F80">
        <w:rPr>
          <w:lang w:val="en-US"/>
        </w:rPr>
        <w:t xml:space="preserve"> gives a bigger utility to an agent th</w:t>
      </w:r>
      <w:r w:rsidR="001565DE">
        <w:rPr>
          <w:lang w:val="en-US"/>
        </w:rPr>
        <w:t>a</w:t>
      </w:r>
      <w:r w:rsidR="00216F80">
        <w:rPr>
          <w:lang w:val="en-US"/>
        </w:rPr>
        <w:t xml:space="preserve">n when the agent consumes for himself. </w:t>
      </w:r>
    </w:p>
    <w:p w:rsidR="00AA5841" w:rsidRDefault="00BB4D6B" w:rsidP="00AB1C41">
      <w:pPr>
        <w:spacing w:line="360" w:lineRule="auto"/>
        <w:jc w:val="both"/>
        <w:rPr>
          <w:lang w:val="en-US"/>
        </w:rPr>
      </w:pPr>
      <w:r>
        <w:rPr>
          <w:lang w:val="en-US"/>
        </w:rPr>
        <w:t>In a strict sense the warm glow theory would imply that an agent has little or no preferences to which charity he would donate</w:t>
      </w:r>
      <w:r w:rsidR="007B6274">
        <w:rPr>
          <w:lang w:val="en-US"/>
        </w:rPr>
        <w:t>.</w:t>
      </w:r>
      <w:r w:rsidR="00AE0893">
        <w:rPr>
          <w:lang w:val="en-US"/>
        </w:rPr>
        <w:t xml:space="preserve"> </w:t>
      </w:r>
      <w:r w:rsidR="007B6274">
        <w:rPr>
          <w:lang w:val="en-US"/>
        </w:rPr>
        <w:t>I</w:t>
      </w:r>
      <w:r w:rsidR="00AE0893">
        <w:rPr>
          <w:lang w:val="en-US"/>
        </w:rPr>
        <w:t xml:space="preserve">t is the act of donating that gives satisfaction, not what will be done with </w:t>
      </w:r>
      <w:r w:rsidR="00AE0893" w:rsidRPr="00EE270C">
        <w:rPr>
          <w:lang w:val="en-US"/>
        </w:rPr>
        <w:t xml:space="preserve">the donation. This </w:t>
      </w:r>
      <w:r w:rsidR="00DF1037" w:rsidRPr="00EE270C">
        <w:rPr>
          <w:lang w:val="en-US"/>
        </w:rPr>
        <w:t xml:space="preserve">implication </w:t>
      </w:r>
      <w:r w:rsidR="00AE0893" w:rsidRPr="00EE270C">
        <w:rPr>
          <w:lang w:val="en-US"/>
        </w:rPr>
        <w:t xml:space="preserve">however does </w:t>
      </w:r>
      <w:r w:rsidR="004206E2" w:rsidRPr="00EE270C">
        <w:rPr>
          <w:lang w:val="en-US"/>
        </w:rPr>
        <w:t>not</w:t>
      </w:r>
      <w:r w:rsidR="00890CA8" w:rsidRPr="00EE270C">
        <w:rPr>
          <w:lang w:val="en-US"/>
        </w:rPr>
        <w:t xml:space="preserve"> seem to</w:t>
      </w:r>
      <w:r w:rsidR="004206E2" w:rsidRPr="00EE270C">
        <w:rPr>
          <w:lang w:val="en-US"/>
        </w:rPr>
        <w:t xml:space="preserve"> hold</w:t>
      </w:r>
      <w:r w:rsidR="007B6274">
        <w:rPr>
          <w:lang w:val="en-US"/>
        </w:rPr>
        <w:t>.</w:t>
      </w:r>
      <w:r w:rsidR="004206E2" w:rsidRPr="00EE270C">
        <w:rPr>
          <w:lang w:val="en-US"/>
        </w:rPr>
        <w:t xml:space="preserve"> </w:t>
      </w:r>
      <w:r w:rsidR="007B6274">
        <w:rPr>
          <w:lang w:val="en-US"/>
        </w:rPr>
        <w:t>I</w:t>
      </w:r>
      <w:r w:rsidR="004206E2" w:rsidRPr="00EE270C">
        <w:rPr>
          <w:lang w:val="en-US"/>
        </w:rPr>
        <w:t>n a survey of over 6,</w:t>
      </w:r>
      <w:r w:rsidR="00AE0893" w:rsidRPr="00EE270C">
        <w:rPr>
          <w:lang w:val="en-US"/>
        </w:rPr>
        <w:t>500 Dutch donors done by Iwaarden, van der Wiele et al. (2008)</w:t>
      </w:r>
      <w:r w:rsidR="006210DE" w:rsidRPr="00EE270C">
        <w:rPr>
          <w:lang w:val="en-US"/>
        </w:rPr>
        <w:t>,</w:t>
      </w:r>
      <w:r w:rsidR="00AE0893" w:rsidRPr="00EE270C">
        <w:rPr>
          <w:lang w:val="en-US"/>
        </w:rPr>
        <w:t xml:space="preserve"> the</w:t>
      </w:r>
      <w:r w:rsidR="007B6274">
        <w:rPr>
          <w:lang w:val="en-US"/>
        </w:rPr>
        <w:t xml:space="preserve"> authors</w:t>
      </w:r>
      <w:r w:rsidR="00AE0893" w:rsidRPr="00EE270C">
        <w:rPr>
          <w:lang w:val="en-US"/>
        </w:rPr>
        <w:t xml:space="preserve"> find that various selection criteria</w:t>
      </w:r>
      <w:r w:rsidR="00A90E22" w:rsidRPr="00EE270C">
        <w:rPr>
          <w:lang w:val="en-US"/>
        </w:rPr>
        <w:t xml:space="preserve"> such as type of activity</w:t>
      </w:r>
      <w:r w:rsidR="006210DE" w:rsidRPr="00EE270C">
        <w:rPr>
          <w:lang w:val="en-US"/>
        </w:rPr>
        <w:t xml:space="preserve"> and effectiveness of a charity</w:t>
      </w:r>
      <w:r w:rsidR="00AE0893" w:rsidRPr="00EE270C">
        <w:rPr>
          <w:lang w:val="en-US"/>
        </w:rPr>
        <w:t xml:space="preserve"> are important</w:t>
      </w:r>
      <w:r w:rsidR="007F19D8">
        <w:rPr>
          <w:lang w:val="en-US"/>
        </w:rPr>
        <w:t xml:space="preserve"> selection criteria</w:t>
      </w:r>
      <w:r w:rsidR="00AE0893">
        <w:rPr>
          <w:lang w:val="en-US"/>
        </w:rPr>
        <w:t xml:space="preserve"> to donors.</w:t>
      </w:r>
    </w:p>
    <w:p w:rsidR="00890CA8" w:rsidRDefault="00890CA8" w:rsidP="00AB1C41">
      <w:pPr>
        <w:spacing w:line="360" w:lineRule="auto"/>
        <w:jc w:val="both"/>
        <w:rPr>
          <w:lang w:val="en-US"/>
        </w:rPr>
      </w:pPr>
    </w:p>
    <w:p w:rsidR="00D0565E" w:rsidRDefault="00A90E22" w:rsidP="00435E8A">
      <w:pPr>
        <w:spacing w:line="360" w:lineRule="auto"/>
        <w:jc w:val="both"/>
        <w:rPr>
          <w:lang w:val="en-US"/>
        </w:rPr>
      </w:pPr>
      <w:r>
        <w:rPr>
          <w:lang w:val="en-US"/>
        </w:rPr>
        <w:t xml:space="preserve">Another implication of the warm glow theory would be that accountability is not important to a donor. </w:t>
      </w:r>
      <w:r w:rsidR="00AB1C41">
        <w:rPr>
          <w:lang w:val="en-US"/>
        </w:rPr>
        <w:t xml:space="preserve">Again, in a strict view the donor is </w:t>
      </w:r>
      <w:r w:rsidR="006210DE">
        <w:rPr>
          <w:lang w:val="en-US"/>
        </w:rPr>
        <w:t xml:space="preserve">driven by the act of giving, not what will be done with the donation. In a less strict view where donors do care about what is done with a donation the costs of </w:t>
      </w:r>
      <w:r w:rsidR="000A7C95">
        <w:rPr>
          <w:lang w:val="en-US"/>
        </w:rPr>
        <w:t xml:space="preserve">monitoring </w:t>
      </w:r>
      <w:r w:rsidR="00FA1D05">
        <w:rPr>
          <w:lang w:val="en-US"/>
        </w:rPr>
        <w:t xml:space="preserve">is </w:t>
      </w:r>
      <w:r w:rsidR="000A7C95">
        <w:rPr>
          <w:lang w:val="en-US"/>
        </w:rPr>
        <w:t xml:space="preserve">often too high for small donors. From this it would seem that the free-rider problem is </w:t>
      </w:r>
      <w:r w:rsidR="005545D6">
        <w:rPr>
          <w:lang w:val="en-US"/>
        </w:rPr>
        <w:t>potentially a big problem</w:t>
      </w:r>
      <w:r w:rsidR="000A7C95">
        <w:rPr>
          <w:lang w:val="en-US"/>
        </w:rPr>
        <w:t>.</w:t>
      </w:r>
      <w:r w:rsidR="00890CA8">
        <w:rPr>
          <w:lang w:val="en-US"/>
        </w:rPr>
        <w:t xml:space="preserve"> This would seem to suggest that charities</w:t>
      </w:r>
      <w:r w:rsidR="005545D6">
        <w:rPr>
          <w:lang w:val="en-US"/>
        </w:rPr>
        <w:t xml:space="preserve"> with a lot of small donors</w:t>
      </w:r>
      <w:r w:rsidR="00890CA8">
        <w:rPr>
          <w:lang w:val="en-US"/>
        </w:rPr>
        <w:t xml:space="preserve"> have little incentive to provide information, however this is not the case.</w:t>
      </w:r>
      <w:r w:rsidR="000A7C95">
        <w:rPr>
          <w:lang w:val="en-US"/>
        </w:rPr>
        <w:t xml:space="preserve"> Although small donors might not monitor after they have donated, the survey of Iwaarden, van der Wiele et al. does show that donors use the provided information before deciding to donate.</w:t>
      </w:r>
      <w:r w:rsidR="00AF6AAA">
        <w:rPr>
          <w:lang w:val="en-US"/>
        </w:rPr>
        <w:t xml:space="preserve"> From this it can be concluded that even with donors being dispersed</w:t>
      </w:r>
      <w:r w:rsidR="005545D6">
        <w:rPr>
          <w:lang w:val="en-US"/>
        </w:rPr>
        <w:t>,</w:t>
      </w:r>
      <w:r w:rsidR="00AF6AAA">
        <w:rPr>
          <w:lang w:val="en-US"/>
        </w:rPr>
        <w:t xml:space="preserve"> accountability</w:t>
      </w:r>
      <w:r w:rsidR="007F19D8">
        <w:rPr>
          <w:lang w:val="en-US"/>
        </w:rPr>
        <w:t xml:space="preserve"> and information providing</w:t>
      </w:r>
      <w:r w:rsidR="00AF6AAA">
        <w:rPr>
          <w:lang w:val="en-US"/>
        </w:rPr>
        <w:t xml:space="preserve"> is in the interest of the charity.</w:t>
      </w:r>
      <w:r w:rsidR="00D0565E">
        <w:rPr>
          <w:lang w:val="en-US"/>
        </w:rPr>
        <w:t xml:space="preserve"> </w:t>
      </w:r>
    </w:p>
    <w:p w:rsidR="00AF6AAA" w:rsidRDefault="00890CA8" w:rsidP="00435E8A">
      <w:pPr>
        <w:spacing w:line="360" w:lineRule="auto"/>
        <w:jc w:val="both"/>
        <w:rPr>
          <w:lang w:val="en-US"/>
        </w:rPr>
      </w:pPr>
      <w:r>
        <w:rPr>
          <w:lang w:val="en-US"/>
        </w:rPr>
        <w:t xml:space="preserve">When looking at accountability to large donors such as lotteries, the government and private trusts, it would seem that charities have enough incentives to provide accountability, simply to preserve their large donor(s). </w:t>
      </w:r>
      <w:r w:rsidR="005545D6">
        <w:rPr>
          <w:lang w:val="en-US"/>
        </w:rPr>
        <w:t>And, on the other hand, t</w:t>
      </w:r>
      <w:r>
        <w:rPr>
          <w:lang w:val="en-US"/>
        </w:rPr>
        <w:t xml:space="preserve">he costs of monitoring would also be relatively </w:t>
      </w:r>
      <w:r w:rsidR="0028613C">
        <w:rPr>
          <w:lang w:val="en-US"/>
        </w:rPr>
        <w:t>small</w:t>
      </w:r>
      <w:r>
        <w:rPr>
          <w:lang w:val="en-US"/>
        </w:rPr>
        <w:t xml:space="preserve"> for larger donors.</w:t>
      </w:r>
    </w:p>
    <w:p w:rsidR="00AF6AAA" w:rsidRDefault="00AF6AAA" w:rsidP="00435E8A">
      <w:pPr>
        <w:spacing w:line="360" w:lineRule="auto"/>
        <w:jc w:val="both"/>
        <w:rPr>
          <w:lang w:val="en-US"/>
        </w:rPr>
      </w:pPr>
    </w:p>
    <w:p w:rsidR="00E62F4B" w:rsidRPr="00465BB2" w:rsidRDefault="00E62F4B" w:rsidP="00D75835">
      <w:pPr>
        <w:spacing w:line="360" w:lineRule="auto"/>
        <w:rPr>
          <w:rFonts w:ascii="ScalaSans-Caps" w:hAnsi="ScalaSans-Caps"/>
          <w:b/>
          <w:lang w:val="en-US"/>
        </w:rPr>
      </w:pPr>
      <w:r w:rsidRPr="00465BB2">
        <w:rPr>
          <w:rFonts w:ascii="ScalaSans-Caps" w:hAnsi="ScalaSans-Caps"/>
          <w:b/>
          <w:lang w:val="en-US"/>
        </w:rPr>
        <w:t xml:space="preserve">Beneficiaries </w:t>
      </w:r>
    </w:p>
    <w:p w:rsidR="00796B24" w:rsidRDefault="0018002A" w:rsidP="0095638B">
      <w:pPr>
        <w:spacing w:line="360" w:lineRule="auto"/>
        <w:jc w:val="both"/>
        <w:rPr>
          <w:lang w:val="en-US"/>
        </w:rPr>
      </w:pPr>
      <w:r>
        <w:rPr>
          <w:lang w:val="en-US"/>
        </w:rPr>
        <w:t xml:space="preserve">Looking at the beneficiaries, or sometimes the victims, of charity aid the most obvious question is </w:t>
      </w:r>
      <w:r w:rsidR="00435E8A">
        <w:rPr>
          <w:lang w:val="en-US"/>
        </w:rPr>
        <w:t>how</w:t>
      </w:r>
      <w:r w:rsidR="006872F0">
        <w:rPr>
          <w:lang w:val="en-US"/>
        </w:rPr>
        <w:t xml:space="preserve"> </w:t>
      </w:r>
      <w:r w:rsidR="00435E8A">
        <w:rPr>
          <w:lang w:val="en-US"/>
        </w:rPr>
        <w:t xml:space="preserve">should they be involved. </w:t>
      </w:r>
      <w:r w:rsidR="00833D99">
        <w:rPr>
          <w:lang w:val="en-US"/>
        </w:rPr>
        <w:t xml:space="preserve">Beresford and Croft (1993) </w:t>
      </w:r>
      <w:r w:rsidR="00435E8A">
        <w:rPr>
          <w:lang w:val="en-US"/>
        </w:rPr>
        <w:t>identified two different ways for beneficiaries to be involved with a charity. In the first way the beneficiaries are viewed as ‘consumers of charity’, information on their needs</w:t>
      </w:r>
      <w:r w:rsidR="00DB425B">
        <w:rPr>
          <w:lang w:val="en-US"/>
        </w:rPr>
        <w:t xml:space="preserve"> are</w:t>
      </w:r>
      <w:r w:rsidR="00435E8A">
        <w:rPr>
          <w:lang w:val="en-US"/>
        </w:rPr>
        <w:t xml:space="preserve"> identified in order to maximize the charity effectiveness. In this case the beneficiary is merely recipient. The second way is</w:t>
      </w:r>
      <w:r w:rsidR="00112C17">
        <w:rPr>
          <w:lang w:val="en-US"/>
        </w:rPr>
        <w:t xml:space="preserve"> ‘the democratic context’</w:t>
      </w:r>
      <w:r w:rsidR="0095638B">
        <w:rPr>
          <w:lang w:val="en-US"/>
        </w:rPr>
        <w:t xml:space="preserve"> where the beneficiary is involved in the decision-making process of the charity.</w:t>
      </w:r>
      <w:r w:rsidR="00F07FC2">
        <w:rPr>
          <w:lang w:val="en-US"/>
        </w:rPr>
        <w:t xml:space="preserve"> The democratic approach might seem to be preferable, there are however a few potential problems.</w:t>
      </w:r>
      <w:r w:rsidR="004D7110">
        <w:rPr>
          <w:lang w:val="en-US"/>
        </w:rPr>
        <w:t xml:space="preserve"> Besides the potential problem that beneficiaries might not have the expertise to effectively take part in the decision making process there are other problems as well.</w:t>
      </w:r>
      <w:r w:rsidR="00F07FC2">
        <w:rPr>
          <w:lang w:val="en-US"/>
        </w:rPr>
        <w:t xml:space="preserve"> First of all, often there isn’t just one or two beneficiaries </w:t>
      </w:r>
      <w:r w:rsidR="004D7110">
        <w:rPr>
          <w:lang w:val="en-US"/>
        </w:rPr>
        <w:t>but many and what benefits one group, might harm another, involving one party can thus compromise objectivity. Furthermore, the beneficiary involvement might compromise the long term capabilities of a charity</w:t>
      </w:r>
      <w:r w:rsidR="00796B24">
        <w:rPr>
          <w:lang w:val="en-US"/>
        </w:rPr>
        <w:t xml:space="preserve"> as beneficiaries might be more focused on the short term</w:t>
      </w:r>
      <w:r w:rsidR="004D7110">
        <w:rPr>
          <w:lang w:val="en-US"/>
        </w:rPr>
        <w:t>.</w:t>
      </w:r>
      <w:r w:rsidR="00796B24">
        <w:rPr>
          <w:lang w:val="en-US"/>
        </w:rPr>
        <w:t xml:space="preserve"> </w:t>
      </w:r>
    </w:p>
    <w:p w:rsidR="00796B24" w:rsidRDefault="00796B24" w:rsidP="0095638B">
      <w:pPr>
        <w:spacing w:line="360" w:lineRule="auto"/>
        <w:jc w:val="both"/>
        <w:rPr>
          <w:lang w:val="en-US"/>
        </w:rPr>
      </w:pPr>
    </w:p>
    <w:p w:rsidR="00F7268F" w:rsidRPr="00465BB2" w:rsidRDefault="00F7268F" w:rsidP="00D75835">
      <w:pPr>
        <w:spacing w:line="360" w:lineRule="auto"/>
        <w:rPr>
          <w:rFonts w:ascii="ScalaSans-Caps" w:hAnsi="ScalaSans-Caps"/>
          <w:b/>
          <w:lang w:val="en-US"/>
        </w:rPr>
      </w:pPr>
      <w:r w:rsidRPr="00465BB2">
        <w:rPr>
          <w:rFonts w:ascii="ScalaSans-Caps" w:hAnsi="ScalaSans-Caps"/>
          <w:b/>
          <w:lang w:val="en-US"/>
        </w:rPr>
        <w:t>Regulators</w:t>
      </w:r>
    </w:p>
    <w:p w:rsidR="005B4BBF" w:rsidRDefault="00D3101C" w:rsidP="005B4BBF">
      <w:pPr>
        <w:spacing w:line="360" w:lineRule="auto"/>
        <w:jc w:val="both"/>
        <w:rPr>
          <w:lang w:val="en-US"/>
        </w:rPr>
      </w:pPr>
      <w:r>
        <w:rPr>
          <w:lang w:val="en-US"/>
        </w:rPr>
        <w:t>The key role of regulators, be it governmental or branch organized</w:t>
      </w:r>
      <w:r w:rsidR="00C56104">
        <w:rPr>
          <w:lang w:val="en-US"/>
        </w:rPr>
        <w:t xml:space="preserve"> self-regulation</w:t>
      </w:r>
      <w:r>
        <w:rPr>
          <w:lang w:val="en-US"/>
        </w:rPr>
        <w:t xml:space="preserve">, is to increase transparency and in doing so decrease the information asymmetry between donors and the charity. </w:t>
      </w:r>
      <w:r w:rsidR="0003416D">
        <w:rPr>
          <w:lang w:val="en-US"/>
        </w:rPr>
        <w:t>Regulat</w:t>
      </w:r>
      <w:r w:rsidR="00C56104">
        <w:rPr>
          <w:lang w:val="en-US"/>
        </w:rPr>
        <w:t>ion</w:t>
      </w:r>
      <w:r w:rsidR="0003416D">
        <w:rPr>
          <w:lang w:val="en-US"/>
        </w:rPr>
        <w:t xml:space="preserve"> </w:t>
      </w:r>
      <w:r w:rsidR="00C56104">
        <w:rPr>
          <w:lang w:val="en-US"/>
        </w:rPr>
        <w:t>is</w:t>
      </w:r>
      <w:r w:rsidR="00BE2ACE">
        <w:rPr>
          <w:lang w:val="en-US"/>
        </w:rPr>
        <w:t xml:space="preserve"> organized different between countries, where in The Netherlands there is little government regulation and most is done by </w:t>
      </w:r>
      <w:r w:rsidR="005652C9">
        <w:rPr>
          <w:lang w:val="en-US"/>
        </w:rPr>
        <w:t>self-regulation</w:t>
      </w:r>
      <w:r w:rsidR="00BE2ACE">
        <w:rPr>
          <w:lang w:val="en-US"/>
        </w:rPr>
        <w:t xml:space="preserve"> other countries</w:t>
      </w:r>
      <w:r w:rsidR="00914018">
        <w:rPr>
          <w:lang w:val="en-US"/>
        </w:rPr>
        <w:t xml:space="preserve"> have more government regulations.</w:t>
      </w:r>
      <w:r w:rsidR="00BE2ACE">
        <w:rPr>
          <w:lang w:val="en-US"/>
        </w:rPr>
        <w:t xml:space="preserve"> </w:t>
      </w:r>
      <w:r w:rsidR="005B4BBF">
        <w:rPr>
          <w:lang w:val="en-US"/>
        </w:rPr>
        <w:t>In many countries the government itself is a major donor to charities, this provid</w:t>
      </w:r>
      <w:r w:rsidR="005652C9">
        <w:rPr>
          <w:lang w:val="en-US"/>
        </w:rPr>
        <w:t xml:space="preserve">es a form of implied </w:t>
      </w:r>
      <w:r w:rsidR="00C56104">
        <w:rPr>
          <w:lang w:val="en-US"/>
        </w:rPr>
        <w:t>regulation</w:t>
      </w:r>
      <w:r w:rsidR="005B4BBF">
        <w:rPr>
          <w:lang w:val="en-US"/>
        </w:rPr>
        <w:t xml:space="preserve">, government subsidies are only granted after the application process has been successful.   </w:t>
      </w:r>
    </w:p>
    <w:p w:rsidR="005B4BBF" w:rsidRDefault="005B4BBF" w:rsidP="00B92203">
      <w:pPr>
        <w:spacing w:line="360" w:lineRule="auto"/>
        <w:jc w:val="both"/>
        <w:rPr>
          <w:lang w:val="en-US"/>
        </w:rPr>
      </w:pPr>
    </w:p>
    <w:p w:rsidR="00F7268F" w:rsidRPr="00EE270C" w:rsidRDefault="0003416D" w:rsidP="00B92203">
      <w:pPr>
        <w:spacing w:line="360" w:lineRule="auto"/>
        <w:jc w:val="both"/>
        <w:rPr>
          <w:lang w:val="en-US"/>
        </w:rPr>
      </w:pPr>
      <w:r>
        <w:rPr>
          <w:lang w:val="en-US"/>
        </w:rPr>
        <w:t>Regulation and branch guidelines may be</w:t>
      </w:r>
      <w:r w:rsidR="009535CC">
        <w:rPr>
          <w:lang w:val="en-US"/>
        </w:rPr>
        <w:t xml:space="preserve"> especially</w:t>
      </w:r>
      <w:r>
        <w:rPr>
          <w:lang w:val="en-US"/>
        </w:rPr>
        <w:t xml:space="preserve"> an important </w:t>
      </w:r>
      <w:r w:rsidR="00C56104">
        <w:rPr>
          <w:lang w:val="en-US"/>
        </w:rPr>
        <w:t>source</w:t>
      </w:r>
      <w:r>
        <w:rPr>
          <w:lang w:val="en-US"/>
        </w:rPr>
        <w:t xml:space="preserve"> of </w:t>
      </w:r>
      <w:r w:rsidR="00C56104">
        <w:rPr>
          <w:lang w:val="en-US"/>
        </w:rPr>
        <w:t>(</w:t>
      </w:r>
      <w:r>
        <w:rPr>
          <w:lang w:val="en-US"/>
        </w:rPr>
        <w:t>external</w:t>
      </w:r>
      <w:r w:rsidR="00C56104">
        <w:rPr>
          <w:lang w:val="en-US"/>
        </w:rPr>
        <w:t>)</w:t>
      </w:r>
      <w:r>
        <w:rPr>
          <w:lang w:val="en-US"/>
        </w:rPr>
        <w:t xml:space="preserve"> governance if internal governance is weak. </w:t>
      </w:r>
      <w:r w:rsidR="00BE2ACE">
        <w:rPr>
          <w:lang w:val="en-US"/>
        </w:rPr>
        <w:t>It should also be noted that excessive regulation, or requirements on information disclosure</w:t>
      </w:r>
      <w:r w:rsidR="00434C09">
        <w:rPr>
          <w:lang w:val="en-US"/>
        </w:rPr>
        <w:t xml:space="preserve"> to different stakeholders</w:t>
      </w:r>
      <w:r w:rsidR="00BE2ACE">
        <w:rPr>
          <w:lang w:val="en-US"/>
        </w:rPr>
        <w:t xml:space="preserve">, can be very costly </w:t>
      </w:r>
      <w:r w:rsidR="00434C09">
        <w:rPr>
          <w:lang w:val="en-US"/>
        </w:rPr>
        <w:t xml:space="preserve">(both in time and money) </w:t>
      </w:r>
      <w:r w:rsidR="00BE2ACE">
        <w:rPr>
          <w:lang w:val="en-US"/>
        </w:rPr>
        <w:t xml:space="preserve">and </w:t>
      </w:r>
      <w:r w:rsidR="00BE2ACE" w:rsidRPr="00EE270C">
        <w:rPr>
          <w:lang w:val="en-US"/>
        </w:rPr>
        <w:t xml:space="preserve">thus carry a heavy burden on (smaller) charities. </w:t>
      </w:r>
    </w:p>
    <w:p w:rsidR="00E04125" w:rsidRPr="00EE270C" w:rsidRDefault="00E04125" w:rsidP="00B92203">
      <w:pPr>
        <w:spacing w:line="360" w:lineRule="auto"/>
        <w:jc w:val="both"/>
        <w:rPr>
          <w:lang w:val="en-US"/>
        </w:rPr>
      </w:pPr>
      <w:r w:rsidRPr="00EE270C">
        <w:rPr>
          <w:lang w:val="en-US"/>
        </w:rPr>
        <w:t>Hyndman (1990) argues that information should be mostly directed towards the large group of smaller, dispersed donors as they have less of an ability to collect information on their own</w:t>
      </w:r>
      <w:r w:rsidR="00B92203" w:rsidRPr="00EE270C">
        <w:rPr>
          <w:lang w:val="en-US"/>
        </w:rPr>
        <w:t>, this is in</w:t>
      </w:r>
      <w:r w:rsidR="00B92203">
        <w:rPr>
          <w:lang w:val="en-US"/>
        </w:rPr>
        <w:t xml:space="preserve"> line with the idea that charities already have incentives to provide large donors with information</w:t>
      </w:r>
      <w:r>
        <w:rPr>
          <w:lang w:val="en-US"/>
        </w:rPr>
        <w:t xml:space="preserve">. </w:t>
      </w:r>
      <w:r w:rsidR="0005678C">
        <w:rPr>
          <w:lang w:val="en-US"/>
        </w:rPr>
        <w:t>Hyndman also</w:t>
      </w:r>
      <w:r w:rsidR="00B92203">
        <w:rPr>
          <w:lang w:val="en-US"/>
        </w:rPr>
        <w:t xml:space="preserve"> empirically</w:t>
      </w:r>
      <w:r w:rsidR="0005678C">
        <w:rPr>
          <w:lang w:val="en-US"/>
        </w:rPr>
        <w:t xml:space="preserve"> finds that performance related information should be disclosed to donors, </w:t>
      </w:r>
      <w:r w:rsidR="0005678C" w:rsidRPr="00EE270C">
        <w:rPr>
          <w:lang w:val="en-US"/>
        </w:rPr>
        <w:t>this is contrary to the warm glow theory of Andreoni.</w:t>
      </w:r>
      <w:r w:rsidR="0003416D" w:rsidRPr="00EE270C">
        <w:rPr>
          <w:lang w:val="en-US"/>
        </w:rPr>
        <w:t xml:space="preserve"> </w:t>
      </w:r>
    </w:p>
    <w:p w:rsidR="0003416D" w:rsidRDefault="00582A11" w:rsidP="00B92203">
      <w:pPr>
        <w:spacing w:line="360" w:lineRule="auto"/>
        <w:jc w:val="both"/>
        <w:rPr>
          <w:lang w:val="en-US"/>
        </w:rPr>
      </w:pPr>
      <w:r w:rsidRPr="00EE270C">
        <w:rPr>
          <w:lang w:val="en-US"/>
        </w:rPr>
        <w:t>Fremont-Smith and Kosaras (2003), focusing on managerial breaches of trust, and Desai and Yetman (2005), focusing on the influence of</w:t>
      </w:r>
      <w:r w:rsidR="00187E59" w:rsidRPr="00EE270C">
        <w:rPr>
          <w:lang w:val="en-US"/>
        </w:rPr>
        <w:t xml:space="preserve"> US</w:t>
      </w:r>
      <w:r w:rsidRPr="00EE270C">
        <w:rPr>
          <w:lang w:val="en-US"/>
        </w:rPr>
        <w:t xml:space="preserve"> state law, both find evidence that in the US government</w:t>
      </w:r>
      <w:r>
        <w:rPr>
          <w:lang w:val="en-US"/>
        </w:rPr>
        <w:t xml:space="preserve"> regulation is important as a</w:t>
      </w:r>
      <w:r w:rsidR="00D93480">
        <w:rPr>
          <w:lang w:val="en-US"/>
        </w:rPr>
        <w:t>n</w:t>
      </w:r>
      <w:r>
        <w:rPr>
          <w:lang w:val="en-US"/>
        </w:rPr>
        <w:t xml:space="preserve"> external governance mechanism</w:t>
      </w:r>
      <w:r w:rsidR="0028613C">
        <w:rPr>
          <w:lang w:val="en-US"/>
        </w:rPr>
        <w:t xml:space="preserve"> for non-profit organizations</w:t>
      </w:r>
      <w:r>
        <w:rPr>
          <w:lang w:val="en-US"/>
        </w:rPr>
        <w:t xml:space="preserve">. </w:t>
      </w:r>
    </w:p>
    <w:p w:rsidR="0089365C" w:rsidRDefault="0089365C" w:rsidP="00B92203">
      <w:pPr>
        <w:spacing w:line="360" w:lineRule="auto"/>
        <w:jc w:val="both"/>
        <w:rPr>
          <w:lang w:val="en-US"/>
        </w:rPr>
      </w:pPr>
    </w:p>
    <w:p w:rsidR="00975450" w:rsidRDefault="00975450" w:rsidP="00975450">
      <w:pPr>
        <w:pStyle w:val="Heading2"/>
        <w:spacing w:before="120" w:line="360" w:lineRule="auto"/>
        <w:rPr>
          <w:lang w:val="en-US"/>
        </w:rPr>
      </w:pPr>
      <w:bookmarkStart w:id="15" w:name="_Toc299180700"/>
      <w:r>
        <w:rPr>
          <w:lang w:val="en-US"/>
        </w:rPr>
        <w:t>IV.</w:t>
      </w:r>
      <w:r w:rsidR="00FA5E15">
        <w:rPr>
          <w:lang w:val="en-US"/>
        </w:rPr>
        <w:t>3</w:t>
      </w:r>
      <w:r>
        <w:rPr>
          <w:lang w:val="en-US"/>
        </w:rPr>
        <w:tab/>
      </w:r>
      <w:r w:rsidR="00612D09">
        <w:rPr>
          <w:lang w:val="en-US"/>
        </w:rPr>
        <w:t>The board of directors</w:t>
      </w:r>
      <w:bookmarkEnd w:id="15"/>
    </w:p>
    <w:p w:rsidR="0037317F" w:rsidRDefault="00612D09" w:rsidP="009F36C8">
      <w:pPr>
        <w:spacing w:line="360" w:lineRule="auto"/>
        <w:jc w:val="both"/>
        <w:rPr>
          <w:lang w:val="en-US"/>
        </w:rPr>
      </w:pPr>
      <w:r>
        <w:rPr>
          <w:lang w:val="en-US"/>
        </w:rPr>
        <w:t>The primary source of internal gover</w:t>
      </w:r>
      <w:r w:rsidR="001C00CF">
        <w:rPr>
          <w:lang w:val="en-US"/>
        </w:rPr>
        <w:t>nance is the board of directors.</w:t>
      </w:r>
      <w:r>
        <w:rPr>
          <w:lang w:val="en-US"/>
        </w:rPr>
        <w:t xml:space="preserve"> Various areas concerning the board of directors, such as the roles, </w:t>
      </w:r>
      <w:r w:rsidR="009F36C8">
        <w:rPr>
          <w:lang w:val="en-US"/>
        </w:rPr>
        <w:t xml:space="preserve">composition, </w:t>
      </w:r>
      <w:r>
        <w:rPr>
          <w:lang w:val="en-US"/>
        </w:rPr>
        <w:t xml:space="preserve">size, effectiveness have been researched over the years. </w:t>
      </w:r>
      <w:r w:rsidR="005541AB">
        <w:rPr>
          <w:lang w:val="en-US"/>
        </w:rPr>
        <w:t>A lot</w:t>
      </w:r>
      <w:r>
        <w:rPr>
          <w:lang w:val="en-US"/>
        </w:rPr>
        <w:t xml:space="preserve"> of the research into the board of directors of non-profit organizations was norma</w:t>
      </w:r>
      <w:r w:rsidR="009F36C8">
        <w:rPr>
          <w:lang w:val="en-US"/>
        </w:rPr>
        <w:t xml:space="preserve">tive and practitioner-oriented, with ‘proof’ </w:t>
      </w:r>
      <w:r w:rsidR="009F36C8" w:rsidRPr="00EE270C">
        <w:rPr>
          <w:lang w:val="en-US"/>
        </w:rPr>
        <w:t>being based more on practitioners experiences and anecdotes th</w:t>
      </w:r>
      <w:r w:rsidR="001565DE">
        <w:rPr>
          <w:lang w:val="en-US"/>
        </w:rPr>
        <w:t>a</w:t>
      </w:r>
      <w:r w:rsidR="009F36C8" w:rsidRPr="00EE270C">
        <w:rPr>
          <w:lang w:val="en-US"/>
        </w:rPr>
        <w:t xml:space="preserve">n on empirical information. </w:t>
      </w:r>
      <w:r w:rsidR="005541AB" w:rsidRPr="00EE270C">
        <w:rPr>
          <w:lang w:val="en-US"/>
        </w:rPr>
        <w:t>Or as Callen, Klein and Tinkelman (2003) put it: “The theoretical governance literature provides little guidance concerning the</w:t>
      </w:r>
      <w:r w:rsidR="005541AB">
        <w:rPr>
          <w:lang w:val="en-US"/>
        </w:rPr>
        <w:t xml:space="preserve"> linkage between non-profit governance and efficiency”</w:t>
      </w:r>
      <w:r w:rsidR="005541AB">
        <w:rPr>
          <w:rStyle w:val="FootnoteReference"/>
          <w:lang w:val="en-US"/>
        </w:rPr>
        <w:footnoteReference w:id="4"/>
      </w:r>
      <w:r w:rsidR="005541AB">
        <w:rPr>
          <w:lang w:val="en-US"/>
        </w:rPr>
        <w:t>.</w:t>
      </w:r>
    </w:p>
    <w:p w:rsidR="009F36C8" w:rsidRDefault="009F36C8" w:rsidP="00D75835">
      <w:pPr>
        <w:spacing w:line="360" w:lineRule="auto"/>
        <w:rPr>
          <w:lang w:val="en-US"/>
        </w:rPr>
      </w:pPr>
    </w:p>
    <w:p w:rsidR="001936D8" w:rsidRPr="00465BB2" w:rsidRDefault="001936D8" w:rsidP="001936D8">
      <w:pPr>
        <w:spacing w:line="360" w:lineRule="auto"/>
        <w:rPr>
          <w:rFonts w:ascii="ScalaSans-Caps" w:hAnsi="ScalaSans-Caps"/>
          <w:b/>
          <w:lang w:val="en-US"/>
        </w:rPr>
      </w:pPr>
      <w:r w:rsidRPr="00465BB2">
        <w:rPr>
          <w:rFonts w:ascii="ScalaSans-Caps" w:hAnsi="ScalaSans-Caps"/>
          <w:b/>
          <w:lang w:val="en-US"/>
        </w:rPr>
        <w:t>Roles of the board</w:t>
      </w:r>
    </w:p>
    <w:p w:rsidR="00950AED" w:rsidRDefault="009C501B" w:rsidP="00CA6219">
      <w:pPr>
        <w:spacing w:line="360" w:lineRule="auto"/>
        <w:jc w:val="both"/>
        <w:rPr>
          <w:lang w:val="en-US"/>
        </w:rPr>
      </w:pPr>
      <w:r>
        <w:rPr>
          <w:lang w:val="en-US"/>
        </w:rPr>
        <w:t>From an agency theory perspective the primary role is to monitor the executive staff to ensure that the management</w:t>
      </w:r>
      <w:r w:rsidR="00E0755A">
        <w:rPr>
          <w:lang w:val="en-US"/>
        </w:rPr>
        <w:t>,</w:t>
      </w:r>
      <w:r>
        <w:rPr>
          <w:lang w:val="en-US"/>
        </w:rPr>
        <w:t xml:space="preserve"> staff</w:t>
      </w:r>
      <w:r w:rsidR="00E0755A">
        <w:rPr>
          <w:lang w:val="en-US"/>
        </w:rPr>
        <w:t xml:space="preserve"> and volunteers</w:t>
      </w:r>
      <w:r>
        <w:rPr>
          <w:lang w:val="en-US"/>
        </w:rPr>
        <w:t xml:space="preserve"> works towards the goals of the charity in a</w:t>
      </w:r>
      <w:r w:rsidR="00D93480">
        <w:rPr>
          <w:lang w:val="en-US"/>
        </w:rPr>
        <w:t>n</w:t>
      </w:r>
      <w:r>
        <w:rPr>
          <w:lang w:val="en-US"/>
        </w:rPr>
        <w:t xml:space="preserve"> effective and efficient way. </w:t>
      </w:r>
      <w:r w:rsidR="00950AED">
        <w:rPr>
          <w:lang w:val="en-US"/>
        </w:rPr>
        <w:t xml:space="preserve">It’s the role of the board to set the mission of the organization and translate the mission into practical goals and measurable objectives. The daily operations should be delegated to the executive(s) and staff with the board monitoring the efficiency. </w:t>
      </w:r>
    </w:p>
    <w:p w:rsidR="001936D8" w:rsidRDefault="009C501B" w:rsidP="00CA6219">
      <w:pPr>
        <w:spacing w:line="360" w:lineRule="auto"/>
        <w:jc w:val="both"/>
        <w:rPr>
          <w:lang w:val="en-US"/>
        </w:rPr>
      </w:pPr>
      <w:r>
        <w:rPr>
          <w:lang w:val="en-US"/>
        </w:rPr>
        <w:t xml:space="preserve">Opposite to the agency perspective is the stewardship </w:t>
      </w:r>
      <w:r w:rsidRPr="00DE4383">
        <w:rPr>
          <w:lang w:val="en-US"/>
        </w:rPr>
        <w:t>approach</w:t>
      </w:r>
      <w:r w:rsidR="00001BDD" w:rsidRPr="00DE4383">
        <w:rPr>
          <w:lang w:val="en-US"/>
        </w:rPr>
        <w:t xml:space="preserve"> </w:t>
      </w:r>
      <w:r w:rsidRPr="00DE4383">
        <w:rPr>
          <w:lang w:val="en-US"/>
        </w:rPr>
        <w:t>that</w:t>
      </w:r>
      <w:r>
        <w:rPr>
          <w:lang w:val="en-US"/>
        </w:rPr>
        <w:t xml:space="preserve"> suggests that the board shouldn’t as such monitor but more be a partner of the management in working towards the goals.</w:t>
      </w:r>
      <w:r w:rsidR="00CA6219">
        <w:rPr>
          <w:lang w:val="en-US"/>
        </w:rPr>
        <w:t xml:space="preserve"> In practice however it can be observed that the roles of the board can be very diverse, </w:t>
      </w:r>
      <w:r w:rsidR="002958F7">
        <w:rPr>
          <w:lang w:val="en-US"/>
        </w:rPr>
        <w:t>Ostrower and Stone (2005)</w:t>
      </w:r>
      <w:r w:rsidR="00CA6219">
        <w:rPr>
          <w:lang w:val="en-US"/>
        </w:rPr>
        <w:t xml:space="preserve"> argue</w:t>
      </w:r>
      <w:r w:rsidR="00386013">
        <w:rPr>
          <w:lang w:val="en-US"/>
        </w:rPr>
        <w:t>s</w:t>
      </w:r>
      <w:r w:rsidR="00CA6219">
        <w:rPr>
          <w:lang w:val="en-US"/>
        </w:rPr>
        <w:t xml:space="preserve"> that neither the agency theory perspective, nor the stewardship perspective can really explain the relationship between board and executives. In practice the role of the board is often derived based on skills</w:t>
      </w:r>
      <w:r w:rsidR="00FF403A">
        <w:rPr>
          <w:lang w:val="en-US"/>
        </w:rPr>
        <w:t xml:space="preserve"> and</w:t>
      </w:r>
      <w:r w:rsidR="00CA6219">
        <w:rPr>
          <w:lang w:val="en-US"/>
        </w:rPr>
        <w:t xml:space="preserve"> interests of </w:t>
      </w:r>
      <w:r w:rsidR="00FF403A">
        <w:rPr>
          <w:lang w:val="en-US"/>
        </w:rPr>
        <w:t>the board members</w:t>
      </w:r>
      <w:r w:rsidR="00CA6219">
        <w:rPr>
          <w:lang w:val="en-US"/>
        </w:rPr>
        <w:t>.</w:t>
      </w:r>
      <w:r w:rsidR="00E15C1D">
        <w:rPr>
          <w:lang w:val="en-US"/>
        </w:rPr>
        <w:t xml:space="preserve"> </w:t>
      </w:r>
    </w:p>
    <w:p w:rsidR="00D0565E" w:rsidRDefault="001F267D" w:rsidP="0012282A">
      <w:pPr>
        <w:spacing w:line="360" w:lineRule="auto"/>
        <w:jc w:val="both"/>
        <w:rPr>
          <w:lang w:val="en-US"/>
        </w:rPr>
      </w:pPr>
      <w:r>
        <w:rPr>
          <w:lang w:val="en-US"/>
        </w:rPr>
        <w:t xml:space="preserve">Besides the role of monitoring board members often have </w:t>
      </w:r>
      <w:r w:rsidR="00F01EE3">
        <w:rPr>
          <w:lang w:val="en-US"/>
        </w:rPr>
        <w:t>more roles, such as in communicating to external parties, helping with the fundraising and other</w:t>
      </w:r>
      <w:r w:rsidR="00796D93">
        <w:rPr>
          <w:lang w:val="en-US"/>
        </w:rPr>
        <w:t xml:space="preserve"> roles</w:t>
      </w:r>
      <w:r w:rsidR="00F01EE3">
        <w:rPr>
          <w:lang w:val="en-US"/>
        </w:rPr>
        <w:t xml:space="preserve">. </w:t>
      </w:r>
      <w:r w:rsidR="00B25C3B">
        <w:rPr>
          <w:lang w:val="en-US"/>
        </w:rPr>
        <w:t>These more diverse roles of the board can explain why boards of charities are often bigger th</w:t>
      </w:r>
      <w:r w:rsidR="001565DE">
        <w:rPr>
          <w:lang w:val="en-US"/>
        </w:rPr>
        <w:t>a</w:t>
      </w:r>
      <w:r w:rsidR="00B25C3B">
        <w:rPr>
          <w:lang w:val="en-US"/>
        </w:rPr>
        <w:t xml:space="preserve">n for-profit organizations. </w:t>
      </w:r>
    </w:p>
    <w:p w:rsidR="00914018" w:rsidRPr="00304FEA" w:rsidRDefault="00914018" w:rsidP="00304FEA">
      <w:pPr>
        <w:spacing w:line="360" w:lineRule="auto"/>
        <w:rPr>
          <w:lang w:val="en-US"/>
        </w:rPr>
      </w:pPr>
    </w:p>
    <w:p w:rsidR="009F36C8" w:rsidRPr="00465BB2" w:rsidRDefault="001D3C0A" w:rsidP="00D75835">
      <w:pPr>
        <w:spacing w:line="360" w:lineRule="auto"/>
        <w:rPr>
          <w:rFonts w:ascii="ScalaSans-Caps" w:hAnsi="ScalaSans-Caps"/>
          <w:b/>
          <w:lang w:val="en-US"/>
        </w:rPr>
      </w:pPr>
      <w:r w:rsidRPr="00465BB2">
        <w:rPr>
          <w:rFonts w:ascii="ScalaSans-Caps" w:hAnsi="ScalaSans-Caps"/>
          <w:b/>
          <w:lang w:val="en-US"/>
        </w:rPr>
        <w:t xml:space="preserve">Board </w:t>
      </w:r>
      <w:r w:rsidR="00B40341" w:rsidRPr="00465BB2">
        <w:rPr>
          <w:rFonts w:ascii="ScalaSans-Caps" w:hAnsi="ScalaSans-Caps"/>
          <w:b/>
          <w:lang w:val="en-US"/>
        </w:rPr>
        <w:t>size and composition</w:t>
      </w:r>
    </w:p>
    <w:p w:rsidR="00A6755A" w:rsidRDefault="001D3C0A" w:rsidP="002A3481">
      <w:pPr>
        <w:spacing w:line="360" w:lineRule="auto"/>
        <w:jc w:val="both"/>
        <w:rPr>
          <w:lang w:val="en-US"/>
        </w:rPr>
      </w:pPr>
      <w:r>
        <w:rPr>
          <w:lang w:val="en-US"/>
        </w:rPr>
        <w:t xml:space="preserve">As already </w:t>
      </w:r>
      <w:r w:rsidRPr="00DE4383">
        <w:rPr>
          <w:lang w:val="en-US"/>
        </w:rPr>
        <w:t>seen from table 1 the board size of non-profit organizations tend to be larger th</w:t>
      </w:r>
      <w:r w:rsidR="00DB2286" w:rsidRPr="00DE4383">
        <w:rPr>
          <w:lang w:val="en-US"/>
        </w:rPr>
        <w:t>a</w:t>
      </w:r>
      <w:r w:rsidRPr="00DE4383">
        <w:rPr>
          <w:lang w:val="en-US"/>
        </w:rPr>
        <w:t>n in the for-profit sector.</w:t>
      </w:r>
      <w:r w:rsidR="00A6755A" w:rsidRPr="00DE4383">
        <w:rPr>
          <w:lang w:val="en-US"/>
        </w:rPr>
        <w:t xml:space="preserve"> In the corporate</w:t>
      </w:r>
      <w:r w:rsidR="00A6755A">
        <w:rPr>
          <w:lang w:val="en-US"/>
        </w:rPr>
        <w:t xml:space="preserve"> sector it is argued </w:t>
      </w:r>
      <w:r w:rsidR="00A6755A" w:rsidRPr="00EE270C">
        <w:rPr>
          <w:lang w:val="en-US"/>
        </w:rPr>
        <w:t xml:space="preserve">to have a board size with less than ten members in order to constrain the CEO </w:t>
      </w:r>
      <w:r w:rsidR="001B0B8A" w:rsidRPr="00EE270C">
        <w:rPr>
          <w:lang w:val="en-US"/>
        </w:rPr>
        <w:t>from</w:t>
      </w:r>
      <w:r w:rsidR="00A6755A" w:rsidRPr="00EE270C">
        <w:rPr>
          <w:lang w:val="en-US"/>
        </w:rPr>
        <w:t xml:space="preserve"> dominat</w:t>
      </w:r>
      <w:r w:rsidR="001B0B8A" w:rsidRPr="00EE270C">
        <w:rPr>
          <w:lang w:val="en-US"/>
        </w:rPr>
        <w:t>ing</w:t>
      </w:r>
      <w:r w:rsidR="00A6755A" w:rsidRPr="00EE270C">
        <w:rPr>
          <w:lang w:val="en-US"/>
        </w:rPr>
        <w:t xml:space="preserve"> the board</w:t>
      </w:r>
      <w:r w:rsidR="00EE270C">
        <w:rPr>
          <w:lang w:val="en-US"/>
        </w:rPr>
        <w:t xml:space="preserve"> (Jensen; 1993)</w:t>
      </w:r>
      <w:r w:rsidR="00A6755A" w:rsidRPr="00EE270C">
        <w:rPr>
          <w:lang w:val="en-US"/>
        </w:rPr>
        <w:t xml:space="preserve">. </w:t>
      </w:r>
      <w:r w:rsidR="006E35A8" w:rsidRPr="00EE270C">
        <w:rPr>
          <w:lang w:val="en-US"/>
        </w:rPr>
        <w:t>The</w:t>
      </w:r>
      <w:r w:rsidR="006E35A8">
        <w:rPr>
          <w:lang w:val="en-US"/>
        </w:rPr>
        <w:t xml:space="preserve"> UK National Council for Voluntary</w:t>
      </w:r>
      <w:r w:rsidR="001B0B8A">
        <w:rPr>
          <w:lang w:val="en-US"/>
        </w:rPr>
        <w:t xml:space="preserve"> </w:t>
      </w:r>
      <w:r w:rsidR="006E35A8">
        <w:rPr>
          <w:lang w:val="en-US"/>
        </w:rPr>
        <w:t>Organizations (</w:t>
      </w:r>
      <w:r w:rsidR="002958F7">
        <w:rPr>
          <w:lang w:val="en-US"/>
        </w:rPr>
        <w:t>NCVO; 2006b</w:t>
      </w:r>
      <w:r w:rsidR="006E35A8">
        <w:rPr>
          <w:lang w:val="en-US"/>
        </w:rPr>
        <w:t>) say the following on the size of the board: “the board should be large enough to bring in a range of skills and backgrounds and the perspective of stakeholders, while being small enough to be effective at discussion and decision making”</w:t>
      </w:r>
      <w:r w:rsidR="006E35A8">
        <w:rPr>
          <w:rStyle w:val="FootnoteReference"/>
          <w:lang w:val="en-US"/>
        </w:rPr>
        <w:footnoteReference w:id="5"/>
      </w:r>
      <w:r w:rsidR="00AB4835">
        <w:rPr>
          <w:lang w:val="en-US"/>
        </w:rPr>
        <w:t>.</w:t>
      </w:r>
      <w:r w:rsidR="00E15C1D">
        <w:rPr>
          <w:lang w:val="en-US"/>
        </w:rPr>
        <w:t xml:space="preserve"> Boards sometimes organize themselves into different committee’s </w:t>
      </w:r>
      <w:r w:rsidR="00323784">
        <w:rPr>
          <w:lang w:val="en-US"/>
        </w:rPr>
        <w:t>in order to be more effective. The usage of committee’s is however only useful if it means that board members get in to committee’s where they can add value by their interests</w:t>
      </w:r>
      <w:r w:rsidR="00304FEA">
        <w:rPr>
          <w:lang w:val="en-US"/>
        </w:rPr>
        <w:t>, skills</w:t>
      </w:r>
      <w:r w:rsidR="00323784">
        <w:rPr>
          <w:lang w:val="en-US"/>
        </w:rPr>
        <w:t xml:space="preserve"> and/or experience.</w:t>
      </w:r>
    </w:p>
    <w:p w:rsidR="006E35A8" w:rsidRDefault="006E35A8" w:rsidP="00D75835">
      <w:pPr>
        <w:spacing w:line="360" w:lineRule="auto"/>
        <w:rPr>
          <w:lang w:val="en-US"/>
        </w:rPr>
      </w:pPr>
    </w:p>
    <w:p w:rsidR="00BF485A" w:rsidRDefault="00BF485A" w:rsidP="00363D44">
      <w:pPr>
        <w:spacing w:line="360" w:lineRule="auto"/>
        <w:jc w:val="both"/>
        <w:rPr>
          <w:lang w:val="en-US"/>
        </w:rPr>
      </w:pPr>
      <w:r>
        <w:rPr>
          <w:lang w:val="en-US"/>
        </w:rPr>
        <w:t>When looking at the composition of the board it should be noted that board membership is often a voluntary position, t</w:t>
      </w:r>
      <w:r w:rsidR="00FF403A">
        <w:rPr>
          <w:lang w:val="en-US"/>
        </w:rPr>
        <w:t>his can imply that board members might not have the necessary experience to adequately monitor the organization, especially if there are paid executives</w:t>
      </w:r>
      <w:r w:rsidR="00903BD9">
        <w:rPr>
          <w:lang w:val="en-US"/>
        </w:rPr>
        <w:t xml:space="preserve"> running the organization</w:t>
      </w:r>
      <w:r w:rsidR="00114EEB">
        <w:rPr>
          <w:lang w:val="en-US"/>
        </w:rPr>
        <w:t>, it is thus important for charities to be able to recruit board members with the right qualities</w:t>
      </w:r>
      <w:r w:rsidR="009605E6">
        <w:rPr>
          <w:lang w:val="en-US"/>
        </w:rPr>
        <w:t xml:space="preserve"> and experience</w:t>
      </w:r>
      <w:r w:rsidR="00FF403A">
        <w:rPr>
          <w:lang w:val="en-US"/>
        </w:rPr>
        <w:t xml:space="preserve">. </w:t>
      </w:r>
    </w:p>
    <w:p w:rsidR="00453469" w:rsidRDefault="00453469" w:rsidP="00363D44">
      <w:pPr>
        <w:spacing w:line="360" w:lineRule="auto"/>
        <w:jc w:val="both"/>
        <w:rPr>
          <w:lang w:val="en-US"/>
        </w:rPr>
      </w:pPr>
    </w:p>
    <w:p w:rsidR="00363D44" w:rsidRDefault="00363D44" w:rsidP="007C645F">
      <w:pPr>
        <w:spacing w:line="360" w:lineRule="auto"/>
        <w:jc w:val="both"/>
        <w:rPr>
          <w:lang w:val="en-US"/>
        </w:rPr>
      </w:pPr>
      <w:r w:rsidRPr="00EE270C">
        <w:rPr>
          <w:lang w:val="en-US"/>
        </w:rPr>
        <w:t xml:space="preserve">Looking at the roles of </w:t>
      </w:r>
      <w:r w:rsidRPr="002958F7">
        <w:rPr>
          <w:lang w:val="en-US"/>
        </w:rPr>
        <w:t>stakeholders on the board</w:t>
      </w:r>
      <w:r w:rsidR="00EE270C" w:rsidRPr="002958F7">
        <w:rPr>
          <w:lang w:val="en-US"/>
        </w:rPr>
        <w:t xml:space="preserve"> Fama and Jensen (1983) </w:t>
      </w:r>
      <w:r w:rsidRPr="002958F7">
        <w:rPr>
          <w:lang w:val="en-US"/>
        </w:rPr>
        <w:t xml:space="preserve">argue that having donors on the board is essential in monitoring the efficiency of the organization. Their argument is largely in line with the idea of having major shareholders in the board of a for-profit company. </w:t>
      </w:r>
      <w:r w:rsidR="006D526C" w:rsidRPr="002958F7">
        <w:rPr>
          <w:lang w:val="en-US"/>
        </w:rPr>
        <w:t>Williamson (1983) however places a few notes with the line or reasoning of Fama and Jensen, he argues that after the donation major donors have little incentive to actually</w:t>
      </w:r>
      <w:r w:rsidR="006D526C">
        <w:rPr>
          <w:lang w:val="en-US"/>
        </w:rPr>
        <w:t xml:space="preserve"> monitor</w:t>
      </w:r>
      <w:r w:rsidR="001B657A">
        <w:rPr>
          <w:lang w:val="en-US"/>
        </w:rPr>
        <w:t xml:space="preserve"> (especially if it cannot be observed by outsiders)</w:t>
      </w:r>
      <w:r w:rsidR="006D526C">
        <w:rPr>
          <w:lang w:val="en-US"/>
        </w:rPr>
        <w:t xml:space="preserve"> and that major donors can restrict their donations to specif</w:t>
      </w:r>
      <w:r w:rsidR="00117A16">
        <w:rPr>
          <w:lang w:val="en-US"/>
        </w:rPr>
        <w:t xml:space="preserve">ic activities, thus mitigating the reasons why </w:t>
      </w:r>
      <w:r w:rsidR="004159C8">
        <w:rPr>
          <w:lang w:val="en-US"/>
        </w:rPr>
        <w:t xml:space="preserve">major </w:t>
      </w:r>
      <w:r w:rsidR="00117A16">
        <w:rPr>
          <w:lang w:val="en-US"/>
        </w:rPr>
        <w:t xml:space="preserve">donors </w:t>
      </w:r>
      <w:r w:rsidR="004159C8">
        <w:rPr>
          <w:lang w:val="en-US"/>
        </w:rPr>
        <w:t>sh</w:t>
      </w:r>
      <w:r w:rsidR="00117A16">
        <w:rPr>
          <w:lang w:val="en-US"/>
        </w:rPr>
        <w:t>ould monitor.</w:t>
      </w:r>
    </w:p>
    <w:p w:rsidR="0089365C" w:rsidRDefault="00525DAC" w:rsidP="00D75835">
      <w:pPr>
        <w:spacing w:line="360" w:lineRule="auto"/>
        <w:rPr>
          <w:lang w:val="en-US"/>
        </w:rPr>
      </w:pPr>
      <w:r w:rsidRPr="00EE270C">
        <w:rPr>
          <w:lang w:val="en-US"/>
        </w:rPr>
        <w:t>Callen, Klein and Tinkelman (2003) have empirically shown that having major donors on the board</w:t>
      </w:r>
      <w:r>
        <w:rPr>
          <w:lang w:val="en-US"/>
        </w:rPr>
        <w:t xml:space="preserve"> increases the efficiency of the organization (significant at 5% level)</w:t>
      </w:r>
      <w:r w:rsidR="00453469">
        <w:rPr>
          <w:lang w:val="en-US"/>
        </w:rPr>
        <w:t>, they do however note that there may be some causality issues</w:t>
      </w:r>
      <w:r w:rsidR="00114EEB">
        <w:rPr>
          <w:lang w:val="en-US"/>
        </w:rPr>
        <w:t>.</w:t>
      </w:r>
      <w:r w:rsidR="00453469">
        <w:rPr>
          <w:lang w:val="en-US"/>
        </w:rPr>
        <w:t xml:space="preserve"> </w:t>
      </w:r>
    </w:p>
    <w:p w:rsidR="00D25D10" w:rsidRDefault="00D25D10">
      <w:pPr>
        <w:rPr>
          <w:lang w:val="en-US"/>
        </w:rPr>
      </w:pPr>
      <w:r>
        <w:rPr>
          <w:lang w:val="en-US"/>
        </w:rPr>
        <w:br w:type="page"/>
      </w:r>
    </w:p>
    <w:p w:rsidR="001936D8" w:rsidRPr="007F22E4" w:rsidRDefault="001936D8" w:rsidP="00D75835">
      <w:pPr>
        <w:spacing w:line="360" w:lineRule="auto"/>
        <w:rPr>
          <w:rFonts w:ascii="ScalaSans-Caps" w:hAnsi="ScalaSans-Caps"/>
          <w:b/>
          <w:lang w:val="en-US"/>
        </w:rPr>
      </w:pPr>
      <w:r w:rsidRPr="007F22E4">
        <w:rPr>
          <w:rFonts w:ascii="ScalaSans-Caps" w:hAnsi="ScalaSans-Caps"/>
          <w:b/>
          <w:lang w:val="en-US"/>
        </w:rPr>
        <w:t>Performance of the board</w:t>
      </w:r>
    </w:p>
    <w:p w:rsidR="00645912" w:rsidRDefault="001B657A" w:rsidP="00F45333">
      <w:pPr>
        <w:spacing w:line="360" w:lineRule="auto"/>
        <w:jc w:val="both"/>
        <w:rPr>
          <w:lang w:val="en-US"/>
        </w:rPr>
      </w:pPr>
      <w:r>
        <w:rPr>
          <w:lang w:val="en-US"/>
        </w:rPr>
        <w:t xml:space="preserve">On the subject of board </w:t>
      </w:r>
      <w:r w:rsidRPr="00EE270C">
        <w:rPr>
          <w:lang w:val="en-US"/>
        </w:rPr>
        <w:t xml:space="preserve">performance, Carver (1991) concludes </w:t>
      </w:r>
      <w:r w:rsidR="003B4D24" w:rsidRPr="00EE270C">
        <w:rPr>
          <w:lang w:val="en-US"/>
        </w:rPr>
        <w:t>quite strongly</w:t>
      </w:r>
      <w:r w:rsidRPr="00EE270C">
        <w:rPr>
          <w:lang w:val="en-US"/>
        </w:rPr>
        <w:t xml:space="preserve"> that “boards are more honored for their potential th</w:t>
      </w:r>
      <w:r w:rsidR="001565DE">
        <w:rPr>
          <w:lang w:val="en-US"/>
        </w:rPr>
        <w:t>a</w:t>
      </w:r>
      <w:r w:rsidRPr="00EE270C">
        <w:rPr>
          <w:lang w:val="en-US"/>
        </w:rPr>
        <w:t>n for their performance”</w:t>
      </w:r>
      <w:r w:rsidRPr="00EE270C">
        <w:rPr>
          <w:rStyle w:val="FootnoteReference"/>
          <w:lang w:val="en-US"/>
        </w:rPr>
        <w:footnoteReference w:id="6"/>
      </w:r>
      <w:r w:rsidR="003B4D24" w:rsidRPr="00EE270C">
        <w:rPr>
          <w:lang w:val="en-US"/>
        </w:rPr>
        <w:t xml:space="preserve">. Although this is a very hard conclusion, the question on what makes boards effective still remains. </w:t>
      </w:r>
      <w:r w:rsidR="00B25AF5" w:rsidRPr="00EE270C">
        <w:rPr>
          <w:lang w:val="en-US"/>
        </w:rPr>
        <w:t xml:space="preserve">Most recently, </w:t>
      </w:r>
      <w:r w:rsidR="003B4D24" w:rsidRPr="00EE270C">
        <w:rPr>
          <w:lang w:val="en-US"/>
        </w:rPr>
        <w:t xml:space="preserve">Conforth and Hall (2001) looked into this, using a </w:t>
      </w:r>
      <w:r w:rsidR="000F44B8" w:rsidRPr="00EE270C">
        <w:rPr>
          <w:lang w:val="en-US"/>
        </w:rPr>
        <w:t>conceptual framework of inputs, board structures and processes to outputs</w:t>
      </w:r>
      <w:r w:rsidR="00D25D10">
        <w:rPr>
          <w:lang w:val="en-US"/>
        </w:rPr>
        <w:t xml:space="preserve"> </w:t>
      </w:r>
      <w:r w:rsidR="00D25D10" w:rsidRPr="00DE4383">
        <w:rPr>
          <w:lang w:val="en-US"/>
        </w:rPr>
        <w:t xml:space="preserve">(see appendix </w:t>
      </w:r>
      <w:r w:rsidR="00E0755A" w:rsidRPr="00DE4383">
        <w:rPr>
          <w:lang w:val="en-US"/>
        </w:rPr>
        <w:t>3</w:t>
      </w:r>
      <w:r w:rsidR="00D25D10" w:rsidRPr="00DE4383">
        <w:rPr>
          <w:lang w:val="en-US"/>
        </w:rPr>
        <w:t xml:space="preserve"> for the overall table of</w:t>
      </w:r>
      <w:r w:rsidR="000B40BA" w:rsidRPr="00DE4383">
        <w:rPr>
          <w:lang w:val="en-US"/>
        </w:rPr>
        <w:t xml:space="preserve"> variables)</w:t>
      </w:r>
      <w:r w:rsidR="000F44B8" w:rsidRPr="00DE4383">
        <w:rPr>
          <w:lang w:val="en-US"/>
        </w:rPr>
        <w:t xml:space="preserve">. </w:t>
      </w:r>
      <w:r w:rsidR="00670C6F" w:rsidRPr="00DE4383">
        <w:rPr>
          <w:lang w:val="en-US"/>
        </w:rPr>
        <w:t>The</w:t>
      </w:r>
      <w:r w:rsidR="00645912">
        <w:rPr>
          <w:lang w:val="en-US"/>
        </w:rPr>
        <w:t xml:space="preserve"> data they used came from a survey sent out to close to 2.800 charities in England and Wales</w:t>
      </w:r>
      <w:r w:rsidR="00224CC0">
        <w:rPr>
          <w:lang w:val="en-US"/>
        </w:rPr>
        <w:t xml:space="preserve"> equally selected based on size (measured by income)</w:t>
      </w:r>
      <w:r w:rsidR="00645912">
        <w:rPr>
          <w:lang w:val="en-US"/>
        </w:rPr>
        <w:t xml:space="preserve">, </w:t>
      </w:r>
      <w:r w:rsidR="00462BBB">
        <w:rPr>
          <w:lang w:val="en-US"/>
        </w:rPr>
        <w:t>of which 737 responded.</w:t>
      </w:r>
      <w:r w:rsidR="00645912">
        <w:rPr>
          <w:lang w:val="en-US"/>
        </w:rPr>
        <w:t xml:space="preserve"> </w:t>
      </w:r>
    </w:p>
    <w:p w:rsidR="00645912" w:rsidRDefault="00645912" w:rsidP="00F45333">
      <w:pPr>
        <w:spacing w:line="360" w:lineRule="auto"/>
        <w:jc w:val="both"/>
        <w:rPr>
          <w:lang w:val="en-US"/>
        </w:rPr>
      </w:pPr>
    </w:p>
    <w:p w:rsidR="004159C8" w:rsidRDefault="00F45333" w:rsidP="00F45333">
      <w:pPr>
        <w:spacing w:line="360" w:lineRule="auto"/>
        <w:jc w:val="both"/>
        <w:rPr>
          <w:lang w:val="en-US"/>
        </w:rPr>
      </w:pPr>
      <w:r>
        <w:rPr>
          <w:lang w:val="en-US"/>
        </w:rPr>
        <w:t>Overall effectiveness of the board was best explained by 5 of the 17 output</w:t>
      </w:r>
      <w:r w:rsidR="000B40BA">
        <w:rPr>
          <w:lang w:val="en-US"/>
        </w:rPr>
        <w:t xml:space="preserve"> variables</w:t>
      </w:r>
      <w:r>
        <w:rPr>
          <w:lang w:val="en-US"/>
        </w:rPr>
        <w:t>, namely</w:t>
      </w:r>
      <w:r w:rsidR="004159C8">
        <w:rPr>
          <w:lang w:val="en-US"/>
        </w:rPr>
        <w:t>;</w:t>
      </w:r>
      <w:r>
        <w:rPr>
          <w:lang w:val="en-US"/>
        </w:rPr>
        <w:t xml:space="preserve"> </w:t>
      </w:r>
    </w:p>
    <w:p w:rsidR="004159C8" w:rsidRDefault="00F45333" w:rsidP="004159C8">
      <w:pPr>
        <w:pStyle w:val="ListParagraph"/>
        <w:numPr>
          <w:ilvl w:val="0"/>
          <w:numId w:val="4"/>
        </w:numPr>
        <w:spacing w:line="360" w:lineRule="auto"/>
        <w:jc w:val="both"/>
        <w:rPr>
          <w:lang w:val="en-US"/>
        </w:rPr>
      </w:pPr>
      <w:r w:rsidRPr="004159C8">
        <w:rPr>
          <w:lang w:val="en-US"/>
        </w:rPr>
        <w:t xml:space="preserve">setting the mission and values, </w:t>
      </w:r>
    </w:p>
    <w:p w:rsidR="004159C8" w:rsidRDefault="00F45333" w:rsidP="004159C8">
      <w:pPr>
        <w:pStyle w:val="ListParagraph"/>
        <w:numPr>
          <w:ilvl w:val="0"/>
          <w:numId w:val="4"/>
        </w:numPr>
        <w:spacing w:line="360" w:lineRule="auto"/>
        <w:jc w:val="both"/>
        <w:rPr>
          <w:lang w:val="en-US"/>
        </w:rPr>
      </w:pPr>
      <w:r w:rsidRPr="004159C8">
        <w:rPr>
          <w:lang w:val="en-US"/>
        </w:rPr>
        <w:t xml:space="preserve">setting the strategic direction, </w:t>
      </w:r>
    </w:p>
    <w:p w:rsidR="00670C6F" w:rsidRDefault="00F45333" w:rsidP="004159C8">
      <w:pPr>
        <w:pStyle w:val="ListParagraph"/>
        <w:numPr>
          <w:ilvl w:val="0"/>
          <w:numId w:val="4"/>
        </w:numPr>
        <w:spacing w:line="360" w:lineRule="auto"/>
        <w:jc w:val="both"/>
        <w:rPr>
          <w:lang w:val="en-US"/>
        </w:rPr>
      </w:pPr>
      <w:r w:rsidRPr="004159C8">
        <w:rPr>
          <w:lang w:val="en-US"/>
        </w:rPr>
        <w:t xml:space="preserve">overseeing financial management, </w:t>
      </w:r>
    </w:p>
    <w:p w:rsidR="004159C8" w:rsidRDefault="00F45333" w:rsidP="004159C8">
      <w:pPr>
        <w:pStyle w:val="ListParagraph"/>
        <w:numPr>
          <w:ilvl w:val="0"/>
          <w:numId w:val="4"/>
        </w:numPr>
        <w:spacing w:line="360" w:lineRule="auto"/>
        <w:jc w:val="both"/>
        <w:rPr>
          <w:lang w:val="en-US"/>
        </w:rPr>
      </w:pPr>
      <w:r w:rsidRPr="004159C8">
        <w:rPr>
          <w:lang w:val="en-US"/>
        </w:rPr>
        <w:t xml:space="preserve">reviewing performance and </w:t>
      </w:r>
    </w:p>
    <w:p w:rsidR="004159C8" w:rsidRDefault="00F45333" w:rsidP="004159C8">
      <w:pPr>
        <w:pStyle w:val="ListParagraph"/>
        <w:numPr>
          <w:ilvl w:val="0"/>
          <w:numId w:val="4"/>
        </w:numPr>
        <w:spacing w:line="360" w:lineRule="auto"/>
        <w:jc w:val="both"/>
        <w:rPr>
          <w:lang w:val="en-US"/>
        </w:rPr>
      </w:pPr>
      <w:r w:rsidRPr="004159C8">
        <w:rPr>
          <w:lang w:val="en-US"/>
        </w:rPr>
        <w:t xml:space="preserve">helping to raise funds. </w:t>
      </w:r>
    </w:p>
    <w:p w:rsidR="001B657A" w:rsidRPr="004159C8" w:rsidRDefault="00F45333" w:rsidP="004159C8">
      <w:pPr>
        <w:spacing w:line="360" w:lineRule="auto"/>
        <w:jc w:val="both"/>
        <w:rPr>
          <w:lang w:val="en-US"/>
        </w:rPr>
      </w:pPr>
      <w:r w:rsidRPr="004159C8">
        <w:rPr>
          <w:lang w:val="en-US"/>
        </w:rPr>
        <w:t>These five outputs explain 61% of</w:t>
      </w:r>
      <w:r w:rsidR="00462BBB">
        <w:rPr>
          <w:lang w:val="en-US"/>
        </w:rPr>
        <w:t xml:space="preserve"> the variation of</w:t>
      </w:r>
      <w:r w:rsidRPr="004159C8">
        <w:rPr>
          <w:lang w:val="en-US"/>
        </w:rPr>
        <w:t xml:space="preserve"> overall effectiveness.</w:t>
      </w:r>
    </w:p>
    <w:p w:rsidR="001B0B8A" w:rsidRDefault="001B0B8A" w:rsidP="00F45333">
      <w:pPr>
        <w:spacing w:line="360" w:lineRule="auto"/>
        <w:jc w:val="both"/>
        <w:rPr>
          <w:lang w:val="en-US"/>
        </w:rPr>
      </w:pPr>
      <w:r>
        <w:rPr>
          <w:lang w:val="en-US"/>
        </w:rPr>
        <w:t>From this they went on to determine the most important inputs, structures and process explaining variance in board effectiveness, using a series of stepwise logistic regressions they find that 3 processes</w:t>
      </w:r>
      <w:r w:rsidR="00D25D10">
        <w:rPr>
          <w:lang w:val="en-US"/>
        </w:rPr>
        <w:t xml:space="preserve"> that are highly significant</w:t>
      </w:r>
      <w:r>
        <w:rPr>
          <w:lang w:val="en-US"/>
        </w:rPr>
        <w:t>, namely:</w:t>
      </w:r>
    </w:p>
    <w:p w:rsidR="001B0B8A" w:rsidRDefault="001B0B8A" w:rsidP="001B0B8A">
      <w:pPr>
        <w:pStyle w:val="ListParagraph"/>
        <w:numPr>
          <w:ilvl w:val="0"/>
          <w:numId w:val="4"/>
        </w:numPr>
        <w:spacing w:line="360" w:lineRule="auto"/>
        <w:jc w:val="both"/>
        <w:rPr>
          <w:lang w:val="en-US"/>
        </w:rPr>
      </w:pPr>
      <w:r w:rsidRPr="001B0B8A">
        <w:rPr>
          <w:lang w:val="en-US"/>
        </w:rPr>
        <w:t>a clear understandin</w:t>
      </w:r>
      <w:r>
        <w:rPr>
          <w:lang w:val="en-US"/>
        </w:rPr>
        <w:t>g of the role and responsibilities of the board</w:t>
      </w:r>
    </w:p>
    <w:p w:rsidR="001B0B8A" w:rsidRDefault="001B0B8A" w:rsidP="001B0B8A">
      <w:pPr>
        <w:pStyle w:val="ListParagraph"/>
        <w:numPr>
          <w:ilvl w:val="0"/>
          <w:numId w:val="4"/>
        </w:numPr>
        <w:spacing w:line="360" w:lineRule="auto"/>
        <w:jc w:val="both"/>
        <w:rPr>
          <w:lang w:val="en-US"/>
        </w:rPr>
      </w:pPr>
      <w:r>
        <w:rPr>
          <w:lang w:val="en-US"/>
        </w:rPr>
        <w:t>the board and management share a common vision on how to achieve the goals</w:t>
      </w:r>
    </w:p>
    <w:p w:rsidR="001B0B8A" w:rsidRDefault="001B0B8A" w:rsidP="001B0B8A">
      <w:pPr>
        <w:pStyle w:val="ListParagraph"/>
        <w:numPr>
          <w:ilvl w:val="0"/>
          <w:numId w:val="4"/>
        </w:numPr>
        <w:spacing w:line="360" w:lineRule="auto"/>
        <w:jc w:val="both"/>
        <w:rPr>
          <w:lang w:val="en-US"/>
        </w:rPr>
      </w:pPr>
      <w:r>
        <w:rPr>
          <w:lang w:val="en-US"/>
        </w:rPr>
        <w:t>the board and management periodically review how they work together</w:t>
      </w:r>
    </w:p>
    <w:p w:rsidR="001B0B8A" w:rsidRPr="001B0B8A" w:rsidRDefault="001B0B8A" w:rsidP="001B0B8A">
      <w:pPr>
        <w:spacing w:line="360" w:lineRule="auto"/>
        <w:jc w:val="both"/>
        <w:rPr>
          <w:lang w:val="en-US"/>
        </w:rPr>
      </w:pPr>
      <w:r>
        <w:rPr>
          <w:lang w:val="en-US"/>
        </w:rPr>
        <w:t xml:space="preserve">Next to these three processes the inputs of the board are important too, the inputs being the right mix of skill and </w:t>
      </w:r>
      <w:r w:rsidR="00D25D10">
        <w:rPr>
          <w:lang w:val="en-US"/>
        </w:rPr>
        <w:t>experience on the board and</w:t>
      </w:r>
      <w:r w:rsidR="004159C8">
        <w:rPr>
          <w:lang w:val="en-US"/>
        </w:rPr>
        <w:t xml:space="preserve"> that</w:t>
      </w:r>
      <w:r w:rsidR="00D25D10">
        <w:rPr>
          <w:lang w:val="en-US"/>
        </w:rPr>
        <w:t xml:space="preserve"> the board members have the time to do the job properly.</w:t>
      </w:r>
      <w:r w:rsidR="004159C8">
        <w:rPr>
          <w:lang w:val="en-US"/>
        </w:rPr>
        <w:t xml:space="preserve"> Surprisingly they found that non</w:t>
      </w:r>
      <w:r w:rsidR="00645912">
        <w:rPr>
          <w:lang w:val="en-US"/>
        </w:rPr>
        <w:t xml:space="preserve">e of the boards structure variables had a big enough </w:t>
      </w:r>
      <w:r w:rsidR="004159C8">
        <w:rPr>
          <w:lang w:val="en-US"/>
        </w:rPr>
        <w:t>influence</w:t>
      </w:r>
      <w:r w:rsidR="00645912">
        <w:rPr>
          <w:lang w:val="en-US"/>
        </w:rPr>
        <w:t xml:space="preserve"> to make it into the final model</w:t>
      </w:r>
      <w:r w:rsidR="004159C8">
        <w:rPr>
          <w:lang w:val="en-US"/>
        </w:rPr>
        <w:t>.</w:t>
      </w:r>
      <w:r w:rsidR="00D25D10">
        <w:rPr>
          <w:lang w:val="en-US"/>
        </w:rPr>
        <w:t xml:space="preserve"> Combined these factors explain 45% of the variance in overall board effectiveness.</w:t>
      </w:r>
      <w:r w:rsidR="00E0755A">
        <w:rPr>
          <w:lang w:val="en-US"/>
        </w:rPr>
        <w:t xml:space="preserve"> </w:t>
      </w:r>
    </w:p>
    <w:p w:rsidR="001936D8" w:rsidRDefault="001936D8" w:rsidP="00D75835">
      <w:pPr>
        <w:spacing w:line="360" w:lineRule="auto"/>
        <w:rPr>
          <w:lang w:val="en-US"/>
        </w:rPr>
      </w:pPr>
    </w:p>
    <w:p w:rsidR="00921F74" w:rsidRDefault="00921F74">
      <w:pPr>
        <w:rPr>
          <w:rFonts w:ascii="ScalaSans-Caps" w:hAnsi="ScalaSans-Caps"/>
          <w:lang w:val="en-US"/>
        </w:rPr>
      </w:pPr>
      <w:r>
        <w:rPr>
          <w:rFonts w:ascii="ScalaSans-Caps" w:hAnsi="ScalaSans-Caps"/>
          <w:lang w:val="en-US"/>
        </w:rPr>
        <w:br w:type="page"/>
      </w:r>
    </w:p>
    <w:p w:rsidR="00921F74" w:rsidRPr="00465BB2" w:rsidRDefault="00921F74" w:rsidP="00921F74">
      <w:pPr>
        <w:spacing w:line="360" w:lineRule="auto"/>
        <w:rPr>
          <w:rFonts w:ascii="ScalaSans-Caps" w:hAnsi="ScalaSans-Caps"/>
          <w:b/>
          <w:lang w:val="en-US"/>
        </w:rPr>
      </w:pPr>
      <w:r w:rsidRPr="00465BB2">
        <w:rPr>
          <w:rFonts w:ascii="ScalaSans-Caps" w:hAnsi="ScalaSans-Caps"/>
          <w:b/>
          <w:lang w:val="en-US"/>
        </w:rPr>
        <w:t>Performance of the organization</w:t>
      </w:r>
    </w:p>
    <w:p w:rsidR="00921F74" w:rsidRDefault="00921F74" w:rsidP="00921F74">
      <w:pPr>
        <w:spacing w:line="360" w:lineRule="auto"/>
        <w:jc w:val="both"/>
        <w:rPr>
          <w:lang w:val="en-US"/>
        </w:rPr>
      </w:pPr>
      <w:r>
        <w:rPr>
          <w:lang w:val="en-US"/>
        </w:rPr>
        <w:t xml:space="preserve">Unlike the for-profit sector where performance can be easily proxied by for example the earnings per </w:t>
      </w:r>
      <w:r w:rsidRPr="00EE270C">
        <w:rPr>
          <w:lang w:val="en-US"/>
        </w:rPr>
        <w:t>share, the return on assets or Tobin’s Q, this is not the case for charities. Many authors, among others Callen, Klein and Tinkelman (2003),</w:t>
      </w:r>
      <w:r>
        <w:rPr>
          <w:lang w:val="en-US"/>
        </w:rPr>
        <w:t xml:space="preserve"> define the efficiency of non-profit organizations by one of the following three methods:</w:t>
      </w:r>
    </w:p>
    <w:p w:rsidR="00921F74" w:rsidRDefault="00921F74" w:rsidP="00921F74">
      <w:pPr>
        <w:pStyle w:val="ListParagraph"/>
        <w:numPr>
          <w:ilvl w:val="0"/>
          <w:numId w:val="4"/>
        </w:numPr>
        <w:spacing w:line="360" w:lineRule="auto"/>
        <w:jc w:val="both"/>
        <w:rPr>
          <w:lang w:val="en-US"/>
        </w:rPr>
      </w:pPr>
      <w:r>
        <w:rPr>
          <w:lang w:val="en-US"/>
        </w:rPr>
        <w:t>Log ratio of administrative expenses to total expenses</w:t>
      </w:r>
    </w:p>
    <w:p w:rsidR="00921F74" w:rsidRDefault="00921F74" w:rsidP="00921F74">
      <w:pPr>
        <w:pStyle w:val="ListParagraph"/>
        <w:numPr>
          <w:ilvl w:val="0"/>
          <w:numId w:val="4"/>
        </w:numPr>
        <w:spacing w:line="360" w:lineRule="auto"/>
        <w:jc w:val="both"/>
        <w:rPr>
          <w:lang w:val="en-US"/>
        </w:rPr>
      </w:pPr>
      <w:r>
        <w:rPr>
          <w:lang w:val="en-US"/>
        </w:rPr>
        <w:t>Log ratio of fundraising expenses to total expenses</w:t>
      </w:r>
    </w:p>
    <w:p w:rsidR="00921F74" w:rsidRPr="001D2E59" w:rsidRDefault="00921F74" w:rsidP="00921F74">
      <w:pPr>
        <w:pStyle w:val="ListParagraph"/>
        <w:numPr>
          <w:ilvl w:val="0"/>
          <w:numId w:val="4"/>
        </w:numPr>
        <w:spacing w:line="360" w:lineRule="auto"/>
        <w:jc w:val="both"/>
        <w:rPr>
          <w:lang w:val="en-US"/>
        </w:rPr>
      </w:pPr>
      <w:r>
        <w:rPr>
          <w:lang w:val="en-US"/>
        </w:rPr>
        <w:t>Log ratio of total expenses to program expenses</w:t>
      </w:r>
    </w:p>
    <w:p w:rsidR="00D0565E" w:rsidRDefault="00D0565E" w:rsidP="00D75835">
      <w:pPr>
        <w:spacing w:line="360" w:lineRule="auto"/>
        <w:rPr>
          <w:lang w:val="en-US"/>
        </w:rPr>
      </w:pPr>
    </w:p>
    <w:p w:rsidR="00921F74" w:rsidRDefault="00921F74" w:rsidP="008B5423">
      <w:pPr>
        <w:spacing w:line="360" w:lineRule="auto"/>
        <w:jc w:val="both"/>
        <w:rPr>
          <w:lang w:val="en-US"/>
        </w:rPr>
      </w:pPr>
      <w:r w:rsidRPr="00921F74">
        <w:rPr>
          <w:lang w:val="en-US"/>
        </w:rPr>
        <w:t>Callen, Klein and Tinkelman hypothesize th</w:t>
      </w:r>
      <w:r>
        <w:rPr>
          <w:lang w:val="en-US"/>
        </w:rPr>
        <w:t xml:space="preserve">at having a major donor on the board </w:t>
      </w:r>
      <w:r w:rsidR="007920FB">
        <w:rPr>
          <w:lang w:val="en-US"/>
        </w:rPr>
        <w:t>and being primarily dependant on private donations increases the performance, or efficiency</w:t>
      </w:r>
      <w:r w:rsidR="00167A5B">
        <w:rPr>
          <w:lang w:val="en-US"/>
        </w:rPr>
        <w:t>,</w:t>
      </w:r>
      <w:r w:rsidR="007920FB">
        <w:rPr>
          <w:lang w:val="en-US"/>
        </w:rPr>
        <w:t xml:space="preserve"> of the organization.</w:t>
      </w:r>
      <w:r w:rsidR="0079553D">
        <w:rPr>
          <w:lang w:val="en-US"/>
        </w:rPr>
        <w:t xml:space="preserve"> When looking at the board size, they hypothesize that a bigger board is more efficient in obtaining funds, and thus negatively on performance due to higher fundraising costs.</w:t>
      </w:r>
      <w:r w:rsidR="00E10927">
        <w:rPr>
          <w:lang w:val="en-US"/>
        </w:rPr>
        <w:t xml:space="preserve"> These hypothesis are tested on all three of the efficiency measures</w:t>
      </w:r>
      <w:r w:rsidR="00645D3B">
        <w:rPr>
          <w:lang w:val="en-US"/>
        </w:rPr>
        <w:t>, using US data,</w:t>
      </w:r>
      <w:r w:rsidR="00E10927">
        <w:rPr>
          <w:lang w:val="en-US"/>
        </w:rPr>
        <w:t xml:space="preserve"> while controlling for size and organizational type. </w:t>
      </w:r>
    </w:p>
    <w:p w:rsidR="00E10927" w:rsidRPr="00921F74" w:rsidRDefault="00E10927" w:rsidP="008B5423">
      <w:pPr>
        <w:spacing w:line="360" w:lineRule="auto"/>
        <w:jc w:val="both"/>
        <w:rPr>
          <w:lang w:val="en-US"/>
        </w:rPr>
      </w:pPr>
    </w:p>
    <w:p w:rsidR="00921F74" w:rsidRPr="00E10927" w:rsidRDefault="00E10927" w:rsidP="008B5423">
      <w:pPr>
        <w:spacing w:line="360" w:lineRule="auto"/>
        <w:jc w:val="both"/>
        <w:rPr>
          <w:lang w:val="en-US"/>
        </w:rPr>
      </w:pPr>
      <w:r>
        <w:rPr>
          <w:lang w:val="en-US"/>
        </w:rPr>
        <w:t>On all three models, the explanatory power (R</w:t>
      </w:r>
      <w:r w:rsidRPr="00E10927">
        <w:rPr>
          <w:vertAlign w:val="superscript"/>
          <w:lang w:val="en-US"/>
        </w:rPr>
        <w:t>2</w:t>
      </w:r>
      <w:r>
        <w:rPr>
          <w:lang w:val="en-US"/>
        </w:rPr>
        <w:t>) is between 6 and 27 percent. Although not very high, the models do support that having a major donor increases transparency (significant at 5% level), and that organizations that rely on private donations are much more efficient (significant at 1% level). Board size on the o</w:t>
      </w:r>
      <w:r w:rsidR="00CE1CAF">
        <w:rPr>
          <w:lang w:val="en-US"/>
        </w:rPr>
        <w:t>ther hand is not significant in explaining efficiency.</w:t>
      </w:r>
      <w:r w:rsidR="0079553D">
        <w:rPr>
          <w:lang w:val="en-US"/>
        </w:rPr>
        <w:t xml:space="preserve"> The board size has indeed a negative influence, but it’s not significant.</w:t>
      </w:r>
    </w:p>
    <w:p w:rsidR="00E10927" w:rsidRDefault="00E10927" w:rsidP="008B5423">
      <w:pPr>
        <w:spacing w:line="360" w:lineRule="auto"/>
        <w:jc w:val="both"/>
        <w:rPr>
          <w:lang w:val="en-US"/>
        </w:rPr>
      </w:pPr>
    </w:p>
    <w:p w:rsidR="00CE1CAF" w:rsidRDefault="00593D3A" w:rsidP="008B5423">
      <w:pPr>
        <w:spacing w:line="360" w:lineRule="auto"/>
        <w:jc w:val="both"/>
        <w:rPr>
          <w:lang w:val="en-US"/>
        </w:rPr>
      </w:pPr>
      <w:r>
        <w:rPr>
          <w:lang w:val="en-US"/>
        </w:rPr>
        <w:t>Next they look at the presence of major donors on board committees. The hypothesis they test is that the efficiency increases when there are major donors active on committee’s with a</w:t>
      </w:r>
      <w:r w:rsidR="00D93480">
        <w:rPr>
          <w:lang w:val="en-US"/>
        </w:rPr>
        <w:t>n</w:t>
      </w:r>
      <w:r>
        <w:rPr>
          <w:lang w:val="en-US"/>
        </w:rPr>
        <w:t xml:space="preserve"> important monitoring role</w:t>
      </w:r>
      <w:r w:rsidR="00323784">
        <w:rPr>
          <w:lang w:val="en-US"/>
        </w:rPr>
        <w:t xml:space="preserve">. </w:t>
      </w:r>
      <w:r w:rsidR="00A60C24">
        <w:rPr>
          <w:lang w:val="en-US"/>
        </w:rPr>
        <w:t>The authors identified the</w:t>
      </w:r>
      <w:r w:rsidR="00323784">
        <w:rPr>
          <w:lang w:val="en-US"/>
        </w:rPr>
        <w:t xml:space="preserve"> nominating, compensation, finance and auditing committee’s as those with the greatest monitoring responsibilities. </w:t>
      </w:r>
      <w:r w:rsidR="008B5423">
        <w:rPr>
          <w:lang w:val="en-US"/>
        </w:rPr>
        <w:t>They find that major donors tend to be underrepresented on the committee’s with monitoring roles but highly represented in fundraising committees</w:t>
      </w:r>
      <w:r w:rsidR="00CA7C21">
        <w:rPr>
          <w:lang w:val="en-US"/>
        </w:rPr>
        <w:t>.</w:t>
      </w:r>
      <w:r w:rsidR="008B5423">
        <w:rPr>
          <w:lang w:val="en-US"/>
        </w:rPr>
        <w:t xml:space="preserve"> Next, using regression</w:t>
      </w:r>
      <w:r w:rsidR="00ED4C50">
        <w:rPr>
          <w:lang w:val="en-US"/>
        </w:rPr>
        <w:t xml:space="preserve"> analyses</w:t>
      </w:r>
      <w:r w:rsidR="008B5423">
        <w:rPr>
          <w:lang w:val="en-US"/>
        </w:rPr>
        <w:t>, they find that major donors on board committees is unrelated to the efficiency, with an exception for the finance committee.</w:t>
      </w:r>
    </w:p>
    <w:p w:rsidR="00CE1CAF" w:rsidRDefault="00CE1CAF" w:rsidP="00D75835">
      <w:pPr>
        <w:spacing w:line="360" w:lineRule="auto"/>
        <w:rPr>
          <w:lang w:val="en-US"/>
        </w:rPr>
      </w:pPr>
    </w:p>
    <w:p w:rsidR="00D25D10" w:rsidRPr="00921F74" w:rsidRDefault="00D25D10">
      <w:pPr>
        <w:rPr>
          <w:rFonts w:asciiTheme="majorHAnsi" w:eastAsiaTheme="majorEastAsia" w:hAnsiTheme="majorHAnsi" w:cstheme="majorBidi"/>
          <w:b/>
          <w:bCs/>
          <w:color w:val="4F81BD" w:themeColor="accent1"/>
          <w:sz w:val="26"/>
          <w:szCs w:val="26"/>
          <w:lang w:val="en-US"/>
        </w:rPr>
      </w:pPr>
      <w:r w:rsidRPr="00921F74">
        <w:rPr>
          <w:lang w:val="en-US"/>
        </w:rPr>
        <w:br w:type="page"/>
      </w:r>
    </w:p>
    <w:p w:rsidR="00D3042D" w:rsidRDefault="00D3042D" w:rsidP="00913C27">
      <w:pPr>
        <w:pStyle w:val="Heading2"/>
        <w:spacing w:before="120" w:line="360" w:lineRule="auto"/>
        <w:rPr>
          <w:lang w:val="en-US"/>
        </w:rPr>
      </w:pPr>
      <w:bookmarkStart w:id="16" w:name="_Toc299180701"/>
      <w:r>
        <w:rPr>
          <w:lang w:val="en-US"/>
        </w:rPr>
        <w:t>IV.</w:t>
      </w:r>
      <w:r w:rsidR="00FA5E15">
        <w:rPr>
          <w:lang w:val="en-US"/>
        </w:rPr>
        <w:t>4</w:t>
      </w:r>
      <w:r>
        <w:rPr>
          <w:lang w:val="en-US"/>
        </w:rPr>
        <w:tab/>
      </w:r>
      <w:r w:rsidR="00913C27">
        <w:rPr>
          <w:lang w:val="en-US"/>
        </w:rPr>
        <w:t>(non-)Executive remuneration</w:t>
      </w:r>
      <w:bookmarkEnd w:id="16"/>
    </w:p>
    <w:p w:rsidR="0080484C" w:rsidRDefault="009C50CE" w:rsidP="00D8692F">
      <w:pPr>
        <w:spacing w:line="360" w:lineRule="auto"/>
        <w:jc w:val="both"/>
        <w:rPr>
          <w:lang w:val="en-US"/>
        </w:rPr>
      </w:pPr>
      <w:r>
        <w:rPr>
          <w:lang w:val="en-US"/>
        </w:rPr>
        <w:t xml:space="preserve">Executive compensation in the for-profit sector has been the </w:t>
      </w:r>
      <w:r w:rsidR="00900742">
        <w:rPr>
          <w:lang w:val="en-US"/>
        </w:rPr>
        <w:t xml:space="preserve">subject of extensive research. </w:t>
      </w:r>
      <w:r>
        <w:rPr>
          <w:lang w:val="en-US"/>
        </w:rPr>
        <w:t xml:space="preserve">Using agency theory the corporate sector has created remuneration schemes that align the interest of </w:t>
      </w:r>
      <w:r w:rsidR="00661041">
        <w:rPr>
          <w:lang w:val="en-US"/>
        </w:rPr>
        <w:t>executives</w:t>
      </w:r>
      <w:r w:rsidR="0080484C">
        <w:rPr>
          <w:lang w:val="en-US"/>
        </w:rPr>
        <w:t xml:space="preserve"> with the interest of shareholders</w:t>
      </w:r>
      <w:r>
        <w:rPr>
          <w:lang w:val="en-US"/>
        </w:rPr>
        <w:t xml:space="preserve"> in order to minimize self-serving, shirking or even expropriation among </w:t>
      </w:r>
      <w:r w:rsidR="00661041">
        <w:rPr>
          <w:lang w:val="en-US"/>
        </w:rPr>
        <w:t>executives</w:t>
      </w:r>
      <w:r>
        <w:rPr>
          <w:lang w:val="en-US"/>
        </w:rPr>
        <w:t>.</w:t>
      </w:r>
      <w:r w:rsidR="0080484C">
        <w:rPr>
          <w:lang w:val="en-US"/>
        </w:rPr>
        <w:t xml:space="preserve"> The tools available to the corporate sector, such as stock grants, options grants and </w:t>
      </w:r>
      <w:r w:rsidR="00661041">
        <w:rPr>
          <w:lang w:val="en-US"/>
        </w:rPr>
        <w:t>others</w:t>
      </w:r>
      <w:r w:rsidR="0080484C">
        <w:rPr>
          <w:lang w:val="en-US"/>
        </w:rPr>
        <w:t xml:space="preserve"> are not available to charities. Furthermore, c</w:t>
      </w:r>
      <w:r w:rsidR="0032015C">
        <w:rPr>
          <w:lang w:val="en-US"/>
        </w:rPr>
        <w:t>harities</w:t>
      </w:r>
      <w:r w:rsidR="007B2406">
        <w:rPr>
          <w:lang w:val="en-US"/>
        </w:rPr>
        <w:t>, and other non-profit organizations,</w:t>
      </w:r>
      <w:r w:rsidR="0032015C">
        <w:rPr>
          <w:lang w:val="en-US"/>
        </w:rPr>
        <w:t xml:space="preserve"> often don’t have </w:t>
      </w:r>
      <w:r w:rsidR="007B2406">
        <w:rPr>
          <w:lang w:val="en-US"/>
        </w:rPr>
        <w:t>the same</w:t>
      </w:r>
      <w:r w:rsidR="007652B1">
        <w:rPr>
          <w:lang w:val="en-US"/>
        </w:rPr>
        <w:t xml:space="preserve"> external</w:t>
      </w:r>
      <w:r w:rsidR="007B2406">
        <w:rPr>
          <w:lang w:val="en-US"/>
        </w:rPr>
        <w:t xml:space="preserve"> governance mechanisms, such as shareholder pressure or a market for corporate takeovers, to protect  </w:t>
      </w:r>
      <w:r w:rsidR="0080484C">
        <w:rPr>
          <w:lang w:val="en-US"/>
        </w:rPr>
        <w:t>stakeholders</w:t>
      </w:r>
      <w:r w:rsidR="007B2406">
        <w:rPr>
          <w:lang w:val="en-US"/>
        </w:rPr>
        <w:t xml:space="preserve"> from entrenched managers. </w:t>
      </w:r>
    </w:p>
    <w:p w:rsidR="0080484C" w:rsidRDefault="0080484C" w:rsidP="00D8692F">
      <w:pPr>
        <w:spacing w:line="360" w:lineRule="auto"/>
        <w:jc w:val="both"/>
        <w:rPr>
          <w:lang w:val="en-US"/>
        </w:rPr>
      </w:pPr>
    </w:p>
    <w:p w:rsidR="0080484C" w:rsidRPr="00465BB2" w:rsidRDefault="00064BAA" w:rsidP="00D8692F">
      <w:pPr>
        <w:spacing w:line="360" w:lineRule="auto"/>
        <w:jc w:val="both"/>
        <w:rPr>
          <w:rFonts w:ascii="ScalaSans-Caps" w:hAnsi="ScalaSans-Caps"/>
          <w:b/>
          <w:lang w:val="en-US"/>
        </w:rPr>
      </w:pPr>
      <w:r w:rsidRPr="00465BB2">
        <w:rPr>
          <w:rFonts w:ascii="ScalaSans-Caps" w:hAnsi="ScalaSans-Caps"/>
          <w:b/>
          <w:lang w:val="en-US"/>
        </w:rPr>
        <w:t>Beyond agency theory</w:t>
      </w:r>
    </w:p>
    <w:p w:rsidR="00FE6B6C" w:rsidRDefault="0080484C" w:rsidP="00D8692F">
      <w:pPr>
        <w:spacing w:line="360" w:lineRule="auto"/>
        <w:jc w:val="both"/>
        <w:rPr>
          <w:lang w:val="en-US"/>
        </w:rPr>
      </w:pPr>
      <w:r>
        <w:rPr>
          <w:lang w:val="en-US"/>
        </w:rPr>
        <w:t xml:space="preserve">From the description above agency theory would suggest that </w:t>
      </w:r>
      <w:r w:rsidR="00900742">
        <w:rPr>
          <w:lang w:val="en-US"/>
        </w:rPr>
        <w:t>executives</w:t>
      </w:r>
      <w:r>
        <w:rPr>
          <w:lang w:val="en-US"/>
        </w:rPr>
        <w:t xml:space="preserve"> are prone to be overpaid in the non-profit sector. </w:t>
      </w:r>
      <w:r w:rsidR="007652B1">
        <w:rPr>
          <w:lang w:val="en-US"/>
        </w:rPr>
        <w:t>In practice</w:t>
      </w:r>
      <w:r>
        <w:rPr>
          <w:lang w:val="en-US"/>
        </w:rPr>
        <w:t>,</w:t>
      </w:r>
      <w:r w:rsidR="007652B1">
        <w:rPr>
          <w:lang w:val="en-US"/>
        </w:rPr>
        <w:t xml:space="preserve"> however</w:t>
      </w:r>
      <w:r>
        <w:rPr>
          <w:lang w:val="en-US"/>
        </w:rPr>
        <w:t>,</w:t>
      </w:r>
      <w:r w:rsidR="007652B1">
        <w:rPr>
          <w:lang w:val="en-US"/>
        </w:rPr>
        <w:t xml:space="preserve"> we see that </w:t>
      </w:r>
      <w:r w:rsidR="004F0039">
        <w:rPr>
          <w:lang w:val="en-US"/>
        </w:rPr>
        <w:t>executives</w:t>
      </w:r>
      <w:r w:rsidR="007652B1">
        <w:rPr>
          <w:lang w:val="en-US"/>
        </w:rPr>
        <w:t xml:space="preserve"> in the charity, and non-profit sector, are paid less than in the for-profit sector. There are two main theories that explain this, first there is the stewardship theory and secondly the resource-based view. </w:t>
      </w:r>
    </w:p>
    <w:p w:rsidR="00FE6B6C" w:rsidRDefault="00FE6B6C" w:rsidP="00D8692F">
      <w:pPr>
        <w:spacing w:line="360" w:lineRule="auto"/>
        <w:jc w:val="both"/>
        <w:rPr>
          <w:lang w:val="en-US"/>
        </w:rPr>
      </w:pPr>
    </w:p>
    <w:p w:rsidR="007B2406" w:rsidRDefault="007652B1" w:rsidP="00D8692F">
      <w:pPr>
        <w:spacing w:line="360" w:lineRule="auto"/>
        <w:jc w:val="both"/>
        <w:rPr>
          <w:lang w:val="en-US"/>
        </w:rPr>
      </w:pPr>
      <w:r>
        <w:rPr>
          <w:lang w:val="en-US"/>
        </w:rPr>
        <w:t xml:space="preserve">Stewardship theory suggests that managers in the non-profit sector are </w:t>
      </w:r>
      <w:r w:rsidR="00203761">
        <w:rPr>
          <w:lang w:val="en-US"/>
        </w:rPr>
        <w:t>more</w:t>
      </w:r>
      <w:r>
        <w:rPr>
          <w:lang w:val="en-US"/>
        </w:rPr>
        <w:t xml:space="preserve"> driven by intrinsic motivation such as self-fulfillment, pride in serving th</w:t>
      </w:r>
      <w:r w:rsidR="00203761">
        <w:rPr>
          <w:lang w:val="en-US"/>
        </w:rPr>
        <w:t xml:space="preserve">e </w:t>
      </w:r>
      <w:r w:rsidR="00203761" w:rsidRPr="00EE270C">
        <w:rPr>
          <w:lang w:val="en-US"/>
        </w:rPr>
        <w:t>collective goal and altruism th</w:t>
      </w:r>
      <w:r w:rsidR="001565DE">
        <w:rPr>
          <w:lang w:val="en-US"/>
        </w:rPr>
        <w:t>a</w:t>
      </w:r>
      <w:r w:rsidR="00203761" w:rsidRPr="00EE270C">
        <w:rPr>
          <w:lang w:val="en-US"/>
        </w:rPr>
        <w:t>n by extrinsic motivation such as salaries and benefits.</w:t>
      </w:r>
      <w:r w:rsidR="0080484C" w:rsidRPr="00EE270C">
        <w:rPr>
          <w:lang w:val="en-US"/>
        </w:rPr>
        <w:t xml:space="preserve"> In </w:t>
      </w:r>
      <w:r w:rsidR="008F7183" w:rsidRPr="00EE270C">
        <w:rPr>
          <w:lang w:val="en-US"/>
        </w:rPr>
        <w:t>addition</w:t>
      </w:r>
      <w:r w:rsidR="0080484C" w:rsidRPr="00EE270C">
        <w:rPr>
          <w:lang w:val="en-US"/>
        </w:rPr>
        <w:t xml:space="preserve"> </w:t>
      </w:r>
      <w:r w:rsidR="008F7183" w:rsidRPr="00EE270C">
        <w:rPr>
          <w:lang w:val="en-US"/>
        </w:rPr>
        <w:t>to</w:t>
      </w:r>
      <w:r w:rsidR="0080484C" w:rsidRPr="00EE270C">
        <w:rPr>
          <w:lang w:val="en-US"/>
        </w:rPr>
        <w:t xml:space="preserve"> the stewardship theory Hansmann (1980) argues that the lower management pay may act as a signal to stakeholders</w:t>
      </w:r>
      <w:r w:rsidR="00064BAA" w:rsidRPr="00EE270C">
        <w:rPr>
          <w:lang w:val="en-US"/>
        </w:rPr>
        <w:t xml:space="preserve">, by accepting a lower pay managers </w:t>
      </w:r>
      <w:r w:rsidR="008F7183" w:rsidRPr="00EE270C">
        <w:rPr>
          <w:lang w:val="en-US"/>
        </w:rPr>
        <w:t>signal that they share similar preferences with donors</w:t>
      </w:r>
      <w:r w:rsidR="00064BAA" w:rsidRPr="00EE270C">
        <w:rPr>
          <w:lang w:val="en-US"/>
        </w:rPr>
        <w:t>.</w:t>
      </w:r>
      <w:r w:rsidR="008F7183" w:rsidRPr="00EE270C">
        <w:rPr>
          <w:lang w:val="en-US"/>
        </w:rPr>
        <w:t xml:space="preserve"> Preston (1989) takes this</w:t>
      </w:r>
      <w:r w:rsidR="008F7183">
        <w:rPr>
          <w:lang w:val="en-US"/>
        </w:rPr>
        <w:t xml:space="preserve"> argument a step further by arguing that accepting a lower wage is in fact an act of donating labor to the charity.</w:t>
      </w:r>
    </w:p>
    <w:p w:rsidR="00787D8E" w:rsidRDefault="00787D8E" w:rsidP="00D8692F">
      <w:pPr>
        <w:spacing w:line="360" w:lineRule="auto"/>
        <w:jc w:val="both"/>
        <w:rPr>
          <w:lang w:val="en-US"/>
        </w:rPr>
      </w:pPr>
    </w:p>
    <w:p w:rsidR="007652B1" w:rsidRDefault="00203761" w:rsidP="00D8692F">
      <w:pPr>
        <w:spacing w:line="360" w:lineRule="auto"/>
        <w:jc w:val="both"/>
        <w:rPr>
          <w:lang w:val="en-US"/>
        </w:rPr>
      </w:pPr>
      <w:r>
        <w:rPr>
          <w:lang w:val="en-US"/>
        </w:rPr>
        <w:t xml:space="preserve">The resource based view on the other hand suggests there is a relation between the external environment and the internal resources. </w:t>
      </w:r>
      <w:r w:rsidR="00D8692F">
        <w:rPr>
          <w:lang w:val="en-US"/>
        </w:rPr>
        <w:t xml:space="preserve">The lack of resources available to a charity doesn’t allow them to hire the most qualified managers, or vice versa, when the external environment (donors) </w:t>
      </w:r>
      <w:r w:rsidR="00FE6B6C">
        <w:rPr>
          <w:lang w:val="en-US"/>
        </w:rPr>
        <w:t>do</w:t>
      </w:r>
      <w:r w:rsidR="00D8692F">
        <w:rPr>
          <w:lang w:val="en-US"/>
        </w:rPr>
        <w:t xml:space="preserve"> not allow the charity to give ver</w:t>
      </w:r>
      <w:r w:rsidR="00A74E8C">
        <w:rPr>
          <w:lang w:val="en-US"/>
        </w:rPr>
        <w:t>y high remuneration to managers</w:t>
      </w:r>
      <w:r w:rsidR="00FE6B6C">
        <w:rPr>
          <w:lang w:val="en-US"/>
        </w:rPr>
        <w:t>, they can’t hire the best possible candidates</w:t>
      </w:r>
      <w:r w:rsidR="00A74E8C">
        <w:rPr>
          <w:lang w:val="en-US"/>
        </w:rPr>
        <w:t xml:space="preserve">. </w:t>
      </w:r>
      <w:r w:rsidR="008E4858">
        <w:rPr>
          <w:lang w:val="en-US"/>
        </w:rPr>
        <w:t>The resource based view seems to go alongside the extrinsic motivation approach.</w:t>
      </w:r>
    </w:p>
    <w:p w:rsidR="007B2406" w:rsidRDefault="007B2406" w:rsidP="00D75835">
      <w:pPr>
        <w:spacing w:line="360" w:lineRule="auto"/>
        <w:rPr>
          <w:lang w:val="en-US"/>
        </w:rPr>
      </w:pPr>
    </w:p>
    <w:p w:rsidR="004E0507" w:rsidRDefault="004E0507" w:rsidP="004E0507">
      <w:pPr>
        <w:pStyle w:val="Heading2"/>
        <w:rPr>
          <w:lang w:val="en-US"/>
        </w:rPr>
      </w:pPr>
      <w:r>
        <w:rPr>
          <w:lang w:val="en-US"/>
        </w:rPr>
        <w:br w:type="page"/>
      </w:r>
    </w:p>
    <w:p w:rsidR="002D6388" w:rsidRPr="00465BB2" w:rsidRDefault="002D6388" w:rsidP="00D75835">
      <w:pPr>
        <w:spacing w:line="360" w:lineRule="auto"/>
        <w:rPr>
          <w:rFonts w:ascii="ScalaSans-Caps" w:hAnsi="ScalaSans-Caps"/>
          <w:b/>
          <w:lang w:val="en-US"/>
        </w:rPr>
      </w:pPr>
      <w:r w:rsidRPr="00465BB2">
        <w:rPr>
          <w:rFonts w:ascii="ScalaSans-Caps" w:hAnsi="ScalaSans-Caps"/>
          <w:b/>
          <w:lang w:val="en-US"/>
        </w:rPr>
        <w:t>Empirical research</w:t>
      </w:r>
    </w:p>
    <w:p w:rsidR="00A23FE3" w:rsidRDefault="007062F6" w:rsidP="003106D4">
      <w:pPr>
        <w:spacing w:line="360" w:lineRule="auto"/>
        <w:jc w:val="both"/>
        <w:rPr>
          <w:lang w:val="en-US"/>
        </w:rPr>
      </w:pPr>
      <w:r w:rsidRPr="00EE270C">
        <w:rPr>
          <w:lang w:val="en-US"/>
        </w:rPr>
        <w:t xml:space="preserve">Jobome (2006), summarizing various studies on performance related </w:t>
      </w:r>
      <w:r w:rsidR="004F0039" w:rsidRPr="00EE270C">
        <w:rPr>
          <w:lang w:val="en-US"/>
        </w:rPr>
        <w:t xml:space="preserve">to </w:t>
      </w:r>
      <w:r w:rsidRPr="00EE270C">
        <w:rPr>
          <w:lang w:val="en-US"/>
        </w:rPr>
        <w:t>non-profit remuneration in the US, concludes that most proxies for performance and governance don’t have a significant influence on the remuneration of CEO’s, only Brickley et al. (2004) find that when CEO’s have voting rights on the board it does have a significant positive effect on remuneration</w:t>
      </w:r>
      <w:r w:rsidR="008C0ABF" w:rsidRPr="00EE270C">
        <w:rPr>
          <w:lang w:val="en-US"/>
        </w:rPr>
        <w:t>, however in most countries voting rights don’t exist in non-profit organizations</w:t>
      </w:r>
      <w:r w:rsidRPr="00EE270C">
        <w:rPr>
          <w:lang w:val="en-US"/>
        </w:rPr>
        <w:t>.</w:t>
      </w:r>
      <w:r>
        <w:rPr>
          <w:lang w:val="en-US"/>
        </w:rPr>
        <w:t xml:space="preserve"> </w:t>
      </w:r>
    </w:p>
    <w:p w:rsidR="008C0ABF" w:rsidRDefault="008C0ABF" w:rsidP="003106D4">
      <w:pPr>
        <w:spacing w:line="360" w:lineRule="auto"/>
        <w:jc w:val="both"/>
        <w:rPr>
          <w:lang w:val="en-US"/>
        </w:rPr>
      </w:pPr>
    </w:p>
    <w:p w:rsidR="009535CC" w:rsidRDefault="00A23FE3" w:rsidP="003106D4">
      <w:pPr>
        <w:spacing w:line="360" w:lineRule="auto"/>
        <w:jc w:val="both"/>
        <w:rPr>
          <w:lang w:val="en-US"/>
        </w:rPr>
      </w:pPr>
      <w:r>
        <w:rPr>
          <w:lang w:val="en-US"/>
        </w:rPr>
        <w:t xml:space="preserve">In his own empirical research based on large UK non-profits Jobome finds that </w:t>
      </w:r>
      <w:r w:rsidR="007062F6">
        <w:rPr>
          <w:lang w:val="en-US"/>
        </w:rPr>
        <w:t xml:space="preserve">non-profit remuneration broadly </w:t>
      </w:r>
      <w:r>
        <w:rPr>
          <w:lang w:val="en-US"/>
        </w:rPr>
        <w:t>supports the stewardship theory</w:t>
      </w:r>
      <w:r w:rsidR="00E4782B">
        <w:rPr>
          <w:lang w:val="en-US"/>
        </w:rPr>
        <w:t>.</w:t>
      </w:r>
      <w:r>
        <w:rPr>
          <w:lang w:val="en-US"/>
        </w:rPr>
        <w:t xml:space="preserve"> </w:t>
      </w:r>
      <w:r w:rsidR="00E4782B">
        <w:rPr>
          <w:lang w:val="en-US"/>
        </w:rPr>
        <w:t>Jobome</w:t>
      </w:r>
      <w:r w:rsidR="009535CC">
        <w:rPr>
          <w:lang w:val="en-US"/>
        </w:rPr>
        <w:t>’s</w:t>
      </w:r>
      <w:r>
        <w:rPr>
          <w:lang w:val="en-US"/>
        </w:rPr>
        <w:t xml:space="preserve"> models link CEO pay to </w:t>
      </w:r>
      <w:r w:rsidR="009535CC">
        <w:rPr>
          <w:lang w:val="en-US"/>
        </w:rPr>
        <w:t xml:space="preserve">multiple variables that proxy; </w:t>
      </w:r>
      <w:r>
        <w:rPr>
          <w:lang w:val="en-US"/>
        </w:rPr>
        <w:t>performance, size, characteristics of both the organization as well as the CEO and governance.</w:t>
      </w:r>
      <w:r w:rsidR="00E4782B">
        <w:rPr>
          <w:lang w:val="en-US"/>
        </w:rPr>
        <w:t xml:space="preserve"> Besides the performance and organizational characteristics hardly any variables are significant.</w:t>
      </w:r>
      <w:r>
        <w:rPr>
          <w:lang w:val="en-US"/>
        </w:rPr>
        <w:t xml:space="preserve"> </w:t>
      </w:r>
      <w:r w:rsidR="00E4782B">
        <w:rPr>
          <w:lang w:val="en-US"/>
        </w:rPr>
        <w:t xml:space="preserve">The resource based view is dismissed due to the fact that </w:t>
      </w:r>
      <w:r>
        <w:rPr>
          <w:lang w:val="en-US"/>
        </w:rPr>
        <w:t>CEO characteris</w:t>
      </w:r>
      <w:r w:rsidR="00E4782B">
        <w:rPr>
          <w:lang w:val="en-US"/>
        </w:rPr>
        <w:t xml:space="preserve">tics are not significant thus provide proof against the resource based view. In the models that have the existence of a remuneration committee as a governance variable these </w:t>
      </w:r>
      <w:r w:rsidR="00CA6219">
        <w:rPr>
          <w:lang w:val="en-US"/>
        </w:rPr>
        <w:t xml:space="preserve">have a significant positive effect on CEO pay, which is directly opposite to </w:t>
      </w:r>
      <w:r w:rsidR="00FE6B6C">
        <w:rPr>
          <w:lang w:val="en-US"/>
        </w:rPr>
        <w:t xml:space="preserve">what </w:t>
      </w:r>
      <w:r w:rsidR="00CA6219">
        <w:rPr>
          <w:lang w:val="en-US"/>
        </w:rPr>
        <w:t>agency theory</w:t>
      </w:r>
      <w:r w:rsidR="00FE6B6C">
        <w:rPr>
          <w:lang w:val="en-US"/>
        </w:rPr>
        <w:t xml:space="preserve"> suggests</w:t>
      </w:r>
      <w:r w:rsidR="002D6388">
        <w:rPr>
          <w:lang w:val="en-US"/>
        </w:rPr>
        <w:t>. Jobome tries to explain this observation by suggesting that these committees might be sensitive to the payment gap between the corporate and the non-profit sector and thus are willing to set higher remuneration in order to keep / attract a CEO.</w:t>
      </w:r>
      <w:r w:rsidR="009535CC">
        <w:rPr>
          <w:lang w:val="en-US"/>
        </w:rPr>
        <w:t xml:space="preserve"> </w:t>
      </w:r>
      <w:r w:rsidR="00FE6B6C">
        <w:rPr>
          <w:lang w:val="en-US"/>
        </w:rPr>
        <w:t xml:space="preserve">It could also be the case that the people in the remuneration committee are </w:t>
      </w:r>
      <w:r w:rsidR="008E3434">
        <w:rPr>
          <w:lang w:val="en-US"/>
        </w:rPr>
        <w:t xml:space="preserve">not independent of the CEO, this </w:t>
      </w:r>
      <w:r w:rsidR="00832BB6">
        <w:rPr>
          <w:lang w:val="en-US"/>
        </w:rPr>
        <w:t>is however not empirically investigated</w:t>
      </w:r>
      <w:r w:rsidR="008E3434">
        <w:rPr>
          <w:lang w:val="en-US"/>
        </w:rPr>
        <w:t xml:space="preserve">. </w:t>
      </w:r>
    </w:p>
    <w:p w:rsidR="008E3434" w:rsidRDefault="008E3434" w:rsidP="003106D4">
      <w:pPr>
        <w:spacing w:line="360" w:lineRule="auto"/>
        <w:jc w:val="both"/>
        <w:rPr>
          <w:lang w:val="en-US"/>
        </w:rPr>
      </w:pPr>
    </w:p>
    <w:p w:rsidR="009C50CE" w:rsidRPr="00465BB2" w:rsidRDefault="00D8692F" w:rsidP="003106D4">
      <w:pPr>
        <w:spacing w:line="360" w:lineRule="auto"/>
        <w:jc w:val="both"/>
        <w:rPr>
          <w:rFonts w:ascii="ScalaSans-Caps" w:hAnsi="ScalaSans-Caps"/>
          <w:b/>
          <w:lang w:val="en-US"/>
        </w:rPr>
      </w:pPr>
      <w:r w:rsidRPr="00465BB2">
        <w:rPr>
          <w:rFonts w:ascii="ScalaSans-Caps" w:hAnsi="ScalaSans-Caps"/>
          <w:b/>
          <w:lang w:val="en-US"/>
        </w:rPr>
        <w:t>Non-executive board members</w:t>
      </w:r>
    </w:p>
    <w:p w:rsidR="0037317F" w:rsidRDefault="00FF403A" w:rsidP="003106D4">
      <w:pPr>
        <w:spacing w:line="360" w:lineRule="auto"/>
        <w:jc w:val="both"/>
        <w:rPr>
          <w:lang w:val="en-US"/>
        </w:rPr>
      </w:pPr>
      <w:r>
        <w:rPr>
          <w:lang w:val="en-US"/>
        </w:rPr>
        <w:t xml:space="preserve">As </w:t>
      </w:r>
      <w:r w:rsidRPr="00DE4383">
        <w:rPr>
          <w:lang w:val="en-US"/>
        </w:rPr>
        <w:t>mentioned in section IV.3</w:t>
      </w:r>
      <w:r>
        <w:rPr>
          <w:lang w:val="en-US"/>
        </w:rPr>
        <w:t xml:space="preserve"> board members often work on a voluntary basis </w:t>
      </w:r>
      <w:r w:rsidR="001F267D">
        <w:rPr>
          <w:lang w:val="en-US"/>
        </w:rPr>
        <w:t>which means that quality might be poor</w:t>
      </w:r>
      <w:r w:rsidR="001F267D" w:rsidRPr="00EE270C">
        <w:rPr>
          <w:lang w:val="en-US"/>
        </w:rPr>
        <w:t xml:space="preserve">. </w:t>
      </w:r>
      <w:r w:rsidR="00247493" w:rsidRPr="00EE270C">
        <w:rPr>
          <w:lang w:val="en-US"/>
        </w:rPr>
        <w:t xml:space="preserve">Wise (1999) looked into the option if paying (potential) </w:t>
      </w:r>
      <w:r w:rsidR="00652C7A">
        <w:rPr>
          <w:lang w:val="en-US"/>
        </w:rPr>
        <w:t>board members</w:t>
      </w:r>
      <w:r w:rsidR="00247493" w:rsidRPr="00EE270C">
        <w:rPr>
          <w:lang w:val="en-US"/>
        </w:rPr>
        <w:t xml:space="preserve"> would attract more </w:t>
      </w:r>
      <w:r w:rsidR="00652C7A">
        <w:rPr>
          <w:lang w:val="en-US"/>
        </w:rPr>
        <w:t>‘</w:t>
      </w:r>
      <w:r w:rsidR="00247493" w:rsidRPr="00EE270C">
        <w:rPr>
          <w:lang w:val="en-US"/>
        </w:rPr>
        <w:t>suitable</w:t>
      </w:r>
      <w:r w:rsidR="00652C7A">
        <w:rPr>
          <w:lang w:val="en-US"/>
        </w:rPr>
        <w:t>’</w:t>
      </w:r>
      <w:r w:rsidR="00247493" w:rsidRPr="00EE270C">
        <w:rPr>
          <w:lang w:val="en-US"/>
        </w:rPr>
        <w:t xml:space="preserve"> </w:t>
      </w:r>
      <w:r w:rsidR="00652C7A">
        <w:rPr>
          <w:lang w:val="en-US"/>
        </w:rPr>
        <w:t>people</w:t>
      </w:r>
      <w:r w:rsidR="00247493" w:rsidRPr="00EE270C">
        <w:rPr>
          <w:lang w:val="en-US"/>
        </w:rPr>
        <w:t>. In a small survey</w:t>
      </w:r>
      <w:r w:rsidR="00247493">
        <w:rPr>
          <w:lang w:val="en-US"/>
        </w:rPr>
        <w:t xml:space="preserve"> done amongst MBA graduates</w:t>
      </w:r>
      <w:r w:rsidR="001C0702">
        <w:rPr>
          <w:lang w:val="en-US"/>
        </w:rPr>
        <w:t xml:space="preserve"> in the UK</w:t>
      </w:r>
      <w:r w:rsidR="00247493">
        <w:rPr>
          <w:lang w:val="en-US"/>
        </w:rPr>
        <w:t xml:space="preserve"> he found that </w:t>
      </w:r>
      <w:r w:rsidR="001C0702">
        <w:rPr>
          <w:lang w:val="en-US"/>
        </w:rPr>
        <w:t xml:space="preserve">43% of the respondents would consider a </w:t>
      </w:r>
      <w:r w:rsidR="00652C7A">
        <w:rPr>
          <w:lang w:val="en-US"/>
        </w:rPr>
        <w:t>board</w:t>
      </w:r>
      <w:r w:rsidR="001C0702">
        <w:rPr>
          <w:lang w:val="en-US"/>
        </w:rPr>
        <w:t xml:space="preserve"> position if they were allowed to charge a reasonable fee. Furthermore, another 31% of the respondents said to be willing to become a </w:t>
      </w:r>
      <w:r w:rsidR="00652C7A">
        <w:rPr>
          <w:lang w:val="en-US"/>
        </w:rPr>
        <w:t>board member</w:t>
      </w:r>
      <w:r w:rsidR="001C0702">
        <w:rPr>
          <w:lang w:val="en-US"/>
        </w:rPr>
        <w:t xml:space="preserve"> without remuneration if they were asked. </w:t>
      </w:r>
      <w:r w:rsidR="00944342">
        <w:rPr>
          <w:lang w:val="en-US"/>
        </w:rPr>
        <w:t xml:space="preserve">Although this survey was quite small it does show that potential good </w:t>
      </w:r>
      <w:r w:rsidR="00652C7A">
        <w:rPr>
          <w:lang w:val="en-US"/>
        </w:rPr>
        <w:t>board members</w:t>
      </w:r>
      <w:r w:rsidR="00944342">
        <w:rPr>
          <w:lang w:val="en-US"/>
        </w:rPr>
        <w:t xml:space="preserve"> can b</w:t>
      </w:r>
      <w:r w:rsidR="008C0ABF">
        <w:rPr>
          <w:lang w:val="en-US"/>
        </w:rPr>
        <w:t xml:space="preserve">e found if only they were asked. </w:t>
      </w:r>
    </w:p>
    <w:p w:rsidR="00DF47AB" w:rsidRDefault="00DF47AB" w:rsidP="00D75835">
      <w:pPr>
        <w:spacing w:line="360" w:lineRule="auto"/>
        <w:rPr>
          <w:lang w:val="en-US"/>
        </w:rPr>
      </w:pPr>
    </w:p>
    <w:p w:rsidR="005D0702" w:rsidRDefault="005D0702">
      <w:pPr>
        <w:rPr>
          <w:lang w:val="en-US"/>
        </w:rPr>
      </w:pPr>
      <w:r>
        <w:rPr>
          <w:lang w:val="en-US"/>
        </w:rPr>
        <w:br w:type="page"/>
      </w:r>
    </w:p>
    <w:p w:rsidR="005D0702" w:rsidRPr="004E0507" w:rsidRDefault="005D0702" w:rsidP="005D0702">
      <w:pPr>
        <w:pStyle w:val="Heading2"/>
        <w:spacing w:before="120" w:line="360" w:lineRule="auto"/>
        <w:rPr>
          <w:rFonts w:asciiTheme="minorHAnsi" w:hAnsiTheme="minorHAnsi"/>
          <w:lang w:val="en-US"/>
        </w:rPr>
      </w:pPr>
      <w:bookmarkStart w:id="17" w:name="_Toc299180702"/>
      <w:r>
        <w:rPr>
          <w:lang w:val="en-US"/>
        </w:rPr>
        <w:t>IV.5</w:t>
      </w:r>
      <w:r>
        <w:rPr>
          <w:lang w:val="en-US"/>
        </w:rPr>
        <w:tab/>
        <w:t>Discussion</w:t>
      </w:r>
      <w:bookmarkEnd w:id="17"/>
    </w:p>
    <w:p w:rsidR="005D0702" w:rsidRPr="004E0507" w:rsidRDefault="005D0702" w:rsidP="005D0702">
      <w:pPr>
        <w:spacing w:line="360" w:lineRule="auto"/>
        <w:jc w:val="both"/>
        <w:rPr>
          <w:lang w:val="en-US"/>
        </w:rPr>
      </w:pPr>
      <w:r w:rsidRPr="004C7387">
        <w:rPr>
          <w:lang w:val="en-US"/>
        </w:rPr>
        <w:t xml:space="preserve">In this section I will briefly discuss and give my own opinion on the differences between for-profit and non-profit governance and whether or not certain practices and theories </w:t>
      </w:r>
      <w:r w:rsidR="004C7387" w:rsidRPr="004C7387">
        <w:rPr>
          <w:lang w:val="en-US"/>
        </w:rPr>
        <w:t>from the corporate sector could be used in the non-profit sector.</w:t>
      </w:r>
    </w:p>
    <w:p w:rsidR="005D0702" w:rsidRDefault="005D0702" w:rsidP="005D0702">
      <w:pPr>
        <w:spacing w:line="360" w:lineRule="auto"/>
        <w:rPr>
          <w:lang w:val="en-US"/>
        </w:rPr>
      </w:pPr>
    </w:p>
    <w:p w:rsidR="005D0702" w:rsidRPr="002D6AE1" w:rsidRDefault="005D0702" w:rsidP="005D0702">
      <w:pPr>
        <w:spacing w:line="360" w:lineRule="auto"/>
        <w:rPr>
          <w:rFonts w:ascii="ScalaSans-Caps" w:hAnsi="ScalaSans-Caps"/>
          <w:b/>
          <w:lang w:val="en-US"/>
        </w:rPr>
      </w:pPr>
      <w:r>
        <w:rPr>
          <w:rFonts w:ascii="ScalaSans-Caps" w:hAnsi="ScalaSans-Caps"/>
          <w:b/>
          <w:lang w:val="en-US"/>
        </w:rPr>
        <w:t>The board of directors</w:t>
      </w:r>
    </w:p>
    <w:p w:rsidR="005D0702" w:rsidRDefault="005D0702" w:rsidP="005D0702">
      <w:pPr>
        <w:spacing w:line="360" w:lineRule="auto"/>
        <w:jc w:val="both"/>
        <w:rPr>
          <w:lang w:val="en-US"/>
        </w:rPr>
      </w:pPr>
      <w:r>
        <w:rPr>
          <w:lang w:val="en-US"/>
        </w:rPr>
        <w:t>In the corporate sector, Yermack (1995) found evidence of a</w:t>
      </w:r>
      <w:r w:rsidR="003117BB">
        <w:rPr>
          <w:lang w:val="en-US"/>
        </w:rPr>
        <w:t>n</w:t>
      </w:r>
      <w:r>
        <w:rPr>
          <w:lang w:val="en-US"/>
        </w:rPr>
        <w:t xml:space="preserve"> inverse relation between board size and market value of a firm. Indicating that bigger boards are not better for the value, and thus performance, of the organization. As seen in table 1 non-profit organizations often have large board compared to for-profit organizations. The question that arises is whether or not non-profit organizations</w:t>
      </w:r>
      <w:r w:rsidR="00316D8E">
        <w:rPr>
          <w:lang w:val="en-US"/>
        </w:rPr>
        <w:t xml:space="preserve"> can</w:t>
      </w:r>
      <w:r>
        <w:rPr>
          <w:lang w:val="en-US"/>
        </w:rPr>
        <w:t xml:space="preserve"> also benefit from smaller boards. As mentioned, Callen et al.  (2003) indeed found a negative, albeit insignificant, relation between board size and performance. On the other hand fundraising often is a</w:t>
      </w:r>
      <w:r w:rsidR="003117BB">
        <w:rPr>
          <w:lang w:val="en-US"/>
        </w:rPr>
        <w:t>n</w:t>
      </w:r>
      <w:r>
        <w:rPr>
          <w:lang w:val="en-US"/>
        </w:rPr>
        <w:t xml:space="preserve"> important role for board members. Indicating that organizations with bigger boards</w:t>
      </w:r>
      <w:r w:rsidR="00316D8E">
        <w:rPr>
          <w:lang w:val="en-US"/>
        </w:rPr>
        <w:t xml:space="preserve"> (to a certain extent)</w:t>
      </w:r>
      <w:r>
        <w:rPr>
          <w:lang w:val="en-US"/>
        </w:rPr>
        <w:t xml:space="preserve"> might raise more funds.</w:t>
      </w:r>
    </w:p>
    <w:p w:rsidR="005D0702" w:rsidRDefault="005D0702" w:rsidP="005D0702">
      <w:pPr>
        <w:spacing w:line="360" w:lineRule="auto"/>
        <w:jc w:val="both"/>
        <w:rPr>
          <w:lang w:val="en-US"/>
        </w:rPr>
      </w:pPr>
      <w:r>
        <w:rPr>
          <w:lang w:val="en-US"/>
        </w:rPr>
        <w:t xml:space="preserve">These observations can be seen as a trade-off between income and performance. In my view the usage of committee’s within the board can be beneficial to non-profit organizations. Limiting the number of board members whose role it is to monitor and thus improve the monitoring and decision making processes. Yet, still be able to benefit from the positive sides of bigger boards. </w:t>
      </w:r>
    </w:p>
    <w:p w:rsidR="005D0702" w:rsidRDefault="005D0702" w:rsidP="005D0702">
      <w:pPr>
        <w:spacing w:line="360" w:lineRule="auto"/>
        <w:jc w:val="both"/>
        <w:rPr>
          <w:lang w:val="en-US"/>
        </w:rPr>
      </w:pPr>
    </w:p>
    <w:p w:rsidR="005D0702" w:rsidRPr="005D0702" w:rsidRDefault="005D0702" w:rsidP="005D0702">
      <w:pPr>
        <w:spacing w:line="360" w:lineRule="auto"/>
        <w:jc w:val="both"/>
        <w:rPr>
          <w:rFonts w:ascii="ScalaSans-Caps" w:hAnsi="ScalaSans-Caps"/>
          <w:b/>
          <w:lang w:val="en-US"/>
        </w:rPr>
      </w:pPr>
      <w:r w:rsidRPr="005D0702">
        <w:rPr>
          <w:rFonts w:ascii="ScalaSans-Caps" w:hAnsi="ScalaSans-Caps"/>
          <w:b/>
          <w:lang w:val="en-US"/>
        </w:rPr>
        <w:t>Executive remuneration</w:t>
      </w:r>
    </w:p>
    <w:p w:rsidR="00662CA7" w:rsidRDefault="00D91757" w:rsidP="00C80193">
      <w:pPr>
        <w:spacing w:line="360" w:lineRule="auto"/>
        <w:jc w:val="both"/>
        <w:rPr>
          <w:lang w:val="en-US"/>
        </w:rPr>
      </w:pPr>
      <w:r>
        <w:rPr>
          <w:lang w:val="en-US"/>
        </w:rPr>
        <w:t>Can corporate practices of variable pay be used in the non-profit sector to increas</w:t>
      </w:r>
      <w:r w:rsidR="002B667C">
        <w:rPr>
          <w:lang w:val="en-US"/>
        </w:rPr>
        <w:t>e the performance of non-profit executives</w:t>
      </w:r>
      <w:r>
        <w:rPr>
          <w:lang w:val="en-US"/>
        </w:rPr>
        <w:t xml:space="preserve">? Stewardship theory </w:t>
      </w:r>
      <w:r w:rsidR="00635007">
        <w:rPr>
          <w:lang w:val="en-US"/>
        </w:rPr>
        <w:t>implies</w:t>
      </w:r>
      <w:r>
        <w:rPr>
          <w:lang w:val="en-US"/>
        </w:rPr>
        <w:t xml:space="preserve"> that salaries and benefits are not the most important factor for executives in the non-profit sector. True as this may be, you can’t assume that all executives have this internal motivation to do the job to the maximum of their abilities. </w:t>
      </w:r>
    </w:p>
    <w:p w:rsidR="00C41646" w:rsidRDefault="00D91757" w:rsidP="00C80193">
      <w:pPr>
        <w:spacing w:line="360" w:lineRule="auto"/>
        <w:jc w:val="both"/>
        <w:rPr>
          <w:lang w:val="en-US"/>
        </w:rPr>
      </w:pPr>
      <w:r>
        <w:rPr>
          <w:lang w:val="en-US"/>
        </w:rPr>
        <w:t xml:space="preserve">Restricting salaries to a fixed component allows executives to </w:t>
      </w:r>
      <w:r w:rsidR="00146911">
        <w:rPr>
          <w:lang w:val="en-US"/>
        </w:rPr>
        <w:t xml:space="preserve">limit their efforts to the point of meeting the ‘minimum requirements’ to keep the board and other stakeholders happy. </w:t>
      </w:r>
      <w:r w:rsidR="00635007">
        <w:rPr>
          <w:lang w:val="en-US"/>
        </w:rPr>
        <w:t>Introducing</w:t>
      </w:r>
      <w:r w:rsidR="00146911">
        <w:rPr>
          <w:lang w:val="en-US"/>
        </w:rPr>
        <w:t xml:space="preserve"> a variable component </w:t>
      </w:r>
      <w:r w:rsidR="00635007">
        <w:rPr>
          <w:lang w:val="en-US"/>
        </w:rPr>
        <w:t>next to a</w:t>
      </w:r>
      <w:r w:rsidR="009776D2">
        <w:rPr>
          <w:lang w:val="en-US"/>
        </w:rPr>
        <w:t>n</w:t>
      </w:r>
      <w:r w:rsidR="00635007">
        <w:rPr>
          <w:lang w:val="en-US"/>
        </w:rPr>
        <w:t xml:space="preserve"> fixed salary </w:t>
      </w:r>
      <w:r w:rsidR="00146911">
        <w:rPr>
          <w:lang w:val="en-US"/>
        </w:rPr>
        <w:t xml:space="preserve">could increase the effort of executives. </w:t>
      </w:r>
    </w:p>
    <w:p w:rsidR="00710FEC" w:rsidRDefault="00C41646" w:rsidP="00C80193">
      <w:pPr>
        <w:spacing w:line="360" w:lineRule="auto"/>
        <w:jc w:val="both"/>
        <w:rPr>
          <w:lang w:val="en-US"/>
        </w:rPr>
      </w:pPr>
      <w:r>
        <w:rPr>
          <w:lang w:val="en-US"/>
        </w:rPr>
        <w:t xml:space="preserve">The problem with a variable component is on what basis </w:t>
      </w:r>
      <w:r w:rsidR="00710FEC">
        <w:rPr>
          <w:lang w:val="en-US"/>
        </w:rPr>
        <w:t>they are</w:t>
      </w:r>
      <w:r>
        <w:rPr>
          <w:lang w:val="en-US"/>
        </w:rPr>
        <w:t xml:space="preserve"> awarded. </w:t>
      </w:r>
      <w:r w:rsidR="009776D2">
        <w:rPr>
          <w:lang w:val="en-US"/>
        </w:rPr>
        <w:t>The board of directors is generally responsible for granting variable components when certain criteria have been met. Core and Holthausen (1999) found that CEO compensation increases with board size</w:t>
      </w:r>
      <w:r w:rsidR="00710FEC">
        <w:rPr>
          <w:lang w:val="en-US"/>
        </w:rPr>
        <w:t xml:space="preserve"> and decreases with the percentage of inside directors</w:t>
      </w:r>
      <w:r w:rsidR="009776D2">
        <w:rPr>
          <w:lang w:val="en-US"/>
        </w:rPr>
        <w:t xml:space="preserve">. </w:t>
      </w:r>
      <w:r w:rsidR="009F1589">
        <w:rPr>
          <w:lang w:val="en-US"/>
        </w:rPr>
        <w:t>Indicating that a small committee of inside directors is best to ensure that the variable component is awarded for real accomplishments and not for luck.</w:t>
      </w:r>
    </w:p>
    <w:p w:rsidR="00C80193" w:rsidRDefault="00146911" w:rsidP="00C80193">
      <w:pPr>
        <w:spacing w:line="360" w:lineRule="auto"/>
        <w:jc w:val="both"/>
        <w:rPr>
          <w:lang w:val="en-US"/>
        </w:rPr>
      </w:pPr>
      <w:r>
        <w:rPr>
          <w:lang w:val="en-US"/>
        </w:rPr>
        <w:t xml:space="preserve">It </w:t>
      </w:r>
      <w:r w:rsidR="00635007">
        <w:rPr>
          <w:lang w:val="en-US"/>
        </w:rPr>
        <w:t>is important</w:t>
      </w:r>
      <w:r>
        <w:rPr>
          <w:lang w:val="en-US"/>
        </w:rPr>
        <w:t xml:space="preserve"> that the total compensation should not be </w:t>
      </w:r>
      <w:r w:rsidR="00C41646">
        <w:rPr>
          <w:lang w:val="en-US"/>
        </w:rPr>
        <w:t>seen as ‘</w:t>
      </w:r>
      <w:r>
        <w:rPr>
          <w:lang w:val="en-US"/>
        </w:rPr>
        <w:t>excessive</w:t>
      </w:r>
      <w:r w:rsidR="00C41646">
        <w:rPr>
          <w:lang w:val="en-US"/>
        </w:rPr>
        <w:t>’ by the stakeholders.</w:t>
      </w:r>
      <w:r>
        <w:rPr>
          <w:lang w:val="en-US"/>
        </w:rPr>
        <w:t xml:space="preserve"> </w:t>
      </w:r>
      <w:r w:rsidR="00C41646">
        <w:rPr>
          <w:lang w:val="en-US"/>
        </w:rPr>
        <w:t>‘Excessive’ remuneration can easily damage the reputation of the organization</w:t>
      </w:r>
      <w:r w:rsidR="007570DC">
        <w:rPr>
          <w:lang w:val="en-US"/>
        </w:rPr>
        <w:t xml:space="preserve"> </w:t>
      </w:r>
      <w:r w:rsidR="00C41646">
        <w:rPr>
          <w:lang w:val="en-US"/>
        </w:rPr>
        <w:t>.</w:t>
      </w:r>
    </w:p>
    <w:p w:rsidR="00B12D4C" w:rsidRDefault="00B12D4C">
      <w:pPr>
        <w:rPr>
          <w:lang w:val="en-US"/>
        </w:rPr>
      </w:pPr>
      <w:r>
        <w:rPr>
          <w:lang w:val="en-US"/>
        </w:rPr>
        <w:br w:type="page"/>
      </w:r>
    </w:p>
    <w:p w:rsidR="00D75835" w:rsidRDefault="008443E5" w:rsidP="00B12D4C">
      <w:pPr>
        <w:pStyle w:val="Heading1"/>
        <w:spacing w:before="240" w:line="360" w:lineRule="auto"/>
        <w:rPr>
          <w:lang w:val="en-US"/>
        </w:rPr>
      </w:pPr>
      <w:bookmarkStart w:id="18" w:name="_Toc299180703"/>
      <w:r>
        <w:rPr>
          <w:lang w:val="en-US"/>
        </w:rPr>
        <w:t xml:space="preserve">V: </w:t>
      </w:r>
      <w:r w:rsidR="00D74802">
        <w:rPr>
          <w:lang w:val="en-US"/>
        </w:rPr>
        <w:t>Own r</w:t>
      </w:r>
      <w:r>
        <w:rPr>
          <w:lang w:val="en-US"/>
        </w:rPr>
        <w:t>esearch</w:t>
      </w:r>
      <w:r w:rsidR="00D74802">
        <w:rPr>
          <w:lang w:val="en-US"/>
        </w:rPr>
        <w:t>:</w:t>
      </w:r>
      <w:r>
        <w:rPr>
          <w:lang w:val="en-US"/>
        </w:rPr>
        <w:t xml:space="preserve"> </w:t>
      </w:r>
      <w:r w:rsidR="00D74802">
        <w:rPr>
          <w:lang w:val="en-US"/>
        </w:rPr>
        <w:t>C</w:t>
      </w:r>
      <w:r>
        <w:rPr>
          <w:lang w:val="en-US"/>
        </w:rPr>
        <w:t>harities in</w:t>
      </w:r>
      <w:r w:rsidR="00B12D4C">
        <w:rPr>
          <w:lang w:val="en-US"/>
        </w:rPr>
        <w:t xml:space="preserve"> </w:t>
      </w:r>
      <w:r w:rsidR="00322489">
        <w:rPr>
          <w:lang w:val="en-US"/>
        </w:rPr>
        <w:t>The Netherlands</w:t>
      </w:r>
      <w:bookmarkEnd w:id="18"/>
    </w:p>
    <w:p w:rsidR="00D75835" w:rsidRDefault="00D75835" w:rsidP="00D75835">
      <w:pPr>
        <w:spacing w:line="360" w:lineRule="auto"/>
        <w:rPr>
          <w:lang w:val="en-US"/>
        </w:rPr>
      </w:pPr>
    </w:p>
    <w:p w:rsidR="00322489" w:rsidRDefault="00D46327" w:rsidP="00D46327">
      <w:pPr>
        <w:spacing w:line="360" w:lineRule="auto"/>
        <w:jc w:val="both"/>
        <w:rPr>
          <w:lang w:val="en-US"/>
        </w:rPr>
      </w:pPr>
      <w:r>
        <w:rPr>
          <w:lang w:val="en-US"/>
        </w:rPr>
        <w:t>The performance</w:t>
      </w:r>
      <w:r w:rsidR="00050315">
        <w:rPr>
          <w:lang w:val="en-US"/>
        </w:rPr>
        <w:t>, or efficiency,</w:t>
      </w:r>
      <w:r>
        <w:rPr>
          <w:lang w:val="en-US"/>
        </w:rPr>
        <w:t xml:space="preserve"> of charities has become a</w:t>
      </w:r>
      <w:r w:rsidR="00D74802">
        <w:rPr>
          <w:lang w:val="en-US"/>
        </w:rPr>
        <w:t>n</w:t>
      </w:r>
      <w:r>
        <w:rPr>
          <w:lang w:val="en-US"/>
        </w:rPr>
        <w:t xml:space="preserve"> ever more debated subject</w:t>
      </w:r>
      <w:r w:rsidR="00D74802">
        <w:rPr>
          <w:lang w:val="en-US"/>
        </w:rPr>
        <w:t xml:space="preserve"> in The Netherlands. Examples for</w:t>
      </w:r>
      <w:r>
        <w:rPr>
          <w:lang w:val="en-US"/>
        </w:rPr>
        <w:t xml:space="preserve"> this can be found </w:t>
      </w:r>
      <w:r w:rsidR="00652C7A">
        <w:rPr>
          <w:lang w:val="en-US"/>
        </w:rPr>
        <w:t>after</w:t>
      </w:r>
      <w:r>
        <w:rPr>
          <w:lang w:val="en-US"/>
        </w:rPr>
        <w:t xml:space="preserve"> the 2010 earthquake in Haiti</w:t>
      </w:r>
      <w:r w:rsidR="00D74802">
        <w:rPr>
          <w:lang w:val="en-US"/>
        </w:rPr>
        <w:t>.</w:t>
      </w:r>
      <w:r>
        <w:rPr>
          <w:lang w:val="en-US"/>
        </w:rPr>
        <w:t xml:space="preserve"> </w:t>
      </w:r>
      <w:r w:rsidR="00D74802">
        <w:rPr>
          <w:lang w:val="en-US"/>
        </w:rPr>
        <w:t>D</w:t>
      </w:r>
      <w:r>
        <w:rPr>
          <w:lang w:val="en-US"/>
        </w:rPr>
        <w:t xml:space="preserve">uring </w:t>
      </w:r>
      <w:r w:rsidR="00417A93">
        <w:rPr>
          <w:lang w:val="en-US"/>
        </w:rPr>
        <w:t>a</w:t>
      </w:r>
      <w:r>
        <w:rPr>
          <w:lang w:val="en-US"/>
        </w:rPr>
        <w:t xml:space="preserve"> live television-broadcast </w:t>
      </w:r>
      <w:r w:rsidR="00417A93">
        <w:rPr>
          <w:lang w:val="en-US"/>
        </w:rPr>
        <w:t xml:space="preserve">to raise funds </w:t>
      </w:r>
      <w:r>
        <w:rPr>
          <w:lang w:val="en-US"/>
        </w:rPr>
        <w:t>the charities kept stating that the money would be used to help the people in need and only a</w:t>
      </w:r>
      <w:r w:rsidR="00D74802">
        <w:rPr>
          <w:lang w:val="en-US"/>
        </w:rPr>
        <w:t xml:space="preserve"> small percentage would be spent</w:t>
      </w:r>
      <w:r>
        <w:rPr>
          <w:lang w:val="en-US"/>
        </w:rPr>
        <w:t xml:space="preserve"> on covering overhead costs. Another example was during the financial crisis, several charities announced that they lost </w:t>
      </w:r>
      <w:r w:rsidR="00D74802">
        <w:rPr>
          <w:lang w:val="en-US"/>
        </w:rPr>
        <w:t xml:space="preserve">the </w:t>
      </w:r>
      <w:r>
        <w:rPr>
          <w:lang w:val="en-US"/>
        </w:rPr>
        <w:t>money that they invested</w:t>
      </w:r>
      <w:r w:rsidR="004C2709">
        <w:rPr>
          <w:lang w:val="en-US"/>
        </w:rPr>
        <w:t xml:space="preserve">, provoking a lot of negative reactions on why charities </w:t>
      </w:r>
      <w:r w:rsidR="00D74802">
        <w:rPr>
          <w:lang w:val="en-US"/>
        </w:rPr>
        <w:t>made</w:t>
      </w:r>
      <w:r w:rsidR="00832BB6">
        <w:rPr>
          <w:lang w:val="en-US"/>
        </w:rPr>
        <w:t xml:space="preserve"> risky investments</w:t>
      </w:r>
      <w:r>
        <w:rPr>
          <w:lang w:val="en-US"/>
        </w:rPr>
        <w:t xml:space="preserve">. </w:t>
      </w:r>
    </w:p>
    <w:p w:rsidR="00D46327" w:rsidRDefault="00D46327" w:rsidP="00D75835">
      <w:pPr>
        <w:spacing w:line="360" w:lineRule="auto"/>
        <w:rPr>
          <w:lang w:val="en-US"/>
        </w:rPr>
      </w:pPr>
    </w:p>
    <w:p w:rsidR="00F139A5" w:rsidRDefault="00417A93" w:rsidP="00D75835">
      <w:pPr>
        <w:spacing w:line="360" w:lineRule="auto"/>
        <w:rPr>
          <w:lang w:val="en-US"/>
        </w:rPr>
      </w:pPr>
      <w:r>
        <w:rPr>
          <w:lang w:val="en-US"/>
        </w:rPr>
        <w:t>The research for my thesis</w:t>
      </w:r>
      <w:r w:rsidR="004C2709">
        <w:rPr>
          <w:lang w:val="en-US"/>
        </w:rPr>
        <w:t xml:space="preserve"> will focus on the influence of governance on the</w:t>
      </w:r>
      <w:r w:rsidR="00263A05">
        <w:rPr>
          <w:lang w:val="en-US"/>
        </w:rPr>
        <w:t xml:space="preserve"> income and</w:t>
      </w:r>
      <w:r w:rsidR="004C2709">
        <w:rPr>
          <w:lang w:val="en-US"/>
        </w:rPr>
        <w:t xml:space="preserve"> performance of charities</w:t>
      </w:r>
      <w:r w:rsidR="00F139A5">
        <w:rPr>
          <w:lang w:val="en-US"/>
        </w:rPr>
        <w:t xml:space="preserve"> in The Netherlands</w:t>
      </w:r>
      <w:r w:rsidR="004C2709">
        <w:rPr>
          <w:lang w:val="en-US"/>
        </w:rPr>
        <w:t xml:space="preserve">. </w:t>
      </w:r>
    </w:p>
    <w:p w:rsidR="00263A05" w:rsidRDefault="00263A05" w:rsidP="00D75835">
      <w:pPr>
        <w:spacing w:line="360" w:lineRule="auto"/>
        <w:rPr>
          <w:lang w:val="en-US"/>
        </w:rPr>
      </w:pPr>
    </w:p>
    <w:p w:rsidR="00B12D4C" w:rsidRDefault="006957A8" w:rsidP="006957A8">
      <w:pPr>
        <w:pStyle w:val="Heading2"/>
        <w:spacing w:before="120" w:line="360" w:lineRule="auto"/>
        <w:rPr>
          <w:lang w:val="en-US"/>
        </w:rPr>
      </w:pPr>
      <w:bookmarkStart w:id="19" w:name="_Toc299180704"/>
      <w:r>
        <w:rPr>
          <w:lang w:val="en-US"/>
        </w:rPr>
        <w:t>V.1</w:t>
      </w:r>
      <w:r>
        <w:rPr>
          <w:lang w:val="en-US"/>
        </w:rPr>
        <w:tab/>
      </w:r>
      <w:r w:rsidR="00C766A2">
        <w:rPr>
          <w:lang w:val="en-US"/>
        </w:rPr>
        <w:t>Methodology</w:t>
      </w:r>
      <w:bookmarkEnd w:id="19"/>
    </w:p>
    <w:p w:rsidR="00C766A2" w:rsidRDefault="00C766A2" w:rsidP="00C766A2">
      <w:pPr>
        <w:spacing w:line="360" w:lineRule="auto"/>
        <w:jc w:val="both"/>
        <w:rPr>
          <w:lang w:val="en-US"/>
        </w:rPr>
      </w:pPr>
      <w:r>
        <w:rPr>
          <w:lang w:val="en-US"/>
        </w:rPr>
        <w:t xml:space="preserve">Using regression analysis I will check if governance has a significant influence on the total income of charities and secondly I will look if governance has an influence on the </w:t>
      </w:r>
      <w:r w:rsidR="006B381A">
        <w:rPr>
          <w:lang w:val="en-US"/>
        </w:rPr>
        <w:t xml:space="preserve">charities </w:t>
      </w:r>
      <w:r>
        <w:rPr>
          <w:lang w:val="en-US"/>
        </w:rPr>
        <w:t>performance. Before I start modeling I will first describe how the dataset is compiled</w:t>
      </w:r>
      <w:r w:rsidR="00832BB6">
        <w:rPr>
          <w:lang w:val="en-US"/>
        </w:rPr>
        <w:t>,</w:t>
      </w:r>
      <w:r>
        <w:rPr>
          <w:lang w:val="en-US"/>
        </w:rPr>
        <w:t xml:space="preserve"> what variables are in the dataset</w:t>
      </w:r>
      <w:r w:rsidR="00832BB6">
        <w:rPr>
          <w:lang w:val="en-US"/>
        </w:rPr>
        <w:t xml:space="preserve"> and describe the data with some simple statistics.</w:t>
      </w:r>
    </w:p>
    <w:p w:rsidR="00C766A2" w:rsidRDefault="00C766A2" w:rsidP="007D793F">
      <w:pPr>
        <w:spacing w:line="360" w:lineRule="auto"/>
        <w:jc w:val="both"/>
        <w:rPr>
          <w:lang w:val="en-US"/>
        </w:rPr>
      </w:pPr>
    </w:p>
    <w:p w:rsidR="00C766A2" w:rsidRPr="00C766A2" w:rsidRDefault="00C766A2" w:rsidP="007D793F">
      <w:pPr>
        <w:spacing w:line="360" w:lineRule="auto"/>
        <w:jc w:val="both"/>
        <w:rPr>
          <w:rFonts w:ascii="ScalaSans-Caps" w:hAnsi="ScalaSans-Caps"/>
          <w:b/>
          <w:lang w:val="en-US"/>
        </w:rPr>
      </w:pPr>
      <w:r w:rsidRPr="00C766A2">
        <w:rPr>
          <w:rFonts w:ascii="ScalaSans-Caps" w:hAnsi="ScalaSans-Caps"/>
          <w:b/>
          <w:lang w:val="en-US"/>
        </w:rPr>
        <w:t>Data</w:t>
      </w:r>
      <w:r>
        <w:rPr>
          <w:rFonts w:ascii="ScalaSans-Caps" w:hAnsi="ScalaSans-Caps"/>
          <w:b/>
          <w:lang w:val="en-US"/>
        </w:rPr>
        <w:t xml:space="preserve"> sources</w:t>
      </w:r>
    </w:p>
    <w:p w:rsidR="001B657A" w:rsidRDefault="006957A8" w:rsidP="007D793F">
      <w:pPr>
        <w:spacing w:line="360" w:lineRule="auto"/>
        <w:jc w:val="both"/>
        <w:rPr>
          <w:lang w:val="en-US"/>
        </w:rPr>
      </w:pPr>
      <w:r>
        <w:rPr>
          <w:lang w:val="en-US"/>
        </w:rPr>
        <w:t>Data for my research comes from several sources</w:t>
      </w:r>
      <w:r w:rsidR="003E7EB3">
        <w:rPr>
          <w:lang w:val="en-US"/>
        </w:rPr>
        <w:t xml:space="preserve"> and is mainly collected by hand as no complete database exists.</w:t>
      </w:r>
      <w:r>
        <w:rPr>
          <w:lang w:val="en-US"/>
        </w:rPr>
        <w:t xml:space="preserve"> </w:t>
      </w:r>
      <w:r w:rsidR="003E7EB3">
        <w:rPr>
          <w:lang w:val="en-US"/>
        </w:rPr>
        <w:t>T</w:t>
      </w:r>
      <w:r w:rsidR="007D793F">
        <w:rPr>
          <w:lang w:val="en-US"/>
        </w:rPr>
        <w:t xml:space="preserve">he main data source is the CBF website who have collected various </w:t>
      </w:r>
      <w:r w:rsidR="00B83DFE">
        <w:rPr>
          <w:lang w:val="en-US"/>
        </w:rPr>
        <w:t xml:space="preserve">financial and governance related </w:t>
      </w:r>
      <w:r w:rsidR="007D793F">
        <w:rPr>
          <w:lang w:val="en-US"/>
        </w:rPr>
        <w:t xml:space="preserve">data on charities. Other sources of data include annual reports, website’s of charities and the VFI. </w:t>
      </w:r>
    </w:p>
    <w:p w:rsidR="001B657A" w:rsidRDefault="001B657A" w:rsidP="007D793F">
      <w:pPr>
        <w:spacing w:line="360" w:lineRule="auto"/>
        <w:jc w:val="both"/>
        <w:rPr>
          <w:lang w:val="en-US"/>
        </w:rPr>
      </w:pPr>
    </w:p>
    <w:p w:rsidR="00D75835" w:rsidRDefault="007D793F" w:rsidP="007D793F">
      <w:pPr>
        <w:spacing w:line="360" w:lineRule="auto"/>
        <w:jc w:val="both"/>
        <w:rPr>
          <w:lang w:val="en-US"/>
        </w:rPr>
      </w:pPr>
      <w:r>
        <w:rPr>
          <w:lang w:val="en-US"/>
        </w:rPr>
        <w:t xml:space="preserve">The dataset is constructed by first matching charities that have 2009 financial data available on total income, total expenses and total expenses </w:t>
      </w:r>
      <w:r w:rsidR="003E7EB3">
        <w:rPr>
          <w:lang w:val="en-US"/>
        </w:rPr>
        <w:t xml:space="preserve">spent </w:t>
      </w:r>
      <w:r>
        <w:rPr>
          <w:lang w:val="en-US"/>
        </w:rPr>
        <w:t>on the</w:t>
      </w:r>
      <w:r w:rsidR="003E7EB3">
        <w:rPr>
          <w:lang w:val="en-US"/>
        </w:rPr>
        <w:t xml:space="preserve"> charities</w:t>
      </w:r>
      <w:r>
        <w:rPr>
          <w:lang w:val="en-US"/>
        </w:rPr>
        <w:t xml:space="preserve"> goals</w:t>
      </w:r>
      <w:r w:rsidR="00B83DFE">
        <w:rPr>
          <w:lang w:val="en-US"/>
        </w:rPr>
        <w:t xml:space="preserve"> (program expenses)</w:t>
      </w:r>
      <w:r>
        <w:rPr>
          <w:lang w:val="en-US"/>
        </w:rPr>
        <w:t>. After the match</w:t>
      </w:r>
      <w:r w:rsidR="003E7EB3">
        <w:rPr>
          <w:lang w:val="en-US"/>
        </w:rPr>
        <w:t>ing</w:t>
      </w:r>
      <w:r>
        <w:rPr>
          <w:lang w:val="en-US"/>
        </w:rPr>
        <w:t xml:space="preserve"> almost 900 of the 12</w:t>
      </w:r>
      <w:r w:rsidR="000403B9">
        <w:rPr>
          <w:lang w:val="en-US"/>
        </w:rPr>
        <w:t>5</w:t>
      </w:r>
      <w:r>
        <w:rPr>
          <w:lang w:val="en-US"/>
        </w:rPr>
        <w:t xml:space="preserve">0 charities remain. Next </w:t>
      </w:r>
      <w:r w:rsidR="003E7EB3">
        <w:rPr>
          <w:lang w:val="en-US"/>
        </w:rPr>
        <w:t>I</w:t>
      </w:r>
      <w:r>
        <w:rPr>
          <w:lang w:val="en-US"/>
        </w:rPr>
        <w:t xml:space="preserve"> collect governance related data</w:t>
      </w:r>
      <w:r w:rsidR="003E7EB3">
        <w:rPr>
          <w:lang w:val="en-US"/>
        </w:rPr>
        <w:t>.</w:t>
      </w:r>
      <w:r>
        <w:rPr>
          <w:lang w:val="en-US"/>
        </w:rPr>
        <w:t xml:space="preserve"> </w:t>
      </w:r>
      <w:r w:rsidR="002F27A4">
        <w:rPr>
          <w:lang w:val="en-US"/>
        </w:rPr>
        <w:t xml:space="preserve">In some cases this data was not available, either websites and annual reports weren’t available or did not disclose information on for example the amount of people on the board. </w:t>
      </w:r>
      <w:r w:rsidR="003E7EB3">
        <w:rPr>
          <w:lang w:val="en-US"/>
        </w:rPr>
        <w:t>After deleting</w:t>
      </w:r>
      <w:r>
        <w:rPr>
          <w:lang w:val="en-US"/>
        </w:rPr>
        <w:t xml:space="preserve"> the charities that had little or no governance data available the data set contained </w:t>
      </w:r>
      <w:r w:rsidR="0097670E" w:rsidRPr="001B657A">
        <w:rPr>
          <w:lang w:val="en-US"/>
        </w:rPr>
        <w:t>774</w:t>
      </w:r>
      <w:r w:rsidRPr="001B657A">
        <w:rPr>
          <w:lang w:val="en-US"/>
        </w:rPr>
        <w:t xml:space="preserve"> charities.</w:t>
      </w:r>
      <w:r w:rsidR="003E7EB3">
        <w:rPr>
          <w:lang w:val="en-US"/>
        </w:rPr>
        <w:t xml:space="preserve"> </w:t>
      </w:r>
      <w:r w:rsidR="00330725">
        <w:rPr>
          <w:lang w:val="en-US"/>
        </w:rPr>
        <w:t xml:space="preserve"> </w:t>
      </w:r>
    </w:p>
    <w:p w:rsidR="007D793F" w:rsidRDefault="007D793F" w:rsidP="007D793F">
      <w:pPr>
        <w:spacing w:line="360" w:lineRule="auto"/>
        <w:rPr>
          <w:lang w:val="en-US"/>
        </w:rPr>
      </w:pPr>
    </w:p>
    <w:p w:rsidR="007D793F" w:rsidRDefault="007D793F" w:rsidP="00D46327">
      <w:pPr>
        <w:spacing w:line="360" w:lineRule="auto"/>
        <w:jc w:val="both"/>
        <w:rPr>
          <w:lang w:val="en-US"/>
        </w:rPr>
      </w:pPr>
      <w:r>
        <w:rPr>
          <w:lang w:val="en-US"/>
        </w:rPr>
        <w:t xml:space="preserve">It is important to point out that </w:t>
      </w:r>
      <w:r w:rsidR="00832BB6">
        <w:rPr>
          <w:lang w:val="en-US"/>
        </w:rPr>
        <w:t>only some basic data is generally available, data on the internal organization is often not available.</w:t>
      </w:r>
    </w:p>
    <w:p w:rsidR="00D25D10" w:rsidRDefault="00D25D10">
      <w:pPr>
        <w:rPr>
          <w:rFonts w:asciiTheme="majorHAnsi" w:eastAsiaTheme="majorEastAsia" w:hAnsiTheme="majorHAnsi" w:cstheme="majorBidi"/>
          <w:b/>
          <w:bCs/>
          <w:color w:val="4F81BD" w:themeColor="accent1"/>
          <w:sz w:val="26"/>
          <w:szCs w:val="26"/>
          <w:lang w:val="en-US"/>
        </w:rPr>
      </w:pPr>
      <w:r>
        <w:rPr>
          <w:lang w:val="en-US"/>
        </w:rPr>
        <w:br w:type="page"/>
      </w:r>
    </w:p>
    <w:p w:rsidR="00D60F1F" w:rsidRPr="00C766A2" w:rsidRDefault="001D18B2" w:rsidP="00D60F1F">
      <w:pPr>
        <w:spacing w:line="360" w:lineRule="auto"/>
        <w:rPr>
          <w:rFonts w:ascii="ScalaSans-Caps" w:hAnsi="ScalaSans-Caps"/>
          <w:b/>
          <w:lang w:val="en-US"/>
        </w:rPr>
      </w:pPr>
      <w:r w:rsidRPr="00C766A2">
        <w:rPr>
          <w:rFonts w:ascii="ScalaSans-Caps" w:hAnsi="ScalaSans-Caps"/>
          <w:b/>
          <w:lang w:val="en-US"/>
        </w:rPr>
        <w:t>V</w:t>
      </w:r>
      <w:r w:rsidR="00D60F1F" w:rsidRPr="00C766A2">
        <w:rPr>
          <w:rFonts w:ascii="ScalaSans-Caps" w:hAnsi="ScalaSans-Caps"/>
          <w:b/>
          <w:lang w:val="en-US"/>
        </w:rPr>
        <w:t>ariables</w:t>
      </w:r>
    </w:p>
    <w:p w:rsidR="009D3CA5" w:rsidRDefault="00C766A2" w:rsidP="007F22E4">
      <w:pPr>
        <w:spacing w:line="360" w:lineRule="auto"/>
        <w:jc w:val="both"/>
        <w:rPr>
          <w:lang w:val="en-US"/>
        </w:rPr>
      </w:pPr>
      <w:r>
        <w:rPr>
          <w:lang w:val="en-US"/>
        </w:rPr>
        <w:t xml:space="preserve">The variables in the dataset can be classified </w:t>
      </w:r>
      <w:r w:rsidR="003E7EB3">
        <w:rPr>
          <w:lang w:val="en-US"/>
        </w:rPr>
        <w:t>in</w:t>
      </w:r>
      <w:r>
        <w:rPr>
          <w:lang w:val="en-US"/>
        </w:rPr>
        <w:t>to three categories</w:t>
      </w:r>
      <w:r w:rsidR="003E7EB3">
        <w:rPr>
          <w:lang w:val="en-US"/>
        </w:rPr>
        <w:t>:</w:t>
      </w:r>
      <w:r>
        <w:rPr>
          <w:lang w:val="en-US"/>
        </w:rPr>
        <w:t xml:space="preserve"> financial variables, governance variables and control variables. </w:t>
      </w:r>
      <w:r w:rsidR="007F22E4">
        <w:rPr>
          <w:lang w:val="en-US"/>
        </w:rPr>
        <w:t xml:space="preserve">The financial variables </w:t>
      </w:r>
      <w:r w:rsidR="00832BB6">
        <w:rPr>
          <w:lang w:val="en-US"/>
        </w:rPr>
        <w:t>are</w:t>
      </w:r>
      <w:r w:rsidR="007F22E4">
        <w:rPr>
          <w:lang w:val="en-US"/>
        </w:rPr>
        <w:t xml:space="preserve"> income, program expenses and total costs</w:t>
      </w:r>
      <w:r w:rsidR="007F22E4" w:rsidRPr="00DE4383">
        <w:rPr>
          <w:lang w:val="en-US"/>
        </w:rPr>
        <w:t>.</w:t>
      </w:r>
      <w:r w:rsidR="002749A8" w:rsidRPr="00DE4383">
        <w:rPr>
          <w:lang w:val="en-US"/>
        </w:rPr>
        <w:t xml:space="preserve"> </w:t>
      </w:r>
      <w:r w:rsidR="009D3CA5" w:rsidRPr="00DE4383">
        <w:rPr>
          <w:lang w:val="en-US"/>
        </w:rPr>
        <w:t xml:space="preserve">Table </w:t>
      </w:r>
      <w:r w:rsidR="00184F04" w:rsidRPr="00DE4383">
        <w:rPr>
          <w:lang w:val="en-US"/>
        </w:rPr>
        <w:t>2</w:t>
      </w:r>
      <w:r w:rsidR="00D60F1F" w:rsidRPr="00DE4383">
        <w:rPr>
          <w:lang w:val="en-US"/>
        </w:rPr>
        <w:t xml:space="preserve"> below</w:t>
      </w:r>
      <w:r w:rsidR="00D60F1F">
        <w:rPr>
          <w:lang w:val="en-US"/>
        </w:rPr>
        <w:t xml:space="preserve"> summarizes</w:t>
      </w:r>
      <w:r w:rsidR="009D3CA5">
        <w:rPr>
          <w:lang w:val="en-US"/>
        </w:rPr>
        <w:t xml:space="preserve"> the</w:t>
      </w:r>
      <w:r w:rsidR="00832BB6">
        <w:rPr>
          <w:lang w:val="en-US"/>
        </w:rPr>
        <w:t xml:space="preserve"> other</w:t>
      </w:r>
      <w:r w:rsidR="009D3CA5">
        <w:rPr>
          <w:lang w:val="en-US"/>
        </w:rPr>
        <w:t xml:space="preserve"> variables</w:t>
      </w:r>
      <w:r w:rsidR="00FC142F">
        <w:rPr>
          <w:lang w:val="en-US"/>
        </w:rPr>
        <w:t xml:space="preserve"> in my dataset</w:t>
      </w:r>
      <w:r w:rsidR="000403B9">
        <w:rPr>
          <w:lang w:val="en-US"/>
        </w:rPr>
        <w:t>.</w:t>
      </w:r>
    </w:p>
    <w:p w:rsidR="002749A8" w:rsidRDefault="002749A8" w:rsidP="007D793F">
      <w:pPr>
        <w:spacing w:line="360" w:lineRule="auto"/>
        <w:rPr>
          <w:lang w:val="en-US"/>
        </w:rPr>
      </w:pPr>
    </w:p>
    <w:tbl>
      <w:tblPr>
        <w:tblStyle w:val="Gemiddeldearcering1-accent11"/>
        <w:tblW w:w="0" w:type="auto"/>
        <w:tblLook w:val="04A0"/>
      </w:tblPr>
      <w:tblGrid>
        <w:gridCol w:w="2235"/>
        <w:gridCol w:w="6945"/>
      </w:tblGrid>
      <w:tr w:rsidR="00E73AFC" w:rsidTr="00330725">
        <w:trPr>
          <w:cnfStyle w:val="100000000000"/>
        </w:trPr>
        <w:tc>
          <w:tcPr>
            <w:cnfStyle w:val="001000000000"/>
            <w:tcW w:w="2235" w:type="dxa"/>
          </w:tcPr>
          <w:p w:rsidR="00E73AFC" w:rsidRDefault="00E73AFC" w:rsidP="007D793F">
            <w:pPr>
              <w:spacing w:line="360" w:lineRule="auto"/>
              <w:rPr>
                <w:lang w:val="en-US"/>
              </w:rPr>
            </w:pPr>
            <w:r>
              <w:rPr>
                <w:lang w:val="en-US"/>
              </w:rPr>
              <w:t>Variable</w:t>
            </w:r>
          </w:p>
        </w:tc>
        <w:tc>
          <w:tcPr>
            <w:tcW w:w="6945" w:type="dxa"/>
          </w:tcPr>
          <w:p w:rsidR="00E73AFC" w:rsidRDefault="00E73AFC" w:rsidP="007D793F">
            <w:pPr>
              <w:spacing w:line="360" w:lineRule="auto"/>
              <w:cnfStyle w:val="100000000000"/>
              <w:rPr>
                <w:lang w:val="en-US"/>
              </w:rPr>
            </w:pPr>
            <w:r>
              <w:rPr>
                <w:lang w:val="en-US"/>
              </w:rPr>
              <w:t>Description</w:t>
            </w:r>
          </w:p>
        </w:tc>
      </w:tr>
      <w:tr w:rsidR="00E73AFC" w:rsidRPr="00415C30" w:rsidTr="00330725">
        <w:trPr>
          <w:cnfStyle w:val="000000100000"/>
        </w:trPr>
        <w:tc>
          <w:tcPr>
            <w:cnfStyle w:val="001000000000"/>
            <w:tcW w:w="2235" w:type="dxa"/>
          </w:tcPr>
          <w:p w:rsidR="00E73AFC" w:rsidRPr="00417A93" w:rsidRDefault="00E73AFC" w:rsidP="007D793F">
            <w:pPr>
              <w:spacing w:line="360" w:lineRule="auto"/>
              <w:rPr>
                <w:lang w:val="en-US"/>
              </w:rPr>
            </w:pPr>
            <w:r w:rsidRPr="00417A93">
              <w:rPr>
                <w:lang w:val="en-US"/>
              </w:rPr>
              <w:t>Legal form</w:t>
            </w:r>
          </w:p>
        </w:tc>
        <w:tc>
          <w:tcPr>
            <w:tcW w:w="6945" w:type="dxa"/>
          </w:tcPr>
          <w:p w:rsidR="00E66AE7" w:rsidRDefault="00E73AFC" w:rsidP="00B16ECE">
            <w:pPr>
              <w:spacing w:line="360" w:lineRule="auto"/>
              <w:cnfStyle w:val="000000100000"/>
              <w:rPr>
                <w:lang w:val="en-US"/>
              </w:rPr>
            </w:pPr>
            <w:r>
              <w:rPr>
                <w:lang w:val="en-US"/>
              </w:rPr>
              <w:t xml:space="preserve">Dummy variable to denote legal form of the charity, </w:t>
            </w:r>
          </w:p>
          <w:p w:rsidR="00E73AFC" w:rsidRDefault="00E73AFC" w:rsidP="00B16ECE">
            <w:pPr>
              <w:spacing w:line="360" w:lineRule="auto"/>
              <w:cnfStyle w:val="000000100000"/>
              <w:rPr>
                <w:lang w:val="en-US"/>
              </w:rPr>
            </w:pPr>
            <w:r>
              <w:rPr>
                <w:lang w:val="en-US"/>
              </w:rPr>
              <w:t>1 = association ; 0 = foundation.</w:t>
            </w:r>
          </w:p>
        </w:tc>
      </w:tr>
      <w:tr w:rsidR="00E73AFC" w:rsidRPr="002C07A4" w:rsidTr="00330725">
        <w:trPr>
          <w:cnfStyle w:val="000000010000"/>
        </w:trPr>
        <w:tc>
          <w:tcPr>
            <w:cnfStyle w:val="001000000000"/>
            <w:tcW w:w="2235" w:type="dxa"/>
          </w:tcPr>
          <w:p w:rsidR="00E73AFC" w:rsidRPr="00417A93" w:rsidRDefault="00E73AFC" w:rsidP="007D793F">
            <w:pPr>
              <w:spacing w:line="360" w:lineRule="auto"/>
              <w:rPr>
                <w:lang w:val="en-US"/>
              </w:rPr>
            </w:pPr>
            <w:r>
              <w:rPr>
                <w:lang w:val="en-US"/>
              </w:rPr>
              <w:t>Advisory council</w:t>
            </w:r>
          </w:p>
        </w:tc>
        <w:tc>
          <w:tcPr>
            <w:tcW w:w="6945" w:type="dxa"/>
          </w:tcPr>
          <w:p w:rsidR="00E73AFC" w:rsidRDefault="00E73AFC" w:rsidP="008E2908">
            <w:pPr>
              <w:spacing w:line="360" w:lineRule="auto"/>
              <w:cnfStyle w:val="000000010000"/>
              <w:rPr>
                <w:lang w:val="en-US"/>
              </w:rPr>
            </w:pPr>
            <w:r>
              <w:rPr>
                <w:lang w:val="en-US"/>
              </w:rPr>
              <w:t xml:space="preserve">Dummy variable to denote if the charity has </w:t>
            </w:r>
            <w:r w:rsidR="008E2908">
              <w:rPr>
                <w:lang w:val="en-US"/>
              </w:rPr>
              <w:t>one</w:t>
            </w:r>
            <w:r>
              <w:rPr>
                <w:lang w:val="en-US"/>
              </w:rPr>
              <w:t xml:space="preserve"> or more advisory councils next to the board, 1 = yes ; 0 = no</w:t>
            </w:r>
          </w:p>
        </w:tc>
      </w:tr>
      <w:tr w:rsidR="00E73AFC" w:rsidRPr="00415C30" w:rsidTr="00330725">
        <w:trPr>
          <w:cnfStyle w:val="000000100000"/>
        </w:trPr>
        <w:tc>
          <w:tcPr>
            <w:cnfStyle w:val="001000000000"/>
            <w:tcW w:w="2235" w:type="dxa"/>
          </w:tcPr>
          <w:p w:rsidR="00E73AFC" w:rsidRPr="00417A93" w:rsidRDefault="00E73AFC" w:rsidP="00A52D9F">
            <w:pPr>
              <w:spacing w:line="360" w:lineRule="auto"/>
              <w:rPr>
                <w:lang w:val="en-US"/>
              </w:rPr>
            </w:pPr>
            <w:r w:rsidRPr="00417A93">
              <w:rPr>
                <w:lang w:val="en-US"/>
              </w:rPr>
              <w:t>CBF certifi</w:t>
            </w:r>
            <w:r w:rsidR="00A52D9F">
              <w:rPr>
                <w:lang w:val="en-US"/>
              </w:rPr>
              <w:t>cation</w:t>
            </w:r>
          </w:p>
        </w:tc>
        <w:tc>
          <w:tcPr>
            <w:tcW w:w="6945" w:type="dxa"/>
          </w:tcPr>
          <w:p w:rsidR="00E66AE7" w:rsidRDefault="00E73AFC" w:rsidP="00475A85">
            <w:pPr>
              <w:spacing w:line="360" w:lineRule="auto"/>
              <w:cnfStyle w:val="000000100000"/>
              <w:rPr>
                <w:lang w:val="en-US"/>
              </w:rPr>
            </w:pPr>
            <w:r>
              <w:rPr>
                <w:lang w:val="en-US"/>
              </w:rPr>
              <w:t xml:space="preserve">Dummy variable to denote if charity is CBF certified or not, </w:t>
            </w:r>
          </w:p>
          <w:p w:rsidR="00E73AFC" w:rsidRDefault="00E73AFC" w:rsidP="00475A85">
            <w:pPr>
              <w:spacing w:line="360" w:lineRule="auto"/>
              <w:cnfStyle w:val="000000100000"/>
              <w:rPr>
                <w:lang w:val="en-US"/>
              </w:rPr>
            </w:pPr>
            <w:r>
              <w:rPr>
                <w:lang w:val="en-US"/>
              </w:rPr>
              <w:t>1 = certified ; 0 = not certified</w:t>
            </w:r>
          </w:p>
        </w:tc>
      </w:tr>
      <w:tr w:rsidR="00E73AFC" w:rsidRPr="00415C30" w:rsidTr="00330725">
        <w:trPr>
          <w:cnfStyle w:val="000000010000"/>
        </w:trPr>
        <w:tc>
          <w:tcPr>
            <w:cnfStyle w:val="001000000000"/>
            <w:tcW w:w="2235" w:type="dxa"/>
          </w:tcPr>
          <w:p w:rsidR="00E73AFC" w:rsidRPr="00417A93" w:rsidRDefault="00E73AFC" w:rsidP="00475A85">
            <w:pPr>
              <w:spacing w:line="360" w:lineRule="auto"/>
              <w:rPr>
                <w:lang w:val="en-US"/>
              </w:rPr>
            </w:pPr>
            <w:r w:rsidRPr="00417A93">
              <w:rPr>
                <w:lang w:val="en-US"/>
              </w:rPr>
              <w:t>VFI membership</w:t>
            </w:r>
          </w:p>
        </w:tc>
        <w:tc>
          <w:tcPr>
            <w:tcW w:w="6945" w:type="dxa"/>
          </w:tcPr>
          <w:p w:rsidR="00E66AE7" w:rsidRDefault="00E73AFC" w:rsidP="00475A85">
            <w:pPr>
              <w:spacing w:line="360" w:lineRule="auto"/>
              <w:cnfStyle w:val="000000010000"/>
              <w:rPr>
                <w:lang w:val="en-US"/>
              </w:rPr>
            </w:pPr>
            <w:r>
              <w:rPr>
                <w:lang w:val="en-US"/>
              </w:rPr>
              <w:t xml:space="preserve">Dummy variable to denote if charity is a member of VFI, </w:t>
            </w:r>
          </w:p>
          <w:p w:rsidR="00E73AFC" w:rsidRDefault="00E73AFC" w:rsidP="00475A85">
            <w:pPr>
              <w:spacing w:line="360" w:lineRule="auto"/>
              <w:cnfStyle w:val="000000010000"/>
              <w:rPr>
                <w:lang w:val="en-US"/>
              </w:rPr>
            </w:pPr>
            <w:r>
              <w:rPr>
                <w:lang w:val="en-US"/>
              </w:rPr>
              <w:t>1 = member ; 0 = no</w:t>
            </w:r>
            <w:r w:rsidR="008E2908">
              <w:rPr>
                <w:lang w:val="en-US"/>
              </w:rPr>
              <w:t>ne</w:t>
            </w:r>
            <w:r>
              <w:rPr>
                <w:lang w:val="en-US"/>
              </w:rPr>
              <w:t xml:space="preserve"> member</w:t>
            </w:r>
          </w:p>
        </w:tc>
      </w:tr>
      <w:tr w:rsidR="00E73AFC" w:rsidRPr="002C07A4" w:rsidTr="00330725">
        <w:trPr>
          <w:cnfStyle w:val="000000100000"/>
        </w:trPr>
        <w:tc>
          <w:tcPr>
            <w:cnfStyle w:val="001000000000"/>
            <w:tcW w:w="2235" w:type="dxa"/>
          </w:tcPr>
          <w:p w:rsidR="00E73AFC" w:rsidRPr="00417A93" w:rsidRDefault="00E73AFC" w:rsidP="007D793F">
            <w:pPr>
              <w:spacing w:line="360" w:lineRule="auto"/>
              <w:rPr>
                <w:lang w:val="en-US"/>
              </w:rPr>
            </w:pPr>
            <w:r>
              <w:rPr>
                <w:lang w:val="en-US"/>
              </w:rPr>
              <w:t>Accountancy level</w:t>
            </w:r>
          </w:p>
        </w:tc>
        <w:tc>
          <w:tcPr>
            <w:tcW w:w="6945" w:type="dxa"/>
          </w:tcPr>
          <w:p w:rsidR="00E73AFC" w:rsidRDefault="00E73AFC" w:rsidP="007D793F">
            <w:pPr>
              <w:spacing w:line="360" w:lineRule="auto"/>
              <w:cnfStyle w:val="000000100000"/>
              <w:rPr>
                <w:lang w:val="en-US"/>
              </w:rPr>
            </w:pPr>
            <w:r>
              <w:rPr>
                <w:lang w:val="en-US"/>
              </w:rPr>
              <w:t xml:space="preserve">Denotes the level of external, financial oversight. Six scales possible, </w:t>
            </w:r>
            <w:r w:rsidRPr="00EE44F5">
              <w:rPr>
                <w:lang w:val="en-US"/>
              </w:rPr>
              <w:t>0 = no oversight ; 5 = highest possible oversight</w:t>
            </w:r>
          </w:p>
        </w:tc>
      </w:tr>
      <w:tr w:rsidR="00621666" w:rsidRPr="002C07A4" w:rsidTr="00330725">
        <w:trPr>
          <w:cnfStyle w:val="000000010000"/>
        </w:trPr>
        <w:tc>
          <w:tcPr>
            <w:cnfStyle w:val="001000000000"/>
            <w:tcW w:w="2235" w:type="dxa"/>
          </w:tcPr>
          <w:p w:rsidR="00621666" w:rsidRPr="00417A93" w:rsidRDefault="00621666" w:rsidP="00A62440">
            <w:pPr>
              <w:spacing w:line="360" w:lineRule="auto"/>
              <w:rPr>
                <w:lang w:val="en-US"/>
              </w:rPr>
            </w:pPr>
            <w:r>
              <w:rPr>
                <w:lang w:val="en-US"/>
              </w:rPr>
              <w:t>Board size</w:t>
            </w:r>
          </w:p>
        </w:tc>
        <w:tc>
          <w:tcPr>
            <w:tcW w:w="6945" w:type="dxa"/>
          </w:tcPr>
          <w:p w:rsidR="00621666" w:rsidRDefault="00621666" w:rsidP="00A62440">
            <w:pPr>
              <w:spacing w:line="360" w:lineRule="auto"/>
              <w:cnfStyle w:val="000000010000"/>
              <w:rPr>
                <w:lang w:val="en-US"/>
              </w:rPr>
            </w:pPr>
            <w:r>
              <w:rPr>
                <w:lang w:val="en-US"/>
              </w:rPr>
              <w:t>Denotes the number of directors on the board.</w:t>
            </w:r>
          </w:p>
        </w:tc>
      </w:tr>
      <w:tr w:rsidR="00621666" w:rsidRPr="002C07A4" w:rsidTr="00330725">
        <w:trPr>
          <w:cnfStyle w:val="000000100000"/>
        </w:trPr>
        <w:tc>
          <w:tcPr>
            <w:cnfStyle w:val="001000000000"/>
            <w:tcW w:w="2235" w:type="dxa"/>
          </w:tcPr>
          <w:p w:rsidR="00621666" w:rsidRDefault="00621666" w:rsidP="00A62440">
            <w:pPr>
              <w:spacing w:line="360" w:lineRule="auto"/>
              <w:rPr>
                <w:lang w:val="en-US"/>
              </w:rPr>
            </w:pPr>
            <w:r>
              <w:rPr>
                <w:lang w:val="en-US"/>
              </w:rPr>
              <w:t>Number of executives</w:t>
            </w:r>
          </w:p>
        </w:tc>
        <w:tc>
          <w:tcPr>
            <w:tcW w:w="6945" w:type="dxa"/>
          </w:tcPr>
          <w:p w:rsidR="00621666" w:rsidRDefault="00621666" w:rsidP="00A62440">
            <w:pPr>
              <w:spacing w:line="360" w:lineRule="auto"/>
              <w:cnfStyle w:val="000000100000"/>
              <w:rPr>
                <w:lang w:val="en-US"/>
              </w:rPr>
            </w:pPr>
            <w:r>
              <w:rPr>
                <w:lang w:val="en-US"/>
              </w:rPr>
              <w:t>Denotes the number of executives of the charity</w:t>
            </w:r>
          </w:p>
        </w:tc>
      </w:tr>
      <w:tr w:rsidR="00621666" w:rsidRPr="00330725" w:rsidTr="00330725">
        <w:trPr>
          <w:cnfStyle w:val="000000010000"/>
        </w:trPr>
        <w:tc>
          <w:tcPr>
            <w:cnfStyle w:val="001000000000"/>
            <w:tcW w:w="2235" w:type="dxa"/>
          </w:tcPr>
          <w:p w:rsidR="00621666" w:rsidRDefault="00621666" w:rsidP="006C5E8D">
            <w:pPr>
              <w:spacing w:line="360" w:lineRule="auto"/>
              <w:rPr>
                <w:lang w:val="en-US"/>
              </w:rPr>
            </w:pPr>
            <w:r>
              <w:rPr>
                <w:lang w:val="en-US"/>
              </w:rPr>
              <w:t>Size</w:t>
            </w:r>
          </w:p>
        </w:tc>
        <w:tc>
          <w:tcPr>
            <w:tcW w:w="6945" w:type="dxa"/>
          </w:tcPr>
          <w:p w:rsidR="00330725" w:rsidRDefault="00621666" w:rsidP="00330725">
            <w:pPr>
              <w:spacing w:line="360" w:lineRule="auto"/>
              <w:cnfStyle w:val="000000010000"/>
              <w:rPr>
                <w:lang w:val="en-US"/>
              </w:rPr>
            </w:pPr>
            <w:r>
              <w:rPr>
                <w:lang w:val="en-US"/>
              </w:rPr>
              <w:t xml:space="preserve">Size is measured by dividing total income over </w:t>
            </w:r>
            <w:r w:rsidR="00330725">
              <w:rPr>
                <w:lang w:val="en-US"/>
              </w:rPr>
              <w:t>the following 5 classes:</w:t>
            </w:r>
          </w:p>
          <w:tbl>
            <w:tblPr>
              <w:tblStyle w:val="TableGrid"/>
              <w:tblW w:w="0" w:type="auto"/>
              <w:tblLook w:val="04A0"/>
            </w:tblPr>
            <w:tblGrid>
              <w:gridCol w:w="2013"/>
              <w:gridCol w:w="3482"/>
            </w:tblGrid>
            <w:tr w:rsidR="00330725" w:rsidTr="00330725">
              <w:tc>
                <w:tcPr>
                  <w:tcW w:w="2013" w:type="dxa"/>
                </w:tcPr>
                <w:p w:rsidR="00330725" w:rsidRPr="00330725" w:rsidRDefault="00330725" w:rsidP="00330725">
                  <w:pPr>
                    <w:rPr>
                      <w:b/>
                      <w:lang w:val="en-US"/>
                    </w:rPr>
                  </w:pPr>
                  <w:r w:rsidRPr="00330725">
                    <w:rPr>
                      <w:b/>
                      <w:lang w:val="en-US"/>
                    </w:rPr>
                    <w:t>Class</w:t>
                  </w:r>
                </w:p>
              </w:tc>
              <w:tc>
                <w:tcPr>
                  <w:tcW w:w="3482" w:type="dxa"/>
                </w:tcPr>
                <w:p w:rsidR="00330725" w:rsidRPr="00330725" w:rsidRDefault="00330725" w:rsidP="00330725">
                  <w:pPr>
                    <w:rPr>
                      <w:b/>
                      <w:lang w:val="en-US"/>
                    </w:rPr>
                  </w:pPr>
                  <w:r w:rsidRPr="00330725">
                    <w:rPr>
                      <w:b/>
                      <w:lang w:val="en-US"/>
                    </w:rPr>
                    <w:t>Income</w:t>
                  </w:r>
                </w:p>
              </w:tc>
            </w:tr>
            <w:tr w:rsidR="00330725" w:rsidTr="00330725">
              <w:tc>
                <w:tcPr>
                  <w:tcW w:w="2013" w:type="dxa"/>
                </w:tcPr>
                <w:p w:rsidR="00330725" w:rsidRDefault="00330725" w:rsidP="00330725">
                  <w:pPr>
                    <w:rPr>
                      <w:lang w:val="en-US"/>
                    </w:rPr>
                  </w:pPr>
                  <w:r>
                    <w:rPr>
                      <w:lang w:val="en-US"/>
                    </w:rPr>
                    <w:t>Very small</w:t>
                  </w:r>
                </w:p>
              </w:tc>
              <w:tc>
                <w:tcPr>
                  <w:tcW w:w="3482" w:type="dxa"/>
                </w:tcPr>
                <w:p w:rsidR="00330725" w:rsidRDefault="00330725" w:rsidP="00330725">
                  <w:pPr>
                    <w:rPr>
                      <w:lang w:val="en-US"/>
                    </w:rPr>
                  </w:pPr>
                  <w:r>
                    <w:rPr>
                      <w:lang w:val="en-US"/>
                    </w:rPr>
                    <w:t>&lt; € 100,000</w:t>
                  </w:r>
                </w:p>
              </w:tc>
            </w:tr>
            <w:tr w:rsidR="00330725" w:rsidTr="00330725">
              <w:tc>
                <w:tcPr>
                  <w:tcW w:w="2013" w:type="dxa"/>
                </w:tcPr>
                <w:p w:rsidR="00330725" w:rsidRDefault="00330725" w:rsidP="00330725">
                  <w:pPr>
                    <w:rPr>
                      <w:lang w:val="en-US"/>
                    </w:rPr>
                  </w:pPr>
                  <w:r>
                    <w:rPr>
                      <w:lang w:val="en-US"/>
                    </w:rPr>
                    <w:t>Small</w:t>
                  </w:r>
                </w:p>
              </w:tc>
              <w:tc>
                <w:tcPr>
                  <w:tcW w:w="3482" w:type="dxa"/>
                </w:tcPr>
                <w:p w:rsidR="00330725" w:rsidRDefault="00330725" w:rsidP="00330725">
                  <w:pPr>
                    <w:rPr>
                      <w:lang w:val="en-US"/>
                    </w:rPr>
                  </w:pPr>
                  <w:r>
                    <w:rPr>
                      <w:lang w:val="en-US"/>
                    </w:rPr>
                    <w:t xml:space="preserve">€ 100,000 - </w:t>
                  </w:r>
                  <w:r w:rsidR="007E0F33">
                    <w:rPr>
                      <w:lang w:val="en-US"/>
                    </w:rPr>
                    <w:t xml:space="preserve">&lt; </w:t>
                  </w:r>
                  <w:r>
                    <w:rPr>
                      <w:lang w:val="en-US"/>
                    </w:rPr>
                    <w:t>€ 500,000</w:t>
                  </w:r>
                </w:p>
              </w:tc>
            </w:tr>
            <w:tr w:rsidR="00330725" w:rsidTr="00330725">
              <w:tc>
                <w:tcPr>
                  <w:tcW w:w="2013" w:type="dxa"/>
                </w:tcPr>
                <w:p w:rsidR="00330725" w:rsidRDefault="00330725" w:rsidP="00330725">
                  <w:pPr>
                    <w:rPr>
                      <w:lang w:val="en-US"/>
                    </w:rPr>
                  </w:pPr>
                  <w:r>
                    <w:rPr>
                      <w:lang w:val="en-US"/>
                    </w:rPr>
                    <w:t>Medium</w:t>
                  </w:r>
                </w:p>
              </w:tc>
              <w:tc>
                <w:tcPr>
                  <w:tcW w:w="3482" w:type="dxa"/>
                </w:tcPr>
                <w:p w:rsidR="00330725" w:rsidRDefault="00330725" w:rsidP="00330725">
                  <w:pPr>
                    <w:rPr>
                      <w:lang w:val="en-US"/>
                    </w:rPr>
                  </w:pPr>
                  <w:r>
                    <w:rPr>
                      <w:lang w:val="en-US"/>
                    </w:rPr>
                    <w:t>€ 500,000 - &lt; € 5,000,000</w:t>
                  </w:r>
                </w:p>
              </w:tc>
            </w:tr>
            <w:tr w:rsidR="00330725" w:rsidTr="00330725">
              <w:tc>
                <w:tcPr>
                  <w:tcW w:w="2013" w:type="dxa"/>
                </w:tcPr>
                <w:p w:rsidR="00330725" w:rsidRDefault="00330725" w:rsidP="00330725">
                  <w:pPr>
                    <w:rPr>
                      <w:lang w:val="en-US"/>
                    </w:rPr>
                  </w:pPr>
                  <w:r>
                    <w:rPr>
                      <w:lang w:val="en-US"/>
                    </w:rPr>
                    <w:t>Large</w:t>
                  </w:r>
                </w:p>
              </w:tc>
              <w:tc>
                <w:tcPr>
                  <w:tcW w:w="3482" w:type="dxa"/>
                </w:tcPr>
                <w:p w:rsidR="00330725" w:rsidRDefault="00330725" w:rsidP="00330725">
                  <w:pPr>
                    <w:rPr>
                      <w:lang w:val="en-US"/>
                    </w:rPr>
                  </w:pPr>
                  <w:r>
                    <w:rPr>
                      <w:lang w:val="en-US"/>
                    </w:rPr>
                    <w:t>€ 5,000,000 - &lt; € 15,000,000</w:t>
                  </w:r>
                </w:p>
              </w:tc>
            </w:tr>
            <w:tr w:rsidR="00330725" w:rsidTr="00330725">
              <w:tc>
                <w:tcPr>
                  <w:tcW w:w="2013" w:type="dxa"/>
                </w:tcPr>
                <w:p w:rsidR="00330725" w:rsidRDefault="00330725" w:rsidP="00330725">
                  <w:pPr>
                    <w:rPr>
                      <w:lang w:val="en-US"/>
                    </w:rPr>
                  </w:pPr>
                  <w:r>
                    <w:rPr>
                      <w:lang w:val="en-US"/>
                    </w:rPr>
                    <w:t>Very large</w:t>
                  </w:r>
                </w:p>
              </w:tc>
              <w:tc>
                <w:tcPr>
                  <w:tcW w:w="3482" w:type="dxa"/>
                </w:tcPr>
                <w:p w:rsidR="00330725" w:rsidRDefault="00330725" w:rsidP="00330725">
                  <w:pPr>
                    <w:rPr>
                      <w:lang w:val="en-US"/>
                    </w:rPr>
                  </w:pPr>
                  <w:r>
                    <w:rPr>
                      <w:lang w:val="en-US"/>
                    </w:rPr>
                    <w:t>&gt; € 15,000,000</w:t>
                  </w:r>
                </w:p>
              </w:tc>
            </w:tr>
          </w:tbl>
          <w:p w:rsidR="00330725" w:rsidRDefault="00330725" w:rsidP="00330725">
            <w:pPr>
              <w:spacing w:line="360" w:lineRule="auto"/>
              <w:cnfStyle w:val="000000010000"/>
              <w:rPr>
                <w:lang w:val="en-US"/>
              </w:rPr>
            </w:pPr>
          </w:p>
        </w:tc>
      </w:tr>
      <w:tr w:rsidR="00621666" w:rsidRPr="002C07A4" w:rsidTr="00330725">
        <w:trPr>
          <w:cnfStyle w:val="000000100000"/>
        </w:trPr>
        <w:tc>
          <w:tcPr>
            <w:cnfStyle w:val="001000000000"/>
            <w:tcW w:w="2235" w:type="dxa"/>
          </w:tcPr>
          <w:p w:rsidR="00621666" w:rsidRDefault="00621666" w:rsidP="006C5E8D">
            <w:pPr>
              <w:spacing w:line="360" w:lineRule="auto"/>
              <w:rPr>
                <w:lang w:val="en-US"/>
              </w:rPr>
            </w:pPr>
            <w:r>
              <w:rPr>
                <w:lang w:val="en-US"/>
              </w:rPr>
              <w:t>Category</w:t>
            </w:r>
          </w:p>
        </w:tc>
        <w:tc>
          <w:tcPr>
            <w:tcW w:w="6945" w:type="dxa"/>
          </w:tcPr>
          <w:p w:rsidR="00621666" w:rsidRDefault="00621666" w:rsidP="006C5E8D">
            <w:pPr>
              <w:spacing w:line="360" w:lineRule="auto"/>
              <w:cnfStyle w:val="000000100000"/>
              <w:rPr>
                <w:lang w:val="en-US"/>
              </w:rPr>
            </w:pPr>
            <w:r>
              <w:rPr>
                <w:lang w:val="en-US"/>
              </w:rPr>
              <w:t>Controls for focus area of the charity divided over 4 different categories</w:t>
            </w:r>
            <w:r w:rsidR="00330725">
              <w:rPr>
                <w:lang w:val="en-US"/>
              </w:rPr>
              <w:t xml:space="preserve"> as seen in section II</w:t>
            </w:r>
          </w:p>
        </w:tc>
      </w:tr>
      <w:tr w:rsidR="00621666" w:rsidRPr="002C07A4" w:rsidTr="00330725">
        <w:trPr>
          <w:cnfStyle w:val="000000010000"/>
        </w:trPr>
        <w:tc>
          <w:tcPr>
            <w:cnfStyle w:val="001000000000"/>
            <w:tcW w:w="2235" w:type="dxa"/>
          </w:tcPr>
          <w:p w:rsidR="00621666" w:rsidRDefault="00621666" w:rsidP="006C5E8D">
            <w:pPr>
              <w:spacing w:line="360" w:lineRule="auto"/>
              <w:rPr>
                <w:lang w:val="en-US"/>
              </w:rPr>
            </w:pPr>
            <w:r>
              <w:rPr>
                <w:lang w:val="en-US"/>
              </w:rPr>
              <w:t>(inter)National</w:t>
            </w:r>
          </w:p>
        </w:tc>
        <w:tc>
          <w:tcPr>
            <w:tcW w:w="6945" w:type="dxa"/>
          </w:tcPr>
          <w:p w:rsidR="00621666" w:rsidRDefault="00621666" w:rsidP="006C5E8D">
            <w:pPr>
              <w:spacing w:line="360" w:lineRule="auto"/>
              <w:cnfStyle w:val="000000010000"/>
              <w:rPr>
                <w:lang w:val="en-US"/>
              </w:rPr>
            </w:pPr>
            <w:r>
              <w:rPr>
                <w:lang w:val="en-US"/>
              </w:rPr>
              <w:t>Dummy variable to denote if the charities focus is national or international, 1 = international ; 0 = national</w:t>
            </w:r>
          </w:p>
        </w:tc>
      </w:tr>
    </w:tbl>
    <w:p w:rsidR="00417A93" w:rsidRDefault="002800DD" w:rsidP="007D793F">
      <w:pPr>
        <w:spacing w:line="360" w:lineRule="auto"/>
        <w:rPr>
          <w:lang w:val="en-US"/>
        </w:rPr>
      </w:pPr>
      <w:r w:rsidRPr="002800DD">
        <w:rPr>
          <w:noProof/>
          <w:lang w:val="en-US"/>
        </w:rPr>
        <w:pict>
          <v:shape id="_x0000_s1035" type="#_x0000_t202" style="position:absolute;margin-left:395.8pt;margin-top:3.5pt;width:51.9pt;height:20.65pt;z-index:251668480;mso-height-percent:200;mso-position-horizontal-relative:text;mso-position-vertical-relative:text;mso-height-percent:200;mso-width-relative:margin;mso-height-relative:margin" stroked="f">
            <v:textbox style="mso-next-textbox:#_x0000_s1035;mso-fit-shape-to-text:t">
              <w:txbxContent>
                <w:p w:rsidR="002C07A4" w:rsidRPr="00184F04" w:rsidRDefault="002C07A4">
                  <w:pPr>
                    <w:rPr>
                      <w:i/>
                    </w:rPr>
                  </w:pPr>
                  <w:r w:rsidRPr="00184F04">
                    <w:rPr>
                      <w:i/>
                    </w:rPr>
                    <w:t>Table 2</w:t>
                  </w:r>
                </w:p>
              </w:txbxContent>
            </v:textbox>
          </v:shape>
        </w:pict>
      </w:r>
    </w:p>
    <w:p w:rsidR="007E0F33" w:rsidRDefault="007E0F33" w:rsidP="003618C4">
      <w:pPr>
        <w:spacing w:line="360" w:lineRule="auto"/>
        <w:jc w:val="both"/>
        <w:rPr>
          <w:lang w:val="en-US"/>
        </w:rPr>
      </w:pPr>
    </w:p>
    <w:p w:rsidR="00E66AE7" w:rsidRDefault="002749A8" w:rsidP="003618C4">
      <w:pPr>
        <w:spacing w:line="360" w:lineRule="auto"/>
        <w:jc w:val="both"/>
        <w:rPr>
          <w:lang w:val="en-US"/>
        </w:rPr>
      </w:pPr>
      <w:r>
        <w:rPr>
          <w:lang w:val="en-US"/>
        </w:rPr>
        <w:t xml:space="preserve">As </w:t>
      </w:r>
      <w:r w:rsidRPr="00DE4383">
        <w:rPr>
          <w:lang w:val="en-US"/>
        </w:rPr>
        <w:t>mentioned in section III.1</w:t>
      </w:r>
      <w:r>
        <w:rPr>
          <w:lang w:val="en-US"/>
        </w:rPr>
        <w:t xml:space="preserve"> organizations with the legal form of a</w:t>
      </w:r>
      <w:r w:rsidR="003E7EB3">
        <w:rPr>
          <w:lang w:val="en-US"/>
        </w:rPr>
        <w:t>n</w:t>
      </w:r>
      <w:r>
        <w:rPr>
          <w:lang w:val="en-US"/>
        </w:rPr>
        <w:t xml:space="preserve"> association are by law required to hold annual meetings where the members have the final responsibility to supervise the </w:t>
      </w:r>
      <w:r w:rsidR="00621666">
        <w:rPr>
          <w:lang w:val="en-US"/>
        </w:rPr>
        <w:t>organization</w:t>
      </w:r>
      <w:r>
        <w:rPr>
          <w:lang w:val="en-US"/>
        </w:rPr>
        <w:t>. As such, the legal form is used as a measure of internal governance.</w:t>
      </w:r>
      <w:r w:rsidR="00561886">
        <w:rPr>
          <w:lang w:val="en-US"/>
        </w:rPr>
        <w:t xml:space="preserve"> </w:t>
      </w:r>
      <w:r w:rsidR="00E66AE7">
        <w:rPr>
          <w:lang w:val="en-US"/>
        </w:rPr>
        <w:t>Similarly, the existence of a</w:t>
      </w:r>
      <w:r w:rsidR="00D86175">
        <w:rPr>
          <w:lang w:val="en-US"/>
        </w:rPr>
        <w:t>n</w:t>
      </w:r>
      <w:r w:rsidR="00E66AE7">
        <w:rPr>
          <w:lang w:val="en-US"/>
        </w:rPr>
        <w:t xml:space="preserve"> advisory council should mean that </w:t>
      </w:r>
      <w:r w:rsidR="00424EED">
        <w:rPr>
          <w:lang w:val="en-US"/>
        </w:rPr>
        <w:t>the board gets advise before making decision</w:t>
      </w:r>
      <w:r w:rsidR="00D86175">
        <w:rPr>
          <w:lang w:val="en-US"/>
        </w:rPr>
        <w:t>s</w:t>
      </w:r>
      <w:r w:rsidR="00424EED">
        <w:rPr>
          <w:lang w:val="en-US"/>
        </w:rPr>
        <w:t>, thus providing a form of internal governance.</w:t>
      </w:r>
    </w:p>
    <w:p w:rsidR="002749A8" w:rsidRDefault="002749A8" w:rsidP="003618C4">
      <w:pPr>
        <w:spacing w:line="360" w:lineRule="auto"/>
        <w:jc w:val="both"/>
        <w:rPr>
          <w:lang w:val="en-US"/>
        </w:rPr>
      </w:pPr>
      <w:r w:rsidRPr="00DE4383">
        <w:rPr>
          <w:lang w:val="en-US"/>
        </w:rPr>
        <w:t xml:space="preserve">CBF certification and VFI membership are both direct forms of external governance, </w:t>
      </w:r>
      <w:r w:rsidR="00475A85" w:rsidRPr="00DE4383">
        <w:rPr>
          <w:lang w:val="en-US"/>
        </w:rPr>
        <w:t xml:space="preserve">as mentioned in section II.2 </w:t>
      </w:r>
      <w:r w:rsidR="00D86175">
        <w:rPr>
          <w:lang w:val="en-US"/>
        </w:rPr>
        <w:t>CBF certification</w:t>
      </w:r>
      <w:r w:rsidR="00475A85">
        <w:rPr>
          <w:lang w:val="en-US"/>
        </w:rPr>
        <w:t xml:space="preserve"> or VFI</w:t>
      </w:r>
      <w:r w:rsidR="00D86175">
        <w:rPr>
          <w:lang w:val="en-US"/>
        </w:rPr>
        <w:t xml:space="preserve"> membership</w:t>
      </w:r>
      <w:r w:rsidR="00475A85">
        <w:rPr>
          <w:lang w:val="en-US"/>
        </w:rPr>
        <w:t xml:space="preserve"> means that you </w:t>
      </w:r>
      <w:r w:rsidR="00D86175">
        <w:rPr>
          <w:lang w:val="en-US"/>
        </w:rPr>
        <w:t>comply with externally monitored</w:t>
      </w:r>
      <w:r w:rsidR="00475A85">
        <w:rPr>
          <w:lang w:val="en-US"/>
        </w:rPr>
        <w:t xml:space="preserve"> governance standards. As not all CBF certified charities are  also VFI members they are both included as external governance variables.</w:t>
      </w:r>
      <w:r w:rsidR="003618C4">
        <w:rPr>
          <w:lang w:val="en-US"/>
        </w:rPr>
        <w:t xml:space="preserve"> </w:t>
      </w:r>
      <w:r w:rsidR="00CC3FCD">
        <w:rPr>
          <w:lang w:val="en-US"/>
        </w:rPr>
        <w:t xml:space="preserve">Furthermore, it should be noted that being a VFI member can also proxy for size, as generally only the bigger charities are a member of the VFI. </w:t>
      </w:r>
      <w:r w:rsidR="00475A85">
        <w:rPr>
          <w:lang w:val="en-US"/>
        </w:rPr>
        <w:t>Another external governance variable is the level of financial oversight</w:t>
      </w:r>
      <w:r w:rsidR="00D86175">
        <w:rPr>
          <w:lang w:val="en-US"/>
        </w:rPr>
        <w:t>.</w:t>
      </w:r>
      <w:r w:rsidR="00475A85">
        <w:rPr>
          <w:lang w:val="en-US"/>
        </w:rPr>
        <w:t xml:space="preserve"> </w:t>
      </w:r>
      <w:r w:rsidR="00D86175">
        <w:rPr>
          <w:lang w:val="en-US"/>
        </w:rPr>
        <w:t>T</w:t>
      </w:r>
      <w:r w:rsidR="00E04C3E">
        <w:rPr>
          <w:lang w:val="en-US"/>
        </w:rPr>
        <w:t>he CBF distinguishes between 5 levels of financial oversight</w:t>
      </w:r>
      <w:r w:rsidR="006F3A24">
        <w:rPr>
          <w:lang w:val="en-US"/>
        </w:rPr>
        <w:t xml:space="preserve"> by accountants</w:t>
      </w:r>
      <w:r w:rsidR="00E04C3E">
        <w:rPr>
          <w:lang w:val="en-US"/>
        </w:rPr>
        <w:t xml:space="preserve"> or no oversight at all. </w:t>
      </w:r>
    </w:p>
    <w:p w:rsidR="00475A85" w:rsidRDefault="00475A85" w:rsidP="007D793F">
      <w:pPr>
        <w:spacing w:line="360" w:lineRule="auto"/>
        <w:rPr>
          <w:lang w:val="en-US"/>
        </w:rPr>
      </w:pPr>
    </w:p>
    <w:p w:rsidR="00621666" w:rsidRDefault="00D86175" w:rsidP="00621666">
      <w:pPr>
        <w:spacing w:line="360" w:lineRule="auto"/>
        <w:jc w:val="both"/>
        <w:rPr>
          <w:lang w:val="en-US"/>
        </w:rPr>
      </w:pPr>
      <w:r>
        <w:rPr>
          <w:lang w:val="en-US"/>
        </w:rPr>
        <w:t>A</w:t>
      </w:r>
      <w:r w:rsidR="00621666">
        <w:rPr>
          <w:lang w:val="en-US"/>
        </w:rPr>
        <w:t xml:space="preserve">s seen in section IV.3 board members do play an active role in fundraising, as such its included in the dataset. The number of executives </w:t>
      </w:r>
      <w:r w:rsidR="00A62440">
        <w:rPr>
          <w:lang w:val="en-US"/>
        </w:rPr>
        <w:t>can be used to proxy for size and professionalism of the organization.</w:t>
      </w:r>
    </w:p>
    <w:p w:rsidR="00621666" w:rsidRDefault="00621666" w:rsidP="007D793F">
      <w:pPr>
        <w:spacing w:line="360" w:lineRule="auto"/>
        <w:rPr>
          <w:lang w:val="en-US"/>
        </w:rPr>
      </w:pPr>
    </w:p>
    <w:p w:rsidR="00E73AFC" w:rsidRPr="00EC0466" w:rsidRDefault="00D86175" w:rsidP="007F22E4">
      <w:pPr>
        <w:spacing w:line="360" w:lineRule="auto"/>
        <w:jc w:val="both"/>
        <w:rPr>
          <w:lang w:val="en-US"/>
        </w:rPr>
      </w:pPr>
      <w:r>
        <w:rPr>
          <w:lang w:val="en-US"/>
        </w:rPr>
        <w:t>‘</w:t>
      </w:r>
      <w:r w:rsidR="00A96576" w:rsidRPr="00EC0466">
        <w:rPr>
          <w:lang w:val="en-US"/>
        </w:rPr>
        <w:t>Size</w:t>
      </w:r>
      <w:r>
        <w:rPr>
          <w:lang w:val="en-US"/>
        </w:rPr>
        <w:t>’</w:t>
      </w:r>
      <w:r w:rsidR="00A96576" w:rsidRPr="00EC0466">
        <w:rPr>
          <w:lang w:val="en-US"/>
        </w:rPr>
        <w:t xml:space="preserve">, </w:t>
      </w:r>
      <w:r>
        <w:rPr>
          <w:lang w:val="en-US"/>
        </w:rPr>
        <w:t>‘</w:t>
      </w:r>
      <w:r w:rsidR="00A96576" w:rsidRPr="00EC0466">
        <w:rPr>
          <w:lang w:val="en-US"/>
        </w:rPr>
        <w:t>category</w:t>
      </w:r>
      <w:r>
        <w:rPr>
          <w:lang w:val="en-US"/>
        </w:rPr>
        <w:t>’</w:t>
      </w:r>
      <w:r w:rsidR="00A96576" w:rsidRPr="00EC0466">
        <w:rPr>
          <w:lang w:val="en-US"/>
        </w:rPr>
        <w:t xml:space="preserve"> and </w:t>
      </w:r>
      <w:r>
        <w:rPr>
          <w:lang w:val="en-US"/>
        </w:rPr>
        <w:t>‘</w:t>
      </w:r>
      <w:r w:rsidR="00A96576" w:rsidRPr="00EC0466">
        <w:rPr>
          <w:lang w:val="en-US"/>
        </w:rPr>
        <w:t>international</w:t>
      </w:r>
      <w:r>
        <w:rPr>
          <w:lang w:val="en-US"/>
        </w:rPr>
        <w:t>’</w:t>
      </w:r>
      <w:r w:rsidR="00A96576" w:rsidRPr="00EC0466">
        <w:rPr>
          <w:lang w:val="en-US"/>
        </w:rPr>
        <w:t xml:space="preserve"> are used to control for organization specific characteristics.</w:t>
      </w:r>
      <w:r w:rsidR="00E73AFC" w:rsidRPr="00EC0466">
        <w:rPr>
          <w:lang w:val="en-US"/>
        </w:rPr>
        <w:t xml:space="preserve"> </w:t>
      </w:r>
      <w:r w:rsidR="007F22E4" w:rsidRPr="00EC0466">
        <w:rPr>
          <w:lang w:val="en-US"/>
        </w:rPr>
        <w:t>T</w:t>
      </w:r>
      <w:r w:rsidR="00E73AFC" w:rsidRPr="00EC0466">
        <w:rPr>
          <w:lang w:val="en-US"/>
        </w:rPr>
        <w:t>inkelman (1996) suggests that larger and better established organizations will operate more efficie</w:t>
      </w:r>
      <w:r>
        <w:rPr>
          <w:lang w:val="en-US"/>
        </w:rPr>
        <w:t>ntly than smaller organizations.</w:t>
      </w:r>
      <w:r w:rsidR="00E73AFC" w:rsidRPr="00EC0466">
        <w:rPr>
          <w:lang w:val="en-US"/>
        </w:rPr>
        <w:t xml:space="preserve"> </w:t>
      </w:r>
      <w:r>
        <w:rPr>
          <w:lang w:val="en-US"/>
        </w:rPr>
        <w:t>I</w:t>
      </w:r>
      <w:r w:rsidR="00E73AFC" w:rsidRPr="00EC0466">
        <w:rPr>
          <w:lang w:val="en-US"/>
        </w:rPr>
        <w:t>t is thus important to control for size. Size</w:t>
      </w:r>
      <w:r w:rsidR="007F22E4" w:rsidRPr="00EC0466">
        <w:rPr>
          <w:lang w:val="en-US"/>
        </w:rPr>
        <w:t xml:space="preserve"> can be proxied either by using dummy variables dividing the charities into classes based </w:t>
      </w:r>
      <w:r>
        <w:rPr>
          <w:lang w:val="en-US"/>
        </w:rPr>
        <w:t>o</w:t>
      </w:r>
      <w:r w:rsidR="007F22E4" w:rsidRPr="00EC0466">
        <w:rPr>
          <w:lang w:val="en-US"/>
        </w:rPr>
        <w:t>n income or by looking at the number of executives</w:t>
      </w:r>
      <w:r w:rsidR="00E73AFC" w:rsidRPr="00EC0466">
        <w:rPr>
          <w:lang w:val="en-US"/>
        </w:rPr>
        <w:t>.</w:t>
      </w:r>
    </w:p>
    <w:p w:rsidR="00E73AFC" w:rsidRDefault="00E73AFC" w:rsidP="007F22E4">
      <w:pPr>
        <w:spacing w:line="360" w:lineRule="auto"/>
        <w:jc w:val="both"/>
        <w:rPr>
          <w:lang w:val="en-US"/>
        </w:rPr>
      </w:pPr>
      <w:r w:rsidRPr="00EC0466">
        <w:rPr>
          <w:lang w:val="en-US"/>
        </w:rPr>
        <w:t>In line with Callen, Klein and Tinkelman (2003)</w:t>
      </w:r>
      <w:r w:rsidRPr="00EE270C">
        <w:rPr>
          <w:lang w:val="en-US"/>
        </w:rPr>
        <w:t xml:space="preserve"> I </w:t>
      </w:r>
      <w:r w:rsidR="00D86175">
        <w:rPr>
          <w:lang w:val="en-US"/>
        </w:rPr>
        <w:t>also</w:t>
      </w:r>
      <w:r w:rsidRPr="00EE270C">
        <w:rPr>
          <w:lang w:val="en-US"/>
        </w:rPr>
        <w:t xml:space="preserve"> control for operational category as it can be expected that different categories of focus have different efficiency</w:t>
      </w:r>
      <w:r>
        <w:rPr>
          <w:lang w:val="en-US"/>
        </w:rPr>
        <w:t xml:space="preserve"> levels, these categories are the same as seen </w:t>
      </w:r>
      <w:r w:rsidRPr="00DE4383">
        <w:rPr>
          <w:lang w:val="en-US"/>
        </w:rPr>
        <w:t>in section II.1. One other</w:t>
      </w:r>
      <w:r>
        <w:rPr>
          <w:lang w:val="en-US"/>
        </w:rPr>
        <w:t xml:space="preserve"> control variable I include is whether the focus is abroad or within The Netherlands as I expect that charities operating abroad might be less efficient.</w:t>
      </w:r>
    </w:p>
    <w:p w:rsidR="00B83DFE" w:rsidRDefault="00B83DFE">
      <w:pPr>
        <w:rPr>
          <w:rFonts w:asciiTheme="majorHAnsi" w:eastAsiaTheme="majorEastAsia" w:hAnsiTheme="majorHAnsi" w:cstheme="majorBidi"/>
          <w:b/>
          <w:bCs/>
          <w:color w:val="4F81BD" w:themeColor="accent1"/>
          <w:sz w:val="26"/>
          <w:szCs w:val="26"/>
          <w:lang w:val="en-US"/>
        </w:rPr>
      </w:pPr>
      <w:r>
        <w:rPr>
          <w:lang w:val="en-US"/>
        </w:rPr>
        <w:br w:type="page"/>
      </w:r>
    </w:p>
    <w:p w:rsidR="00F139A5" w:rsidRPr="00B16ECE" w:rsidRDefault="00F139A5" w:rsidP="00F139A5">
      <w:pPr>
        <w:pStyle w:val="Heading2"/>
        <w:spacing w:before="120" w:line="360" w:lineRule="auto"/>
        <w:rPr>
          <w:lang w:val="en-US"/>
        </w:rPr>
      </w:pPr>
      <w:bookmarkStart w:id="20" w:name="_Toc299180705"/>
      <w:r w:rsidRPr="00B16ECE">
        <w:rPr>
          <w:lang w:val="en-US"/>
        </w:rPr>
        <w:t>V.</w:t>
      </w:r>
      <w:r w:rsidR="00C766A2">
        <w:rPr>
          <w:lang w:val="en-US"/>
        </w:rPr>
        <w:t>2</w:t>
      </w:r>
      <w:r w:rsidRPr="00B16ECE">
        <w:rPr>
          <w:lang w:val="en-US"/>
        </w:rPr>
        <w:tab/>
        <w:t>Descriptive statistics</w:t>
      </w:r>
      <w:bookmarkEnd w:id="20"/>
    </w:p>
    <w:p w:rsidR="00F139A5" w:rsidRPr="00DE4383" w:rsidRDefault="00D17DB4" w:rsidP="00A62440">
      <w:pPr>
        <w:spacing w:line="360" w:lineRule="auto"/>
        <w:jc w:val="both"/>
        <w:rPr>
          <w:lang w:val="en-US"/>
        </w:rPr>
      </w:pPr>
      <w:r>
        <w:rPr>
          <w:lang w:val="en-US"/>
        </w:rPr>
        <w:t>Before modeling with the data</w:t>
      </w:r>
      <w:r w:rsidR="004E5C6E">
        <w:rPr>
          <w:lang w:val="en-US"/>
        </w:rPr>
        <w:t xml:space="preserve"> it’s important to know </w:t>
      </w:r>
      <w:r w:rsidR="00652C7A">
        <w:rPr>
          <w:lang w:val="en-US"/>
        </w:rPr>
        <w:t>the characteristics of the data. This section will show tables, graphs and cross-tables</w:t>
      </w:r>
      <w:r w:rsidR="00945F69">
        <w:rPr>
          <w:lang w:val="en-US"/>
        </w:rPr>
        <w:t xml:space="preserve">, giving some more details and understanding of the </w:t>
      </w:r>
      <w:r w:rsidR="00CC3FCD">
        <w:rPr>
          <w:lang w:val="en-US"/>
        </w:rPr>
        <w:t>data.</w:t>
      </w:r>
      <w:r>
        <w:rPr>
          <w:lang w:val="en-US"/>
        </w:rPr>
        <w:t xml:space="preserve"> Various </w:t>
      </w:r>
      <w:r w:rsidR="0028738F">
        <w:rPr>
          <w:lang w:val="en-US"/>
        </w:rPr>
        <w:t>SPSS</w:t>
      </w:r>
      <w:r w:rsidR="00B83DFE">
        <w:rPr>
          <w:lang w:val="en-US"/>
        </w:rPr>
        <w:t xml:space="preserve"> and excel</w:t>
      </w:r>
      <w:r w:rsidR="0028738F">
        <w:rPr>
          <w:lang w:val="en-US"/>
        </w:rPr>
        <w:t xml:space="preserve"> data </w:t>
      </w:r>
      <w:r>
        <w:rPr>
          <w:lang w:val="en-US"/>
        </w:rPr>
        <w:t xml:space="preserve">tables can be </w:t>
      </w:r>
      <w:r w:rsidRPr="00DE4383">
        <w:rPr>
          <w:lang w:val="en-US"/>
        </w:rPr>
        <w:t>found in appendix 4.</w:t>
      </w:r>
    </w:p>
    <w:p w:rsidR="00D17DB4" w:rsidRPr="00DE4383" w:rsidRDefault="00D17DB4" w:rsidP="007D793F">
      <w:pPr>
        <w:spacing w:line="360" w:lineRule="auto"/>
        <w:rPr>
          <w:lang w:val="en-US"/>
        </w:rPr>
      </w:pPr>
    </w:p>
    <w:p w:rsidR="00AF11F9" w:rsidRDefault="00AF11F9" w:rsidP="00936F62">
      <w:pPr>
        <w:spacing w:line="360" w:lineRule="auto"/>
        <w:jc w:val="both"/>
        <w:rPr>
          <w:lang w:val="en-US"/>
        </w:rPr>
      </w:pPr>
      <w:r w:rsidRPr="00DE4383">
        <w:rPr>
          <w:lang w:val="en-US"/>
        </w:rPr>
        <w:t>When looking at the size of charities, measured by total revenues</w:t>
      </w:r>
      <w:r w:rsidR="007D133F" w:rsidRPr="00DE4383">
        <w:rPr>
          <w:lang w:val="en-US"/>
        </w:rPr>
        <w:t>,</w:t>
      </w:r>
      <w:r w:rsidRPr="00DE4383">
        <w:rPr>
          <w:lang w:val="en-US"/>
        </w:rPr>
        <w:t xml:space="preserve"> divided over several classes we get the following picture, as in table </w:t>
      </w:r>
      <w:r w:rsidR="00184F04" w:rsidRPr="00DE4383">
        <w:rPr>
          <w:lang w:val="en-US"/>
        </w:rPr>
        <w:t>3</w:t>
      </w:r>
      <w:r w:rsidR="00F76E81" w:rsidRPr="00DE4383">
        <w:rPr>
          <w:lang w:val="en-US"/>
        </w:rPr>
        <w:t xml:space="preserve"> below</w:t>
      </w:r>
      <w:r w:rsidRPr="00DE4383">
        <w:rPr>
          <w:lang w:val="en-US"/>
        </w:rPr>
        <w:t>.</w:t>
      </w:r>
      <w:r>
        <w:rPr>
          <w:lang w:val="en-US"/>
        </w:rPr>
        <w:t xml:space="preserve"> </w:t>
      </w:r>
    </w:p>
    <w:p w:rsidR="002862F6" w:rsidRDefault="002800DD" w:rsidP="00936F62">
      <w:pPr>
        <w:spacing w:line="360" w:lineRule="auto"/>
        <w:jc w:val="center"/>
        <w:rPr>
          <w:lang w:val="en-US"/>
        </w:rPr>
      </w:pPr>
      <w:r w:rsidRPr="002800DD">
        <w:rPr>
          <w:noProof/>
          <w:highlight w:val="yellow"/>
          <w:lang w:val="en-US"/>
        </w:rPr>
        <w:pict>
          <v:shape id="_x0000_s1036" type="#_x0000_t202" style="position:absolute;left:0;text-align:left;margin-left:383.35pt;margin-top:108.3pt;width:49.15pt;height:20.65pt;z-index:251670528;mso-height-percent:200;mso-height-percent:200;mso-width-relative:margin;mso-height-relative:margin" stroked="f">
            <v:textbox style="mso-fit-shape-to-text:t">
              <w:txbxContent>
                <w:p w:rsidR="002C07A4" w:rsidRPr="0078552F" w:rsidRDefault="002C07A4">
                  <w:pPr>
                    <w:rPr>
                      <w:i/>
                      <w:lang w:val="en-US"/>
                    </w:rPr>
                  </w:pPr>
                  <w:r w:rsidRPr="0078552F">
                    <w:rPr>
                      <w:i/>
                      <w:lang w:val="en-US"/>
                    </w:rPr>
                    <w:t>Table 3</w:t>
                  </w:r>
                </w:p>
              </w:txbxContent>
            </v:textbox>
          </v:shape>
        </w:pict>
      </w:r>
      <w:r w:rsidR="002862F6" w:rsidRPr="002862F6">
        <w:rPr>
          <w:noProof/>
          <w:lang w:eastAsia="nl-NL"/>
        </w:rPr>
        <w:drawing>
          <wp:inline distT="0" distB="0" distL="0" distR="0">
            <wp:extent cx="4572000" cy="1552575"/>
            <wp:effectExtent l="1905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572000" cy="1552575"/>
                    </a:xfrm>
                    <a:prstGeom prst="rect">
                      <a:avLst/>
                    </a:prstGeom>
                    <a:noFill/>
                    <a:ln w="9525">
                      <a:noFill/>
                      <a:miter lim="800000"/>
                      <a:headEnd/>
                      <a:tailEnd/>
                    </a:ln>
                  </pic:spPr>
                </pic:pic>
              </a:graphicData>
            </a:graphic>
          </wp:inline>
        </w:drawing>
      </w:r>
    </w:p>
    <w:p w:rsidR="002862F6" w:rsidRPr="00DE4383" w:rsidRDefault="00AF11F9" w:rsidP="00936F62">
      <w:pPr>
        <w:spacing w:line="360" w:lineRule="auto"/>
        <w:jc w:val="both"/>
        <w:rPr>
          <w:lang w:val="en-US"/>
        </w:rPr>
      </w:pPr>
      <w:r>
        <w:rPr>
          <w:lang w:val="en-US"/>
        </w:rPr>
        <w:t>Wh</w:t>
      </w:r>
      <w:r w:rsidR="00D86175">
        <w:rPr>
          <w:lang w:val="en-US"/>
        </w:rPr>
        <w:t>ile</w:t>
      </w:r>
      <w:r>
        <w:rPr>
          <w:lang w:val="en-US"/>
        </w:rPr>
        <w:t xml:space="preserve"> the smallest charity in the dataset has just € 468,- in revenues, the largest has over € 278 million in revenues.</w:t>
      </w:r>
      <w:r w:rsidR="00B2201C">
        <w:rPr>
          <w:lang w:val="en-US"/>
        </w:rPr>
        <w:t xml:space="preserve"> The average revenue is around €4,6 million</w:t>
      </w:r>
      <w:r w:rsidR="009C6A7D">
        <w:rPr>
          <w:lang w:val="en-US"/>
        </w:rPr>
        <w:t>, with a median of around €260.000</w:t>
      </w:r>
      <w:r w:rsidR="00B2201C">
        <w:rPr>
          <w:lang w:val="en-US"/>
        </w:rPr>
        <w:t>.</w:t>
      </w:r>
      <w:r>
        <w:rPr>
          <w:lang w:val="en-US"/>
        </w:rPr>
        <w:t xml:space="preserve"> We see that almost 60% of the charities have </w:t>
      </w:r>
      <w:r w:rsidRPr="00DE4383">
        <w:rPr>
          <w:lang w:val="en-US"/>
        </w:rPr>
        <w:t>revenues smaller the € 500,000,-.</w:t>
      </w:r>
    </w:p>
    <w:p w:rsidR="00961635" w:rsidRDefault="00961635" w:rsidP="00936F62">
      <w:pPr>
        <w:spacing w:line="360" w:lineRule="auto"/>
        <w:jc w:val="both"/>
        <w:rPr>
          <w:lang w:val="en-US"/>
        </w:rPr>
      </w:pPr>
    </w:p>
    <w:p w:rsidR="00AF11F9" w:rsidRDefault="00936F62" w:rsidP="00936F62">
      <w:pPr>
        <w:spacing w:line="360" w:lineRule="auto"/>
        <w:jc w:val="both"/>
        <w:rPr>
          <w:lang w:val="en-US"/>
        </w:rPr>
      </w:pPr>
      <w:r w:rsidRPr="00DE4383">
        <w:rPr>
          <w:lang w:val="en-US"/>
        </w:rPr>
        <w:t xml:space="preserve">The </w:t>
      </w:r>
      <w:r w:rsidR="007D133F" w:rsidRPr="00DE4383">
        <w:rPr>
          <w:lang w:val="en-US"/>
        </w:rPr>
        <w:t>category</w:t>
      </w:r>
      <w:r w:rsidRPr="00DE4383">
        <w:rPr>
          <w:lang w:val="en-US"/>
        </w:rPr>
        <w:t>, or focus</w:t>
      </w:r>
      <w:r w:rsidR="007D133F" w:rsidRPr="00DE4383">
        <w:rPr>
          <w:lang w:val="en-US"/>
        </w:rPr>
        <w:t xml:space="preserve"> of activities,</w:t>
      </w:r>
      <w:r w:rsidRPr="00DE4383">
        <w:rPr>
          <w:lang w:val="en-US"/>
        </w:rPr>
        <w:t xml:space="preserve"> of the charities is shown in table </w:t>
      </w:r>
      <w:r w:rsidR="00184F04" w:rsidRPr="00DE4383">
        <w:rPr>
          <w:lang w:val="en-US"/>
        </w:rPr>
        <w:t>4</w:t>
      </w:r>
      <w:r w:rsidRPr="00DE4383">
        <w:rPr>
          <w:lang w:val="en-US"/>
        </w:rPr>
        <w:t xml:space="preserve"> below</w:t>
      </w:r>
      <w:r>
        <w:rPr>
          <w:lang w:val="en-US"/>
        </w:rPr>
        <w:t xml:space="preserve">. </w:t>
      </w:r>
    </w:p>
    <w:tbl>
      <w:tblPr>
        <w:tblW w:w="596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621"/>
        <w:gridCol w:w="1154"/>
        <w:gridCol w:w="1009"/>
        <w:gridCol w:w="1456"/>
      </w:tblGrid>
      <w:tr w:rsidR="00936F62" w:rsidTr="00936F62">
        <w:trPr>
          <w:cantSplit/>
          <w:tblHeader/>
          <w:jc w:val="cent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6F62" w:rsidRPr="002D0630" w:rsidRDefault="00936F62" w:rsidP="00936F62">
            <w:pPr>
              <w:jc w:val="both"/>
              <w:rPr>
                <w:rFonts w:ascii="Times New Roman" w:hAnsi="Times New Roman" w:cs="Times New Roman"/>
                <w:sz w:val="24"/>
                <w:szCs w:val="24"/>
                <w:lang w:val="en-US"/>
              </w:rPr>
            </w:pPr>
          </w:p>
        </w:tc>
        <w:tc>
          <w:tcPr>
            <w:tcW w:w="16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36F62" w:rsidRPr="002D0630" w:rsidRDefault="00936F62" w:rsidP="00936F62">
            <w:pPr>
              <w:jc w:val="both"/>
              <w:rPr>
                <w:rFonts w:ascii="Times New Roman" w:hAnsi="Times New Roman" w:cs="Times New Roman"/>
                <w:sz w:val="24"/>
                <w:szCs w:val="24"/>
                <w:lang w:val="en-US"/>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36F62" w:rsidRPr="002D0630" w:rsidRDefault="00936F62" w:rsidP="00936F62">
            <w:pPr>
              <w:jc w:val="both"/>
              <w:rPr>
                <w:rFonts w:ascii="Arial" w:hAnsi="Arial" w:cs="Arial"/>
                <w:b/>
                <w:sz w:val="18"/>
                <w:szCs w:val="18"/>
                <w:lang w:val="en-US"/>
              </w:rPr>
            </w:pPr>
            <w:r w:rsidRPr="002D0630">
              <w:rPr>
                <w:rFonts w:ascii="Arial" w:hAnsi="Arial" w:cs="Arial"/>
                <w:b/>
                <w:sz w:val="18"/>
                <w:szCs w:val="18"/>
                <w:lang w:val="en-US"/>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36F62" w:rsidRPr="002D0630" w:rsidRDefault="00936F62" w:rsidP="00936F62">
            <w:pPr>
              <w:jc w:val="both"/>
              <w:rPr>
                <w:rFonts w:ascii="Arial" w:hAnsi="Arial" w:cs="Arial"/>
                <w:b/>
                <w:sz w:val="18"/>
                <w:szCs w:val="18"/>
                <w:lang w:val="en-US"/>
              </w:rPr>
            </w:pPr>
            <w:r w:rsidRPr="002D0630">
              <w:rPr>
                <w:rFonts w:ascii="Arial" w:hAnsi="Arial" w:cs="Arial"/>
                <w:b/>
                <w:sz w:val="18"/>
                <w:szCs w:val="18"/>
                <w:lang w:val="en-US"/>
              </w:rPr>
              <w:t>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6F62" w:rsidRPr="002D0630" w:rsidRDefault="00936F62" w:rsidP="00936F62">
            <w:pPr>
              <w:jc w:val="both"/>
              <w:rPr>
                <w:rFonts w:ascii="Arial" w:hAnsi="Arial" w:cs="Arial"/>
                <w:b/>
                <w:sz w:val="18"/>
                <w:szCs w:val="18"/>
                <w:lang w:val="en-US"/>
              </w:rPr>
            </w:pPr>
            <w:r w:rsidRPr="002D0630">
              <w:rPr>
                <w:rFonts w:ascii="Arial" w:hAnsi="Arial" w:cs="Arial"/>
                <w:b/>
                <w:sz w:val="18"/>
                <w:szCs w:val="18"/>
                <w:lang w:val="en-US"/>
              </w:rPr>
              <w:t>Cumulative Percent</w:t>
            </w:r>
          </w:p>
        </w:tc>
      </w:tr>
      <w:tr w:rsidR="00936F62" w:rsidTr="00936F62">
        <w:trPr>
          <w:cantSplit/>
          <w:tblHeader/>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Valid</w:t>
            </w:r>
          </w:p>
        </w:tc>
        <w:tc>
          <w:tcPr>
            <w:tcW w:w="16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health</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146</w:t>
            </w:r>
          </w:p>
        </w:tc>
        <w:tc>
          <w:tcPr>
            <w:tcW w:w="1009" w:type="dxa"/>
            <w:tcBorders>
              <w:top w:val="single" w:sz="16" w:space="0" w:color="000000"/>
              <w:bottom w:val="nil"/>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18,9</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18,9</w:t>
            </w:r>
          </w:p>
        </w:tc>
      </w:tr>
      <w:tr w:rsidR="00936F62" w:rsidTr="00936F62">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p>
        </w:tc>
        <w:tc>
          <w:tcPr>
            <w:tcW w:w="1621" w:type="dxa"/>
            <w:tcBorders>
              <w:top w:val="nil"/>
              <w:left w:val="nil"/>
              <w:bottom w:val="nil"/>
              <w:right w:val="single" w:sz="16" w:space="0" w:color="000000"/>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international aid</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330</w:t>
            </w:r>
          </w:p>
        </w:tc>
        <w:tc>
          <w:tcPr>
            <w:tcW w:w="1009" w:type="dxa"/>
            <w:tcBorders>
              <w:top w:val="nil"/>
              <w:bottom w:val="nil"/>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42,6</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61,5</w:t>
            </w:r>
          </w:p>
        </w:tc>
      </w:tr>
      <w:tr w:rsidR="00936F62" w:rsidTr="00936F62">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p>
        </w:tc>
        <w:tc>
          <w:tcPr>
            <w:tcW w:w="1621" w:type="dxa"/>
            <w:tcBorders>
              <w:top w:val="nil"/>
              <w:left w:val="nil"/>
              <w:bottom w:val="nil"/>
              <w:right w:val="single" w:sz="16" w:space="0" w:color="000000"/>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nature</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87</w:t>
            </w:r>
          </w:p>
        </w:tc>
        <w:tc>
          <w:tcPr>
            <w:tcW w:w="1009" w:type="dxa"/>
            <w:tcBorders>
              <w:top w:val="nil"/>
              <w:bottom w:val="nil"/>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11,2</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72,7</w:t>
            </w:r>
          </w:p>
        </w:tc>
      </w:tr>
      <w:tr w:rsidR="00936F62" w:rsidTr="00936F62">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p>
        </w:tc>
        <w:tc>
          <w:tcPr>
            <w:tcW w:w="1621" w:type="dxa"/>
            <w:tcBorders>
              <w:top w:val="nil"/>
              <w:left w:val="nil"/>
              <w:bottom w:val="nil"/>
              <w:right w:val="single" w:sz="16" w:space="0" w:color="000000"/>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welfare</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211</w:t>
            </w:r>
          </w:p>
        </w:tc>
        <w:tc>
          <w:tcPr>
            <w:tcW w:w="1009" w:type="dxa"/>
            <w:tcBorders>
              <w:top w:val="nil"/>
              <w:bottom w:val="nil"/>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27,3</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100,0</w:t>
            </w:r>
          </w:p>
        </w:tc>
      </w:tr>
      <w:tr w:rsidR="00936F62" w:rsidTr="00936F62">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p>
        </w:tc>
        <w:tc>
          <w:tcPr>
            <w:tcW w:w="16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774</w:t>
            </w:r>
          </w:p>
        </w:tc>
        <w:tc>
          <w:tcPr>
            <w:tcW w:w="1009" w:type="dxa"/>
            <w:tcBorders>
              <w:top w:val="nil"/>
              <w:bottom w:val="single" w:sz="16" w:space="0" w:color="000000"/>
            </w:tcBorders>
            <w:shd w:val="clear" w:color="auto" w:fill="FFFFFF"/>
            <w:tcMar>
              <w:top w:w="30" w:type="dxa"/>
              <w:left w:w="30" w:type="dxa"/>
              <w:bottom w:w="30" w:type="dxa"/>
              <w:right w:w="30" w:type="dxa"/>
            </w:tcMar>
          </w:tcPr>
          <w:p w:rsidR="00936F62" w:rsidRPr="002D0630" w:rsidRDefault="00936F62" w:rsidP="00936F62">
            <w:pPr>
              <w:jc w:val="both"/>
              <w:rPr>
                <w:rFonts w:ascii="Arial" w:hAnsi="Arial" w:cs="Arial"/>
                <w:sz w:val="18"/>
                <w:szCs w:val="18"/>
                <w:lang w:val="en-US"/>
              </w:rPr>
            </w:pPr>
            <w:r w:rsidRPr="002D0630">
              <w:rPr>
                <w:rFonts w:ascii="Arial" w:hAnsi="Arial" w:cs="Arial"/>
                <w:sz w:val="18"/>
                <w:szCs w:val="18"/>
                <w:lang w:val="en-US"/>
              </w:rPr>
              <w:t>100,0</w:t>
            </w: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36F62" w:rsidRPr="002D0630" w:rsidRDefault="00936F62" w:rsidP="00936F62">
            <w:pPr>
              <w:jc w:val="both"/>
              <w:rPr>
                <w:rFonts w:ascii="Times New Roman" w:hAnsi="Times New Roman" w:cs="Times New Roman"/>
                <w:sz w:val="24"/>
                <w:szCs w:val="24"/>
                <w:lang w:val="en-US"/>
              </w:rPr>
            </w:pPr>
          </w:p>
        </w:tc>
      </w:tr>
    </w:tbl>
    <w:p w:rsidR="00AF11F9" w:rsidRDefault="002800DD" w:rsidP="00936F62">
      <w:pPr>
        <w:spacing w:line="360" w:lineRule="auto"/>
        <w:jc w:val="both"/>
        <w:rPr>
          <w:lang w:val="en-US"/>
        </w:rPr>
      </w:pPr>
      <w:r w:rsidRPr="002800DD">
        <w:rPr>
          <w:noProof/>
          <w:lang w:val="en-US"/>
        </w:rPr>
        <w:pict>
          <v:shape id="_x0000_s1037" type="#_x0000_t202" style="position:absolute;left:0;text-align:left;margin-left:327.2pt;margin-top:-.1pt;width:56.2pt;height:20.65pt;z-index:251672576;mso-height-percent:200;mso-position-horizontal-relative:text;mso-position-vertical-relative:text;mso-height-percent:200;mso-width-relative:margin;mso-height-relative:margin" stroked="f">
            <v:textbox style="mso-fit-shape-to-text:t">
              <w:txbxContent>
                <w:p w:rsidR="002C07A4" w:rsidRPr="00726873" w:rsidRDefault="002C07A4">
                  <w:pPr>
                    <w:rPr>
                      <w:i/>
                      <w:lang w:val="en-US"/>
                    </w:rPr>
                  </w:pPr>
                  <w:r w:rsidRPr="00726873">
                    <w:rPr>
                      <w:i/>
                      <w:lang w:val="en-US"/>
                    </w:rPr>
                    <w:t>Table 4</w:t>
                  </w:r>
                </w:p>
              </w:txbxContent>
            </v:textbox>
          </v:shape>
        </w:pict>
      </w:r>
    </w:p>
    <w:p w:rsidR="00936F62" w:rsidRDefault="00936F62" w:rsidP="00936F62">
      <w:pPr>
        <w:spacing w:line="360" w:lineRule="auto"/>
        <w:jc w:val="both"/>
        <w:rPr>
          <w:lang w:val="en-US"/>
        </w:rPr>
      </w:pPr>
      <w:r>
        <w:rPr>
          <w:lang w:val="en-US"/>
        </w:rPr>
        <w:t>We see that most charities are focusing their effort on international aid, followed by welfare.</w:t>
      </w:r>
      <w:r w:rsidR="00504A7F">
        <w:rPr>
          <w:lang w:val="en-US"/>
        </w:rPr>
        <w:t xml:space="preserve"> In line with this over half of the charities ha</w:t>
      </w:r>
      <w:r w:rsidR="00D86175">
        <w:rPr>
          <w:lang w:val="en-US"/>
        </w:rPr>
        <w:t>ve</w:t>
      </w:r>
      <w:r w:rsidR="00504A7F">
        <w:rPr>
          <w:lang w:val="en-US"/>
        </w:rPr>
        <w:t xml:space="preserve"> an international focus</w:t>
      </w:r>
      <w:r w:rsidR="00F14E5C">
        <w:rPr>
          <w:lang w:val="en-US"/>
        </w:rPr>
        <w:t xml:space="preserve"> (appendix 4a</w:t>
      </w:r>
      <w:r w:rsidR="0028738F">
        <w:rPr>
          <w:lang w:val="en-US"/>
        </w:rPr>
        <w:t>).</w:t>
      </w:r>
    </w:p>
    <w:p w:rsidR="00D17DB4" w:rsidRDefault="00936F62" w:rsidP="005217E2">
      <w:pPr>
        <w:spacing w:line="360" w:lineRule="auto"/>
        <w:jc w:val="both"/>
        <w:rPr>
          <w:lang w:val="en-US"/>
        </w:rPr>
      </w:pPr>
      <w:r>
        <w:rPr>
          <w:lang w:val="en-US"/>
        </w:rPr>
        <w:t>When looking at the individual charities</w:t>
      </w:r>
      <w:r w:rsidR="00E67C7C">
        <w:rPr>
          <w:lang w:val="en-US"/>
        </w:rPr>
        <w:t xml:space="preserve"> we find that 710 charities, or 91.7%, use the legal form of a foundation</w:t>
      </w:r>
      <w:r w:rsidR="00504A7F">
        <w:rPr>
          <w:lang w:val="en-US"/>
        </w:rPr>
        <w:t xml:space="preserve"> (appendix 4</w:t>
      </w:r>
      <w:r w:rsidR="00F14E5C">
        <w:rPr>
          <w:lang w:val="en-US"/>
        </w:rPr>
        <w:t>b</w:t>
      </w:r>
      <w:r w:rsidR="00504A7F">
        <w:rPr>
          <w:lang w:val="en-US"/>
        </w:rPr>
        <w:t>)</w:t>
      </w:r>
      <w:r w:rsidR="00E67C7C">
        <w:rPr>
          <w:lang w:val="en-US"/>
        </w:rPr>
        <w:t xml:space="preserve">. </w:t>
      </w:r>
      <w:r w:rsidR="002862F6">
        <w:rPr>
          <w:lang w:val="en-US"/>
        </w:rPr>
        <w:t>Furthermore we see that just under half (44.4%) of the charities in the dataset are certified by the CBF</w:t>
      </w:r>
      <w:r w:rsidR="00504A7F">
        <w:rPr>
          <w:lang w:val="en-US"/>
        </w:rPr>
        <w:t xml:space="preserve"> (appendix 4</w:t>
      </w:r>
      <w:r w:rsidR="00F14E5C">
        <w:rPr>
          <w:lang w:val="en-US"/>
        </w:rPr>
        <w:t>c</w:t>
      </w:r>
      <w:r w:rsidR="00504A7F">
        <w:rPr>
          <w:lang w:val="en-US"/>
        </w:rPr>
        <w:t>)</w:t>
      </w:r>
      <w:r w:rsidR="00D86175">
        <w:rPr>
          <w:lang w:val="en-US"/>
        </w:rPr>
        <w:t>.</w:t>
      </w:r>
      <w:r w:rsidR="002862F6">
        <w:rPr>
          <w:lang w:val="en-US"/>
        </w:rPr>
        <w:t xml:space="preserve"> </w:t>
      </w:r>
      <w:r w:rsidR="00D86175">
        <w:rPr>
          <w:lang w:val="en-US"/>
        </w:rPr>
        <w:t>T</w:t>
      </w:r>
      <w:r w:rsidR="002862F6">
        <w:rPr>
          <w:lang w:val="en-US"/>
        </w:rPr>
        <w:t xml:space="preserve">his </w:t>
      </w:r>
      <w:r w:rsidR="00D86175">
        <w:rPr>
          <w:lang w:val="en-US"/>
        </w:rPr>
        <w:t>percentage</w:t>
      </w:r>
      <w:r w:rsidR="002862F6">
        <w:rPr>
          <w:lang w:val="en-US"/>
        </w:rPr>
        <w:t xml:space="preserve"> is probably </w:t>
      </w:r>
      <w:r w:rsidR="00D86175">
        <w:rPr>
          <w:lang w:val="en-US"/>
        </w:rPr>
        <w:t>a bit too high when comparing the total charity sector with the dataset.</w:t>
      </w:r>
      <w:r w:rsidR="002862F6">
        <w:rPr>
          <w:lang w:val="en-US"/>
        </w:rPr>
        <w:t xml:space="preserve"> </w:t>
      </w:r>
      <w:r w:rsidR="00D86175">
        <w:rPr>
          <w:lang w:val="en-US"/>
        </w:rPr>
        <w:t>A</w:t>
      </w:r>
      <w:r w:rsidR="002862F6">
        <w:rPr>
          <w:lang w:val="en-US"/>
        </w:rPr>
        <w:t xml:space="preserve">s most of the charities deleted </w:t>
      </w:r>
      <w:r>
        <w:rPr>
          <w:lang w:val="en-US"/>
        </w:rPr>
        <w:t xml:space="preserve">from the dataset </w:t>
      </w:r>
      <w:r w:rsidR="002862F6">
        <w:rPr>
          <w:lang w:val="en-US"/>
        </w:rPr>
        <w:t>due to inadequate data were not CBF certified. Looking at the VFI membership we see that there are 117 VFI members</w:t>
      </w:r>
      <w:r w:rsidR="00504A7F">
        <w:rPr>
          <w:lang w:val="en-US"/>
        </w:rPr>
        <w:t xml:space="preserve"> (appendix 4</w:t>
      </w:r>
      <w:r w:rsidR="00F14E5C">
        <w:rPr>
          <w:lang w:val="en-US"/>
        </w:rPr>
        <w:t>d</w:t>
      </w:r>
      <w:r w:rsidR="00504A7F">
        <w:rPr>
          <w:lang w:val="en-US"/>
        </w:rPr>
        <w:t>)</w:t>
      </w:r>
      <w:r w:rsidR="002862F6">
        <w:rPr>
          <w:lang w:val="en-US"/>
        </w:rPr>
        <w:t xml:space="preserve"> in the dataset. </w:t>
      </w:r>
      <w:r w:rsidR="0028738F">
        <w:rPr>
          <w:lang w:val="en-US"/>
        </w:rPr>
        <w:t>Combining the CBF and VFI variables we see that of the 117 VFI members all but 2 have a CBF certification (appendix 4</w:t>
      </w:r>
      <w:r w:rsidR="003A6CF1">
        <w:rPr>
          <w:lang w:val="en-US"/>
        </w:rPr>
        <w:t>g</w:t>
      </w:r>
      <w:r w:rsidR="0028738F">
        <w:rPr>
          <w:lang w:val="en-US"/>
        </w:rPr>
        <w:t>).</w:t>
      </w:r>
    </w:p>
    <w:p w:rsidR="00B83DFE" w:rsidRDefault="00B83DFE" w:rsidP="005217E2">
      <w:pPr>
        <w:spacing w:line="360" w:lineRule="auto"/>
        <w:jc w:val="both"/>
        <w:rPr>
          <w:lang w:val="en-US"/>
        </w:rPr>
      </w:pPr>
    </w:p>
    <w:p w:rsidR="0046025B" w:rsidRDefault="007D223A" w:rsidP="005217E2">
      <w:pPr>
        <w:spacing w:line="360" w:lineRule="auto"/>
        <w:jc w:val="both"/>
        <w:rPr>
          <w:lang w:val="en-US"/>
        </w:rPr>
      </w:pPr>
      <w:r>
        <w:rPr>
          <w:lang w:val="en-US"/>
        </w:rPr>
        <w:t xml:space="preserve">Looking at the </w:t>
      </w:r>
      <w:r w:rsidRPr="00DE4383">
        <w:rPr>
          <w:lang w:val="en-US"/>
        </w:rPr>
        <w:t>internal organization of charities we see in t</w:t>
      </w:r>
      <w:r w:rsidR="0046025B" w:rsidRPr="00DE4383">
        <w:rPr>
          <w:lang w:val="en-US"/>
        </w:rPr>
        <w:t xml:space="preserve">able </w:t>
      </w:r>
      <w:r w:rsidR="00726873" w:rsidRPr="00DE4383">
        <w:rPr>
          <w:lang w:val="en-US"/>
        </w:rPr>
        <w:t>5</w:t>
      </w:r>
      <w:r w:rsidR="0046025B" w:rsidRPr="00DE4383">
        <w:rPr>
          <w:lang w:val="en-US"/>
        </w:rPr>
        <w:t xml:space="preserve"> the size of the board</w:t>
      </w:r>
      <w:r w:rsidR="00F14E5C" w:rsidRPr="00DE4383">
        <w:rPr>
          <w:lang w:val="en-US"/>
        </w:rPr>
        <w:t xml:space="preserve"> and the number of executives in table </w:t>
      </w:r>
      <w:r w:rsidR="00726873" w:rsidRPr="00DE4383">
        <w:rPr>
          <w:lang w:val="en-US"/>
        </w:rPr>
        <w:t>6</w:t>
      </w:r>
      <w:r w:rsidR="00F14E5C" w:rsidRPr="00DE4383">
        <w:rPr>
          <w:lang w:val="en-US"/>
        </w:rPr>
        <w:t>.</w:t>
      </w:r>
      <w:r w:rsidR="0046025B">
        <w:rPr>
          <w:lang w:val="en-US"/>
        </w:rPr>
        <w:t xml:space="preserve"> </w:t>
      </w:r>
    </w:p>
    <w:p w:rsidR="0046025B" w:rsidRPr="00B16ECE" w:rsidRDefault="002800DD" w:rsidP="002C1229">
      <w:pPr>
        <w:spacing w:line="360" w:lineRule="auto"/>
        <w:jc w:val="center"/>
        <w:rPr>
          <w:lang w:val="en-US"/>
        </w:rPr>
      </w:pPr>
      <w:r w:rsidRPr="002800DD">
        <w:rPr>
          <w:noProof/>
          <w:lang w:val="en-US"/>
        </w:rPr>
        <w:pict>
          <v:shape id="_x0000_s1038" type="#_x0000_t202" style="position:absolute;left:0;text-align:left;margin-left:187.45pt;margin-top:108.4pt;width:271.5pt;height:21.4pt;z-index:251674624;mso-height-percent:200;mso-height-percent:200;mso-width-relative:margin;mso-height-relative:margin" stroked="f">
            <v:textbox style="mso-fit-shape-to-text:t">
              <w:txbxContent>
                <w:p w:rsidR="002C07A4" w:rsidRPr="0078552F" w:rsidRDefault="002C07A4">
                  <w:pPr>
                    <w:rPr>
                      <w:i/>
                      <w:lang w:val="en-US"/>
                    </w:rPr>
                  </w:pPr>
                  <w:r w:rsidRPr="0078552F">
                    <w:rPr>
                      <w:i/>
                      <w:lang w:val="en-US"/>
                    </w:rPr>
                    <w:t>Table 5</w:t>
                  </w:r>
                  <w:r w:rsidRPr="0078552F">
                    <w:rPr>
                      <w:i/>
                      <w:lang w:val="en-US"/>
                    </w:rPr>
                    <w:tab/>
                  </w:r>
                  <w:r w:rsidRPr="0078552F">
                    <w:rPr>
                      <w:i/>
                      <w:lang w:val="en-US"/>
                    </w:rPr>
                    <w:tab/>
                  </w:r>
                  <w:r w:rsidRPr="0078552F">
                    <w:rPr>
                      <w:i/>
                      <w:lang w:val="en-US"/>
                    </w:rPr>
                    <w:tab/>
                  </w:r>
                  <w:r w:rsidRPr="0078552F">
                    <w:rPr>
                      <w:i/>
                      <w:lang w:val="en-US"/>
                    </w:rPr>
                    <w:tab/>
                  </w:r>
                  <w:r w:rsidRPr="0078552F">
                    <w:rPr>
                      <w:i/>
                      <w:lang w:val="en-US"/>
                    </w:rPr>
                    <w:tab/>
                    <w:t xml:space="preserve"> </w:t>
                  </w:r>
                  <w:r w:rsidRPr="0078552F">
                    <w:rPr>
                      <w:i/>
                      <w:lang w:val="en-US"/>
                    </w:rPr>
                    <w:tab/>
                    <w:t xml:space="preserve">    Table 6</w:t>
                  </w:r>
                </w:p>
              </w:txbxContent>
            </v:textbox>
          </v:shape>
        </w:pict>
      </w:r>
      <w:r w:rsidR="00F14E5C" w:rsidRPr="00F14E5C">
        <w:rPr>
          <w:noProof/>
          <w:lang w:eastAsia="nl-NL"/>
        </w:rPr>
        <w:drawing>
          <wp:inline distT="0" distB="0" distL="0" distR="0">
            <wp:extent cx="5667375" cy="1552575"/>
            <wp:effectExtent l="19050" t="0" r="9525"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667375" cy="1552575"/>
                    </a:xfrm>
                    <a:prstGeom prst="rect">
                      <a:avLst/>
                    </a:prstGeom>
                    <a:noFill/>
                    <a:ln w="9525">
                      <a:noFill/>
                      <a:miter lim="800000"/>
                      <a:headEnd/>
                      <a:tailEnd/>
                    </a:ln>
                  </pic:spPr>
                </pic:pic>
              </a:graphicData>
            </a:graphic>
          </wp:inline>
        </w:drawing>
      </w:r>
    </w:p>
    <w:p w:rsidR="00CB41B6" w:rsidRDefault="00CB41B6" w:rsidP="002D0E65">
      <w:pPr>
        <w:spacing w:line="360" w:lineRule="auto"/>
        <w:jc w:val="both"/>
        <w:rPr>
          <w:lang w:val="en-US"/>
        </w:rPr>
      </w:pPr>
    </w:p>
    <w:p w:rsidR="002D0E65" w:rsidRDefault="002D0E65" w:rsidP="002D0E65">
      <w:pPr>
        <w:spacing w:line="360" w:lineRule="auto"/>
        <w:jc w:val="both"/>
        <w:rPr>
          <w:lang w:val="en-US"/>
        </w:rPr>
      </w:pPr>
      <w:r>
        <w:rPr>
          <w:lang w:val="en-US"/>
        </w:rPr>
        <w:t>Most boards have between 0 and 10 members, the biggest board in the dataset however has 25 people. We see that over half the charities have no executives and only 9% have 2 or more. Furthermore, almost 32% of the charities have one or more independent advisory councils (appendix 4e). Looking at the financial oversight (appendix 4</w:t>
      </w:r>
      <w:r w:rsidR="003A6CF1">
        <w:rPr>
          <w:lang w:val="en-US"/>
        </w:rPr>
        <w:t>f)</w:t>
      </w:r>
      <w:r>
        <w:rPr>
          <w:lang w:val="en-US"/>
        </w:rPr>
        <w:t xml:space="preserve"> we see that charities either have no oversight (level 0) or full oversight (level 5), the levels in between are hardly used</w:t>
      </w:r>
      <w:r w:rsidR="00EB5F92">
        <w:rPr>
          <w:lang w:val="en-US"/>
        </w:rPr>
        <w:t xml:space="preserve">. </w:t>
      </w:r>
      <w:r w:rsidR="007E0F33">
        <w:rPr>
          <w:lang w:val="en-US"/>
        </w:rPr>
        <w:t>When looking at</w:t>
      </w:r>
      <w:r>
        <w:rPr>
          <w:lang w:val="en-US"/>
        </w:rPr>
        <w:t xml:space="preserve"> size and financial oversight</w:t>
      </w:r>
      <w:r w:rsidR="007E0F33">
        <w:rPr>
          <w:lang w:val="en-US"/>
        </w:rPr>
        <w:t xml:space="preserve"> combined</w:t>
      </w:r>
      <w:r>
        <w:rPr>
          <w:lang w:val="en-US"/>
        </w:rPr>
        <w:t xml:space="preserve"> </w:t>
      </w:r>
      <w:r w:rsidR="00161F1A">
        <w:rPr>
          <w:lang w:val="en-US"/>
        </w:rPr>
        <w:t xml:space="preserve">(appendix 4h) </w:t>
      </w:r>
      <w:r>
        <w:rPr>
          <w:lang w:val="en-US"/>
        </w:rPr>
        <w:t xml:space="preserve">we see </w:t>
      </w:r>
      <w:r w:rsidR="003A6CF1">
        <w:rPr>
          <w:lang w:val="en-US"/>
        </w:rPr>
        <w:t>only one of the charities in size classes 4 and 5 does not have a level 1 financial oversight.</w:t>
      </w:r>
      <w:r w:rsidR="00EB5F92">
        <w:rPr>
          <w:lang w:val="en-US"/>
        </w:rPr>
        <w:t xml:space="preserve"> Similarly, when</w:t>
      </w:r>
      <w:r w:rsidR="003A6CF1">
        <w:rPr>
          <w:lang w:val="en-US"/>
        </w:rPr>
        <w:t xml:space="preserve"> </w:t>
      </w:r>
      <w:r w:rsidR="007E0F33">
        <w:rPr>
          <w:lang w:val="en-US"/>
        </w:rPr>
        <w:t xml:space="preserve">looking at </w:t>
      </w:r>
      <w:r w:rsidR="00161F1A">
        <w:rPr>
          <w:lang w:val="en-US"/>
        </w:rPr>
        <w:t xml:space="preserve">size </w:t>
      </w:r>
      <w:r w:rsidR="007E0F33">
        <w:rPr>
          <w:lang w:val="en-US"/>
        </w:rPr>
        <w:t>and</w:t>
      </w:r>
      <w:r w:rsidR="00161F1A">
        <w:rPr>
          <w:lang w:val="en-US"/>
        </w:rPr>
        <w:t xml:space="preserve"> the number of executives</w:t>
      </w:r>
      <w:r w:rsidR="007E0F33">
        <w:rPr>
          <w:lang w:val="en-US"/>
        </w:rPr>
        <w:t xml:space="preserve"> combined</w:t>
      </w:r>
      <w:r w:rsidR="00161F1A">
        <w:rPr>
          <w:lang w:val="en-US"/>
        </w:rPr>
        <w:t xml:space="preserve"> (appendix 4i) we see that almost no small charities have executives.</w:t>
      </w:r>
    </w:p>
    <w:p w:rsidR="002D0E65" w:rsidRDefault="002D0E65" w:rsidP="007D793F">
      <w:pPr>
        <w:spacing w:line="360" w:lineRule="auto"/>
        <w:rPr>
          <w:lang w:val="en-US"/>
        </w:rPr>
      </w:pPr>
    </w:p>
    <w:p w:rsidR="00087CE8" w:rsidRDefault="00876095" w:rsidP="002C1229">
      <w:pPr>
        <w:spacing w:line="360" w:lineRule="auto"/>
        <w:jc w:val="both"/>
        <w:rPr>
          <w:lang w:val="en-US"/>
        </w:rPr>
      </w:pPr>
      <w:r>
        <w:rPr>
          <w:lang w:val="en-US"/>
        </w:rPr>
        <w:t>Looking</w:t>
      </w:r>
      <w:r w:rsidR="00087CE8">
        <w:rPr>
          <w:lang w:val="en-US"/>
        </w:rPr>
        <w:t xml:space="preserve"> at</w:t>
      </w:r>
      <w:r w:rsidR="002C1229">
        <w:rPr>
          <w:lang w:val="en-US"/>
        </w:rPr>
        <w:t xml:space="preserve"> the</w:t>
      </w:r>
      <w:r w:rsidR="0078552F">
        <w:rPr>
          <w:lang w:val="en-US"/>
        </w:rPr>
        <w:t xml:space="preserve"> performance, or</w:t>
      </w:r>
      <w:r w:rsidR="002C1229">
        <w:rPr>
          <w:lang w:val="en-US"/>
        </w:rPr>
        <w:t xml:space="preserve"> efficiency</w:t>
      </w:r>
      <w:r w:rsidR="0078552F">
        <w:rPr>
          <w:lang w:val="en-US"/>
        </w:rPr>
        <w:t>,</w:t>
      </w:r>
      <w:r w:rsidR="002C1229">
        <w:rPr>
          <w:lang w:val="en-US"/>
        </w:rPr>
        <w:t xml:space="preserve"> of charities, measured by</w:t>
      </w:r>
      <w:r w:rsidR="00087CE8">
        <w:rPr>
          <w:lang w:val="en-US"/>
        </w:rPr>
        <w:t xml:space="preserve"> the total program expenses as a </w:t>
      </w:r>
      <w:r w:rsidR="00087CE8" w:rsidRPr="00DE4383">
        <w:rPr>
          <w:lang w:val="en-US"/>
        </w:rPr>
        <w:t xml:space="preserve">percentage of total income </w:t>
      </w:r>
      <w:r w:rsidR="00D8403A" w:rsidRPr="00DE4383">
        <w:rPr>
          <w:lang w:val="en-US"/>
        </w:rPr>
        <w:t>or</w:t>
      </w:r>
      <w:r w:rsidR="00087CE8" w:rsidRPr="00DE4383">
        <w:rPr>
          <w:lang w:val="en-US"/>
        </w:rPr>
        <w:t xml:space="preserve"> as a percentage of the total expenses</w:t>
      </w:r>
      <w:r w:rsidR="00161F1A" w:rsidRPr="00DE4383">
        <w:rPr>
          <w:lang w:val="en-US"/>
        </w:rPr>
        <w:t>,</w:t>
      </w:r>
      <w:r w:rsidR="00087CE8" w:rsidRPr="00DE4383">
        <w:rPr>
          <w:lang w:val="en-US"/>
        </w:rPr>
        <w:t xml:space="preserve"> we get the following </w:t>
      </w:r>
      <w:r w:rsidR="00D8403A" w:rsidRPr="00DE4383">
        <w:rPr>
          <w:lang w:val="en-US"/>
        </w:rPr>
        <w:t xml:space="preserve">picture as seen in table </w:t>
      </w:r>
      <w:r w:rsidR="00726873" w:rsidRPr="00DE4383">
        <w:rPr>
          <w:lang w:val="en-US"/>
        </w:rPr>
        <w:t>7</w:t>
      </w:r>
      <w:r w:rsidR="00D8403A" w:rsidRPr="00DE4383">
        <w:rPr>
          <w:lang w:val="en-US"/>
        </w:rPr>
        <w:t>.</w:t>
      </w:r>
    </w:p>
    <w:p w:rsidR="00D8403A" w:rsidRDefault="00D8403A" w:rsidP="007D793F">
      <w:pPr>
        <w:spacing w:line="360" w:lineRule="auto"/>
        <w:rPr>
          <w:lang w:val="en-US"/>
        </w:rPr>
      </w:pPr>
    </w:p>
    <w:p w:rsidR="00D8403A" w:rsidRDefault="002800DD" w:rsidP="002C1229">
      <w:pPr>
        <w:spacing w:line="360" w:lineRule="auto"/>
        <w:jc w:val="center"/>
        <w:rPr>
          <w:lang w:val="en-US"/>
        </w:rPr>
      </w:pPr>
      <w:r w:rsidRPr="002800DD">
        <w:rPr>
          <w:noProof/>
          <w:highlight w:val="yellow"/>
          <w:lang w:val="en-US"/>
        </w:rPr>
        <w:pict>
          <v:shape id="_x0000_s1039" type="#_x0000_t202" style="position:absolute;left:0;text-align:left;margin-left:396.35pt;margin-top:169.65pt;width:51.65pt;height:20.65pt;z-index:251676672;mso-height-percent:200;mso-height-percent:200;mso-width-relative:margin;mso-height-relative:margin" stroked="f">
            <v:textbox style="mso-fit-shape-to-text:t">
              <w:txbxContent>
                <w:p w:rsidR="002C07A4" w:rsidRPr="0078552F" w:rsidRDefault="002C07A4">
                  <w:pPr>
                    <w:rPr>
                      <w:i/>
                      <w:lang w:val="en-US"/>
                    </w:rPr>
                  </w:pPr>
                  <w:r w:rsidRPr="0078552F">
                    <w:rPr>
                      <w:i/>
                      <w:lang w:val="en-US"/>
                    </w:rPr>
                    <w:t>Table 7</w:t>
                  </w:r>
                </w:p>
              </w:txbxContent>
            </v:textbox>
          </v:shape>
        </w:pict>
      </w:r>
      <w:r w:rsidR="00D8403A" w:rsidRPr="00D8403A">
        <w:rPr>
          <w:noProof/>
          <w:lang w:eastAsia="nl-NL"/>
        </w:rPr>
        <w:drawing>
          <wp:inline distT="0" distB="0" distL="0" distR="0">
            <wp:extent cx="5562600" cy="2314575"/>
            <wp:effectExtent l="19050" t="0" r="0" b="0"/>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562600" cy="2314575"/>
                    </a:xfrm>
                    <a:prstGeom prst="rect">
                      <a:avLst/>
                    </a:prstGeom>
                    <a:noFill/>
                    <a:ln w="9525">
                      <a:noFill/>
                      <a:miter lim="800000"/>
                      <a:headEnd/>
                      <a:tailEnd/>
                    </a:ln>
                  </pic:spPr>
                </pic:pic>
              </a:graphicData>
            </a:graphic>
          </wp:inline>
        </w:drawing>
      </w:r>
    </w:p>
    <w:p w:rsidR="00D8403A" w:rsidRDefault="00D8403A" w:rsidP="007D793F">
      <w:pPr>
        <w:spacing w:line="360" w:lineRule="auto"/>
        <w:rPr>
          <w:lang w:val="en-US"/>
        </w:rPr>
      </w:pPr>
    </w:p>
    <w:p w:rsidR="00CB41B6" w:rsidRDefault="00CB41B6">
      <w:pPr>
        <w:rPr>
          <w:lang w:val="en-US"/>
        </w:rPr>
      </w:pPr>
      <w:r>
        <w:rPr>
          <w:lang w:val="en-US"/>
        </w:rPr>
        <w:br w:type="page"/>
      </w:r>
    </w:p>
    <w:p w:rsidR="00807F9E" w:rsidRDefault="00807F9E" w:rsidP="006C025E">
      <w:pPr>
        <w:spacing w:line="360" w:lineRule="auto"/>
        <w:jc w:val="both"/>
        <w:rPr>
          <w:lang w:val="en-US"/>
        </w:rPr>
      </w:pPr>
      <w:r>
        <w:rPr>
          <w:lang w:val="en-US"/>
        </w:rPr>
        <w:t>The difference between both ratio are explained by the financial reserves of the charities.</w:t>
      </w:r>
      <w:r w:rsidR="00E51B84">
        <w:rPr>
          <w:lang w:val="en-US"/>
        </w:rPr>
        <w:t xml:space="preserve"> As non-profit organizations the difference between income and expenses goes to or comes from the financial reserves. </w:t>
      </w:r>
    </w:p>
    <w:p w:rsidR="0078552F" w:rsidRDefault="00D8403A" w:rsidP="006C025E">
      <w:pPr>
        <w:spacing w:line="360" w:lineRule="auto"/>
        <w:jc w:val="both"/>
        <w:rPr>
          <w:lang w:val="en-US"/>
        </w:rPr>
      </w:pPr>
      <w:r>
        <w:rPr>
          <w:lang w:val="en-US"/>
        </w:rPr>
        <w:t xml:space="preserve">Overall it seems that charities perform quite efficiently with an average of over 85% </w:t>
      </w:r>
      <w:r w:rsidR="006C025E">
        <w:rPr>
          <w:lang w:val="en-US"/>
        </w:rPr>
        <w:t xml:space="preserve">of the total income being spend on the goals of the charity. </w:t>
      </w:r>
      <w:r w:rsidR="00A62E43">
        <w:rPr>
          <w:lang w:val="en-US"/>
        </w:rPr>
        <w:t xml:space="preserve">Charities with a cost level below 35% are generally </w:t>
      </w:r>
      <w:r w:rsidR="00966D6B">
        <w:rPr>
          <w:lang w:val="en-US"/>
        </w:rPr>
        <w:t>regarded</w:t>
      </w:r>
      <w:r w:rsidR="00A62E43">
        <w:rPr>
          <w:lang w:val="en-US"/>
        </w:rPr>
        <w:t xml:space="preserve"> as efficient, so only a small fraction doesn’t meet this standard when looking at the program expenses as a percentage of total expenses. </w:t>
      </w:r>
    </w:p>
    <w:p w:rsidR="007D634A" w:rsidRDefault="0078552F" w:rsidP="006C025E">
      <w:pPr>
        <w:spacing w:line="360" w:lineRule="auto"/>
        <w:jc w:val="both"/>
        <w:rPr>
          <w:lang w:val="en-US"/>
        </w:rPr>
      </w:pPr>
      <w:r>
        <w:rPr>
          <w:lang w:val="en-US"/>
        </w:rPr>
        <w:t>L</w:t>
      </w:r>
      <w:r w:rsidR="00743EE3">
        <w:rPr>
          <w:lang w:val="en-US"/>
        </w:rPr>
        <w:t xml:space="preserve">ooking </w:t>
      </w:r>
      <w:r>
        <w:rPr>
          <w:lang w:val="en-US"/>
        </w:rPr>
        <w:t xml:space="preserve">more closely </w:t>
      </w:r>
      <w:r w:rsidR="00743EE3">
        <w:rPr>
          <w:lang w:val="en-US"/>
        </w:rPr>
        <w:t>at the category of program expenses of over 90% of total income</w:t>
      </w:r>
      <w:r w:rsidR="00966D6B">
        <w:rPr>
          <w:lang w:val="en-US"/>
        </w:rPr>
        <w:t>,</w:t>
      </w:r>
      <w:r w:rsidR="00743EE3">
        <w:rPr>
          <w:lang w:val="en-US"/>
        </w:rPr>
        <w:t xml:space="preserve"> we find quite a few that </w:t>
      </w:r>
      <w:r w:rsidR="00966D6B">
        <w:rPr>
          <w:lang w:val="en-US"/>
        </w:rPr>
        <w:t>report more than</w:t>
      </w:r>
      <w:r w:rsidR="00743EE3">
        <w:rPr>
          <w:lang w:val="en-US"/>
        </w:rPr>
        <w:t xml:space="preserve"> 100%, meaning that these charities have used financial reserves to cover program expenses.</w:t>
      </w:r>
      <w:r w:rsidR="00210A7D">
        <w:rPr>
          <w:lang w:val="en-US"/>
        </w:rPr>
        <w:t xml:space="preserve"> </w:t>
      </w:r>
      <w:r w:rsidR="00CB41B6">
        <w:rPr>
          <w:lang w:val="en-US"/>
        </w:rPr>
        <w:t xml:space="preserve">Appendix 4j shows the scatter plots of </w:t>
      </w:r>
      <w:r w:rsidR="007C02D2">
        <w:rPr>
          <w:lang w:val="en-US"/>
        </w:rPr>
        <w:t xml:space="preserve">the individual charities on </w:t>
      </w:r>
      <w:r w:rsidR="00CB41B6">
        <w:rPr>
          <w:lang w:val="en-US"/>
        </w:rPr>
        <w:t xml:space="preserve">both </w:t>
      </w:r>
      <w:r w:rsidR="007C02D2">
        <w:rPr>
          <w:lang w:val="en-US"/>
        </w:rPr>
        <w:t>performance</w:t>
      </w:r>
      <w:r w:rsidR="00CB41B6">
        <w:rPr>
          <w:lang w:val="en-US"/>
        </w:rPr>
        <w:t xml:space="preserve"> ratio’s</w:t>
      </w:r>
      <w:r w:rsidR="007C02D2">
        <w:rPr>
          <w:lang w:val="en-US"/>
        </w:rPr>
        <w:t>.</w:t>
      </w:r>
      <w:r w:rsidR="00CB41B6">
        <w:rPr>
          <w:lang w:val="en-US"/>
        </w:rPr>
        <w:t xml:space="preserve"> </w:t>
      </w:r>
      <w:r w:rsidR="007C02D2">
        <w:rPr>
          <w:lang w:val="en-US"/>
        </w:rPr>
        <w:t>W</w:t>
      </w:r>
      <w:r w:rsidR="00CB41B6">
        <w:rPr>
          <w:lang w:val="en-US"/>
        </w:rPr>
        <w:t>e see that when looking at income there are a few outliers</w:t>
      </w:r>
      <w:r w:rsidR="007C02D2">
        <w:rPr>
          <w:lang w:val="en-US"/>
        </w:rPr>
        <w:t>, with</w:t>
      </w:r>
      <w:r w:rsidR="00CB41B6">
        <w:rPr>
          <w:lang w:val="en-US"/>
        </w:rPr>
        <w:t xml:space="preserve"> </w:t>
      </w:r>
      <w:r w:rsidR="007C02D2">
        <w:rPr>
          <w:lang w:val="en-US"/>
        </w:rPr>
        <w:t>one charity that</w:t>
      </w:r>
      <w:r w:rsidR="00CB41B6">
        <w:rPr>
          <w:lang w:val="en-US"/>
        </w:rPr>
        <w:t xml:space="preserve"> ha</w:t>
      </w:r>
      <w:r w:rsidR="007C02D2">
        <w:rPr>
          <w:lang w:val="en-US"/>
        </w:rPr>
        <w:t>s</w:t>
      </w:r>
      <w:r w:rsidR="00CB41B6">
        <w:rPr>
          <w:lang w:val="en-US"/>
        </w:rPr>
        <w:t xml:space="preserve"> a ratio of program expenses to total income of close to 14. </w:t>
      </w:r>
    </w:p>
    <w:p w:rsidR="007D634A" w:rsidRDefault="007D634A" w:rsidP="006C025E">
      <w:pPr>
        <w:spacing w:line="360" w:lineRule="auto"/>
        <w:jc w:val="both"/>
        <w:rPr>
          <w:lang w:val="en-US"/>
        </w:rPr>
      </w:pPr>
    </w:p>
    <w:p w:rsidR="00210A7D" w:rsidRDefault="00210A7D" w:rsidP="006C025E">
      <w:pPr>
        <w:spacing w:line="360" w:lineRule="auto"/>
        <w:jc w:val="both"/>
        <w:rPr>
          <w:lang w:val="en-US"/>
        </w:rPr>
      </w:pPr>
      <w:r>
        <w:rPr>
          <w:lang w:val="en-US"/>
        </w:rPr>
        <w:t>When combining size and performance (appendix 4</w:t>
      </w:r>
      <w:r w:rsidR="007D634A">
        <w:rPr>
          <w:lang w:val="en-US"/>
        </w:rPr>
        <w:t>k</w:t>
      </w:r>
      <w:r>
        <w:rPr>
          <w:lang w:val="en-US"/>
        </w:rPr>
        <w:t xml:space="preserve">) we find that smaller charities </w:t>
      </w:r>
      <w:r w:rsidR="00966D6B">
        <w:rPr>
          <w:lang w:val="en-US"/>
        </w:rPr>
        <w:t>are more likely to</w:t>
      </w:r>
      <w:r>
        <w:rPr>
          <w:lang w:val="en-US"/>
        </w:rPr>
        <w:t xml:space="preserve"> have a </w:t>
      </w:r>
      <w:r w:rsidR="00966D6B">
        <w:rPr>
          <w:lang w:val="en-US"/>
        </w:rPr>
        <w:t>lower performance. However, they</w:t>
      </w:r>
      <w:r>
        <w:rPr>
          <w:lang w:val="en-US"/>
        </w:rPr>
        <w:t xml:space="preserve"> also have the highest percentage in the h</w:t>
      </w:r>
      <w:r w:rsidR="00E66AE7">
        <w:rPr>
          <w:lang w:val="en-US"/>
        </w:rPr>
        <w:t>ighest</w:t>
      </w:r>
      <w:r>
        <w:rPr>
          <w:lang w:val="en-US"/>
        </w:rPr>
        <w:t xml:space="preserve"> performance class.</w:t>
      </w:r>
      <w:r w:rsidR="00002A50">
        <w:rPr>
          <w:lang w:val="en-US"/>
        </w:rPr>
        <w:t xml:space="preserve"> This can be explained by the fact that small charities operate solely by volunteers and hardly have any costs, thus allowing them to be more efficient.</w:t>
      </w:r>
      <w:r w:rsidR="00663932">
        <w:rPr>
          <w:lang w:val="en-US"/>
        </w:rPr>
        <w:t xml:space="preserve"> Looking at the efficiency between categories (appendix 4</w:t>
      </w:r>
      <w:r w:rsidR="007D634A">
        <w:rPr>
          <w:lang w:val="en-US"/>
        </w:rPr>
        <w:t>l</w:t>
      </w:r>
      <w:r w:rsidR="00663932">
        <w:rPr>
          <w:lang w:val="en-US"/>
        </w:rPr>
        <w:t xml:space="preserve">) we see that the international aid charities are most efficient, most likely due to the fact that there are a lot of smaller charities </w:t>
      </w:r>
      <w:r w:rsidR="00887CFE">
        <w:rPr>
          <w:lang w:val="en-US"/>
        </w:rPr>
        <w:t>in this sector who have little costs.</w:t>
      </w:r>
    </w:p>
    <w:p w:rsidR="00D8403A" w:rsidRDefault="00D8403A" w:rsidP="007D793F">
      <w:pPr>
        <w:spacing w:line="360" w:lineRule="auto"/>
        <w:rPr>
          <w:lang w:val="en-US"/>
        </w:rPr>
      </w:pPr>
    </w:p>
    <w:p w:rsidR="00D41826" w:rsidRDefault="004E76A8" w:rsidP="004E76A8">
      <w:pPr>
        <w:spacing w:line="360" w:lineRule="auto"/>
        <w:jc w:val="both"/>
        <w:rPr>
          <w:lang w:val="en-US"/>
        </w:rPr>
      </w:pPr>
      <w:r w:rsidRPr="00DE4383">
        <w:rPr>
          <w:lang w:val="en-US"/>
        </w:rPr>
        <w:t>A</w:t>
      </w:r>
      <w:r w:rsidR="009B2464" w:rsidRPr="00DE4383">
        <w:rPr>
          <w:lang w:val="en-US"/>
        </w:rPr>
        <w:t xml:space="preserve">ppendix 5 shows </w:t>
      </w:r>
      <w:r w:rsidRPr="00DE4383">
        <w:rPr>
          <w:lang w:val="en-US"/>
        </w:rPr>
        <w:t>how the different variables influence</w:t>
      </w:r>
      <w:r w:rsidR="00B2201C" w:rsidRPr="00DE4383">
        <w:rPr>
          <w:lang w:val="en-US"/>
        </w:rPr>
        <w:t>, or correlate with</w:t>
      </w:r>
      <w:r w:rsidRPr="00DE4383">
        <w:rPr>
          <w:lang w:val="en-US"/>
        </w:rPr>
        <w:t xml:space="preserve"> each other</w:t>
      </w:r>
      <w:r w:rsidR="00B83DFE" w:rsidRPr="00DE4383">
        <w:rPr>
          <w:lang w:val="en-US"/>
        </w:rPr>
        <w:t xml:space="preserve">. </w:t>
      </w:r>
      <w:r w:rsidR="00945F69" w:rsidRPr="00DE4383">
        <w:rPr>
          <w:lang w:val="en-US"/>
        </w:rPr>
        <w:t>From the table we can see that quite</w:t>
      </w:r>
      <w:r w:rsidR="00945F69">
        <w:rPr>
          <w:lang w:val="en-US"/>
        </w:rPr>
        <w:t xml:space="preserve"> a few variables have high correlation. </w:t>
      </w:r>
      <w:r w:rsidR="00B80C71">
        <w:rPr>
          <w:lang w:val="en-US"/>
        </w:rPr>
        <w:t xml:space="preserve">A few of the correlations can be explained quite easily, </w:t>
      </w:r>
      <w:r w:rsidR="00A12E58">
        <w:rPr>
          <w:lang w:val="en-US"/>
        </w:rPr>
        <w:t>others seem to correlate, but without obvious reasons.  Some obvious correlations are, for example,  between</w:t>
      </w:r>
      <w:r w:rsidR="00B80C71">
        <w:rPr>
          <w:lang w:val="en-US"/>
        </w:rPr>
        <w:t xml:space="preserve"> CBF and VFI, </w:t>
      </w:r>
      <w:r w:rsidR="007C02D2">
        <w:rPr>
          <w:lang w:val="en-US"/>
        </w:rPr>
        <w:t>because</w:t>
      </w:r>
      <w:r w:rsidR="00B80C71">
        <w:rPr>
          <w:lang w:val="en-US"/>
        </w:rPr>
        <w:t xml:space="preserve"> most of the VFI members are CBF certified</w:t>
      </w:r>
      <w:r>
        <w:rPr>
          <w:lang w:val="en-US"/>
        </w:rPr>
        <w:t xml:space="preserve">. </w:t>
      </w:r>
      <w:r w:rsidR="00966D6B">
        <w:rPr>
          <w:lang w:val="en-US"/>
        </w:rPr>
        <w:t>This is also true for</w:t>
      </w:r>
      <w:r>
        <w:rPr>
          <w:lang w:val="en-US"/>
        </w:rPr>
        <w:t xml:space="preserve"> the correlation between accountancy level and CBF or VFI, being CBF certified means that you have financial oversight. </w:t>
      </w:r>
      <w:r w:rsidR="007C02D2">
        <w:rPr>
          <w:lang w:val="en-US"/>
        </w:rPr>
        <w:t>The s</w:t>
      </w:r>
      <w:r w:rsidR="00D41826">
        <w:rPr>
          <w:lang w:val="en-US"/>
        </w:rPr>
        <w:t xml:space="preserve">ame </w:t>
      </w:r>
      <w:r w:rsidR="007C02D2">
        <w:rPr>
          <w:lang w:val="en-US"/>
        </w:rPr>
        <w:t>applies</w:t>
      </w:r>
      <w:r w:rsidR="00D41826">
        <w:rPr>
          <w:lang w:val="en-US"/>
        </w:rPr>
        <w:t xml:space="preserve"> when looking at the correlation between executives and VFI membership and financial oversight. </w:t>
      </w:r>
    </w:p>
    <w:p w:rsidR="00CC3FCD" w:rsidRPr="00B16ECE" w:rsidRDefault="00CC3FCD" w:rsidP="007D793F">
      <w:pPr>
        <w:spacing w:line="360" w:lineRule="auto"/>
        <w:rPr>
          <w:lang w:val="en-US"/>
        </w:rPr>
      </w:pPr>
    </w:p>
    <w:p w:rsidR="00622D2B" w:rsidRDefault="00622D2B">
      <w:pPr>
        <w:rPr>
          <w:rFonts w:asciiTheme="majorHAnsi" w:eastAsiaTheme="majorEastAsia" w:hAnsiTheme="majorHAnsi" w:cstheme="majorBidi"/>
          <w:b/>
          <w:bCs/>
          <w:color w:val="4F81BD" w:themeColor="accent1"/>
          <w:sz w:val="26"/>
          <w:szCs w:val="26"/>
          <w:lang w:val="en-US"/>
        </w:rPr>
      </w:pPr>
      <w:r>
        <w:rPr>
          <w:lang w:val="en-US"/>
        </w:rPr>
        <w:br w:type="page"/>
      </w:r>
    </w:p>
    <w:p w:rsidR="00F139A5" w:rsidRDefault="00F139A5" w:rsidP="00F139A5">
      <w:pPr>
        <w:pStyle w:val="Heading2"/>
        <w:spacing w:before="120" w:line="360" w:lineRule="auto"/>
        <w:rPr>
          <w:lang w:val="en-US"/>
        </w:rPr>
      </w:pPr>
      <w:bookmarkStart w:id="21" w:name="_Toc299180706"/>
      <w:r>
        <w:rPr>
          <w:lang w:val="en-US"/>
        </w:rPr>
        <w:t>V.</w:t>
      </w:r>
      <w:r w:rsidR="00C766A2">
        <w:rPr>
          <w:lang w:val="en-US"/>
        </w:rPr>
        <w:t>3</w:t>
      </w:r>
      <w:r>
        <w:rPr>
          <w:lang w:val="en-US"/>
        </w:rPr>
        <w:tab/>
        <w:t>Regression analysis</w:t>
      </w:r>
      <w:bookmarkEnd w:id="21"/>
    </w:p>
    <w:p w:rsidR="0034774D" w:rsidRDefault="006C5E8D" w:rsidP="00A74E12">
      <w:pPr>
        <w:spacing w:line="360" w:lineRule="auto"/>
        <w:jc w:val="both"/>
        <w:rPr>
          <w:lang w:val="en-US"/>
        </w:rPr>
      </w:pPr>
      <w:r>
        <w:rPr>
          <w:lang w:val="en-US"/>
        </w:rPr>
        <w:t xml:space="preserve">With the data analyzed we can start with the regression analysis. </w:t>
      </w:r>
      <w:r w:rsidR="00D41826">
        <w:rPr>
          <w:lang w:val="en-US"/>
        </w:rPr>
        <w:t xml:space="preserve">As mentioned above </w:t>
      </w:r>
      <w:r w:rsidR="0034774D">
        <w:rPr>
          <w:lang w:val="en-US"/>
        </w:rPr>
        <w:t xml:space="preserve">I will look if governance has an influence on the </w:t>
      </w:r>
      <w:r w:rsidR="00E026C5">
        <w:rPr>
          <w:lang w:val="en-US"/>
        </w:rPr>
        <w:t xml:space="preserve">income and </w:t>
      </w:r>
      <w:r w:rsidR="0034774D">
        <w:rPr>
          <w:lang w:val="en-US"/>
        </w:rPr>
        <w:t xml:space="preserve">performance of charities. </w:t>
      </w:r>
      <w:r w:rsidR="00C14A9D">
        <w:rPr>
          <w:lang w:val="en-US"/>
        </w:rPr>
        <w:t>The hypotheses tested on income and performance are not completely similar</w:t>
      </w:r>
      <w:r w:rsidR="002B0B10">
        <w:rPr>
          <w:lang w:val="en-US"/>
        </w:rPr>
        <w:t xml:space="preserve"> as income is not the same as performance. Income can tell something about the fundraising capabilities of a charity, doesn’t mean that they perform well. </w:t>
      </w:r>
    </w:p>
    <w:p w:rsidR="0034774D" w:rsidRDefault="0034774D" w:rsidP="00A74E12">
      <w:pPr>
        <w:spacing w:line="360" w:lineRule="auto"/>
        <w:jc w:val="both"/>
        <w:rPr>
          <w:lang w:val="en-US"/>
        </w:rPr>
      </w:pPr>
    </w:p>
    <w:p w:rsidR="00A74E12" w:rsidRDefault="00A74E12" w:rsidP="00A74E12">
      <w:pPr>
        <w:spacing w:line="360" w:lineRule="auto"/>
        <w:jc w:val="both"/>
        <w:rPr>
          <w:lang w:val="en-US"/>
        </w:rPr>
      </w:pPr>
      <w:r>
        <w:rPr>
          <w:lang w:val="en-US"/>
        </w:rPr>
        <w:t xml:space="preserve">A potential problem with the data is endogeneity. In the case of my research the omitted-variable bias is potentially a real problem. As data is only scarcely available it’s feasible that important factors are not included in the models. </w:t>
      </w:r>
      <w:r w:rsidR="006B5645">
        <w:rPr>
          <w:lang w:val="en-US"/>
        </w:rPr>
        <w:t>Adding variables that proxy certain factors could be a solution</w:t>
      </w:r>
      <w:r w:rsidR="002E01DC">
        <w:rPr>
          <w:lang w:val="en-US"/>
        </w:rPr>
        <w:t>.</w:t>
      </w:r>
      <w:r w:rsidR="006B5645">
        <w:rPr>
          <w:lang w:val="en-US"/>
        </w:rPr>
        <w:t xml:space="preserve"> </w:t>
      </w:r>
      <w:r w:rsidR="002E01DC">
        <w:rPr>
          <w:lang w:val="en-US"/>
        </w:rPr>
        <w:t>H</w:t>
      </w:r>
      <w:r w:rsidR="006B5645">
        <w:rPr>
          <w:lang w:val="en-US"/>
        </w:rPr>
        <w:t xml:space="preserve">owever, in my case data availability makes this </w:t>
      </w:r>
      <w:r w:rsidR="002E01DC">
        <w:rPr>
          <w:lang w:val="en-US"/>
        </w:rPr>
        <w:t>quite hard</w:t>
      </w:r>
      <w:r w:rsidR="006B5645">
        <w:rPr>
          <w:lang w:val="en-US"/>
        </w:rPr>
        <w:t xml:space="preserve">. </w:t>
      </w:r>
      <w:r w:rsidR="004C2C42">
        <w:rPr>
          <w:lang w:val="en-US"/>
        </w:rPr>
        <w:t>Adding lagged observations</w:t>
      </w:r>
      <w:r w:rsidR="00DD7484">
        <w:rPr>
          <w:lang w:val="en-US"/>
        </w:rPr>
        <w:t xml:space="preserve"> of variables that are potentially endogenous</w:t>
      </w:r>
      <w:r w:rsidR="004C2C42">
        <w:rPr>
          <w:lang w:val="en-US"/>
        </w:rPr>
        <w:t xml:space="preserve"> </w:t>
      </w:r>
      <w:r w:rsidR="00A20364">
        <w:rPr>
          <w:lang w:val="en-US"/>
        </w:rPr>
        <w:t>can solve endogeneity problems</w:t>
      </w:r>
      <w:r w:rsidR="002E01DC">
        <w:rPr>
          <w:lang w:val="en-US"/>
        </w:rPr>
        <w:t>.</w:t>
      </w:r>
      <w:r w:rsidR="00A20364">
        <w:rPr>
          <w:lang w:val="en-US"/>
        </w:rPr>
        <w:t xml:space="preserve"> </w:t>
      </w:r>
      <w:r w:rsidR="002E01DC">
        <w:rPr>
          <w:lang w:val="en-US"/>
        </w:rPr>
        <w:t>L</w:t>
      </w:r>
      <w:r w:rsidR="00A20364">
        <w:rPr>
          <w:lang w:val="en-US"/>
        </w:rPr>
        <w:t xml:space="preserve">agged governance variables will not help much as </w:t>
      </w:r>
      <w:r w:rsidR="00DD7484">
        <w:rPr>
          <w:lang w:val="en-US"/>
        </w:rPr>
        <w:t>the data</w:t>
      </w:r>
      <w:r w:rsidR="00A20364">
        <w:rPr>
          <w:lang w:val="en-US"/>
        </w:rPr>
        <w:t xml:space="preserve"> generally does not change much in the short term.</w:t>
      </w:r>
    </w:p>
    <w:p w:rsidR="00A74E12" w:rsidRDefault="00A74E12" w:rsidP="007D793F">
      <w:pPr>
        <w:spacing w:line="360" w:lineRule="auto"/>
        <w:rPr>
          <w:lang w:val="en-US"/>
        </w:rPr>
      </w:pPr>
    </w:p>
    <w:p w:rsidR="0034774D" w:rsidRPr="00465BB2" w:rsidRDefault="0034774D" w:rsidP="007D793F">
      <w:pPr>
        <w:spacing w:line="360" w:lineRule="auto"/>
        <w:rPr>
          <w:rFonts w:ascii="ScalaSans-Caps" w:hAnsi="ScalaSans-Caps"/>
          <w:b/>
          <w:lang w:val="en-US"/>
        </w:rPr>
      </w:pPr>
      <w:r w:rsidRPr="00465BB2">
        <w:rPr>
          <w:rFonts w:ascii="ScalaSans-Caps" w:hAnsi="ScalaSans-Caps"/>
          <w:b/>
          <w:lang w:val="en-US"/>
        </w:rPr>
        <w:t>Income</w:t>
      </w:r>
    </w:p>
    <w:p w:rsidR="007D133F" w:rsidRDefault="007D133F" w:rsidP="00682F75">
      <w:pPr>
        <w:spacing w:line="360" w:lineRule="auto"/>
        <w:jc w:val="both"/>
        <w:rPr>
          <w:lang w:val="en-US"/>
        </w:rPr>
      </w:pPr>
      <w:r>
        <w:rPr>
          <w:lang w:val="en-US"/>
        </w:rPr>
        <w:t xml:space="preserve">First I will look if governance related variables have an influence </w:t>
      </w:r>
      <w:r w:rsidR="006F4827">
        <w:rPr>
          <w:lang w:val="en-US"/>
        </w:rPr>
        <w:t>on the fundraising abilities of charities</w:t>
      </w:r>
      <w:r>
        <w:rPr>
          <w:lang w:val="en-US"/>
        </w:rPr>
        <w:t xml:space="preserve">. As seen </w:t>
      </w:r>
      <w:r w:rsidR="00682F75">
        <w:rPr>
          <w:lang w:val="en-US"/>
        </w:rPr>
        <w:t xml:space="preserve">in the previous section the income of charities has a very wide range, </w:t>
      </w:r>
      <w:r w:rsidR="004163D9">
        <w:rPr>
          <w:lang w:val="en-US"/>
        </w:rPr>
        <w:t>therefore we measure</w:t>
      </w:r>
      <w:r w:rsidR="00682F75">
        <w:rPr>
          <w:lang w:val="en-US"/>
        </w:rPr>
        <w:t xml:space="preserve"> on a logarithmic scale.</w:t>
      </w:r>
    </w:p>
    <w:p w:rsidR="00682F75" w:rsidRDefault="00682F75" w:rsidP="00682F75">
      <w:pPr>
        <w:spacing w:line="360" w:lineRule="auto"/>
        <w:jc w:val="both"/>
        <w:rPr>
          <w:lang w:val="en-US"/>
        </w:rPr>
      </w:pPr>
    </w:p>
    <w:p w:rsidR="0034774D" w:rsidRDefault="0034774D" w:rsidP="00682F75">
      <w:pPr>
        <w:spacing w:line="360" w:lineRule="auto"/>
        <w:jc w:val="both"/>
        <w:rPr>
          <w:lang w:val="en-US"/>
        </w:rPr>
      </w:pPr>
      <w:r>
        <w:rPr>
          <w:lang w:val="en-US"/>
        </w:rPr>
        <w:t>The survey of van Iwaarden</w:t>
      </w:r>
      <w:r w:rsidR="002774FA">
        <w:rPr>
          <w:lang w:val="en-US"/>
        </w:rPr>
        <w:t xml:space="preserve"> et al.</w:t>
      </w:r>
      <w:r w:rsidR="004163D9">
        <w:rPr>
          <w:lang w:val="en-US"/>
        </w:rPr>
        <w:t xml:space="preserve"> (2008)</w:t>
      </w:r>
      <w:r>
        <w:rPr>
          <w:lang w:val="en-US"/>
        </w:rPr>
        <w:t xml:space="preserve"> show</w:t>
      </w:r>
      <w:r w:rsidR="002774FA">
        <w:rPr>
          <w:lang w:val="en-US"/>
        </w:rPr>
        <w:t>s</w:t>
      </w:r>
      <w:r>
        <w:rPr>
          <w:lang w:val="en-US"/>
        </w:rPr>
        <w:t xml:space="preserve"> that donors use CBF certification as an important selection criteria when deciding to donate.</w:t>
      </w:r>
      <w:r w:rsidR="002774FA">
        <w:rPr>
          <w:lang w:val="en-US"/>
        </w:rPr>
        <w:t xml:space="preserve"> </w:t>
      </w:r>
      <w:r>
        <w:rPr>
          <w:lang w:val="en-US"/>
        </w:rPr>
        <w:t>Similarly, I expect that a CBF certification has a positive influence on the income of charities</w:t>
      </w:r>
      <w:r w:rsidR="002774FA">
        <w:rPr>
          <w:lang w:val="en-US"/>
        </w:rPr>
        <w:t>. Reporting is a less important selection criteria, but the survey of van Iwaarden</w:t>
      </w:r>
      <w:r w:rsidR="00452F9F">
        <w:rPr>
          <w:lang w:val="en-US"/>
        </w:rPr>
        <w:t xml:space="preserve"> et al.</w:t>
      </w:r>
      <w:r w:rsidR="004163D9">
        <w:rPr>
          <w:lang w:val="en-US"/>
        </w:rPr>
        <w:t xml:space="preserve"> (2008)</w:t>
      </w:r>
      <w:r w:rsidR="002774FA">
        <w:rPr>
          <w:lang w:val="en-US"/>
        </w:rPr>
        <w:t xml:space="preserve"> does show that many donors </w:t>
      </w:r>
      <w:r w:rsidR="00452F9F">
        <w:rPr>
          <w:lang w:val="en-US"/>
        </w:rPr>
        <w:t>prefer</w:t>
      </w:r>
      <w:r w:rsidR="002774FA">
        <w:rPr>
          <w:lang w:val="en-US"/>
        </w:rPr>
        <w:t xml:space="preserve"> to have this information.</w:t>
      </w:r>
      <w:r w:rsidR="00402703">
        <w:rPr>
          <w:lang w:val="en-US"/>
        </w:rPr>
        <w:t xml:space="preserve"> From this the following two hypothes</w:t>
      </w:r>
      <w:r w:rsidR="00880CF1">
        <w:rPr>
          <w:lang w:val="en-US"/>
        </w:rPr>
        <w:t>e</w:t>
      </w:r>
      <w:r w:rsidR="00402703">
        <w:rPr>
          <w:lang w:val="en-US"/>
        </w:rPr>
        <w:t>s are formulated:</w:t>
      </w:r>
    </w:p>
    <w:p w:rsidR="0034774D" w:rsidRDefault="0034774D" w:rsidP="00682F75">
      <w:pPr>
        <w:spacing w:line="360" w:lineRule="auto"/>
        <w:jc w:val="both"/>
        <w:rPr>
          <w:i/>
          <w:lang w:val="en-US"/>
        </w:rPr>
      </w:pPr>
      <w:r>
        <w:rPr>
          <w:lang w:val="en-US"/>
        </w:rPr>
        <w:tab/>
      </w:r>
      <w:r w:rsidRPr="0034774D">
        <w:rPr>
          <w:i/>
          <w:lang w:val="en-US"/>
        </w:rPr>
        <w:t xml:space="preserve">H1: A CBF certificate has a positive effect on the income of a charity </w:t>
      </w:r>
    </w:p>
    <w:p w:rsidR="002774FA" w:rsidRPr="0034774D" w:rsidRDefault="002774FA" w:rsidP="00682F75">
      <w:pPr>
        <w:spacing w:line="360" w:lineRule="auto"/>
        <w:jc w:val="both"/>
        <w:rPr>
          <w:i/>
          <w:lang w:val="en-US"/>
        </w:rPr>
      </w:pPr>
      <w:r>
        <w:rPr>
          <w:i/>
          <w:lang w:val="en-US"/>
        </w:rPr>
        <w:tab/>
        <w:t xml:space="preserve">H2: Financial oversight has a positive effect on </w:t>
      </w:r>
      <w:r w:rsidRPr="0034774D">
        <w:rPr>
          <w:i/>
          <w:lang w:val="en-US"/>
        </w:rPr>
        <w:t>the income of a charity</w:t>
      </w:r>
    </w:p>
    <w:p w:rsidR="004C241E" w:rsidRDefault="004C241E" w:rsidP="00682F75">
      <w:pPr>
        <w:spacing w:line="360" w:lineRule="auto"/>
        <w:jc w:val="both"/>
        <w:rPr>
          <w:lang w:val="en-US"/>
        </w:rPr>
      </w:pPr>
    </w:p>
    <w:p w:rsidR="0034774D" w:rsidRDefault="007F22E4" w:rsidP="00682F75">
      <w:pPr>
        <w:spacing w:line="360" w:lineRule="auto"/>
        <w:jc w:val="both"/>
        <w:rPr>
          <w:lang w:val="en-US"/>
        </w:rPr>
      </w:pPr>
      <w:r>
        <w:rPr>
          <w:lang w:val="en-US"/>
        </w:rPr>
        <w:t>Next to monitoring, f</w:t>
      </w:r>
      <w:r w:rsidR="00F631D7">
        <w:rPr>
          <w:lang w:val="en-US"/>
        </w:rPr>
        <w:t>undraising is often an important job of board members, thus in line with Callen, Klein and Tinkelman</w:t>
      </w:r>
      <w:r w:rsidR="004163D9">
        <w:rPr>
          <w:lang w:val="en-US"/>
        </w:rPr>
        <w:t xml:space="preserve"> (2003)</w:t>
      </w:r>
      <w:r w:rsidR="00F631D7">
        <w:rPr>
          <w:lang w:val="en-US"/>
        </w:rPr>
        <w:t>, I expect that board size has a positive influence on the income.</w:t>
      </w:r>
    </w:p>
    <w:p w:rsidR="00F631D7" w:rsidRPr="00F631D7" w:rsidRDefault="00F631D7" w:rsidP="00682F75">
      <w:pPr>
        <w:spacing w:line="360" w:lineRule="auto"/>
        <w:jc w:val="both"/>
        <w:rPr>
          <w:lang w:val="en-US"/>
        </w:rPr>
      </w:pPr>
      <w:r>
        <w:rPr>
          <w:lang w:val="en-US"/>
        </w:rPr>
        <w:tab/>
      </w:r>
      <w:r w:rsidRPr="0034774D">
        <w:rPr>
          <w:i/>
          <w:lang w:val="en-US"/>
        </w:rPr>
        <w:t>H</w:t>
      </w:r>
      <w:r w:rsidR="002774FA">
        <w:rPr>
          <w:i/>
          <w:lang w:val="en-US"/>
        </w:rPr>
        <w:t>3</w:t>
      </w:r>
      <w:r w:rsidRPr="0034774D">
        <w:rPr>
          <w:i/>
          <w:lang w:val="en-US"/>
        </w:rPr>
        <w:t xml:space="preserve">: </w:t>
      </w:r>
      <w:r>
        <w:rPr>
          <w:i/>
          <w:lang w:val="en-US"/>
        </w:rPr>
        <w:t>Board size has a positive effect on the income of a charity</w:t>
      </w:r>
    </w:p>
    <w:p w:rsidR="0034774D" w:rsidRDefault="0034774D" w:rsidP="00682F75">
      <w:pPr>
        <w:spacing w:line="360" w:lineRule="auto"/>
        <w:jc w:val="both"/>
        <w:rPr>
          <w:lang w:val="en-US"/>
        </w:rPr>
      </w:pPr>
    </w:p>
    <w:p w:rsidR="004E6363" w:rsidRDefault="004E6363" w:rsidP="00682F75">
      <w:pPr>
        <w:spacing w:line="360" w:lineRule="auto"/>
        <w:jc w:val="both"/>
        <w:rPr>
          <w:lang w:val="en-US"/>
        </w:rPr>
      </w:pPr>
      <w:r>
        <w:rPr>
          <w:lang w:val="en-US"/>
        </w:rPr>
        <w:t xml:space="preserve">When looking at income alone causality may be an issue. As seen in appendix 4h small charities often have no oversight and bigger charities high oversight, thus it might be the case that when charities grow in size they choose for a higher level of financial oversight. For CBF certification and board size causality is less of an issue. There are quite a few relatively small charities that are CBF certified, indicating that CBF certification isn’t only for larger charities. </w:t>
      </w:r>
      <w:r w:rsidR="001F621E">
        <w:rPr>
          <w:lang w:val="en-US"/>
        </w:rPr>
        <w:t>Similarly, board size is quite diverse among the smaller and larger charities.</w:t>
      </w:r>
    </w:p>
    <w:p w:rsidR="001F621E" w:rsidRDefault="001F621E" w:rsidP="00682F75">
      <w:pPr>
        <w:spacing w:line="360" w:lineRule="auto"/>
        <w:jc w:val="both"/>
        <w:rPr>
          <w:lang w:val="en-US"/>
        </w:rPr>
      </w:pPr>
    </w:p>
    <w:p w:rsidR="00817701" w:rsidRDefault="00622D2B" w:rsidP="00682F75">
      <w:pPr>
        <w:spacing w:line="360" w:lineRule="auto"/>
        <w:jc w:val="both"/>
        <w:rPr>
          <w:lang w:val="en-US"/>
        </w:rPr>
      </w:pPr>
      <w:r>
        <w:rPr>
          <w:lang w:val="en-US"/>
        </w:rPr>
        <w:t>In order to derive the right conclusion on the hypothes</w:t>
      </w:r>
      <w:r w:rsidR="0078552F">
        <w:rPr>
          <w:lang w:val="en-US"/>
        </w:rPr>
        <w:t>e</w:t>
      </w:r>
      <w:r>
        <w:rPr>
          <w:lang w:val="en-US"/>
        </w:rPr>
        <w:t>s above, it’s important to control for other</w:t>
      </w:r>
      <w:r w:rsidR="00A62440">
        <w:rPr>
          <w:lang w:val="en-US"/>
        </w:rPr>
        <w:t>, charity specific,</w:t>
      </w:r>
      <w:r>
        <w:rPr>
          <w:lang w:val="en-US"/>
        </w:rPr>
        <w:t xml:space="preserve"> factors that might influence the total income of a charity.</w:t>
      </w:r>
      <w:r w:rsidR="00817701">
        <w:rPr>
          <w:lang w:val="en-US"/>
        </w:rPr>
        <w:t xml:space="preserve"> </w:t>
      </w:r>
    </w:p>
    <w:p w:rsidR="00682F75" w:rsidRDefault="00682F75" w:rsidP="00682F75">
      <w:pPr>
        <w:spacing w:line="360" w:lineRule="auto"/>
        <w:jc w:val="both"/>
        <w:rPr>
          <w:lang w:val="en-US"/>
        </w:rPr>
      </w:pPr>
      <w:r>
        <w:rPr>
          <w:lang w:val="en-US"/>
        </w:rPr>
        <w:t>It can be expected that bigger, professional organizations are more capable in raising funds</w:t>
      </w:r>
      <w:r w:rsidR="004163D9">
        <w:rPr>
          <w:lang w:val="en-US"/>
        </w:rPr>
        <w:t>.</w:t>
      </w:r>
      <w:r>
        <w:rPr>
          <w:lang w:val="en-US"/>
        </w:rPr>
        <w:t xml:space="preserve"> </w:t>
      </w:r>
      <w:r w:rsidR="004163D9">
        <w:rPr>
          <w:lang w:val="en-US"/>
        </w:rPr>
        <w:t>T</w:t>
      </w:r>
      <w:r>
        <w:rPr>
          <w:lang w:val="en-US"/>
        </w:rPr>
        <w:t xml:space="preserve">o take this into account the number of executives is used </w:t>
      </w:r>
      <w:r w:rsidR="006F4827">
        <w:rPr>
          <w:lang w:val="en-US"/>
        </w:rPr>
        <w:t>as a control variable</w:t>
      </w:r>
      <w:r w:rsidR="007F22E4">
        <w:rPr>
          <w:lang w:val="en-US"/>
        </w:rPr>
        <w:t xml:space="preserve"> to proxy</w:t>
      </w:r>
      <w:r w:rsidR="006F4827">
        <w:rPr>
          <w:lang w:val="en-US"/>
        </w:rPr>
        <w:t xml:space="preserve"> for size and professionalism</w:t>
      </w:r>
      <w:r>
        <w:rPr>
          <w:lang w:val="en-US"/>
        </w:rPr>
        <w:t>.</w:t>
      </w:r>
    </w:p>
    <w:p w:rsidR="00F631D7" w:rsidRDefault="002774FA" w:rsidP="00682F75">
      <w:pPr>
        <w:spacing w:line="360" w:lineRule="auto"/>
        <w:jc w:val="both"/>
        <w:rPr>
          <w:lang w:val="en-US"/>
        </w:rPr>
      </w:pPr>
      <w:r>
        <w:rPr>
          <w:lang w:val="en-US"/>
        </w:rPr>
        <w:t>The survey of van Iwaarden et al.</w:t>
      </w:r>
      <w:r w:rsidR="004163D9">
        <w:rPr>
          <w:lang w:val="en-US"/>
        </w:rPr>
        <w:t xml:space="preserve"> (2008)</w:t>
      </w:r>
      <w:r w:rsidR="00452F9F">
        <w:rPr>
          <w:lang w:val="en-US"/>
        </w:rPr>
        <w:t xml:space="preserve"> show that the</w:t>
      </w:r>
      <w:r>
        <w:rPr>
          <w:lang w:val="en-US"/>
        </w:rPr>
        <w:t xml:space="preserve"> most important selection criteria for donors</w:t>
      </w:r>
      <w:r w:rsidR="00452F9F">
        <w:rPr>
          <w:lang w:val="en-US"/>
        </w:rPr>
        <w:t xml:space="preserve"> </w:t>
      </w:r>
      <w:r w:rsidR="004163D9">
        <w:rPr>
          <w:lang w:val="en-US"/>
        </w:rPr>
        <w:t>are</w:t>
      </w:r>
      <w:r w:rsidR="00452F9F">
        <w:rPr>
          <w:lang w:val="en-US"/>
        </w:rPr>
        <w:t xml:space="preserve"> the activit</w:t>
      </w:r>
      <w:r w:rsidR="00622D2B">
        <w:rPr>
          <w:lang w:val="en-US"/>
        </w:rPr>
        <w:t xml:space="preserve">ies of the charity. To control for this the model will have dummy variables for </w:t>
      </w:r>
      <w:r w:rsidR="006F4827">
        <w:rPr>
          <w:lang w:val="en-US"/>
        </w:rPr>
        <w:t>the</w:t>
      </w:r>
      <w:r w:rsidR="00622D2B">
        <w:rPr>
          <w:lang w:val="en-US"/>
        </w:rPr>
        <w:t xml:space="preserve"> different categories</w:t>
      </w:r>
      <w:r w:rsidR="006F4827">
        <w:rPr>
          <w:lang w:val="en-US"/>
        </w:rPr>
        <w:t xml:space="preserve"> of activities</w:t>
      </w:r>
      <w:r w:rsidR="00622D2B">
        <w:rPr>
          <w:lang w:val="en-US"/>
        </w:rPr>
        <w:t>.</w:t>
      </w:r>
      <w:r w:rsidR="00F80DCF">
        <w:rPr>
          <w:lang w:val="en-US"/>
        </w:rPr>
        <w:t xml:space="preserve"> </w:t>
      </w:r>
      <w:r w:rsidR="004C241E">
        <w:rPr>
          <w:lang w:val="en-US"/>
        </w:rPr>
        <w:t xml:space="preserve">Similarly, </w:t>
      </w:r>
      <w:r w:rsidR="004163D9">
        <w:rPr>
          <w:lang w:val="en-US"/>
        </w:rPr>
        <w:t>‘</w:t>
      </w:r>
      <w:r w:rsidR="004C241E">
        <w:rPr>
          <w:lang w:val="en-US"/>
        </w:rPr>
        <w:t>international</w:t>
      </w:r>
      <w:r w:rsidR="004163D9">
        <w:rPr>
          <w:lang w:val="en-US"/>
        </w:rPr>
        <w:t>’</w:t>
      </w:r>
      <w:r w:rsidR="004C241E">
        <w:rPr>
          <w:lang w:val="en-US"/>
        </w:rPr>
        <w:t xml:space="preserve"> is used to control for preferences of donors with regard to where the charities operate.</w:t>
      </w:r>
      <w:r w:rsidR="00760923">
        <w:rPr>
          <w:lang w:val="en-US"/>
        </w:rPr>
        <w:t xml:space="preserve"> The survey of van Iwaarden et al. </w:t>
      </w:r>
      <w:r w:rsidR="004163D9">
        <w:rPr>
          <w:lang w:val="en-US"/>
        </w:rPr>
        <w:t xml:space="preserve">(2008) </w:t>
      </w:r>
      <w:r w:rsidR="00760923">
        <w:rPr>
          <w:lang w:val="en-US"/>
        </w:rPr>
        <w:t>indicates that charities that focus on The Netherlands are still popular.</w:t>
      </w:r>
    </w:p>
    <w:p w:rsidR="00622D2B" w:rsidRDefault="00622D2B" w:rsidP="0034774D">
      <w:pPr>
        <w:spacing w:line="360" w:lineRule="auto"/>
        <w:rPr>
          <w:lang w:val="en-US"/>
        </w:rPr>
      </w:pPr>
    </w:p>
    <w:p w:rsidR="00E83F42" w:rsidRDefault="00E83F42" w:rsidP="0034774D">
      <w:pPr>
        <w:spacing w:line="360" w:lineRule="auto"/>
        <w:rPr>
          <w:lang w:val="en-US"/>
        </w:rPr>
      </w:pPr>
      <w:r w:rsidRPr="00DE4383">
        <w:rPr>
          <w:lang w:val="en-US"/>
        </w:rPr>
        <w:t xml:space="preserve">Running this model gives the following results, as seen in table </w:t>
      </w:r>
      <w:r w:rsidR="00726873" w:rsidRPr="00DE4383">
        <w:rPr>
          <w:lang w:val="en-US"/>
        </w:rPr>
        <w:t>8</w:t>
      </w:r>
      <w:r w:rsidRPr="00DE4383">
        <w:rPr>
          <w:lang w:val="en-US"/>
        </w:rPr>
        <w:t xml:space="preserve"> below.</w:t>
      </w:r>
      <w:r w:rsidR="002C2879" w:rsidRPr="00DE4383">
        <w:rPr>
          <w:lang w:val="en-US"/>
        </w:rPr>
        <w:t xml:space="preserve"> Further tables are in appendix 6a.</w:t>
      </w:r>
    </w:p>
    <w:p w:rsidR="006F4827" w:rsidRDefault="002800DD" w:rsidP="0034774D">
      <w:pPr>
        <w:spacing w:line="360" w:lineRule="auto"/>
        <w:rPr>
          <w:lang w:val="en-US"/>
        </w:rPr>
      </w:pPr>
      <w:r w:rsidRPr="002800DD">
        <w:rPr>
          <w:noProof/>
          <w:lang w:val="en-US"/>
        </w:rPr>
        <w:pict>
          <v:shape id="_x0000_s1040" type="#_x0000_t202" style="position:absolute;margin-left:400.95pt;margin-top:210.6pt;width:51.4pt;height:20.65pt;z-index:251678720;mso-height-percent:200;mso-height-percent:200;mso-width-relative:margin;mso-height-relative:margin" stroked="f">
            <v:textbox style="mso-fit-shape-to-text:t">
              <w:txbxContent>
                <w:p w:rsidR="002C07A4" w:rsidRPr="0078552F" w:rsidRDefault="002C07A4">
                  <w:pPr>
                    <w:rPr>
                      <w:i/>
                      <w:lang w:val="en-US"/>
                    </w:rPr>
                  </w:pPr>
                  <w:r w:rsidRPr="0078552F">
                    <w:rPr>
                      <w:i/>
                      <w:lang w:val="en-US"/>
                    </w:rPr>
                    <w:t>Table 8</w:t>
                  </w:r>
                </w:p>
              </w:txbxContent>
            </v:textbox>
          </v:shape>
        </w:pict>
      </w:r>
      <w:r w:rsidR="00E83F42" w:rsidRPr="00E83F42">
        <w:rPr>
          <w:noProof/>
          <w:lang w:eastAsia="nl-NL"/>
        </w:rPr>
        <w:drawing>
          <wp:inline distT="0" distB="0" distL="0" distR="0">
            <wp:extent cx="5731510" cy="2851866"/>
            <wp:effectExtent l="19050" t="0" r="2540" b="0"/>
            <wp:docPr id="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731510" cy="2851866"/>
                    </a:xfrm>
                    <a:prstGeom prst="rect">
                      <a:avLst/>
                    </a:prstGeom>
                    <a:noFill/>
                    <a:ln w="9525">
                      <a:noFill/>
                      <a:miter lim="800000"/>
                      <a:headEnd/>
                      <a:tailEnd/>
                    </a:ln>
                  </pic:spPr>
                </pic:pic>
              </a:graphicData>
            </a:graphic>
          </wp:inline>
        </w:drawing>
      </w:r>
    </w:p>
    <w:p w:rsidR="00622D2B" w:rsidRPr="00F631D7" w:rsidRDefault="00622D2B" w:rsidP="0034774D">
      <w:pPr>
        <w:spacing w:line="360" w:lineRule="auto"/>
        <w:rPr>
          <w:lang w:val="en-US"/>
        </w:rPr>
      </w:pPr>
    </w:p>
    <w:p w:rsidR="00E51B84" w:rsidRDefault="00E51B84">
      <w:pPr>
        <w:rPr>
          <w:lang w:val="en-US"/>
        </w:rPr>
      </w:pPr>
      <w:r>
        <w:rPr>
          <w:lang w:val="en-US"/>
        </w:rPr>
        <w:br w:type="page"/>
      </w:r>
    </w:p>
    <w:p w:rsidR="00204FA3" w:rsidRDefault="0089405D" w:rsidP="002C2879">
      <w:pPr>
        <w:spacing w:line="360" w:lineRule="auto"/>
        <w:jc w:val="both"/>
        <w:rPr>
          <w:lang w:val="en-US"/>
        </w:rPr>
      </w:pPr>
      <w:r>
        <w:rPr>
          <w:lang w:val="en-US"/>
        </w:rPr>
        <w:t xml:space="preserve">From the model we can conclude that it is indeed the case that CBF certification, the number of directors and financial oversight have a significant positive effect on the total income. </w:t>
      </w:r>
      <w:r w:rsidR="00204FA3">
        <w:rPr>
          <w:lang w:val="en-US"/>
        </w:rPr>
        <w:t>This model is able to explain around 68% of the total income (R</w:t>
      </w:r>
      <w:r w:rsidR="00204FA3" w:rsidRPr="00204FA3">
        <w:rPr>
          <w:vertAlign w:val="superscript"/>
          <w:lang w:val="en-US"/>
        </w:rPr>
        <w:t>2</w:t>
      </w:r>
      <w:r w:rsidR="00204FA3">
        <w:rPr>
          <w:lang w:val="en-US"/>
        </w:rPr>
        <w:t xml:space="preserve"> = 0.682).</w:t>
      </w:r>
    </w:p>
    <w:p w:rsidR="00204FA3" w:rsidRDefault="00204FA3" w:rsidP="002C2879">
      <w:pPr>
        <w:spacing w:line="360" w:lineRule="auto"/>
        <w:jc w:val="both"/>
        <w:rPr>
          <w:lang w:val="en-US"/>
        </w:rPr>
      </w:pPr>
    </w:p>
    <w:p w:rsidR="00760923" w:rsidRDefault="0089405D" w:rsidP="002C2879">
      <w:pPr>
        <w:spacing w:line="360" w:lineRule="auto"/>
        <w:jc w:val="both"/>
        <w:rPr>
          <w:lang w:val="en-US"/>
        </w:rPr>
      </w:pPr>
      <w:r>
        <w:rPr>
          <w:lang w:val="en-US"/>
        </w:rPr>
        <w:t xml:space="preserve">As seen in the previous section, most charities either have no financial oversight (level 0) or the highest oversight (level 5), as such only these levels have been included in the model. </w:t>
      </w:r>
      <w:r w:rsidR="00760923">
        <w:rPr>
          <w:lang w:val="en-US"/>
        </w:rPr>
        <w:t xml:space="preserve">The level 5 dummy is positive and highly significant. The level 0 dummy on the other hand is negative, albeit insignificant. Indicating that financial oversight is indeed important. </w:t>
      </w:r>
    </w:p>
    <w:p w:rsidR="004E6363" w:rsidRDefault="004E6363" w:rsidP="002C2879">
      <w:pPr>
        <w:spacing w:line="360" w:lineRule="auto"/>
        <w:jc w:val="both"/>
        <w:rPr>
          <w:lang w:val="en-US"/>
        </w:rPr>
      </w:pPr>
    </w:p>
    <w:p w:rsidR="00760923" w:rsidRDefault="00760923" w:rsidP="002C2879">
      <w:pPr>
        <w:spacing w:line="360" w:lineRule="auto"/>
        <w:jc w:val="both"/>
        <w:rPr>
          <w:lang w:val="en-US"/>
        </w:rPr>
      </w:pPr>
      <w:r>
        <w:rPr>
          <w:lang w:val="en-US"/>
        </w:rPr>
        <w:t xml:space="preserve">As </w:t>
      </w:r>
      <w:r w:rsidR="00204FA3">
        <w:rPr>
          <w:lang w:val="en-US"/>
        </w:rPr>
        <w:t>expected</w:t>
      </w:r>
      <w:r>
        <w:rPr>
          <w:lang w:val="en-US"/>
        </w:rPr>
        <w:t xml:space="preserve"> the number of executives is positive and highly significant as it proxies for size. The negative sign for international (significant at the 5% level) would indeed suggest that donors prefer charities whose goals </w:t>
      </w:r>
      <w:r w:rsidR="0027641E">
        <w:rPr>
          <w:lang w:val="en-US"/>
        </w:rPr>
        <w:t>focus</w:t>
      </w:r>
      <w:r>
        <w:rPr>
          <w:lang w:val="en-US"/>
        </w:rPr>
        <w:t xml:space="preserve"> </w:t>
      </w:r>
      <w:r w:rsidR="0027641E">
        <w:rPr>
          <w:lang w:val="en-US"/>
        </w:rPr>
        <w:t>o</w:t>
      </w:r>
      <w:r w:rsidR="00880CF1">
        <w:rPr>
          <w:lang w:val="en-US"/>
        </w:rPr>
        <w:t>n The Netherlands, which is in line with the survey of van Iwaarden et al.</w:t>
      </w:r>
      <w:r w:rsidR="004163D9">
        <w:rPr>
          <w:lang w:val="en-US"/>
        </w:rPr>
        <w:t xml:space="preserve"> (2008). </w:t>
      </w:r>
      <w:r w:rsidR="00EB7041">
        <w:rPr>
          <w:lang w:val="en-US"/>
        </w:rPr>
        <w:t>For the category dummies we see that only the health category has a somewhat significant influence (at the 10% level) on the income</w:t>
      </w:r>
      <w:r w:rsidR="00FC142F">
        <w:rPr>
          <w:lang w:val="en-US"/>
        </w:rPr>
        <w:t xml:space="preserve">, indicating that donors are less likely to donate to charities who focus on health related </w:t>
      </w:r>
      <w:r w:rsidR="00880CF1">
        <w:rPr>
          <w:lang w:val="en-US"/>
        </w:rPr>
        <w:t>activities</w:t>
      </w:r>
      <w:r w:rsidR="0078552F">
        <w:rPr>
          <w:lang w:val="en-US"/>
        </w:rPr>
        <w:t xml:space="preserve"> but overall income is not dependent on category of activities.</w:t>
      </w:r>
    </w:p>
    <w:p w:rsidR="0089405D" w:rsidRDefault="0089405D" w:rsidP="002C2879">
      <w:pPr>
        <w:spacing w:line="360" w:lineRule="auto"/>
        <w:jc w:val="both"/>
        <w:rPr>
          <w:lang w:val="en-US"/>
        </w:rPr>
      </w:pPr>
    </w:p>
    <w:p w:rsidR="000E1D59" w:rsidRDefault="000E1D59" w:rsidP="002C2879">
      <w:pPr>
        <w:spacing w:line="360" w:lineRule="auto"/>
        <w:jc w:val="both"/>
        <w:rPr>
          <w:lang w:val="en-US"/>
        </w:rPr>
      </w:pPr>
      <w:r>
        <w:rPr>
          <w:lang w:val="en-US"/>
        </w:rPr>
        <w:t>It is interesting to look at the different categories on a</w:t>
      </w:r>
      <w:r w:rsidR="003117BB">
        <w:rPr>
          <w:lang w:val="en-US"/>
        </w:rPr>
        <w:t>n</w:t>
      </w:r>
      <w:r>
        <w:rPr>
          <w:lang w:val="en-US"/>
        </w:rPr>
        <w:t xml:space="preserve"> individual basis to see if results differ from the full model in table 8. Tables 9a to 9d show the regression model for the four different categories. </w:t>
      </w:r>
    </w:p>
    <w:p w:rsidR="000E1D59" w:rsidRDefault="000E1D59" w:rsidP="002C2879">
      <w:pPr>
        <w:spacing w:line="360" w:lineRule="auto"/>
        <w:jc w:val="both"/>
        <w:rPr>
          <w:lang w:val="en-US"/>
        </w:rPr>
      </w:pPr>
    </w:p>
    <w:p w:rsidR="006E3896" w:rsidRDefault="002800DD" w:rsidP="002C2879">
      <w:pPr>
        <w:spacing w:line="360" w:lineRule="auto"/>
        <w:jc w:val="both"/>
        <w:rPr>
          <w:lang w:val="en-US"/>
        </w:rPr>
      </w:pPr>
      <w:r w:rsidRPr="002800DD">
        <w:rPr>
          <w:noProof/>
          <w:lang w:val="en-US"/>
        </w:rPr>
        <w:pict>
          <v:shape id="_x0000_s1046" type="#_x0000_t202" style="position:absolute;left:0;text-align:left;margin-left:391.2pt;margin-top:146.5pt;width:57.4pt;height:20.65pt;z-index:251686912;mso-height-percent:200;mso-height-percent:200;mso-width-relative:margin;mso-height-relative:margin" stroked="f">
            <v:textbox style="mso-next-textbox:#_x0000_s1046;mso-fit-shape-to-text:t">
              <w:txbxContent>
                <w:p w:rsidR="002C07A4" w:rsidRPr="006E3896" w:rsidRDefault="002C07A4">
                  <w:pPr>
                    <w:rPr>
                      <w:i/>
                      <w:lang w:val="en-US"/>
                    </w:rPr>
                  </w:pPr>
                  <w:r w:rsidRPr="006E3896">
                    <w:rPr>
                      <w:i/>
                      <w:lang w:val="en-US"/>
                    </w:rPr>
                    <w:t>Table 9a</w:t>
                  </w:r>
                </w:p>
              </w:txbxContent>
            </v:textbox>
          </v:shape>
        </w:pict>
      </w:r>
      <w:r w:rsidR="006E3896" w:rsidRPr="006E3896">
        <w:rPr>
          <w:noProof/>
          <w:lang w:eastAsia="nl-NL"/>
        </w:rPr>
        <w:drawing>
          <wp:inline distT="0" distB="0" distL="0" distR="0">
            <wp:extent cx="5720630" cy="2181225"/>
            <wp:effectExtent l="19050" t="0" r="0" b="0"/>
            <wp:docPr id="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31510" cy="2185373"/>
                    </a:xfrm>
                    <a:prstGeom prst="rect">
                      <a:avLst/>
                    </a:prstGeom>
                    <a:noFill/>
                    <a:ln w="9525">
                      <a:noFill/>
                      <a:miter lim="800000"/>
                      <a:headEnd/>
                      <a:tailEnd/>
                    </a:ln>
                  </pic:spPr>
                </pic:pic>
              </a:graphicData>
            </a:graphic>
          </wp:inline>
        </w:drawing>
      </w:r>
    </w:p>
    <w:p w:rsidR="000E1D59" w:rsidRDefault="000E1D59" w:rsidP="002C2879">
      <w:pPr>
        <w:spacing w:line="360" w:lineRule="auto"/>
        <w:jc w:val="both"/>
        <w:rPr>
          <w:lang w:val="en-US"/>
        </w:rPr>
      </w:pPr>
    </w:p>
    <w:p w:rsidR="006E3896" w:rsidRDefault="002800DD" w:rsidP="002C2879">
      <w:pPr>
        <w:spacing w:line="360" w:lineRule="auto"/>
        <w:jc w:val="both"/>
        <w:rPr>
          <w:lang w:val="en-US"/>
        </w:rPr>
      </w:pPr>
      <w:r w:rsidRPr="002800DD">
        <w:rPr>
          <w:noProof/>
          <w:lang w:val="en-US"/>
        </w:rPr>
        <w:pict>
          <v:shape id="_x0000_s1047" type="#_x0000_t202" style="position:absolute;left:0;text-align:left;margin-left:390.15pt;margin-top:151.15pt;width:58.45pt;height:20.65pt;z-index:251688960;mso-height-percent:200;mso-height-percent:200;mso-width-relative:margin;mso-height-relative:margin" stroked="f">
            <v:textbox style="mso-fit-shape-to-text:t">
              <w:txbxContent>
                <w:p w:rsidR="002C07A4" w:rsidRPr="006E3896" w:rsidRDefault="002C07A4">
                  <w:pPr>
                    <w:rPr>
                      <w:i/>
                      <w:lang w:val="en-US"/>
                    </w:rPr>
                  </w:pPr>
                  <w:r w:rsidRPr="006E3896">
                    <w:rPr>
                      <w:i/>
                      <w:lang w:val="en-US"/>
                    </w:rPr>
                    <w:t>Table 9b</w:t>
                  </w:r>
                </w:p>
              </w:txbxContent>
            </v:textbox>
          </v:shape>
        </w:pict>
      </w:r>
      <w:r w:rsidR="006E3896" w:rsidRPr="006E3896">
        <w:rPr>
          <w:noProof/>
          <w:lang w:eastAsia="nl-NL"/>
        </w:rPr>
        <w:drawing>
          <wp:inline distT="0" distB="0" distL="0" distR="0">
            <wp:extent cx="5720631" cy="2228850"/>
            <wp:effectExtent l="19050" t="0" r="0" b="0"/>
            <wp:docPr id="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31510" cy="2233089"/>
                    </a:xfrm>
                    <a:prstGeom prst="rect">
                      <a:avLst/>
                    </a:prstGeom>
                    <a:noFill/>
                    <a:ln w="9525">
                      <a:noFill/>
                      <a:miter lim="800000"/>
                      <a:headEnd/>
                      <a:tailEnd/>
                    </a:ln>
                  </pic:spPr>
                </pic:pic>
              </a:graphicData>
            </a:graphic>
          </wp:inline>
        </w:drawing>
      </w:r>
    </w:p>
    <w:p w:rsidR="00F85420" w:rsidRDefault="00F85420" w:rsidP="002C2879">
      <w:pPr>
        <w:spacing w:line="360" w:lineRule="auto"/>
        <w:jc w:val="both"/>
        <w:rPr>
          <w:lang w:val="en-US"/>
        </w:rPr>
      </w:pPr>
    </w:p>
    <w:p w:rsidR="006E3896" w:rsidRDefault="002800DD" w:rsidP="002C2879">
      <w:pPr>
        <w:spacing w:line="360" w:lineRule="auto"/>
        <w:jc w:val="both"/>
        <w:rPr>
          <w:lang w:val="en-US"/>
        </w:rPr>
      </w:pPr>
      <w:r w:rsidRPr="002800DD">
        <w:rPr>
          <w:noProof/>
          <w:lang w:val="en-US"/>
        </w:rPr>
        <w:pict>
          <v:shape id="_x0000_s1048" type="#_x0000_t202" style="position:absolute;left:0;text-align:left;margin-left:390.4pt;margin-top:153pt;width:58.9pt;height:20.65pt;z-index:251691008;mso-height-percent:200;mso-height-percent:200;mso-width-relative:margin;mso-height-relative:margin" stroked="f">
            <v:textbox style="mso-fit-shape-to-text:t">
              <w:txbxContent>
                <w:p w:rsidR="002C07A4" w:rsidRPr="006E3896" w:rsidRDefault="002C07A4">
                  <w:pPr>
                    <w:rPr>
                      <w:i/>
                      <w:lang w:val="en-US"/>
                    </w:rPr>
                  </w:pPr>
                  <w:r w:rsidRPr="006E3896">
                    <w:rPr>
                      <w:i/>
                      <w:lang w:val="en-US"/>
                    </w:rPr>
                    <w:t>Table 9c</w:t>
                  </w:r>
                </w:p>
              </w:txbxContent>
            </v:textbox>
          </v:shape>
        </w:pict>
      </w:r>
      <w:r w:rsidR="006E3896" w:rsidRPr="006E3896">
        <w:rPr>
          <w:noProof/>
          <w:lang w:eastAsia="nl-NL"/>
        </w:rPr>
        <w:drawing>
          <wp:inline distT="0" distB="0" distL="0" distR="0">
            <wp:extent cx="5720630" cy="2305050"/>
            <wp:effectExtent l="19050" t="0" r="0" b="0"/>
            <wp:docPr id="3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731510" cy="2309434"/>
                    </a:xfrm>
                    <a:prstGeom prst="rect">
                      <a:avLst/>
                    </a:prstGeom>
                    <a:noFill/>
                    <a:ln w="9525">
                      <a:noFill/>
                      <a:miter lim="800000"/>
                      <a:headEnd/>
                      <a:tailEnd/>
                    </a:ln>
                  </pic:spPr>
                </pic:pic>
              </a:graphicData>
            </a:graphic>
          </wp:inline>
        </w:drawing>
      </w:r>
    </w:p>
    <w:p w:rsidR="006E3896" w:rsidRDefault="006E3896" w:rsidP="002C2879">
      <w:pPr>
        <w:spacing w:line="360" w:lineRule="auto"/>
        <w:jc w:val="both"/>
        <w:rPr>
          <w:lang w:val="en-US"/>
        </w:rPr>
      </w:pPr>
    </w:p>
    <w:p w:rsidR="006E3896" w:rsidRDefault="002800DD" w:rsidP="002C2879">
      <w:pPr>
        <w:spacing w:line="360" w:lineRule="auto"/>
        <w:jc w:val="both"/>
        <w:rPr>
          <w:lang w:val="en-US"/>
        </w:rPr>
      </w:pPr>
      <w:r w:rsidRPr="002800DD">
        <w:rPr>
          <w:noProof/>
          <w:lang w:val="en-US"/>
        </w:rPr>
        <w:pict>
          <v:shape id="_x0000_s1049" type="#_x0000_t202" style="position:absolute;left:0;text-align:left;margin-left:388.9pt;margin-top:156.15pt;width:60.4pt;height:20.65pt;z-index:251693056;mso-height-percent:200;mso-height-percent:200;mso-width-relative:margin;mso-height-relative:margin" stroked="f">
            <v:textbox style="mso-fit-shape-to-text:t">
              <w:txbxContent>
                <w:p w:rsidR="002C07A4" w:rsidRPr="006E3896" w:rsidRDefault="002C07A4">
                  <w:pPr>
                    <w:rPr>
                      <w:i/>
                      <w:lang w:val="en-US"/>
                    </w:rPr>
                  </w:pPr>
                  <w:r w:rsidRPr="006E3896">
                    <w:rPr>
                      <w:i/>
                      <w:lang w:val="en-US"/>
                    </w:rPr>
                    <w:t>Table 9d</w:t>
                  </w:r>
                </w:p>
              </w:txbxContent>
            </v:textbox>
          </v:shape>
        </w:pict>
      </w:r>
      <w:r w:rsidR="006E3896" w:rsidRPr="006E3896">
        <w:rPr>
          <w:noProof/>
          <w:lang w:eastAsia="nl-NL"/>
        </w:rPr>
        <w:drawing>
          <wp:inline distT="0" distB="0" distL="0" distR="0">
            <wp:extent cx="5726680" cy="2333625"/>
            <wp:effectExtent l="19050" t="0" r="7370" b="0"/>
            <wp:docPr id="2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731510" cy="2335593"/>
                    </a:xfrm>
                    <a:prstGeom prst="rect">
                      <a:avLst/>
                    </a:prstGeom>
                    <a:noFill/>
                    <a:ln w="9525">
                      <a:noFill/>
                      <a:miter lim="800000"/>
                      <a:headEnd/>
                      <a:tailEnd/>
                    </a:ln>
                  </pic:spPr>
                </pic:pic>
              </a:graphicData>
            </a:graphic>
          </wp:inline>
        </w:drawing>
      </w:r>
    </w:p>
    <w:p w:rsidR="006E3896" w:rsidRDefault="006E3896" w:rsidP="002C2879">
      <w:pPr>
        <w:spacing w:line="360" w:lineRule="auto"/>
        <w:jc w:val="both"/>
        <w:rPr>
          <w:lang w:val="en-US"/>
        </w:rPr>
      </w:pPr>
    </w:p>
    <w:p w:rsidR="00E51B84" w:rsidRDefault="00E51B84">
      <w:pPr>
        <w:rPr>
          <w:lang w:val="en-US"/>
        </w:rPr>
      </w:pPr>
      <w:r>
        <w:rPr>
          <w:lang w:val="en-US"/>
        </w:rPr>
        <w:br w:type="page"/>
      </w:r>
    </w:p>
    <w:p w:rsidR="00E51B84" w:rsidRDefault="006E3896" w:rsidP="00E51B84">
      <w:pPr>
        <w:spacing w:line="360" w:lineRule="auto"/>
        <w:jc w:val="both"/>
        <w:rPr>
          <w:lang w:val="en-US"/>
        </w:rPr>
      </w:pPr>
      <w:r>
        <w:rPr>
          <w:lang w:val="en-US"/>
        </w:rPr>
        <w:t xml:space="preserve">All </w:t>
      </w:r>
      <w:r w:rsidR="0067445B">
        <w:rPr>
          <w:lang w:val="en-US"/>
        </w:rPr>
        <w:t xml:space="preserve">four </w:t>
      </w:r>
      <w:r>
        <w:rPr>
          <w:lang w:val="en-US"/>
        </w:rPr>
        <w:t xml:space="preserve">models have a explanatory power of around 65%. Looking at the </w:t>
      </w:r>
      <w:r w:rsidR="00C07AFE">
        <w:rPr>
          <w:lang w:val="en-US"/>
        </w:rPr>
        <w:t xml:space="preserve">variables </w:t>
      </w:r>
      <w:r>
        <w:rPr>
          <w:lang w:val="en-US"/>
        </w:rPr>
        <w:t xml:space="preserve">we see that the </w:t>
      </w:r>
      <w:r w:rsidR="00C07AFE">
        <w:rPr>
          <w:lang w:val="en-US"/>
        </w:rPr>
        <w:t xml:space="preserve">level 5 </w:t>
      </w:r>
      <w:r>
        <w:rPr>
          <w:lang w:val="en-US"/>
        </w:rPr>
        <w:t xml:space="preserve">financial oversight and number of executives are </w:t>
      </w:r>
      <w:r w:rsidR="00C07AFE">
        <w:rPr>
          <w:lang w:val="en-US"/>
        </w:rPr>
        <w:t>positive and significant. This is in line with the model in table 8</w:t>
      </w:r>
      <w:r w:rsidR="00961635">
        <w:rPr>
          <w:lang w:val="en-US"/>
        </w:rPr>
        <w:t>.</w:t>
      </w:r>
      <w:r w:rsidR="00C07AFE">
        <w:rPr>
          <w:lang w:val="en-US"/>
        </w:rPr>
        <w:t xml:space="preserve"> </w:t>
      </w:r>
      <w:r w:rsidR="00735156">
        <w:rPr>
          <w:lang w:val="en-US"/>
        </w:rPr>
        <w:t>CBF certification and the number of directors give mixed results over the different categories. CBF certification is only significant in the health category</w:t>
      </w:r>
      <w:r w:rsidR="00376AA8">
        <w:rPr>
          <w:lang w:val="en-US"/>
        </w:rPr>
        <w:t xml:space="preserve"> (table 9b)</w:t>
      </w:r>
      <w:r w:rsidR="00735156">
        <w:rPr>
          <w:lang w:val="en-US"/>
        </w:rPr>
        <w:t xml:space="preserve"> and insignificant for the other categories. </w:t>
      </w:r>
      <w:r w:rsidR="00E51B84">
        <w:rPr>
          <w:lang w:val="en-US"/>
        </w:rPr>
        <w:t>Similarly, the number of directors is only significant for the ‘welfare’</w:t>
      </w:r>
      <w:r w:rsidR="00376AA8">
        <w:rPr>
          <w:lang w:val="en-US"/>
        </w:rPr>
        <w:t xml:space="preserve"> (table 9a)</w:t>
      </w:r>
      <w:r w:rsidR="00E51B84">
        <w:rPr>
          <w:lang w:val="en-US"/>
        </w:rPr>
        <w:t xml:space="preserve"> and ‘international aid’</w:t>
      </w:r>
      <w:r w:rsidR="00376AA8">
        <w:rPr>
          <w:lang w:val="en-US"/>
        </w:rPr>
        <w:t xml:space="preserve"> (table 9d)</w:t>
      </w:r>
      <w:r w:rsidR="00E51B84">
        <w:rPr>
          <w:lang w:val="en-US"/>
        </w:rPr>
        <w:t xml:space="preserve"> categories. Explanations for th</w:t>
      </w:r>
      <w:r w:rsidR="00F85420">
        <w:rPr>
          <w:lang w:val="en-US"/>
        </w:rPr>
        <w:t>ese observations</w:t>
      </w:r>
      <w:r w:rsidR="00E51B84">
        <w:rPr>
          <w:lang w:val="en-US"/>
        </w:rPr>
        <w:t xml:space="preserve"> are not directly obvious. </w:t>
      </w:r>
    </w:p>
    <w:p w:rsidR="00961635" w:rsidRDefault="00961635" w:rsidP="00E51B84">
      <w:pPr>
        <w:spacing w:line="360" w:lineRule="auto"/>
        <w:jc w:val="both"/>
        <w:rPr>
          <w:lang w:val="en-US"/>
        </w:rPr>
      </w:pPr>
    </w:p>
    <w:p w:rsidR="00E26DBE" w:rsidRDefault="003B550C" w:rsidP="002C2879">
      <w:pPr>
        <w:spacing w:line="360" w:lineRule="auto"/>
        <w:jc w:val="both"/>
        <w:rPr>
          <w:lang w:val="en-US"/>
        </w:rPr>
      </w:pPr>
      <w:r w:rsidRPr="00DE4383">
        <w:rPr>
          <w:lang w:val="en-US"/>
        </w:rPr>
        <w:t xml:space="preserve">Appendix 6b shows a regression model with all the variables as described in section V.2. Looking at this model we see only a small increase in the </w:t>
      </w:r>
      <w:r w:rsidR="00B01693" w:rsidRPr="00DE4383">
        <w:rPr>
          <w:lang w:val="en-US"/>
        </w:rPr>
        <w:t>explanatory power</w:t>
      </w:r>
      <w:r w:rsidRPr="00DE4383">
        <w:rPr>
          <w:lang w:val="en-US"/>
        </w:rPr>
        <w:t xml:space="preserve"> (R</w:t>
      </w:r>
      <w:r w:rsidRPr="00DE4383">
        <w:rPr>
          <w:vertAlign w:val="superscript"/>
          <w:lang w:val="en-US"/>
        </w:rPr>
        <w:t>2</w:t>
      </w:r>
      <w:r w:rsidRPr="00DE4383">
        <w:rPr>
          <w:lang w:val="en-US"/>
        </w:rPr>
        <w:t xml:space="preserve"> = 0.714)</w:t>
      </w:r>
      <w:r w:rsidR="00880CF1">
        <w:rPr>
          <w:lang w:val="en-US"/>
        </w:rPr>
        <w:t xml:space="preserve"> compared to the model in table 8</w:t>
      </w:r>
      <w:r w:rsidRPr="00DE4383">
        <w:rPr>
          <w:lang w:val="en-US"/>
        </w:rPr>
        <w:t xml:space="preserve">. Looking at the variables it is interesting to see that CBF certified has become </w:t>
      </w:r>
      <w:r w:rsidR="00E07783">
        <w:rPr>
          <w:lang w:val="en-US"/>
        </w:rPr>
        <w:t>insignificant and even negative.</w:t>
      </w:r>
      <w:r w:rsidRPr="00DE4383">
        <w:rPr>
          <w:lang w:val="en-US"/>
        </w:rPr>
        <w:t xml:space="preserve"> </w:t>
      </w:r>
      <w:r w:rsidR="00E07783">
        <w:rPr>
          <w:lang w:val="en-US"/>
        </w:rPr>
        <w:t>T</w:t>
      </w:r>
      <w:r w:rsidRPr="00DE4383">
        <w:rPr>
          <w:lang w:val="en-US"/>
        </w:rPr>
        <w:t xml:space="preserve">his is most likely due to the addition of the VFI membership variable, </w:t>
      </w:r>
      <w:r w:rsidR="00E07783">
        <w:rPr>
          <w:lang w:val="en-US"/>
        </w:rPr>
        <w:t>which is</w:t>
      </w:r>
      <w:r w:rsidRPr="00DE4383">
        <w:rPr>
          <w:lang w:val="en-US"/>
        </w:rPr>
        <w:t xml:space="preserve"> </w:t>
      </w:r>
      <w:r w:rsidR="002C2879" w:rsidRPr="00DE4383">
        <w:rPr>
          <w:lang w:val="en-US"/>
        </w:rPr>
        <w:t>h</w:t>
      </w:r>
      <w:r w:rsidRPr="00DE4383">
        <w:rPr>
          <w:lang w:val="en-US"/>
        </w:rPr>
        <w:t>igh</w:t>
      </w:r>
      <w:r w:rsidR="00E07783">
        <w:rPr>
          <w:lang w:val="en-US"/>
        </w:rPr>
        <w:t>ly</w:t>
      </w:r>
      <w:r w:rsidRPr="00DE4383">
        <w:rPr>
          <w:lang w:val="en-US"/>
        </w:rPr>
        <w:t xml:space="preserve"> correlat</w:t>
      </w:r>
      <w:r w:rsidR="00E07783">
        <w:rPr>
          <w:lang w:val="en-US"/>
        </w:rPr>
        <w:t>ed with</w:t>
      </w:r>
      <w:r w:rsidRPr="00DE4383">
        <w:rPr>
          <w:lang w:val="en-US"/>
        </w:rPr>
        <w:t xml:space="preserve"> VFI membership </w:t>
      </w:r>
      <w:r w:rsidR="00E07783">
        <w:rPr>
          <w:lang w:val="en-US"/>
        </w:rPr>
        <w:t xml:space="preserve">and </w:t>
      </w:r>
      <w:r w:rsidRPr="00DE4383">
        <w:rPr>
          <w:lang w:val="en-US"/>
        </w:rPr>
        <w:t xml:space="preserve">can also be seen as a proxy for size. </w:t>
      </w:r>
      <w:r w:rsidR="002C2879" w:rsidRPr="00DE4383">
        <w:rPr>
          <w:lang w:val="en-US"/>
        </w:rPr>
        <w:t>Running the same model without the VFI variable shows that CBF certification becomes positive again and significant at the 10% level (appendix 6c).</w:t>
      </w:r>
      <w:r w:rsidR="00CC4107">
        <w:rPr>
          <w:lang w:val="en-US"/>
        </w:rPr>
        <w:t xml:space="preserve"> </w:t>
      </w:r>
    </w:p>
    <w:p w:rsidR="00A247D4" w:rsidRDefault="00CC4107" w:rsidP="002C2879">
      <w:pPr>
        <w:spacing w:line="360" w:lineRule="auto"/>
        <w:jc w:val="both"/>
        <w:rPr>
          <w:lang w:val="en-US"/>
        </w:rPr>
      </w:pPr>
      <w:r>
        <w:rPr>
          <w:lang w:val="en-US"/>
        </w:rPr>
        <w:t>Another observation is that ‘legal form’ is positive and highly significant.</w:t>
      </w:r>
      <w:r w:rsidR="00E26DBE">
        <w:rPr>
          <w:lang w:val="en-US"/>
        </w:rPr>
        <w:t xml:space="preserve"> Indicating that associations are more capable of raising funds.</w:t>
      </w:r>
      <w:r>
        <w:rPr>
          <w:lang w:val="en-US"/>
        </w:rPr>
        <w:t xml:space="preserve"> A possible explanation for this is that associations have members who provided a fixed income to the charity in the form of contributions. </w:t>
      </w:r>
    </w:p>
    <w:p w:rsidR="00CC4107" w:rsidRDefault="00CC4107" w:rsidP="002C2879">
      <w:pPr>
        <w:spacing w:line="360" w:lineRule="auto"/>
        <w:jc w:val="both"/>
        <w:rPr>
          <w:lang w:val="en-US"/>
        </w:rPr>
      </w:pPr>
    </w:p>
    <w:p w:rsidR="00327665" w:rsidRDefault="00327665">
      <w:pPr>
        <w:rPr>
          <w:rFonts w:ascii="ScalaSans-Caps" w:hAnsi="ScalaSans-Caps"/>
          <w:b/>
          <w:lang w:val="en-US"/>
        </w:rPr>
      </w:pPr>
      <w:r>
        <w:rPr>
          <w:rFonts w:ascii="ScalaSans-Caps" w:hAnsi="ScalaSans-Caps"/>
          <w:b/>
          <w:lang w:val="en-US"/>
        </w:rPr>
        <w:br w:type="page"/>
      </w:r>
    </w:p>
    <w:p w:rsidR="00A247D4" w:rsidRPr="00465BB2" w:rsidRDefault="00A247D4" w:rsidP="00B963F7">
      <w:pPr>
        <w:spacing w:line="360" w:lineRule="auto"/>
        <w:rPr>
          <w:rFonts w:ascii="ScalaSans-Caps" w:hAnsi="ScalaSans-Caps"/>
          <w:b/>
          <w:lang w:val="en-US"/>
        </w:rPr>
      </w:pPr>
      <w:r w:rsidRPr="00465BB2">
        <w:rPr>
          <w:rFonts w:ascii="ScalaSans-Caps" w:hAnsi="ScalaSans-Caps"/>
          <w:b/>
          <w:lang w:val="en-US"/>
        </w:rPr>
        <w:t>Performance</w:t>
      </w:r>
    </w:p>
    <w:p w:rsidR="003B550C" w:rsidRDefault="00B963F7" w:rsidP="00465BB2">
      <w:pPr>
        <w:spacing w:line="360" w:lineRule="auto"/>
        <w:jc w:val="both"/>
        <w:rPr>
          <w:lang w:val="en-US"/>
        </w:rPr>
      </w:pPr>
      <w:r>
        <w:rPr>
          <w:lang w:val="en-US"/>
        </w:rPr>
        <w:t xml:space="preserve">Now we’ve seen </w:t>
      </w:r>
      <w:r w:rsidR="00C75471">
        <w:rPr>
          <w:lang w:val="en-US"/>
        </w:rPr>
        <w:t xml:space="preserve">the influence of governance on the income of charities we’ll continue to look at the influence on performance. </w:t>
      </w:r>
      <w:r w:rsidR="00305201">
        <w:rPr>
          <w:lang w:val="en-US"/>
        </w:rPr>
        <w:t xml:space="preserve">The </w:t>
      </w:r>
      <w:r w:rsidR="00E07783">
        <w:rPr>
          <w:lang w:val="en-US"/>
        </w:rPr>
        <w:t>performance measure</w:t>
      </w:r>
      <w:r w:rsidR="00305201">
        <w:rPr>
          <w:lang w:val="en-US"/>
        </w:rPr>
        <w:t xml:space="preserve"> is the ratio of program expenses to the total costs.</w:t>
      </w:r>
    </w:p>
    <w:p w:rsidR="00B963F7" w:rsidRDefault="00B963F7" w:rsidP="00465BB2">
      <w:pPr>
        <w:spacing w:line="360" w:lineRule="auto"/>
        <w:jc w:val="both"/>
        <w:rPr>
          <w:lang w:val="en-US"/>
        </w:rPr>
      </w:pPr>
    </w:p>
    <w:p w:rsidR="00B963F7" w:rsidRDefault="00C75471" w:rsidP="00465BB2">
      <w:pPr>
        <w:spacing w:line="360" w:lineRule="auto"/>
        <w:jc w:val="both"/>
        <w:rPr>
          <w:lang w:val="en-US"/>
        </w:rPr>
      </w:pPr>
      <w:r>
        <w:rPr>
          <w:lang w:val="en-US"/>
        </w:rPr>
        <w:t>As seen in section II.2 charities who are a member of the VFI and/or certified by the CBF are to uphold strict guide</w:t>
      </w:r>
      <w:r w:rsidR="003836F8">
        <w:rPr>
          <w:lang w:val="en-US"/>
        </w:rPr>
        <w:t>lines</w:t>
      </w:r>
      <w:r>
        <w:rPr>
          <w:lang w:val="en-US"/>
        </w:rPr>
        <w:t xml:space="preserve"> with regards to governance</w:t>
      </w:r>
      <w:r w:rsidR="00880CF1">
        <w:rPr>
          <w:lang w:val="en-US"/>
        </w:rPr>
        <w:t xml:space="preserve"> that are independently monitored</w:t>
      </w:r>
      <w:r>
        <w:rPr>
          <w:lang w:val="en-US"/>
        </w:rPr>
        <w:t xml:space="preserve">. </w:t>
      </w:r>
      <w:r w:rsidR="00E07783">
        <w:rPr>
          <w:lang w:val="en-US"/>
        </w:rPr>
        <w:t>Hence it is to be</w:t>
      </w:r>
      <w:r>
        <w:rPr>
          <w:lang w:val="en-US"/>
        </w:rPr>
        <w:t xml:space="preserve"> expected that being a VFI member and/or CBF certified has a positive effect on performance, leading to the following hypothes</w:t>
      </w:r>
      <w:r w:rsidR="00880CF1">
        <w:rPr>
          <w:lang w:val="en-US"/>
        </w:rPr>
        <w:t>e</w:t>
      </w:r>
      <w:r>
        <w:rPr>
          <w:lang w:val="en-US"/>
        </w:rPr>
        <w:t>s:</w:t>
      </w:r>
    </w:p>
    <w:p w:rsidR="00C75471" w:rsidRPr="00C75471" w:rsidRDefault="00C75471" w:rsidP="00465BB2">
      <w:pPr>
        <w:spacing w:line="360" w:lineRule="auto"/>
        <w:jc w:val="both"/>
        <w:rPr>
          <w:i/>
          <w:lang w:val="en-US"/>
        </w:rPr>
      </w:pPr>
      <w:r w:rsidRPr="00C75471">
        <w:rPr>
          <w:i/>
          <w:lang w:val="en-US"/>
        </w:rPr>
        <w:tab/>
        <w:t>H4: CBF certification has a positive influence on performance</w:t>
      </w:r>
    </w:p>
    <w:p w:rsidR="00C75471" w:rsidRPr="00C75471" w:rsidRDefault="00C75471" w:rsidP="00465BB2">
      <w:pPr>
        <w:spacing w:line="360" w:lineRule="auto"/>
        <w:jc w:val="both"/>
        <w:rPr>
          <w:i/>
          <w:lang w:val="en-US"/>
        </w:rPr>
      </w:pPr>
      <w:r w:rsidRPr="00C75471">
        <w:rPr>
          <w:i/>
          <w:lang w:val="en-US"/>
        </w:rPr>
        <w:tab/>
        <w:t>H5: VFI membership has a positive influence on performance</w:t>
      </w:r>
    </w:p>
    <w:p w:rsidR="00B963F7" w:rsidRDefault="00B963F7" w:rsidP="00465BB2">
      <w:pPr>
        <w:spacing w:line="360" w:lineRule="auto"/>
        <w:jc w:val="both"/>
        <w:rPr>
          <w:lang w:val="en-US"/>
        </w:rPr>
      </w:pPr>
    </w:p>
    <w:p w:rsidR="00C75471" w:rsidRDefault="00C75471" w:rsidP="00465BB2">
      <w:pPr>
        <w:spacing w:line="360" w:lineRule="auto"/>
        <w:jc w:val="both"/>
        <w:rPr>
          <w:lang w:val="en-US"/>
        </w:rPr>
      </w:pPr>
      <w:r>
        <w:rPr>
          <w:lang w:val="en-US"/>
        </w:rPr>
        <w:t xml:space="preserve">Furthermore we have seen in section III.1 that organizations with the legal form of an association </w:t>
      </w:r>
      <w:r w:rsidR="00260CA0">
        <w:rPr>
          <w:lang w:val="en-US"/>
        </w:rPr>
        <w:t>are by law required to hold general assembly meetings where the members have the right to vote on various matters</w:t>
      </w:r>
      <w:r w:rsidR="00E07783">
        <w:rPr>
          <w:lang w:val="en-US"/>
        </w:rPr>
        <w:t>.</w:t>
      </w:r>
      <w:r w:rsidR="00260CA0">
        <w:rPr>
          <w:lang w:val="en-US"/>
        </w:rPr>
        <w:t xml:space="preserve"> </w:t>
      </w:r>
      <w:r w:rsidR="00E07783">
        <w:rPr>
          <w:lang w:val="en-US"/>
        </w:rPr>
        <w:t>Therefore</w:t>
      </w:r>
      <w:r w:rsidR="00260CA0">
        <w:rPr>
          <w:lang w:val="en-US"/>
        </w:rPr>
        <w:t xml:space="preserve"> it can be expected that charities with the legal form of an ass</w:t>
      </w:r>
      <w:r w:rsidR="00465BB2">
        <w:rPr>
          <w:lang w:val="en-US"/>
        </w:rPr>
        <w:t xml:space="preserve">ociation </w:t>
      </w:r>
      <w:r w:rsidR="00260CA0">
        <w:rPr>
          <w:lang w:val="en-US"/>
        </w:rPr>
        <w:t xml:space="preserve">perform </w:t>
      </w:r>
      <w:r w:rsidR="00465BB2">
        <w:rPr>
          <w:lang w:val="en-US"/>
        </w:rPr>
        <w:t>better.</w:t>
      </w:r>
    </w:p>
    <w:p w:rsidR="00465BB2" w:rsidRDefault="00465BB2" w:rsidP="00465BB2">
      <w:pPr>
        <w:spacing w:line="360" w:lineRule="auto"/>
        <w:jc w:val="both"/>
        <w:rPr>
          <w:i/>
          <w:lang w:val="en-US"/>
        </w:rPr>
      </w:pPr>
      <w:r>
        <w:rPr>
          <w:lang w:val="en-US"/>
        </w:rPr>
        <w:tab/>
      </w:r>
      <w:r w:rsidRPr="00C75471">
        <w:rPr>
          <w:i/>
          <w:lang w:val="en-US"/>
        </w:rPr>
        <w:t>H</w:t>
      </w:r>
      <w:r>
        <w:rPr>
          <w:i/>
          <w:lang w:val="en-US"/>
        </w:rPr>
        <w:t>6</w:t>
      </w:r>
      <w:r w:rsidRPr="00C75471">
        <w:rPr>
          <w:i/>
          <w:lang w:val="en-US"/>
        </w:rPr>
        <w:t xml:space="preserve">: </w:t>
      </w:r>
      <w:r>
        <w:rPr>
          <w:i/>
          <w:lang w:val="en-US"/>
        </w:rPr>
        <w:t>Legal form</w:t>
      </w:r>
      <w:r w:rsidR="00DE4383">
        <w:rPr>
          <w:i/>
          <w:lang w:val="en-US"/>
        </w:rPr>
        <w:t xml:space="preserve"> of an association </w:t>
      </w:r>
      <w:r w:rsidRPr="00C75471">
        <w:rPr>
          <w:i/>
          <w:lang w:val="en-US"/>
        </w:rPr>
        <w:t xml:space="preserve"> has a positive influence on performance</w:t>
      </w:r>
    </w:p>
    <w:p w:rsidR="00465BB2" w:rsidRDefault="00465BB2" w:rsidP="00465BB2">
      <w:pPr>
        <w:spacing w:line="360" w:lineRule="auto"/>
        <w:jc w:val="both"/>
        <w:rPr>
          <w:lang w:val="en-US"/>
        </w:rPr>
      </w:pPr>
    </w:p>
    <w:p w:rsidR="00465BB2" w:rsidRDefault="00D94291" w:rsidP="00465BB2">
      <w:pPr>
        <w:spacing w:line="360" w:lineRule="auto"/>
        <w:jc w:val="both"/>
        <w:rPr>
          <w:lang w:val="en-US"/>
        </w:rPr>
      </w:pPr>
      <w:r>
        <w:rPr>
          <w:lang w:val="en-US"/>
        </w:rPr>
        <w:t xml:space="preserve">With regards to the financial oversight it can be expected that higher level oversight should increase performance, but it should be noted that accountants do cost money so that </w:t>
      </w:r>
      <w:r w:rsidR="00880CF1">
        <w:rPr>
          <w:lang w:val="en-US"/>
        </w:rPr>
        <w:t xml:space="preserve">financial oversight </w:t>
      </w:r>
      <w:r>
        <w:rPr>
          <w:lang w:val="en-US"/>
        </w:rPr>
        <w:t>can also lower performance.</w:t>
      </w:r>
    </w:p>
    <w:p w:rsidR="001516A9" w:rsidRDefault="001516A9" w:rsidP="00465BB2">
      <w:pPr>
        <w:spacing w:line="360" w:lineRule="auto"/>
        <w:jc w:val="both"/>
        <w:rPr>
          <w:lang w:val="en-US"/>
        </w:rPr>
      </w:pPr>
      <w:r>
        <w:rPr>
          <w:lang w:val="en-US"/>
        </w:rPr>
        <w:tab/>
      </w:r>
      <w:r w:rsidRPr="00C75471">
        <w:rPr>
          <w:i/>
          <w:lang w:val="en-US"/>
        </w:rPr>
        <w:t>H</w:t>
      </w:r>
      <w:r>
        <w:rPr>
          <w:i/>
          <w:lang w:val="en-US"/>
        </w:rPr>
        <w:t>7</w:t>
      </w:r>
      <w:r w:rsidRPr="00C75471">
        <w:rPr>
          <w:i/>
          <w:lang w:val="en-US"/>
        </w:rPr>
        <w:t xml:space="preserve">: </w:t>
      </w:r>
      <w:r>
        <w:rPr>
          <w:i/>
          <w:lang w:val="en-US"/>
        </w:rPr>
        <w:t xml:space="preserve">High level of financial oversight </w:t>
      </w:r>
      <w:r w:rsidR="00526AC5" w:rsidRPr="00C75471">
        <w:rPr>
          <w:i/>
          <w:lang w:val="en-US"/>
        </w:rPr>
        <w:t>has a positive influence on performance</w:t>
      </w:r>
    </w:p>
    <w:p w:rsidR="00465BB2" w:rsidRDefault="00465BB2" w:rsidP="00465BB2">
      <w:pPr>
        <w:spacing w:line="360" w:lineRule="auto"/>
        <w:jc w:val="both"/>
        <w:rPr>
          <w:lang w:val="en-US"/>
        </w:rPr>
      </w:pPr>
    </w:p>
    <w:p w:rsidR="004F3E26" w:rsidRDefault="004F3E26" w:rsidP="0034774D">
      <w:pPr>
        <w:spacing w:line="360" w:lineRule="auto"/>
        <w:rPr>
          <w:lang w:val="en-US"/>
        </w:rPr>
      </w:pPr>
      <w:r>
        <w:rPr>
          <w:lang w:val="en-US"/>
        </w:rPr>
        <w:t>As in the model</w:t>
      </w:r>
      <w:r w:rsidR="00D56756">
        <w:rPr>
          <w:lang w:val="en-US"/>
        </w:rPr>
        <w:t xml:space="preserve">s </w:t>
      </w:r>
      <w:r w:rsidR="00251009">
        <w:rPr>
          <w:lang w:val="en-US"/>
        </w:rPr>
        <w:t>that focus on</w:t>
      </w:r>
      <w:r w:rsidR="00D56756">
        <w:rPr>
          <w:lang w:val="en-US"/>
        </w:rPr>
        <w:t xml:space="preserve"> income</w:t>
      </w:r>
      <w:r>
        <w:rPr>
          <w:lang w:val="en-US"/>
        </w:rPr>
        <w:t xml:space="preserve"> I will again control for size, category and international. Size will now be measured by the income, divided over 5 size categories.</w:t>
      </w:r>
    </w:p>
    <w:p w:rsidR="003836F8" w:rsidRDefault="003836F8" w:rsidP="0034774D">
      <w:pPr>
        <w:spacing w:line="360" w:lineRule="auto"/>
        <w:rPr>
          <w:lang w:val="en-US"/>
        </w:rPr>
      </w:pPr>
    </w:p>
    <w:p w:rsidR="003836F8" w:rsidRDefault="003836F8" w:rsidP="0034774D">
      <w:pPr>
        <w:spacing w:line="360" w:lineRule="auto"/>
        <w:rPr>
          <w:lang w:val="en-US"/>
        </w:rPr>
      </w:pPr>
      <w:r>
        <w:rPr>
          <w:lang w:val="en-US"/>
        </w:rPr>
        <w:t xml:space="preserve">Running a </w:t>
      </w:r>
      <w:r w:rsidR="007A4AFE">
        <w:rPr>
          <w:lang w:val="en-US"/>
        </w:rPr>
        <w:t xml:space="preserve">regression </w:t>
      </w:r>
      <w:r>
        <w:rPr>
          <w:lang w:val="en-US"/>
        </w:rPr>
        <w:t>model with these variables gives the following outcome</w:t>
      </w:r>
      <w:r w:rsidR="007B1DA4">
        <w:rPr>
          <w:lang w:val="en-US"/>
        </w:rPr>
        <w:t xml:space="preserve">, as </w:t>
      </w:r>
      <w:r w:rsidR="007B1DA4" w:rsidRPr="00DE4383">
        <w:rPr>
          <w:lang w:val="en-US"/>
        </w:rPr>
        <w:t xml:space="preserve">in table </w:t>
      </w:r>
      <w:r w:rsidR="000E1D59">
        <w:rPr>
          <w:lang w:val="en-US"/>
        </w:rPr>
        <w:t>10</w:t>
      </w:r>
      <w:r w:rsidR="007B1DA4" w:rsidRPr="00DE4383">
        <w:rPr>
          <w:lang w:val="en-US"/>
        </w:rPr>
        <w:t xml:space="preserve"> </w:t>
      </w:r>
      <w:r w:rsidR="00327665">
        <w:rPr>
          <w:lang w:val="en-US"/>
        </w:rPr>
        <w:t>on the next page</w:t>
      </w:r>
      <w:r>
        <w:rPr>
          <w:lang w:val="en-US"/>
        </w:rPr>
        <w:t>:</w:t>
      </w:r>
    </w:p>
    <w:p w:rsidR="003836F8" w:rsidRDefault="002800DD" w:rsidP="0034774D">
      <w:pPr>
        <w:spacing w:line="360" w:lineRule="auto"/>
        <w:rPr>
          <w:lang w:val="en-US"/>
        </w:rPr>
      </w:pPr>
      <w:r w:rsidRPr="002800DD">
        <w:rPr>
          <w:noProof/>
          <w:lang w:val="en-US"/>
        </w:rPr>
        <w:pict>
          <v:shape id="_x0000_s1041" type="#_x0000_t202" style="position:absolute;margin-left:380.25pt;margin-top:261.1pt;width:56.15pt;height:34.05pt;z-index:251680768;mso-height-percent:200;mso-height-percent:200;mso-width-relative:margin;mso-height-relative:margin" stroked="f">
            <v:textbox style="mso-fit-shape-to-text:t">
              <w:txbxContent>
                <w:p w:rsidR="002C07A4" w:rsidRPr="0078552F" w:rsidRDefault="002C07A4">
                  <w:pPr>
                    <w:rPr>
                      <w:i/>
                      <w:lang w:val="en-US"/>
                    </w:rPr>
                  </w:pPr>
                  <w:r w:rsidRPr="0078552F">
                    <w:rPr>
                      <w:i/>
                      <w:lang w:val="en-US"/>
                    </w:rPr>
                    <w:t xml:space="preserve">Table </w:t>
                  </w:r>
                  <w:r>
                    <w:rPr>
                      <w:i/>
                      <w:lang w:val="en-US"/>
                    </w:rPr>
                    <w:t>10</w:t>
                  </w:r>
                </w:p>
              </w:txbxContent>
            </v:textbox>
          </v:shape>
        </w:pict>
      </w:r>
      <w:r w:rsidR="003836F8" w:rsidRPr="003836F8">
        <w:rPr>
          <w:noProof/>
          <w:lang w:eastAsia="nl-NL"/>
        </w:rPr>
        <w:drawing>
          <wp:inline distT="0" distB="0" distL="0" distR="0">
            <wp:extent cx="5543550" cy="3505200"/>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543550" cy="3505200"/>
                    </a:xfrm>
                    <a:prstGeom prst="rect">
                      <a:avLst/>
                    </a:prstGeom>
                    <a:noFill/>
                    <a:ln w="9525">
                      <a:noFill/>
                      <a:miter lim="800000"/>
                      <a:headEnd/>
                      <a:tailEnd/>
                    </a:ln>
                  </pic:spPr>
                </pic:pic>
              </a:graphicData>
            </a:graphic>
          </wp:inline>
        </w:drawing>
      </w:r>
    </w:p>
    <w:p w:rsidR="003836F8" w:rsidRDefault="003836F8" w:rsidP="0034774D">
      <w:pPr>
        <w:spacing w:line="360" w:lineRule="auto"/>
        <w:rPr>
          <w:lang w:val="en-US"/>
        </w:rPr>
      </w:pPr>
    </w:p>
    <w:p w:rsidR="003801F0" w:rsidRDefault="006445F1" w:rsidP="006445F1">
      <w:pPr>
        <w:spacing w:line="360" w:lineRule="auto"/>
        <w:jc w:val="both"/>
        <w:rPr>
          <w:lang w:val="en-US"/>
        </w:rPr>
      </w:pPr>
      <w:r>
        <w:rPr>
          <w:lang w:val="en-US"/>
        </w:rPr>
        <w:t>The model has a relatively low explanatory power, with an R</w:t>
      </w:r>
      <w:r w:rsidRPr="006445F1">
        <w:rPr>
          <w:vertAlign w:val="superscript"/>
          <w:lang w:val="en-US"/>
        </w:rPr>
        <w:t>2</w:t>
      </w:r>
      <w:r>
        <w:rPr>
          <w:lang w:val="en-US"/>
        </w:rPr>
        <w:t xml:space="preserve"> of 16.5%</w:t>
      </w:r>
      <w:r w:rsidR="008A0AC6">
        <w:rPr>
          <w:lang w:val="en-US"/>
        </w:rPr>
        <w:t xml:space="preserve"> (see appendix 6d)</w:t>
      </w:r>
      <w:r>
        <w:rPr>
          <w:lang w:val="en-US"/>
        </w:rPr>
        <w:t>. Nonetheless, we can</w:t>
      </w:r>
      <w:r w:rsidR="007A4AFE">
        <w:rPr>
          <w:lang w:val="en-US"/>
        </w:rPr>
        <w:t xml:space="preserve"> derive some conclusions from the model</w:t>
      </w:r>
      <w:r>
        <w:rPr>
          <w:lang w:val="en-US"/>
        </w:rPr>
        <w:t xml:space="preserve">. From the table we can conclude that being CBF certified has indeed a significant positive effect on performance. Surprisingly, VFI membership and a high level of financial oversight have a significant negative influence on performance. </w:t>
      </w:r>
      <w:r w:rsidR="00910AFB">
        <w:rPr>
          <w:lang w:val="en-US"/>
        </w:rPr>
        <w:t xml:space="preserve">As mentioned, financial oversight might be costly </w:t>
      </w:r>
      <w:r w:rsidR="00E07783">
        <w:rPr>
          <w:lang w:val="en-US"/>
        </w:rPr>
        <w:t>and those costs</w:t>
      </w:r>
      <w:r w:rsidR="00910AFB">
        <w:rPr>
          <w:lang w:val="en-US"/>
        </w:rPr>
        <w:t xml:space="preserve"> might explain the negative influence. For VFI membership I can’t give a definitive reason on why it has a negative influence, perhaps some of the codes and guidelines work counterproductive</w:t>
      </w:r>
      <w:r w:rsidR="00C24E61">
        <w:rPr>
          <w:lang w:val="en-US"/>
        </w:rPr>
        <w:t xml:space="preserve"> or are expensive to implement and uphold</w:t>
      </w:r>
      <w:r w:rsidR="00E07783">
        <w:rPr>
          <w:lang w:val="en-US"/>
        </w:rPr>
        <w:t>.</w:t>
      </w:r>
      <w:r w:rsidR="00910AFB">
        <w:rPr>
          <w:lang w:val="en-US"/>
        </w:rPr>
        <w:t xml:space="preserve"> </w:t>
      </w:r>
      <w:r w:rsidR="00E07783">
        <w:rPr>
          <w:lang w:val="en-US"/>
        </w:rPr>
        <w:t>Another explanation</w:t>
      </w:r>
      <w:r w:rsidR="00415C30">
        <w:rPr>
          <w:lang w:val="en-US"/>
        </w:rPr>
        <w:t xml:space="preserve"> is in line with the idea of Di Maggio and Powel </w:t>
      </w:r>
      <w:r w:rsidR="00223977">
        <w:rPr>
          <w:lang w:val="en-US"/>
        </w:rPr>
        <w:t xml:space="preserve">(1983) </w:t>
      </w:r>
      <w:r w:rsidR="00415C30">
        <w:rPr>
          <w:lang w:val="en-US"/>
        </w:rPr>
        <w:t xml:space="preserve">that becoming a VFI member is to appear a more legitimate organizations </w:t>
      </w:r>
      <w:r w:rsidR="00910AFB">
        <w:rPr>
          <w:lang w:val="en-US"/>
        </w:rPr>
        <w:t>but this can’t be concluded with any certainty.</w:t>
      </w:r>
      <w:r w:rsidR="00D969B0">
        <w:rPr>
          <w:lang w:val="en-US"/>
        </w:rPr>
        <w:t xml:space="preserve"> </w:t>
      </w:r>
    </w:p>
    <w:p w:rsidR="00290F7A" w:rsidRDefault="003801F0" w:rsidP="006445F1">
      <w:pPr>
        <w:spacing w:line="360" w:lineRule="auto"/>
        <w:jc w:val="both"/>
        <w:rPr>
          <w:lang w:val="en-US"/>
        </w:rPr>
      </w:pPr>
      <w:r>
        <w:rPr>
          <w:lang w:val="en-US"/>
        </w:rPr>
        <w:t>Legal form too has a negative influence, but it is only significant at the 10% level</w:t>
      </w:r>
      <w:r w:rsidR="00290F7A">
        <w:rPr>
          <w:lang w:val="en-US"/>
        </w:rPr>
        <w:t xml:space="preserve">. </w:t>
      </w:r>
      <w:r w:rsidR="008301B5">
        <w:rPr>
          <w:lang w:val="en-US"/>
        </w:rPr>
        <w:t xml:space="preserve">As </w:t>
      </w:r>
      <w:r w:rsidR="00D23139">
        <w:rPr>
          <w:lang w:val="en-US"/>
        </w:rPr>
        <w:t>reported above the fraction that uses the legal form of an association is</w:t>
      </w:r>
      <w:r w:rsidR="008301B5">
        <w:rPr>
          <w:lang w:val="en-US"/>
        </w:rPr>
        <w:t xml:space="preserve"> not even 10%, thus legal form doesn’t make much difference for performance.</w:t>
      </w:r>
    </w:p>
    <w:p w:rsidR="00C24E61" w:rsidRDefault="00C24E61" w:rsidP="006445F1">
      <w:pPr>
        <w:spacing w:line="360" w:lineRule="auto"/>
        <w:jc w:val="both"/>
        <w:rPr>
          <w:lang w:val="en-US"/>
        </w:rPr>
      </w:pPr>
    </w:p>
    <w:p w:rsidR="00D969B0" w:rsidRDefault="008A0AC6" w:rsidP="006445F1">
      <w:pPr>
        <w:spacing w:line="360" w:lineRule="auto"/>
        <w:jc w:val="both"/>
        <w:rPr>
          <w:lang w:val="en-US"/>
        </w:rPr>
      </w:pPr>
      <w:r>
        <w:rPr>
          <w:lang w:val="en-US"/>
        </w:rPr>
        <w:t>As expected size has a significant positive effect on performance, the bigger the size the higher the coefficient and significance.</w:t>
      </w:r>
      <w:r w:rsidR="00D969B0">
        <w:rPr>
          <w:lang w:val="en-US"/>
        </w:rPr>
        <w:t xml:space="preserve"> </w:t>
      </w:r>
    </w:p>
    <w:p w:rsidR="006445F1" w:rsidRPr="00DE4383" w:rsidRDefault="000E1ECE" w:rsidP="006445F1">
      <w:pPr>
        <w:spacing w:line="360" w:lineRule="auto"/>
        <w:jc w:val="both"/>
        <w:rPr>
          <w:lang w:val="en-US"/>
        </w:rPr>
      </w:pPr>
      <w:r>
        <w:rPr>
          <w:lang w:val="en-US"/>
        </w:rPr>
        <w:t xml:space="preserve">From the four different categories only </w:t>
      </w:r>
      <w:r w:rsidR="002E0618">
        <w:rPr>
          <w:lang w:val="en-US"/>
        </w:rPr>
        <w:t>‘N</w:t>
      </w:r>
      <w:r w:rsidRPr="00D23139">
        <w:rPr>
          <w:i/>
          <w:lang w:val="en-US"/>
        </w:rPr>
        <w:t>ature</w:t>
      </w:r>
      <w:r w:rsidR="002E0618">
        <w:rPr>
          <w:i/>
          <w:lang w:val="en-US"/>
        </w:rPr>
        <w:t>’</w:t>
      </w:r>
      <w:r>
        <w:rPr>
          <w:lang w:val="en-US"/>
        </w:rPr>
        <w:t xml:space="preserve"> has a significant effect (at the 5% level)</w:t>
      </w:r>
      <w:r w:rsidR="00D969B0">
        <w:rPr>
          <w:lang w:val="en-US"/>
        </w:rPr>
        <w:t xml:space="preserve">, indicating that charities with a focus on </w:t>
      </w:r>
      <w:r w:rsidR="00362221">
        <w:rPr>
          <w:lang w:val="en-US"/>
        </w:rPr>
        <w:t>‘</w:t>
      </w:r>
      <w:r w:rsidR="00D969B0">
        <w:rPr>
          <w:lang w:val="en-US"/>
        </w:rPr>
        <w:t>nature</w:t>
      </w:r>
      <w:r w:rsidR="00362221">
        <w:rPr>
          <w:lang w:val="en-US"/>
        </w:rPr>
        <w:t>’</w:t>
      </w:r>
      <w:r w:rsidR="00D969B0">
        <w:rPr>
          <w:lang w:val="en-US"/>
        </w:rPr>
        <w:t xml:space="preserve"> operate more efficiently</w:t>
      </w:r>
      <w:r>
        <w:rPr>
          <w:lang w:val="en-US"/>
        </w:rPr>
        <w:t xml:space="preserve">. </w:t>
      </w:r>
      <w:r w:rsidR="00264841">
        <w:rPr>
          <w:lang w:val="en-US"/>
        </w:rPr>
        <w:t>‘</w:t>
      </w:r>
      <w:r w:rsidR="00910AFB">
        <w:rPr>
          <w:lang w:val="en-US"/>
        </w:rPr>
        <w:t>International</w:t>
      </w:r>
      <w:r w:rsidR="00264841">
        <w:rPr>
          <w:lang w:val="en-US"/>
        </w:rPr>
        <w:t>’</w:t>
      </w:r>
      <w:r w:rsidR="00910AFB">
        <w:rPr>
          <w:lang w:val="en-US"/>
        </w:rPr>
        <w:t xml:space="preserve"> too has a significant positive effect on performance, </w:t>
      </w:r>
      <w:r>
        <w:rPr>
          <w:lang w:val="en-US"/>
        </w:rPr>
        <w:t>which is contrary to my expectations. A possible explanation for this can be that a lot of the smaller charities that focus abr</w:t>
      </w:r>
      <w:r w:rsidR="00264841">
        <w:rPr>
          <w:lang w:val="en-US"/>
        </w:rPr>
        <w:t>oad keep costs out of the books.</w:t>
      </w:r>
      <w:r>
        <w:rPr>
          <w:lang w:val="en-US"/>
        </w:rPr>
        <w:t xml:space="preserve"> </w:t>
      </w:r>
      <w:r w:rsidR="00264841">
        <w:rPr>
          <w:lang w:val="en-US"/>
        </w:rPr>
        <w:t>Overhead costs, such as for example traveling costs, aren’t paid for by the organization, but are paid for by the volunteers themselves</w:t>
      </w:r>
      <w:r w:rsidR="002E01DC">
        <w:rPr>
          <w:lang w:val="en-US"/>
        </w:rPr>
        <w:t>.</w:t>
      </w:r>
      <w:r w:rsidR="00C401B3">
        <w:rPr>
          <w:lang w:val="en-US"/>
        </w:rPr>
        <w:t xml:space="preserve"> </w:t>
      </w:r>
      <w:r w:rsidR="002E01DC">
        <w:rPr>
          <w:lang w:val="en-US"/>
        </w:rPr>
        <w:t>T</w:t>
      </w:r>
      <w:r w:rsidR="00C401B3">
        <w:rPr>
          <w:lang w:val="en-US"/>
        </w:rPr>
        <w:t>h</w:t>
      </w:r>
      <w:r w:rsidR="002E01DC">
        <w:rPr>
          <w:lang w:val="en-US"/>
        </w:rPr>
        <w:t>i</w:t>
      </w:r>
      <w:r w:rsidR="00C401B3">
        <w:rPr>
          <w:lang w:val="en-US"/>
        </w:rPr>
        <w:t>s</w:t>
      </w:r>
      <w:r w:rsidR="002E01DC">
        <w:rPr>
          <w:lang w:val="en-US"/>
        </w:rPr>
        <w:t xml:space="preserve"> means the costs are</w:t>
      </w:r>
      <w:r w:rsidR="00C401B3">
        <w:rPr>
          <w:lang w:val="en-US"/>
        </w:rPr>
        <w:t xml:space="preserve"> not</w:t>
      </w:r>
      <w:r w:rsidR="002E01DC">
        <w:rPr>
          <w:lang w:val="en-US"/>
        </w:rPr>
        <w:t xml:space="preserve"> accounted for</w:t>
      </w:r>
      <w:r w:rsidR="00C401B3">
        <w:rPr>
          <w:lang w:val="en-US"/>
        </w:rPr>
        <w:t xml:space="preserve"> in the ‘books’ of the charity</w:t>
      </w:r>
      <w:r>
        <w:rPr>
          <w:lang w:val="en-US"/>
        </w:rPr>
        <w:t>.</w:t>
      </w:r>
      <w:r w:rsidR="00526AC5">
        <w:rPr>
          <w:lang w:val="en-US"/>
        </w:rPr>
        <w:t xml:space="preserve"> When running a regression model </w:t>
      </w:r>
      <w:r w:rsidR="00526AC5" w:rsidRPr="00DE4383">
        <w:rPr>
          <w:lang w:val="en-US"/>
        </w:rPr>
        <w:t>without the smallest charities (income &gt; €500.000,-) indeed shows that international becomes insignificant but so do most other variables (appendix 6e)</w:t>
      </w:r>
      <w:r w:rsidR="00B66CBD" w:rsidRPr="00DE4383">
        <w:rPr>
          <w:lang w:val="en-US"/>
        </w:rPr>
        <w:t>, VFI membership remains significantly negative though.</w:t>
      </w:r>
    </w:p>
    <w:p w:rsidR="006445F1" w:rsidRPr="00DE4383" w:rsidRDefault="006445F1" w:rsidP="006445F1">
      <w:pPr>
        <w:spacing w:line="360" w:lineRule="auto"/>
        <w:jc w:val="both"/>
        <w:rPr>
          <w:lang w:val="en-US"/>
        </w:rPr>
      </w:pPr>
    </w:p>
    <w:p w:rsidR="006445F1" w:rsidRDefault="007B1DA4" w:rsidP="006445F1">
      <w:pPr>
        <w:spacing w:line="360" w:lineRule="auto"/>
        <w:jc w:val="both"/>
        <w:rPr>
          <w:lang w:val="en-US"/>
        </w:rPr>
      </w:pPr>
      <w:r w:rsidRPr="00DE4383">
        <w:rPr>
          <w:lang w:val="en-US"/>
        </w:rPr>
        <w:t xml:space="preserve">Running the same model as in table </w:t>
      </w:r>
      <w:r w:rsidR="00726873" w:rsidRPr="00DE4383">
        <w:rPr>
          <w:lang w:val="en-US"/>
        </w:rPr>
        <w:t>9</w:t>
      </w:r>
      <w:r w:rsidRPr="00DE4383">
        <w:rPr>
          <w:lang w:val="en-US"/>
        </w:rPr>
        <w:t xml:space="preserve">, but using the program expenses as a ratio of total income as the dependant variable gives the model </w:t>
      </w:r>
      <w:r w:rsidR="00154C85">
        <w:rPr>
          <w:lang w:val="en-US"/>
        </w:rPr>
        <w:t xml:space="preserve">shown in </w:t>
      </w:r>
      <w:r w:rsidRPr="00DE4383">
        <w:rPr>
          <w:lang w:val="en-US"/>
        </w:rPr>
        <w:t>appendix 6f</w:t>
      </w:r>
      <w:r w:rsidR="00CD46A6" w:rsidRPr="00DE4383">
        <w:rPr>
          <w:lang w:val="en-US"/>
        </w:rPr>
        <w:t xml:space="preserve">. Unlike the previous model this model has very little explanatory power </w:t>
      </w:r>
      <w:r w:rsidR="00305201">
        <w:rPr>
          <w:lang w:val="en-US"/>
        </w:rPr>
        <w:t>(R</w:t>
      </w:r>
      <w:r w:rsidR="00305201" w:rsidRPr="00305201">
        <w:rPr>
          <w:vertAlign w:val="superscript"/>
          <w:lang w:val="en-US"/>
        </w:rPr>
        <w:t>2</w:t>
      </w:r>
      <w:r w:rsidR="00305201">
        <w:rPr>
          <w:lang w:val="en-US"/>
        </w:rPr>
        <w:t xml:space="preserve"> = 0.029) </w:t>
      </w:r>
      <w:r w:rsidR="00CD46A6" w:rsidRPr="00DE4383">
        <w:rPr>
          <w:lang w:val="en-US"/>
        </w:rPr>
        <w:t xml:space="preserve">and </w:t>
      </w:r>
      <w:r w:rsidR="007D634A">
        <w:rPr>
          <w:lang w:val="en-US"/>
        </w:rPr>
        <w:t>no significant variables</w:t>
      </w:r>
      <w:r w:rsidR="00CD46A6">
        <w:rPr>
          <w:lang w:val="en-US"/>
        </w:rPr>
        <w:t>.</w:t>
      </w:r>
      <w:r w:rsidR="007D634A">
        <w:rPr>
          <w:lang w:val="en-US"/>
        </w:rPr>
        <w:t xml:space="preserve"> A possible reason </w:t>
      </w:r>
      <w:r w:rsidR="00154C85">
        <w:rPr>
          <w:lang w:val="en-US"/>
        </w:rPr>
        <w:t>is</w:t>
      </w:r>
      <w:r w:rsidR="00C369F3">
        <w:rPr>
          <w:lang w:val="en-US"/>
        </w:rPr>
        <w:t xml:space="preserve"> </w:t>
      </w:r>
      <w:r w:rsidR="00305201">
        <w:rPr>
          <w:lang w:val="en-US"/>
        </w:rPr>
        <w:t>the fact that these observations are more scattered, as seen in appendix 4j</w:t>
      </w:r>
      <w:r w:rsidR="004D1325">
        <w:rPr>
          <w:lang w:val="en-US"/>
        </w:rPr>
        <w:t>.</w:t>
      </w:r>
      <w:r w:rsidR="00A2079B">
        <w:rPr>
          <w:lang w:val="en-US"/>
        </w:rPr>
        <w:t xml:space="preserve"> </w:t>
      </w:r>
      <w:r w:rsidR="004D1325">
        <w:rPr>
          <w:lang w:val="en-US"/>
        </w:rPr>
        <w:t>R</w:t>
      </w:r>
      <w:r w:rsidR="00A2079B">
        <w:rPr>
          <w:lang w:val="en-US"/>
        </w:rPr>
        <w:t>unning the same model where 4 outlier observations have been deleted from the dataset does almost double the R</w:t>
      </w:r>
      <w:r w:rsidR="00A2079B" w:rsidRPr="00A2079B">
        <w:rPr>
          <w:vertAlign w:val="superscript"/>
          <w:lang w:val="en-US"/>
        </w:rPr>
        <w:t>2</w:t>
      </w:r>
      <w:r w:rsidR="00A2079B">
        <w:rPr>
          <w:lang w:val="en-US"/>
        </w:rPr>
        <w:t xml:space="preserve"> to 5.5%, but most of the variables remain insignificant.</w:t>
      </w:r>
    </w:p>
    <w:p w:rsidR="00290F7A" w:rsidRDefault="00290F7A" w:rsidP="006445F1">
      <w:pPr>
        <w:spacing w:line="360" w:lineRule="auto"/>
        <w:jc w:val="both"/>
        <w:rPr>
          <w:lang w:val="en-US"/>
        </w:rPr>
      </w:pPr>
    </w:p>
    <w:p w:rsidR="00887CBA" w:rsidRDefault="00C369F3" w:rsidP="00887CBA">
      <w:pPr>
        <w:spacing w:line="360" w:lineRule="auto"/>
        <w:jc w:val="both"/>
        <w:rPr>
          <w:lang w:val="en-US"/>
        </w:rPr>
      </w:pPr>
      <w:r>
        <w:rPr>
          <w:lang w:val="en-US"/>
        </w:rPr>
        <w:t xml:space="preserve">It is also interesting to look </w:t>
      </w:r>
      <w:r w:rsidR="00C47DB3">
        <w:rPr>
          <w:lang w:val="en-US"/>
        </w:rPr>
        <w:t>if the influence of governance is different between the more professional run organizations and the smaller, more altruistic charities.</w:t>
      </w:r>
      <w:r w:rsidR="00887CBA">
        <w:rPr>
          <w:lang w:val="en-US"/>
        </w:rPr>
        <w:t xml:space="preserve"> The number of executives is used to distinguish between professional and altruistic. Charities without executives are seen as altruistic and those with executives as professional</w:t>
      </w:r>
      <w:r w:rsidR="004630E6">
        <w:rPr>
          <w:lang w:val="en-US"/>
        </w:rPr>
        <w:t xml:space="preserve"> </w:t>
      </w:r>
      <w:r w:rsidR="001C1D85">
        <w:rPr>
          <w:lang w:val="en-US"/>
        </w:rPr>
        <w:t>.</w:t>
      </w:r>
      <w:r w:rsidR="00120122">
        <w:rPr>
          <w:lang w:val="en-US"/>
        </w:rPr>
        <w:t xml:space="preserve"> Table </w:t>
      </w:r>
      <w:r w:rsidR="003366C4">
        <w:rPr>
          <w:lang w:val="en-US"/>
        </w:rPr>
        <w:t>1</w:t>
      </w:r>
      <w:r w:rsidR="000E1D59">
        <w:rPr>
          <w:lang w:val="en-US"/>
        </w:rPr>
        <w:t>1</w:t>
      </w:r>
      <w:r w:rsidR="00120122">
        <w:rPr>
          <w:lang w:val="en-US"/>
        </w:rPr>
        <w:t xml:space="preserve"> </w:t>
      </w:r>
      <w:r w:rsidR="00887CBA">
        <w:rPr>
          <w:lang w:val="en-US"/>
        </w:rPr>
        <w:t>shows the model for the altruistic charities and table 1</w:t>
      </w:r>
      <w:r w:rsidR="000E1D59">
        <w:rPr>
          <w:lang w:val="en-US"/>
        </w:rPr>
        <w:t>2</w:t>
      </w:r>
      <w:r w:rsidR="00887CBA">
        <w:rPr>
          <w:lang w:val="en-US"/>
        </w:rPr>
        <w:t xml:space="preserve"> for the professional charities</w:t>
      </w:r>
      <w:r w:rsidR="00120122">
        <w:rPr>
          <w:lang w:val="en-US"/>
        </w:rPr>
        <w:t xml:space="preserve">. </w:t>
      </w:r>
    </w:p>
    <w:p w:rsidR="00887CBA" w:rsidRDefault="002800DD" w:rsidP="00887CBA">
      <w:pPr>
        <w:spacing w:line="360" w:lineRule="auto"/>
        <w:rPr>
          <w:lang w:val="en-US"/>
        </w:rPr>
      </w:pPr>
      <w:r w:rsidRPr="002800DD">
        <w:rPr>
          <w:noProof/>
          <w:lang w:val="en-US"/>
        </w:rPr>
        <w:pict>
          <v:shape id="_x0000_s1043" type="#_x0000_t202" style="position:absolute;margin-left:385.05pt;margin-top:275.25pt;width:66.7pt;height:20.65pt;z-index:251682816;mso-height-percent:200;mso-height-percent:200;mso-width-relative:margin;mso-height-relative:margin" stroked="f">
            <v:textbox style="mso-next-textbox:#_x0000_s1043;mso-fit-shape-to-text:t">
              <w:txbxContent>
                <w:p w:rsidR="002C07A4" w:rsidRPr="003366C4" w:rsidRDefault="002C07A4">
                  <w:pPr>
                    <w:rPr>
                      <w:i/>
                      <w:lang w:val="en-US"/>
                    </w:rPr>
                  </w:pPr>
                  <w:r w:rsidRPr="003366C4">
                    <w:rPr>
                      <w:i/>
                      <w:lang w:val="en-US"/>
                    </w:rPr>
                    <w:t>Table 1</w:t>
                  </w:r>
                  <w:r>
                    <w:rPr>
                      <w:i/>
                      <w:lang w:val="en-US"/>
                    </w:rPr>
                    <w:t>1</w:t>
                  </w:r>
                </w:p>
              </w:txbxContent>
            </v:textbox>
          </v:shape>
        </w:pict>
      </w:r>
      <w:r w:rsidR="00887CBA" w:rsidRPr="00887CBA">
        <w:rPr>
          <w:noProof/>
          <w:lang w:eastAsia="nl-NL"/>
        </w:rPr>
        <w:drawing>
          <wp:inline distT="0" distB="0" distL="0" distR="0">
            <wp:extent cx="5731510" cy="3821007"/>
            <wp:effectExtent l="19050" t="0" r="2540" b="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887CBA" w:rsidRDefault="002800DD" w:rsidP="00887CBA">
      <w:pPr>
        <w:spacing w:line="360" w:lineRule="auto"/>
        <w:rPr>
          <w:lang w:val="en-US"/>
        </w:rPr>
      </w:pPr>
      <w:r w:rsidRPr="002800DD">
        <w:rPr>
          <w:noProof/>
          <w:lang w:val="en-US"/>
        </w:rPr>
        <w:pict>
          <v:shape id="_x0000_s1044" type="#_x0000_t202" style="position:absolute;margin-left:390.35pt;margin-top:269.4pt;width:61.45pt;height:20.65pt;z-index:251684864;mso-height-percent:200;mso-height-percent:200;mso-width-relative:margin;mso-height-relative:margin" stroked="f">
            <v:textbox style="mso-fit-shape-to-text:t">
              <w:txbxContent>
                <w:p w:rsidR="002C07A4" w:rsidRPr="003366C4" w:rsidRDefault="002C07A4">
                  <w:pPr>
                    <w:rPr>
                      <w:i/>
                      <w:lang w:val="en-US"/>
                    </w:rPr>
                  </w:pPr>
                  <w:r w:rsidRPr="003366C4">
                    <w:rPr>
                      <w:i/>
                      <w:lang w:val="en-US"/>
                    </w:rPr>
                    <w:t>Table 1</w:t>
                  </w:r>
                  <w:r>
                    <w:rPr>
                      <w:i/>
                      <w:lang w:val="en-US"/>
                    </w:rPr>
                    <w:t>2</w:t>
                  </w:r>
                </w:p>
              </w:txbxContent>
            </v:textbox>
          </v:shape>
        </w:pict>
      </w:r>
      <w:r w:rsidR="00887CBA" w:rsidRPr="00887CBA">
        <w:rPr>
          <w:noProof/>
          <w:lang w:eastAsia="nl-NL"/>
        </w:rPr>
        <w:drawing>
          <wp:inline distT="0" distB="0" distL="0" distR="0">
            <wp:extent cx="5731510" cy="3714750"/>
            <wp:effectExtent l="19050" t="0" r="2540" b="0"/>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31510" cy="3714750"/>
                    </a:xfrm>
                    <a:prstGeom prst="rect">
                      <a:avLst/>
                    </a:prstGeom>
                    <a:noFill/>
                    <a:ln w="9525">
                      <a:noFill/>
                      <a:miter lim="800000"/>
                      <a:headEnd/>
                      <a:tailEnd/>
                    </a:ln>
                  </pic:spPr>
                </pic:pic>
              </a:graphicData>
            </a:graphic>
          </wp:inline>
        </w:drawing>
      </w:r>
    </w:p>
    <w:p w:rsidR="00327665" w:rsidRDefault="00327665" w:rsidP="00887CBA">
      <w:pPr>
        <w:spacing w:line="360" w:lineRule="auto"/>
        <w:rPr>
          <w:lang w:val="en-US"/>
        </w:rPr>
      </w:pPr>
    </w:p>
    <w:p w:rsidR="003366C4" w:rsidRDefault="00C401B3" w:rsidP="00660EED">
      <w:pPr>
        <w:spacing w:line="360" w:lineRule="auto"/>
        <w:jc w:val="both"/>
        <w:rPr>
          <w:lang w:val="en-US"/>
        </w:rPr>
      </w:pPr>
      <w:r>
        <w:rPr>
          <w:lang w:val="en-US"/>
        </w:rPr>
        <w:t xml:space="preserve">Both models have a similar explanatory power of between 16 and 18%. </w:t>
      </w:r>
      <w:r w:rsidR="003366C4">
        <w:rPr>
          <w:lang w:val="en-US"/>
        </w:rPr>
        <w:t xml:space="preserve">Looking at the tables we can see quite a few different results. </w:t>
      </w:r>
      <w:r w:rsidR="00702266">
        <w:rPr>
          <w:lang w:val="en-US"/>
        </w:rPr>
        <w:t>First, CBF certification has a significant positive effect on performance of the altruistic charities. For professional organizations the effect of CBF certification on performance is insignificant. This can be explained by the fact that more professional organizations most likely have better organized internal governance measures, lowering the influence of the</w:t>
      </w:r>
      <w:r w:rsidR="00373A9D">
        <w:rPr>
          <w:lang w:val="en-US"/>
        </w:rPr>
        <w:t xml:space="preserve"> </w:t>
      </w:r>
      <w:r w:rsidR="002E01DC">
        <w:rPr>
          <w:lang w:val="en-US"/>
        </w:rPr>
        <w:t>CBF</w:t>
      </w:r>
      <w:r w:rsidR="00702266">
        <w:rPr>
          <w:lang w:val="en-US"/>
        </w:rPr>
        <w:t>.</w:t>
      </w:r>
      <w:r w:rsidR="0014245E">
        <w:rPr>
          <w:lang w:val="en-US"/>
        </w:rPr>
        <w:t xml:space="preserve"> VFI membership is the other way around, significantly negative for the professional organizations and insignificant for the smaller organizations. </w:t>
      </w:r>
      <w:r w:rsidR="002E01DC">
        <w:rPr>
          <w:lang w:val="en-US"/>
        </w:rPr>
        <w:t>The difference between models seems</w:t>
      </w:r>
      <w:r w:rsidR="0014245E">
        <w:rPr>
          <w:lang w:val="en-US"/>
        </w:rPr>
        <w:t xml:space="preserve"> quite logic as VFI members are generally the larger charities.</w:t>
      </w:r>
      <w:r w:rsidR="002E01DC">
        <w:rPr>
          <w:lang w:val="en-US"/>
        </w:rPr>
        <w:t xml:space="preserve"> </w:t>
      </w:r>
    </w:p>
    <w:p w:rsidR="003366C4" w:rsidRDefault="000F0FB7" w:rsidP="00660EED">
      <w:pPr>
        <w:spacing w:line="360" w:lineRule="auto"/>
        <w:jc w:val="both"/>
        <w:rPr>
          <w:lang w:val="en-US"/>
        </w:rPr>
      </w:pPr>
      <w:r>
        <w:rPr>
          <w:lang w:val="en-US"/>
        </w:rPr>
        <w:t xml:space="preserve">Next, legal form is insignificant for the professional charities and significantly negative for the altruistic charities. </w:t>
      </w:r>
      <w:r w:rsidR="004927D7">
        <w:rPr>
          <w:lang w:val="en-US"/>
        </w:rPr>
        <w:t xml:space="preserve">A possible explanation can be that the legal form of an association can be more costly as </w:t>
      </w:r>
      <w:r w:rsidR="00C401B3">
        <w:rPr>
          <w:lang w:val="en-US"/>
        </w:rPr>
        <w:t xml:space="preserve">members have to be informed, </w:t>
      </w:r>
      <w:r w:rsidR="004927D7">
        <w:rPr>
          <w:lang w:val="en-US"/>
        </w:rPr>
        <w:t>meetings have to be organized</w:t>
      </w:r>
      <w:r w:rsidR="00C401B3">
        <w:rPr>
          <w:lang w:val="en-US"/>
        </w:rPr>
        <w:t xml:space="preserve"> and such</w:t>
      </w:r>
      <w:r w:rsidR="004927D7">
        <w:rPr>
          <w:lang w:val="en-US"/>
        </w:rPr>
        <w:t>. However, there are only a few charities that use the legal form of an association, thus it might not matter that much.</w:t>
      </w:r>
    </w:p>
    <w:p w:rsidR="003366C4" w:rsidRDefault="004927D7" w:rsidP="00660EED">
      <w:pPr>
        <w:spacing w:line="360" w:lineRule="auto"/>
        <w:jc w:val="both"/>
        <w:rPr>
          <w:lang w:val="en-US"/>
        </w:rPr>
      </w:pPr>
      <w:r>
        <w:rPr>
          <w:lang w:val="en-US"/>
        </w:rPr>
        <w:t xml:space="preserve">Similarly is ‘international’, for professional organizations it is insignificant but for the altruistic organizations it’s significantly positive. </w:t>
      </w:r>
      <w:r w:rsidR="00660EED">
        <w:rPr>
          <w:lang w:val="en-US"/>
        </w:rPr>
        <w:t xml:space="preserve">The reason for this is likely the same as already mentioned above. The </w:t>
      </w:r>
      <w:r w:rsidR="00C401B3">
        <w:rPr>
          <w:lang w:val="en-US"/>
        </w:rPr>
        <w:t>(</w:t>
      </w:r>
      <w:r w:rsidR="00660EED">
        <w:rPr>
          <w:lang w:val="en-US"/>
        </w:rPr>
        <w:t>overhead</w:t>
      </w:r>
      <w:r w:rsidR="00C401B3">
        <w:rPr>
          <w:lang w:val="en-US"/>
        </w:rPr>
        <w:t>)</w:t>
      </w:r>
      <w:r w:rsidR="00660EED">
        <w:rPr>
          <w:lang w:val="en-US"/>
        </w:rPr>
        <w:t xml:space="preserve"> costs of these organizations aren’t accounted for by the charity, volunteers take the costs.</w:t>
      </w:r>
    </w:p>
    <w:p w:rsidR="00887CBA" w:rsidRDefault="00887CBA">
      <w:pPr>
        <w:rPr>
          <w:lang w:val="en-US"/>
        </w:rPr>
      </w:pPr>
      <w:r>
        <w:rPr>
          <w:lang w:val="en-US"/>
        </w:rPr>
        <w:br w:type="page"/>
      </w:r>
    </w:p>
    <w:p w:rsidR="000403B9" w:rsidRDefault="000403B9" w:rsidP="000403B9">
      <w:pPr>
        <w:pStyle w:val="Heading1"/>
        <w:spacing w:before="240" w:line="360" w:lineRule="auto"/>
        <w:rPr>
          <w:lang w:val="en-US"/>
        </w:rPr>
      </w:pPr>
      <w:bookmarkStart w:id="22" w:name="_Toc299180707"/>
      <w:r>
        <w:rPr>
          <w:lang w:val="en-US"/>
        </w:rPr>
        <w:t>VI: Conclusion</w:t>
      </w:r>
      <w:bookmarkEnd w:id="22"/>
    </w:p>
    <w:p w:rsidR="000403B9" w:rsidRDefault="000403B9" w:rsidP="000403B9">
      <w:pPr>
        <w:spacing w:line="360" w:lineRule="auto"/>
        <w:rPr>
          <w:lang w:val="en-US"/>
        </w:rPr>
      </w:pPr>
    </w:p>
    <w:p w:rsidR="000403B9" w:rsidRDefault="00AB1DD7" w:rsidP="005C54E8">
      <w:pPr>
        <w:spacing w:line="360" w:lineRule="auto"/>
        <w:jc w:val="both"/>
        <w:rPr>
          <w:lang w:val="en-US"/>
        </w:rPr>
      </w:pPr>
      <w:r>
        <w:rPr>
          <w:lang w:val="en-US"/>
        </w:rPr>
        <w:t>After looking into how the Dutch charity sector is organized, reviewing the relevant</w:t>
      </w:r>
      <w:r w:rsidR="00833D99">
        <w:rPr>
          <w:lang w:val="en-US"/>
        </w:rPr>
        <w:t xml:space="preserve"> theoretical and empirical</w:t>
      </w:r>
      <w:r>
        <w:rPr>
          <w:lang w:val="en-US"/>
        </w:rPr>
        <w:t xml:space="preserve"> literature and my own empirical research into the influence of governance on the income and performance of Dutch charities I can derive the following main conclusions.</w:t>
      </w:r>
    </w:p>
    <w:p w:rsidR="00AB1DD7" w:rsidRDefault="00AB1DD7" w:rsidP="005C54E8">
      <w:pPr>
        <w:spacing w:line="360" w:lineRule="auto"/>
        <w:jc w:val="both"/>
        <w:rPr>
          <w:lang w:val="en-US"/>
        </w:rPr>
      </w:pPr>
    </w:p>
    <w:p w:rsidR="00AB1DD7" w:rsidRDefault="00AB1DD7" w:rsidP="005C54E8">
      <w:pPr>
        <w:spacing w:line="360" w:lineRule="auto"/>
        <w:jc w:val="both"/>
        <w:rPr>
          <w:lang w:val="en-US"/>
        </w:rPr>
      </w:pPr>
      <w:r>
        <w:rPr>
          <w:lang w:val="en-US"/>
        </w:rPr>
        <w:t>First of all, charities are diverse</w:t>
      </w:r>
      <w:r w:rsidR="00604DF3">
        <w:rPr>
          <w:lang w:val="en-US"/>
        </w:rPr>
        <w:t>, ranging</w:t>
      </w:r>
      <w:r>
        <w:rPr>
          <w:lang w:val="en-US"/>
        </w:rPr>
        <w:t xml:space="preserve"> from very small organizations that are ran by </w:t>
      </w:r>
      <w:r w:rsidR="005C54E8">
        <w:rPr>
          <w:lang w:val="en-US"/>
        </w:rPr>
        <w:t xml:space="preserve">just a hand full of </w:t>
      </w:r>
      <w:r>
        <w:rPr>
          <w:lang w:val="en-US"/>
        </w:rPr>
        <w:t xml:space="preserve">volunteers to organizations with revenues of hundreds of millions and professional organizations. </w:t>
      </w:r>
      <w:r w:rsidR="005C54E8">
        <w:rPr>
          <w:lang w:val="en-US"/>
        </w:rPr>
        <w:t xml:space="preserve">These observations support the idea that there is no one-size-fits-all solution for </w:t>
      </w:r>
      <w:r w:rsidR="00977664">
        <w:rPr>
          <w:lang w:val="en-US"/>
        </w:rPr>
        <w:t>organizing governance</w:t>
      </w:r>
      <w:r w:rsidR="008E2908">
        <w:rPr>
          <w:lang w:val="en-US"/>
        </w:rPr>
        <w:t>, especially for small and medium sized organizations organizing effective governance can be problematic</w:t>
      </w:r>
      <w:r w:rsidR="005C54E8">
        <w:rPr>
          <w:lang w:val="en-US"/>
        </w:rPr>
        <w:t>.</w:t>
      </w:r>
      <w:r w:rsidR="00442E95">
        <w:rPr>
          <w:lang w:val="en-US"/>
        </w:rPr>
        <w:t xml:space="preserve"> </w:t>
      </w:r>
    </w:p>
    <w:p w:rsidR="00323AEC" w:rsidRDefault="00323AEC" w:rsidP="005C54E8">
      <w:pPr>
        <w:spacing w:line="360" w:lineRule="auto"/>
        <w:jc w:val="both"/>
        <w:rPr>
          <w:lang w:val="en-US"/>
        </w:rPr>
      </w:pPr>
    </w:p>
    <w:p w:rsidR="001F60F1" w:rsidRDefault="00B86425" w:rsidP="003D3D98">
      <w:pPr>
        <w:spacing w:line="360" w:lineRule="auto"/>
        <w:jc w:val="both"/>
        <w:rPr>
          <w:lang w:val="en-US"/>
        </w:rPr>
      </w:pPr>
      <w:r>
        <w:rPr>
          <w:lang w:val="en-US"/>
        </w:rPr>
        <w:t xml:space="preserve">From </w:t>
      </w:r>
      <w:r w:rsidR="00550416">
        <w:rPr>
          <w:lang w:val="en-US"/>
        </w:rPr>
        <w:t xml:space="preserve">the </w:t>
      </w:r>
      <w:r>
        <w:rPr>
          <w:lang w:val="en-US"/>
        </w:rPr>
        <w:t xml:space="preserve">empirical research </w:t>
      </w:r>
      <w:r w:rsidR="00550416">
        <w:rPr>
          <w:lang w:val="en-US"/>
        </w:rPr>
        <w:t>in this report I</w:t>
      </w:r>
      <w:r>
        <w:rPr>
          <w:lang w:val="en-US"/>
        </w:rPr>
        <w:t xml:space="preserve"> can conclude that when looking at income that CBF certifi</w:t>
      </w:r>
      <w:r w:rsidR="00977664">
        <w:rPr>
          <w:lang w:val="en-US"/>
        </w:rPr>
        <w:t>cation</w:t>
      </w:r>
      <w:r>
        <w:rPr>
          <w:lang w:val="en-US"/>
        </w:rPr>
        <w:t xml:space="preserve"> has a significant positive influence on the income charities. </w:t>
      </w:r>
      <w:r w:rsidR="003D3D98">
        <w:rPr>
          <w:lang w:val="en-US"/>
        </w:rPr>
        <w:t xml:space="preserve">Indicating that </w:t>
      </w:r>
      <w:r w:rsidR="00CB7107">
        <w:rPr>
          <w:lang w:val="en-US"/>
        </w:rPr>
        <w:t xml:space="preserve">donors identify </w:t>
      </w:r>
      <w:r w:rsidR="0014309B">
        <w:rPr>
          <w:lang w:val="en-US"/>
        </w:rPr>
        <w:t>the CBF certificate with trustworthy organizations</w:t>
      </w:r>
      <w:r w:rsidR="00CB7107">
        <w:rPr>
          <w:lang w:val="en-US"/>
        </w:rPr>
        <w:t xml:space="preserve"> and confirming that CBF certification is a selection criteria for donors as shown by the survey of van Iwaarden</w:t>
      </w:r>
      <w:r w:rsidR="00A44557">
        <w:rPr>
          <w:lang w:val="en-US"/>
        </w:rPr>
        <w:t xml:space="preserve"> (2008)</w:t>
      </w:r>
      <w:r w:rsidR="00CB7107">
        <w:rPr>
          <w:lang w:val="en-US"/>
        </w:rPr>
        <w:t>.</w:t>
      </w:r>
      <w:r w:rsidR="003D3D98">
        <w:rPr>
          <w:lang w:val="en-US"/>
        </w:rPr>
        <w:t xml:space="preserve"> The size of the board has a significant positive influence on income as well, confirming the theory that fundraising is a important role of the board. Financial oversight also has a significant positive influence on income, however, </w:t>
      </w:r>
      <w:r w:rsidR="003D3D98" w:rsidRPr="008B0CF3">
        <w:rPr>
          <w:lang w:val="en-US"/>
        </w:rPr>
        <w:t>causality might be an issue as bigger charities generally have a higher level of accountancy oversight.</w:t>
      </w:r>
      <w:r w:rsidR="00A44557">
        <w:rPr>
          <w:lang w:val="en-US"/>
        </w:rPr>
        <w:t xml:space="preserve"> </w:t>
      </w:r>
      <w:r w:rsidR="001F60F1" w:rsidRPr="008B0CF3">
        <w:rPr>
          <w:lang w:val="en-US"/>
        </w:rPr>
        <w:t>Looking at subsamples of the various categories, we find mixed results.</w:t>
      </w:r>
      <w:r w:rsidR="008B0CF3" w:rsidRPr="008B0CF3">
        <w:rPr>
          <w:lang w:val="en-US"/>
        </w:rPr>
        <w:t xml:space="preserve"> CBF certification is only for one category significant and the number of directors only for two of the four categories</w:t>
      </w:r>
      <w:r w:rsidR="008B0CF3">
        <w:rPr>
          <w:lang w:val="en-US"/>
        </w:rPr>
        <w:t xml:space="preserve">. </w:t>
      </w:r>
    </w:p>
    <w:p w:rsidR="001F60F1" w:rsidRDefault="001F60F1" w:rsidP="003D3D98">
      <w:pPr>
        <w:spacing w:line="360" w:lineRule="auto"/>
        <w:jc w:val="both"/>
        <w:rPr>
          <w:lang w:val="en-US"/>
        </w:rPr>
      </w:pPr>
    </w:p>
    <w:p w:rsidR="004D0A03" w:rsidRDefault="003D3D98" w:rsidP="00A44557">
      <w:pPr>
        <w:spacing w:line="360" w:lineRule="auto"/>
        <w:jc w:val="both"/>
        <w:rPr>
          <w:lang w:val="en-US"/>
        </w:rPr>
      </w:pPr>
      <w:r>
        <w:rPr>
          <w:lang w:val="en-US"/>
        </w:rPr>
        <w:t>The influence of governance related variables on performance is mixed, charities that are CBF certified perform significantly better than those without</w:t>
      </w:r>
      <w:r w:rsidR="0014309B">
        <w:rPr>
          <w:lang w:val="en-US"/>
        </w:rPr>
        <w:t xml:space="preserve">. Indicating that </w:t>
      </w:r>
      <w:r w:rsidR="00CB7107">
        <w:rPr>
          <w:lang w:val="en-US"/>
        </w:rPr>
        <w:t>the governance measures required to become CBF certified and the independent external monitoring</w:t>
      </w:r>
      <w:r w:rsidR="0014309B">
        <w:rPr>
          <w:lang w:val="en-US"/>
        </w:rPr>
        <w:t xml:space="preserve"> increases performance. On the other hand</w:t>
      </w:r>
      <w:r>
        <w:rPr>
          <w:lang w:val="en-US"/>
        </w:rPr>
        <w:t xml:space="preserve"> membership of the VFI branch organization is significantly negative related to performance</w:t>
      </w:r>
      <w:r w:rsidR="00F8359B">
        <w:rPr>
          <w:lang w:val="en-US"/>
        </w:rPr>
        <w:t xml:space="preserve">. VFI membership remains negative when looking only at the bigger charities. </w:t>
      </w:r>
      <w:r w:rsidR="00DA3C27">
        <w:rPr>
          <w:lang w:val="en-US"/>
        </w:rPr>
        <w:t xml:space="preserve">The reason for this is not directly </w:t>
      </w:r>
      <w:r w:rsidR="008301B5">
        <w:rPr>
          <w:lang w:val="en-US"/>
        </w:rPr>
        <w:t>apparent</w:t>
      </w:r>
      <w:r w:rsidR="00DA3C27">
        <w:rPr>
          <w:lang w:val="en-US"/>
        </w:rPr>
        <w:t xml:space="preserve">, maybe the codes and guidelines are expensive to implement and uphold or perhaps they are counterproductive. </w:t>
      </w:r>
      <w:r w:rsidR="00F1231E">
        <w:rPr>
          <w:lang w:val="en-US"/>
        </w:rPr>
        <w:t>Similarly, the financial oversight has a sig</w:t>
      </w:r>
      <w:r w:rsidR="00DA3C27">
        <w:rPr>
          <w:lang w:val="en-US"/>
        </w:rPr>
        <w:t>nificant negative influence too, this is possibly due to the fact th</w:t>
      </w:r>
      <w:r w:rsidR="00833D99">
        <w:rPr>
          <w:lang w:val="en-US"/>
        </w:rPr>
        <w:t>at more detailed accounting</w:t>
      </w:r>
      <w:r w:rsidR="008301B5">
        <w:rPr>
          <w:lang w:val="en-US"/>
        </w:rPr>
        <w:t xml:space="preserve"> processes</w:t>
      </w:r>
      <w:r w:rsidR="00833D99">
        <w:rPr>
          <w:lang w:val="en-US"/>
        </w:rPr>
        <w:t xml:space="preserve"> and independent accountants are costly.</w:t>
      </w:r>
      <w:r w:rsidR="00A44557">
        <w:rPr>
          <w:lang w:val="en-US"/>
        </w:rPr>
        <w:t xml:space="preserve"> </w:t>
      </w:r>
      <w:r w:rsidR="001F60F1">
        <w:rPr>
          <w:lang w:val="en-US"/>
        </w:rPr>
        <w:t>From the models that separate the professional fr</w:t>
      </w:r>
      <w:r w:rsidR="00E73606">
        <w:rPr>
          <w:lang w:val="en-US"/>
        </w:rPr>
        <w:t>o</w:t>
      </w:r>
      <w:r w:rsidR="001F60F1">
        <w:rPr>
          <w:lang w:val="en-US"/>
        </w:rPr>
        <w:t xml:space="preserve">m the altruistic organizations </w:t>
      </w:r>
      <w:r w:rsidR="00E73606">
        <w:rPr>
          <w:lang w:val="en-US"/>
        </w:rPr>
        <w:t>I</w:t>
      </w:r>
      <w:r w:rsidR="001F60F1">
        <w:rPr>
          <w:lang w:val="en-US"/>
        </w:rPr>
        <w:t xml:space="preserve"> can conclude that </w:t>
      </w:r>
      <w:r w:rsidR="005722D2">
        <w:rPr>
          <w:lang w:val="en-US"/>
        </w:rPr>
        <w:t>especially smaller organizations benefit from CBF certification</w:t>
      </w:r>
      <w:r w:rsidR="004D0A03">
        <w:rPr>
          <w:lang w:val="en-US"/>
        </w:rPr>
        <w:t xml:space="preserve"> as they often don’t have the means to organizing internal governance.</w:t>
      </w:r>
    </w:p>
    <w:p w:rsidR="0037727B" w:rsidRDefault="0037727B" w:rsidP="00A44557">
      <w:pPr>
        <w:spacing w:line="360" w:lineRule="auto"/>
        <w:jc w:val="both"/>
        <w:rPr>
          <w:rFonts w:ascii="ScalaSans-Caps" w:hAnsi="ScalaSans-Caps"/>
          <w:b/>
          <w:lang w:val="en-US"/>
        </w:rPr>
      </w:pPr>
      <w:r>
        <w:rPr>
          <w:rFonts w:ascii="ScalaSans-Caps" w:hAnsi="ScalaSans-Caps"/>
          <w:b/>
          <w:lang w:val="en-US"/>
        </w:rPr>
        <w:br w:type="page"/>
      </w:r>
    </w:p>
    <w:p w:rsidR="00F1231E" w:rsidRPr="00F1231E" w:rsidRDefault="00F1231E" w:rsidP="003D3D98">
      <w:pPr>
        <w:spacing w:line="360" w:lineRule="auto"/>
        <w:jc w:val="both"/>
        <w:rPr>
          <w:rFonts w:ascii="ScalaSans-Caps" w:hAnsi="ScalaSans-Caps"/>
          <w:b/>
          <w:lang w:val="en-US"/>
        </w:rPr>
      </w:pPr>
      <w:r w:rsidRPr="00F1231E">
        <w:rPr>
          <w:rFonts w:ascii="ScalaSans-Caps" w:hAnsi="ScalaSans-Caps"/>
          <w:b/>
          <w:lang w:val="en-US"/>
        </w:rPr>
        <w:t>Future research</w:t>
      </w:r>
    </w:p>
    <w:p w:rsidR="00DA3C27" w:rsidRDefault="00F1231E" w:rsidP="003D3D98">
      <w:pPr>
        <w:spacing w:line="360" w:lineRule="auto"/>
        <w:jc w:val="both"/>
        <w:rPr>
          <w:lang w:val="en-US"/>
        </w:rPr>
      </w:pPr>
      <w:r>
        <w:rPr>
          <w:lang w:val="en-US"/>
        </w:rPr>
        <w:t>The empirical research in this thesis has been limited due to the</w:t>
      </w:r>
      <w:r w:rsidR="001B620E">
        <w:rPr>
          <w:lang w:val="en-US"/>
        </w:rPr>
        <w:t xml:space="preserve"> </w:t>
      </w:r>
      <w:r>
        <w:rPr>
          <w:lang w:val="en-US"/>
        </w:rPr>
        <w:t>availability of data</w:t>
      </w:r>
      <w:r w:rsidR="00DA3C27">
        <w:rPr>
          <w:lang w:val="en-US"/>
        </w:rPr>
        <w:t>.</w:t>
      </w:r>
      <w:r w:rsidR="00ED4C50">
        <w:rPr>
          <w:lang w:val="en-US"/>
        </w:rPr>
        <w:t xml:space="preserve"> Additional</w:t>
      </w:r>
      <w:r>
        <w:rPr>
          <w:lang w:val="en-US"/>
        </w:rPr>
        <w:t xml:space="preserve"> research could be done into the </w:t>
      </w:r>
      <w:r w:rsidR="00DA3C27">
        <w:rPr>
          <w:lang w:val="en-US"/>
        </w:rPr>
        <w:t>influence of internal gov</w:t>
      </w:r>
      <w:r w:rsidR="00ED4C50">
        <w:rPr>
          <w:lang w:val="en-US"/>
        </w:rPr>
        <w:t xml:space="preserve">ernance </w:t>
      </w:r>
      <w:r w:rsidR="008E2908">
        <w:rPr>
          <w:lang w:val="en-US"/>
        </w:rPr>
        <w:t>processes</w:t>
      </w:r>
      <w:r w:rsidR="00ED4C50">
        <w:rPr>
          <w:lang w:val="en-US"/>
        </w:rPr>
        <w:t xml:space="preserve"> on performance. Although most of these internal mechanisms are present in the CBF certification, it’s impossible to know what </w:t>
      </w:r>
      <w:r w:rsidR="008E2908">
        <w:rPr>
          <w:lang w:val="en-US"/>
        </w:rPr>
        <w:t>processes</w:t>
      </w:r>
      <w:r w:rsidR="00ED4C50">
        <w:rPr>
          <w:lang w:val="en-US"/>
        </w:rPr>
        <w:t xml:space="preserve"> are most important.</w:t>
      </w:r>
      <w:r w:rsidR="00DA3C27">
        <w:rPr>
          <w:lang w:val="en-US"/>
        </w:rPr>
        <w:t xml:space="preserve"> </w:t>
      </w:r>
      <w:r w:rsidR="00ED4C50">
        <w:rPr>
          <w:lang w:val="en-US"/>
        </w:rPr>
        <w:t>D</w:t>
      </w:r>
      <w:r w:rsidR="00DA3C27">
        <w:rPr>
          <w:lang w:val="en-US"/>
        </w:rPr>
        <w:t>ata on this is hardly publicly available so a survey of charity board member</w:t>
      </w:r>
      <w:r w:rsidR="00ED4C50">
        <w:rPr>
          <w:lang w:val="en-US"/>
        </w:rPr>
        <w:t>s and executives is needed to obtain</w:t>
      </w:r>
      <w:r w:rsidR="00DA3C27">
        <w:rPr>
          <w:lang w:val="en-US"/>
        </w:rPr>
        <w:t xml:space="preserve"> the required data.</w:t>
      </w:r>
    </w:p>
    <w:p w:rsidR="00F1231E" w:rsidRDefault="00DA3C27" w:rsidP="003D3D98">
      <w:pPr>
        <w:spacing w:line="360" w:lineRule="auto"/>
        <w:jc w:val="both"/>
        <w:rPr>
          <w:lang w:val="en-US"/>
        </w:rPr>
      </w:pPr>
      <w:r>
        <w:rPr>
          <w:lang w:val="en-US"/>
        </w:rPr>
        <w:t>Another interesting point for further research is looking into why VFI membership seems to be negatively related to performance</w:t>
      </w:r>
      <w:r w:rsidR="00604DF3">
        <w:rPr>
          <w:lang w:val="en-US"/>
        </w:rPr>
        <w:t>.</w:t>
      </w:r>
      <w:r>
        <w:rPr>
          <w:lang w:val="en-US"/>
        </w:rPr>
        <w:t xml:space="preserve"> </w:t>
      </w:r>
      <w:r w:rsidR="00604DF3">
        <w:rPr>
          <w:lang w:val="en-US"/>
        </w:rPr>
        <w:t>T</w:t>
      </w:r>
      <w:r>
        <w:rPr>
          <w:lang w:val="en-US"/>
        </w:rPr>
        <w:t>his is counter-intuitive and thus a</w:t>
      </w:r>
      <w:r w:rsidR="00604DF3">
        <w:rPr>
          <w:lang w:val="en-US"/>
        </w:rPr>
        <w:t>n</w:t>
      </w:r>
      <w:r>
        <w:rPr>
          <w:lang w:val="en-US"/>
        </w:rPr>
        <w:t xml:space="preserve"> interesting point for some more in depth research. </w:t>
      </w:r>
    </w:p>
    <w:p w:rsidR="00F1231E" w:rsidRDefault="00F1231E" w:rsidP="003D3D98">
      <w:pPr>
        <w:spacing w:line="360" w:lineRule="auto"/>
        <w:jc w:val="both"/>
        <w:rPr>
          <w:lang w:val="en-US"/>
        </w:rPr>
      </w:pPr>
    </w:p>
    <w:p w:rsidR="00550416" w:rsidRPr="00F1231E" w:rsidRDefault="00550416" w:rsidP="00550416">
      <w:pPr>
        <w:spacing w:line="360" w:lineRule="auto"/>
        <w:jc w:val="both"/>
        <w:rPr>
          <w:rFonts w:ascii="ScalaSans-Caps" w:hAnsi="ScalaSans-Caps"/>
          <w:b/>
          <w:lang w:val="en-US"/>
        </w:rPr>
      </w:pPr>
      <w:r>
        <w:rPr>
          <w:rFonts w:ascii="ScalaSans-Caps" w:hAnsi="ScalaSans-Caps"/>
          <w:b/>
          <w:lang w:val="en-US"/>
        </w:rPr>
        <w:t>Closing remark</w:t>
      </w:r>
      <w:r w:rsidR="00370652">
        <w:rPr>
          <w:rFonts w:ascii="ScalaSans-Caps" w:hAnsi="ScalaSans-Caps"/>
          <w:b/>
          <w:lang w:val="en-US"/>
        </w:rPr>
        <w:t>s</w:t>
      </w:r>
    </w:p>
    <w:p w:rsidR="00370652" w:rsidRDefault="00D8308F" w:rsidP="003D3D98">
      <w:pPr>
        <w:spacing w:line="360" w:lineRule="auto"/>
        <w:jc w:val="both"/>
        <w:rPr>
          <w:lang w:val="en-US"/>
        </w:rPr>
      </w:pPr>
      <w:r>
        <w:rPr>
          <w:lang w:val="en-US"/>
        </w:rPr>
        <w:t>Charities perform an important function in helping out those in need and the general public has every right in ensuring the efficient usage of funds donated</w:t>
      </w:r>
      <w:r w:rsidR="00604DF3">
        <w:rPr>
          <w:lang w:val="en-US"/>
        </w:rPr>
        <w:t>.</w:t>
      </w:r>
      <w:r>
        <w:rPr>
          <w:lang w:val="en-US"/>
        </w:rPr>
        <w:t xml:space="preserve"> </w:t>
      </w:r>
      <w:r w:rsidR="00604DF3">
        <w:rPr>
          <w:lang w:val="en-US"/>
        </w:rPr>
        <w:t>B</w:t>
      </w:r>
      <w:r>
        <w:rPr>
          <w:lang w:val="en-US"/>
        </w:rPr>
        <w:t>ut in the end we should not forget the words spoken by a great man</w:t>
      </w:r>
      <w:r w:rsidR="00370652">
        <w:rPr>
          <w:lang w:val="en-US"/>
        </w:rPr>
        <w:t xml:space="preserve">: </w:t>
      </w:r>
    </w:p>
    <w:p w:rsidR="00370652" w:rsidRDefault="00370652" w:rsidP="003D3D98">
      <w:pPr>
        <w:spacing w:line="360" w:lineRule="auto"/>
        <w:jc w:val="both"/>
        <w:rPr>
          <w:lang w:val="en-US"/>
        </w:rPr>
      </w:pPr>
    </w:p>
    <w:p w:rsidR="00370652" w:rsidRPr="00370652" w:rsidRDefault="00370652" w:rsidP="00370652">
      <w:pPr>
        <w:spacing w:line="360" w:lineRule="auto"/>
        <w:jc w:val="center"/>
        <w:rPr>
          <w:rStyle w:val="body"/>
          <w:i/>
          <w:lang w:val="en-US"/>
        </w:rPr>
      </w:pPr>
      <w:r w:rsidRPr="00370652">
        <w:rPr>
          <w:i/>
          <w:lang w:val="en-US"/>
        </w:rPr>
        <w:t>“</w:t>
      </w:r>
      <w:r w:rsidRPr="00370652">
        <w:rPr>
          <w:rStyle w:val="body"/>
          <w:i/>
          <w:lang w:val="en-US"/>
        </w:rPr>
        <w:t>A good head and a good heart are always a formidable combination.”</w:t>
      </w:r>
    </w:p>
    <w:p w:rsidR="007570DC" w:rsidRDefault="00370652" w:rsidP="00370652">
      <w:pPr>
        <w:spacing w:line="360" w:lineRule="auto"/>
        <w:jc w:val="right"/>
        <w:rPr>
          <w:rStyle w:val="body"/>
          <w:lang w:val="en-US"/>
        </w:rPr>
      </w:pPr>
      <w:r>
        <w:rPr>
          <w:rStyle w:val="body"/>
          <w:lang w:val="en-US"/>
        </w:rPr>
        <w:t>Nelson Mandela</w:t>
      </w:r>
    </w:p>
    <w:p w:rsidR="007570DC" w:rsidRDefault="007570DC" w:rsidP="00370652">
      <w:pPr>
        <w:spacing w:line="360" w:lineRule="auto"/>
        <w:jc w:val="right"/>
        <w:rPr>
          <w:rStyle w:val="body"/>
          <w:lang w:val="en-US"/>
        </w:rPr>
      </w:pPr>
    </w:p>
    <w:p w:rsidR="00D75835" w:rsidRDefault="00D75835" w:rsidP="007570DC">
      <w:pPr>
        <w:spacing w:line="360" w:lineRule="auto"/>
        <w:rPr>
          <w:lang w:val="en-US"/>
        </w:rPr>
      </w:pPr>
      <w:r>
        <w:rPr>
          <w:lang w:val="en-US"/>
        </w:rPr>
        <w:br w:type="page"/>
      </w:r>
    </w:p>
    <w:p w:rsidR="00315420" w:rsidRPr="007541EF" w:rsidRDefault="007541EF" w:rsidP="007541EF">
      <w:pPr>
        <w:pStyle w:val="Heading1"/>
        <w:spacing w:before="240" w:line="360" w:lineRule="auto"/>
        <w:rPr>
          <w:sz w:val="32"/>
          <w:szCs w:val="32"/>
          <w:lang w:val="en-US"/>
        </w:rPr>
      </w:pPr>
      <w:bookmarkStart w:id="23" w:name="_Toc299180708"/>
      <w:r w:rsidRPr="007541EF">
        <w:rPr>
          <w:sz w:val="32"/>
          <w:szCs w:val="32"/>
          <w:lang w:val="en-US"/>
        </w:rPr>
        <w:t>References</w:t>
      </w:r>
      <w:bookmarkEnd w:id="23"/>
    </w:p>
    <w:p w:rsidR="007541EF" w:rsidRDefault="007541EF" w:rsidP="00C05342">
      <w:pPr>
        <w:spacing w:line="360" w:lineRule="auto"/>
        <w:jc w:val="both"/>
        <w:rPr>
          <w:lang w:val="en-US"/>
        </w:rPr>
      </w:pPr>
    </w:p>
    <w:p w:rsidR="00887CFE" w:rsidRPr="009437AB" w:rsidRDefault="00887CFE" w:rsidP="00A247D4">
      <w:pPr>
        <w:autoSpaceDE w:val="0"/>
        <w:autoSpaceDN w:val="0"/>
        <w:adjustRightInd w:val="0"/>
        <w:spacing w:line="360" w:lineRule="auto"/>
        <w:jc w:val="both"/>
        <w:rPr>
          <w:lang w:val="en-US"/>
        </w:rPr>
      </w:pPr>
      <w:r>
        <w:rPr>
          <w:rFonts w:cs="Berkeley-Medium"/>
          <w:lang w:val="en-US"/>
        </w:rPr>
        <w:t xml:space="preserve">J.A. Alexander, L. </w:t>
      </w:r>
      <w:r w:rsidRPr="009437AB">
        <w:rPr>
          <w:rFonts w:cs="Berkeley-Medium"/>
          <w:lang w:val="en-US"/>
        </w:rPr>
        <w:t>Morlock, and</w:t>
      </w:r>
      <w:r>
        <w:rPr>
          <w:rFonts w:cs="Berkeley-Medium"/>
          <w:lang w:val="en-US"/>
        </w:rPr>
        <w:t xml:space="preserve"> B.</w:t>
      </w:r>
      <w:r w:rsidRPr="009437AB">
        <w:rPr>
          <w:rFonts w:cs="Berkeley-Medium"/>
          <w:lang w:val="en-US"/>
        </w:rPr>
        <w:t xml:space="preserve"> Gifford</w:t>
      </w:r>
      <w:r>
        <w:rPr>
          <w:rFonts w:cs="Berkeley-Medium"/>
          <w:lang w:val="en-US"/>
        </w:rPr>
        <w:t>;</w:t>
      </w:r>
      <w:r w:rsidRPr="009437AB">
        <w:rPr>
          <w:rFonts w:cs="Berkeley-Medium"/>
          <w:lang w:val="en-US"/>
        </w:rPr>
        <w:t xml:space="preserve"> “The Effects of Corporate Restructuring on Hospital Policymaking.”</w:t>
      </w:r>
      <w:r>
        <w:rPr>
          <w:rFonts w:cs="Berkeley-Medium"/>
          <w:lang w:val="en-US"/>
        </w:rPr>
        <w:t>;</w:t>
      </w:r>
      <w:r w:rsidRPr="009437AB">
        <w:rPr>
          <w:rFonts w:cs="Berkeley-Medium"/>
          <w:lang w:val="en-US"/>
        </w:rPr>
        <w:t xml:space="preserve"> </w:t>
      </w:r>
      <w:r w:rsidRPr="009437AB">
        <w:rPr>
          <w:rFonts w:cs="Berkeley-Italic"/>
          <w:iCs/>
          <w:lang w:val="en-US"/>
        </w:rPr>
        <w:t xml:space="preserve">Health Services Research, </w:t>
      </w:r>
      <w:r w:rsidRPr="009437AB">
        <w:rPr>
          <w:rFonts w:cs="Berkeley-Medium"/>
          <w:lang w:val="en-US"/>
        </w:rPr>
        <w:t xml:space="preserve">1988, </w:t>
      </w:r>
      <w:r w:rsidRPr="009437AB">
        <w:rPr>
          <w:rFonts w:cs="Berkeley-Italic"/>
          <w:iCs/>
          <w:lang w:val="en-US"/>
        </w:rPr>
        <w:t xml:space="preserve">23 </w:t>
      </w:r>
      <w:r w:rsidRPr="009437AB">
        <w:rPr>
          <w:rFonts w:cs="Berkeley-Medium"/>
          <w:lang w:val="en-US"/>
        </w:rPr>
        <w:t>(2), 311–327</w:t>
      </w:r>
    </w:p>
    <w:p w:rsidR="00887CFE" w:rsidRDefault="00887CFE" w:rsidP="00A247D4">
      <w:pPr>
        <w:autoSpaceDE w:val="0"/>
        <w:autoSpaceDN w:val="0"/>
        <w:adjustRightInd w:val="0"/>
        <w:spacing w:line="360" w:lineRule="auto"/>
        <w:jc w:val="both"/>
        <w:rPr>
          <w:rFonts w:cs="AdvPS6F00"/>
          <w:lang w:val="en-US"/>
        </w:rPr>
      </w:pPr>
    </w:p>
    <w:p w:rsidR="00887CFE" w:rsidRDefault="00887CFE" w:rsidP="00A247D4">
      <w:pPr>
        <w:autoSpaceDE w:val="0"/>
        <w:autoSpaceDN w:val="0"/>
        <w:adjustRightInd w:val="0"/>
        <w:spacing w:line="360" w:lineRule="auto"/>
        <w:jc w:val="both"/>
        <w:rPr>
          <w:rFonts w:cs="Berkeley-Medium"/>
          <w:lang w:val="en-US"/>
        </w:rPr>
      </w:pPr>
      <w:r w:rsidRPr="00853969">
        <w:rPr>
          <w:lang w:val="en-US"/>
        </w:rPr>
        <w:t xml:space="preserve">J.A. Alexander and B.J. Weiner; The adoption of corporate governance models by nonprofit organizations; </w:t>
      </w:r>
      <w:r w:rsidRPr="00853969">
        <w:rPr>
          <w:rFonts w:cs="Berkeley-Medium"/>
          <w:lang w:val="en-US"/>
        </w:rPr>
        <w:t>N</w:t>
      </w:r>
      <w:r>
        <w:rPr>
          <w:rFonts w:cs="Berkeley-Medium"/>
          <w:lang w:val="en-US"/>
        </w:rPr>
        <w:t>onprofit management &amp; leadership</w:t>
      </w:r>
      <w:r w:rsidRPr="00853969">
        <w:rPr>
          <w:rFonts w:cs="Berkeley-Medium"/>
          <w:lang w:val="en-US"/>
        </w:rPr>
        <w:t>, vol. 8, no. 3, Spring 1998</w:t>
      </w:r>
    </w:p>
    <w:p w:rsidR="00887CFE" w:rsidRDefault="00887CFE" w:rsidP="00A247D4">
      <w:pPr>
        <w:autoSpaceDE w:val="0"/>
        <w:autoSpaceDN w:val="0"/>
        <w:adjustRightInd w:val="0"/>
        <w:spacing w:line="360" w:lineRule="auto"/>
        <w:jc w:val="both"/>
        <w:rPr>
          <w:rFonts w:cs="AdvPS6F00"/>
          <w:lang w:val="en-US"/>
        </w:rPr>
      </w:pPr>
    </w:p>
    <w:p w:rsidR="00887CFE" w:rsidRPr="009437AB" w:rsidRDefault="00887CFE" w:rsidP="00A247D4">
      <w:pPr>
        <w:autoSpaceDE w:val="0"/>
        <w:autoSpaceDN w:val="0"/>
        <w:adjustRightInd w:val="0"/>
        <w:spacing w:line="360" w:lineRule="auto"/>
        <w:jc w:val="both"/>
        <w:rPr>
          <w:rFonts w:cs="BaskervilleNo2BT-Roman"/>
          <w:lang w:val="en-US"/>
        </w:rPr>
      </w:pPr>
      <w:r>
        <w:rPr>
          <w:rFonts w:cs="BaskervilleNo2BT-Roman"/>
          <w:lang w:val="en-US"/>
        </w:rPr>
        <w:t xml:space="preserve">J. </w:t>
      </w:r>
      <w:r w:rsidRPr="009437AB">
        <w:rPr>
          <w:rFonts w:cs="BaskervilleNo2BT-Roman"/>
          <w:lang w:val="en-US"/>
        </w:rPr>
        <w:t>Andreoni</w:t>
      </w:r>
      <w:r>
        <w:rPr>
          <w:rFonts w:cs="BaskervilleNo2BT-Roman"/>
          <w:lang w:val="en-US"/>
        </w:rPr>
        <w:t xml:space="preserve">; </w:t>
      </w:r>
      <w:r w:rsidRPr="009437AB">
        <w:rPr>
          <w:rFonts w:cs="BaskervilleNo2BT-Roman"/>
          <w:lang w:val="en-US"/>
        </w:rPr>
        <w:t>‘Impure Altruism and Donations to Public Goods: A Theory of Warm Glow</w:t>
      </w:r>
    </w:p>
    <w:p w:rsidR="00887CFE" w:rsidRPr="009437AB" w:rsidRDefault="00887CFE" w:rsidP="00A247D4">
      <w:pPr>
        <w:autoSpaceDE w:val="0"/>
        <w:autoSpaceDN w:val="0"/>
        <w:adjustRightInd w:val="0"/>
        <w:spacing w:line="360" w:lineRule="auto"/>
        <w:jc w:val="both"/>
        <w:rPr>
          <w:lang w:val="en-US"/>
        </w:rPr>
      </w:pPr>
      <w:r w:rsidRPr="009437AB">
        <w:rPr>
          <w:rFonts w:cs="BaskervilleNo2BT-Roman"/>
          <w:lang w:val="en-US"/>
        </w:rPr>
        <w:t>Giving’</w:t>
      </w:r>
      <w:r>
        <w:rPr>
          <w:rFonts w:cs="BaskervilleNo2BT-Roman"/>
          <w:lang w:val="en-US"/>
        </w:rPr>
        <w:t>; 1990;</w:t>
      </w:r>
      <w:r w:rsidRPr="009437AB">
        <w:rPr>
          <w:rFonts w:cs="BaskervilleNo2BT-Roman"/>
          <w:lang w:val="en-US"/>
        </w:rPr>
        <w:t xml:space="preserve"> </w:t>
      </w:r>
      <w:r w:rsidRPr="009437AB">
        <w:rPr>
          <w:rFonts w:cs="BaskervilleNo2BT-Italic"/>
          <w:iCs/>
          <w:lang w:val="en-US"/>
        </w:rPr>
        <w:t>The Economic Journal</w:t>
      </w:r>
      <w:r w:rsidRPr="009437AB">
        <w:rPr>
          <w:rFonts w:cs="BaskervilleNo2BT-Roman"/>
          <w:lang w:val="en-US"/>
        </w:rPr>
        <w:t>, Vol. 100, pp. 464–77</w:t>
      </w:r>
    </w:p>
    <w:p w:rsidR="00887CFE" w:rsidRDefault="00887CFE" w:rsidP="00A247D4">
      <w:pPr>
        <w:autoSpaceDE w:val="0"/>
        <w:autoSpaceDN w:val="0"/>
        <w:adjustRightInd w:val="0"/>
        <w:spacing w:line="360" w:lineRule="auto"/>
        <w:jc w:val="both"/>
        <w:rPr>
          <w:rFonts w:cs="AdvPS6F00"/>
          <w:lang w:val="en-US"/>
        </w:rPr>
      </w:pPr>
    </w:p>
    <w:p w:rsidR="00EC0466" w:rsidRPr="009437AB" w:rsidRDefault="00EC0466" w:rsidP="00EC0466">
      <w:pPr>
        <w:autoSpaceDE w:val="0"/>
        <w:autoSpaceDN w:val="0"/>
        <w:adjustRightInd w:val="0"/>
        <w:spacing w:line="360" w:lineRule="auto"/>
        <w:jc w:val="both"/>
        <w:rPr>
          <w:rFonts w:cs="BaskervilleNo2BT-Roman"/>
          <w:lang w:val="en-US"/>
        </w:rPr>
      </w:pPr>
      <w:r>
        <w:rPr>
          <w:rFonts w:cs="BaskervilleNo2BT-Roman"/>
          <w:lang w:val="en-US"/>
        </w:rPr>
        <w:t xml:space="preserve">P. </w:t>
      </w:r>
      <w:r w:rsidRPr="009437AB">
        <w:rPr>
          <w:rFonts w:cs="BaskervilleNo2BT-Roman"/>
          <w:lang w:val="en-US"/>
        </w:rPr>
        <w:t>Be</w:t>
      </w:r>
      <w:r>
        <w:rPr>
          <w:rFonts w:cs="BaskervilleNo2BT-Roman"/>
          <w:lang w:val="en-US"/>
        </w:rPr>
        <w:t>resford and S. Croft;</w:t>
      </w:r>
      <w:r w:rsidRPr="009437AB">
        <w:rPr>
          <w:rFonts w:cs="BaskervilleNo2BT-Roman"/>
          <w:lang w:val="en-US"/>
        </w:rPr>
        <w:t xml:space="preserve"> </w:t>
      </w:r>
      <w:r w:rsidRPr="009437AB">
        <w:rPr>
          <w:rFonts w:cs="BaskervilleNo2BT-Italic"/>
          <w:iCs/>
          <w:lang w:val="en-US"/>
        </w:rPr>
        <w:t>Citizen Involvement: A Practical Guide for Change</w:t>
      </w:r>
      <w:r>
        <w:rPr>
          <w:rFonts w:cs="BaskervilleNo2BT-Italic"/>
          <w:iCs/>
          <w:lang w:val="en-US"/>
        </w:rPr>
        <w:t>; 1993;</w:t>
      </w:r>
      <w:r w:rsidRPr="009437AB">
        <w:rPr>
          <w:rFonts w:cs="BaskervilleNo2BT-Italic"/>
          <w:iCs/>
          <w:lang w:val="en-US"/>
        </w:rPr>
        <w:t xml:space="preserve"> </w:t>
      </w:r>
      <w:r w:rsidRPr="009437AB">
        <w:rPr>
          <w:rFonts w:cs="BaskervilleNo2BT-Roman"/>
          <w:lang w:val="en-US"/>
        </w:rPr>
        <w:t>Macmillan,</w:t>
      </w:r>
    </w:p>
    <w:p w:rsidR="00EC0466" w:rsidRPr="009437AB" w:rsidRDefault="00EC0466" w:rsidP="00EC0466">
      <w:pPr>
        <w:autoSpaceDE w:val="0"/>
        <w:autoSpaceDN w:val="0"/>
        <w:adjustRightInd w:val="0"/>
        <w:spacing w:line="360" w:lineRule="auto"/>
        <w:jc w:val="both"/>
        <w:rPr>
          <w:lang w:val="en-US"/>
        </w:rPr>
      </w:pPr>
      <w:r w:rsidRPr="00413393">
        <w:rPr>
          <w:rFonts w:cs="BaskervilleNo2BT-Roman"/>
          <w:lang w:val="en-US"/>
        </w:rPr>
        <w:t>Basingstoke</w:t>
      </w:r>
    </w:p>
    <w:p w:rsidR="00EC0466" w:rsidRDefault="00EC0466" w:rsidP="00A247D4">
      <w:pPr>
        <w:autoSpaceDE w:val="0"/>
        <w:autoSpaceDN w:val="0"/>
        <w:adjustRightInd w:val="0"/>
        <w:spacing w:line="360" w:lineRule="auto"/>
        <w:jc w:val="both"/>
        <w:rPr>
          <w:rFonts w:cs="AdvPS6F00"/>
          <w:lang w:val="en-US"/>
        </w:rPr>
      </w:pPr>
    </w:p>
    <w:p w:rsidR="00887CFE" w:rsidRPr="00853969" w:rsidRDefault="00887CFE" w:rsidP="00A247D4">
      <w:pPr>
        <w:autoSpaceDE w:val="0"/>
        <w:autoSpaceDN w:val="0"/>
        <w:adjustRightInd w:val="0"/>
        <w:spacing w:line="360" w:lineRule="auto"/>
        <w:jc w:val="both"/>
        <w:rPr>
          <w:rFonts w:cs="Times New Roman"/>
          <w:bCs/>
          <w:lang w:val="en-US"/>
        </w:rPr>
      </w:pPr>
      <w:r>
        <w:rPr>
          <w:rFonts w:cs="BaskervilleNo2BT-Roman"/>
          <w:lang w:val="en-US"/>
        </w:rPr>
        <w:t>P. Bradshaw</w:t>
      </w:r>
      <w:r w:rsidRPr="00853969">
        <w:rPr>
          <w:rFonts w:cs="BaskervilleNo2BT-Roman"/>
          <w:lang w:val="en-US"/>
        </w:rPr>
        <w:t xml:space="preserve">, B. Hayday, R. Armstrong, J. Levesque, L. Rykert; </w:t>
      </w:r>
      <w:r w:rsidRPr="00853969">
        <w:rPr>
          <w:rFonts w:cs="Times New Roman"/>
          <w:bCs/>
          <w:lang w:val="en-US"/>
        </w:rPr>
        <w:t>Nonprofit Governance Models: Problems and Prospects; ARNOVA Conference Seattle Washington, 1998</w:t>
      </w:r>
    </w:p>
    <w:p w:rsidR="00887CFE" w:rsidRPr="00C05342" w:rsidRDefault="00887CFE" w:rsidP="00A247D4">
      <w:pPr>
        <w:autoSpaceDE w:val="0"/>
        <w:autoSpaceDN w:val="0"/>
        <w:adjustRightInd w:val="0"/>
        <w:spacing w:line="360" w:lineRule="auto"/>
        <w:jc w:val="both"/>
        <w:rPr>
          <w:rFonts w:cs="ScalaSans-Caps"/>
          <w:lang w:val="en-US"/>
        </w:rPr>
      </w:pPr>
    </w:p>
    <w:p w:rsidR="00887CFE" w:rsidRPr="00F14E5C" w:rsidRDefault="00887CFE" w:rsidP="00A247D4">
      <w:pPr>
        <w:autoSpaceDE w:val="0"/>
        <w:autoSpaceDN w:val="0"/>
        <w:adjustRightInd w:val="0"/>
        <w:spacing w:line="360" w:lineRule="auto"/>
        <w:jc w:val="both"/>
        <w:rPr>
          <w:rFonts w:cs="Arial"/>
          <w:lang w:val="en-US"/>
        </w:rPr>
      </w:pPr>
      <w:r w:rsidRPr="00F14E5C">
        <w:rPr>
          <w:rFonts w:cs="Courier"/>
          <w:lang w:val="en-US"/>
        </w:rPr>
        <w:t xml:space="preserve">P. Bradshaw, V. Murray, J. Wolpin; Do nonprofit boards make a difference? An exploration of the relationships among board structure, process, and effectiveness; </w:t>
      </w:r>
      <w:r w:rsidRPr="00F14E5C">
        <w:rPr>
          <w:rFonts w:cs="Arial"/>
          <w:iCs/>
          <w:lang w:val="en-US"/>
        </w:rPr>
        <w:t xml:space="preserve">Nonprofit and Voluntary Sector Quarterly </w:t>
      </w:r>
      <w:r w:rsidRPr="00F14E5C">
        <w:rPr>
          <w:rFonts w:cs="Arial"/>
          <w:lang w:val="en-US"/>
        </w:rPr>
        <w:t>1992 21: 227</w:t>
      </w:r>
    </w:p>
    <w:p w:rsidR="00887CFE" w:rsidRDefault="00887CFE" w:rsidP="00A247D4">
      <w:pPr>
        <w:autoSpaceDE w:val="0"/>
        <w:autoSpaceDN w:val="0"/>
        <w:adjustRightInd w:val="0"/>
        <w:spacing w:line="360" w:lineRule="auto"/>
        <w:jc w:val="both"/>
        <w:rPr>
          <w:rFonts w:cs="AdvPS6F00"/>
          <w:lang w:val="en-US"/>
        </w:rPr>
      </w:pPr>
    </w:p>
    <w:p w:rsidR="00887CFE" w:rsidRPr="00C86EC5" w:rsidRDefault="00887CFE" w:rsidP="00A247D4">
      <w:pPr>
        <w:autoSpaceDE w:val="0"/>
        <w:autoSpaceDN w:val="0"/>
        <w:adjustRightInd w:val="0"/>
        <w:spacing w:line="360" w:lineRule="auto"/>
        <w:jc w:val="both"/>
        <w:rPr>
          <w:rFonts w:cs="BaskervilleNo2BT-Roman"/>
          <w:lang w:val="en-US"/>
        </w:rPr>
      </w:pPr>
      <w:r>
        <w:rPr>
          <w:rFonts w:cs="BaskervilleNo2BT-Roman"/>
          <w:lang w:val="en-US"/>
        </w:rPr>
        <w:t xml:space="preserve">J.A. </w:t>
      </w:r>
      <w:r w:rsidRPr="00C86EC5">
        <w:rPr>
          <w:rFonts w:cs="BaskervilleNo2BT-Roman"/>
          <w:lang w:val="en-US"/>
        </w:rPr>
        <w:t>Brickley, R. Van Horn and G.J. Wedig</w:t>
      </w:r>
      <w:r>
        <w:rPr>
          <w:rFonts w:cs="BaskervilleNo2BT-Roman"/>
          <w:lang w:val="en-US"/>
        </w:rPr>
        <w:t>;</w:t>
      </w:r>
      <w:r w:rsidRPr="00C86EC5">
        <w:rPr>
          <w:rFonts w:cs="BaskervilleNo2BT-Roman"/>
          <w:lang w:val="en-US"/>
        </w:rPr>
        <w:t xml:space="preserve"> ‘Board Composition and Private Inurement in</w:t>
      </w:r>
    </w:p>
    <w:p w:rsidR="00887CFE" w:rsidRPr="00C86EC5" w:rsidRDefault="00887CFE" w:rsidP="00A247D4">
      <w:pPr>
        <w:autoSpaceDE w:val="0"/>
        <w:autoSpaceDN w:val="0"/>
        <w:adjustRightInd w:val="0"/>
        <w:spacing w:line="360" w:lineRule="auto"/>
        <w:jc w:val="both"/>
        <w:rPr>
          <w:lang w:val="en-US"/>
        </w:rPr>
      </w:pPr>
      <w:r>
        <w:rPr>
          <w:rFonts w:cs="BaskervilleNo2BT-Roman"/>
          <w:lang w:val="en-US"/>
        </w:rPr>
        <w:t>Nonprofit Organiz</w:t>
      </w:r>
      <w:r w:rsidRPr="00C86EC5">
        <w:rPr>
          <w:rFonts w:cs="BaskervilleNo2BT-Roman"/>
          <w:lang w:val="en-US"/>
        </w:rPr>
        <w:t>ations: Evidence from Hospitals’</w:t>
      </w:r>
      <w:r>
        <w:rPr>
          <w:rFonts w:cs="BaskervilleNo2BT-Roman"/>
          <w:lang w:val="en-US"/>
        </w:rPr>
        <w:t>;</w:t>
      </w:r>
      <w:r w:rsidRPr="00C86EC5">
        <w:rPr>
          <w:rFonts w:cs="BaskervilleNo2BT-Roman"/>
          <w:lang w:val="en-US"/>
        </w:rPr>
        <w:t xml:space="preserve"> </w:t>
      </w:r>
      <w:r>
        <w:rPr>
          <w:rFonts w:cs="BaskervilleNo2BT-Roman"/>
          <w:lang w:val="en-US"/>
        </w:rPr>
        <w:t xml:space="preserve">2004; </w:t>
      </w:r>
      <w:r w:rsidRPr="00C86EC5">
        <w:rPr>
          <w:rFonts w:cs="BaskervilleNo2BT-Roman"/>
          <w:lang w:val="en-US"/>
        </w:rPr>
        <w:t>Manuscript (University of Rochester)</w:t>
      </w:r>
    </w:p>
    <w:p w:rsidR="00887CFE" w:rsidRDefault="00887CFE" w:rsidP="00A247D4">
      <w:pPr>
        <w:autoSpaceDE w:val="0"/>
        <w:autoSpaceDN w:val="0"/>
        <w:adjustRightInd w:val="0"/>
        <w:spacing w:line="360" w:lineRule="auto"/>
        <w:jc w:val="both"/>
        <w:rPr>
          <w:lang w:val="en-US"/>
        </w:rPr>
      </w:pPr>
    </w:p>
    <w:p w:rsidR="00EE270C" w:rsidRDefault="00EE270C" w:rsidP="00A247D4">
      <w:pPr>
        <w:autoSpaceDE w:val="0"/>
        <w:autoSpaceDN w:val="0"/>
        <w:adjustRightInd w:val="0"/>
        <w:spacing w:line="360" w:lineRule="auto"/>
        <w:jc w:val="both"/>
        <w:rPr>
          <w:lang w:val="en-US"/>
        </w:rPr>
      </w:pPr>
      <w:r w:rsidRPr="005541AB">
        <w:rPr>
          <w:lang w:val="en-US"/>
        </w:rPr>
        <w:t>J.L. Callen, A.</w:t>
      </w:r>
      <w:r>
        <w:rPr>
          <w:lang w:val="en-US"/>
        </w:rPr>
        <w:t xml:space="preserve"> </w:t>
      </w:r>
      <w:r w:rsidRPr="005541AB">
        <w:rPr>
          <w:lang w:val="en-US"/>
        </w:rPr>
        <w:t>Klein a</w:t>
      </w:r>
      <w:r>
        <w:rPr>
          <w:lang w:val="en-US"/>
        </w:rPr>
        <w:t>nd D. TInkelman; Board composition, committees and organization efficiency: the case of non-profits; 2003; Nonprofit and voluntary sector quarterly vol. no. 32</w:t>
      </w:r>
    </w:p>
    <w:p w:rsidR="00EE270C" w:rsidRDefault="00EE270C" w:rsidP="00A247D4">
      <w:pPr>
        <w:autoSpaceDE w:val="0"/>
        <w:autoSpaceDN w:val="0"/>
        <w:adjustRightInd w:val="0"/>
        <w:spacing w:line="360" w:lineRule="auto"/>
        <w:jc w:val="both"/>
        <w:rPr>
          <w:lang w:val="en-US"/>
        </w:rPr>
      </w:pPr>
    </w:p>
    <w:p w:rsidR="00887CFE" w:rsidRPr="00E022CA" w:rsidRDefault="00887CFE" w:rsidP="00A247D4">
      <w:pPr>
        <w:autoSpaceDE w:val="0"/>
        <w:autoSpaceDN w:val="0"/>
        <w:adjustRightInd w:val="0"/>
        <w:spacing w:line="360" w:lineRule="auto"/>
        <w:jc w:val="both"/>
        <w:rPr>
          <w:lang w:val="en-US"/>
        </w:rPr>
      </w:pPr>
      <w:r>
        <w:rPr>
          <w:lang w:val="en-US"/>
        </w:rPr>
        <w:t xml:space="preserve">J. </w:t>
      </w:r>
      <w:r w:rsidRPr="00E022CA">
        <w:rPr>
          <w:lang w:val="en-US"/>
        </w:rPr>
        <w:t xml:space="preserve">Carver; </w:t>
      </w:r>
      <w:r w:rsidRPr="00E022CA">
        <w:rPr>
          <w:rFonts w:cs="Bembo"/>
          <w:lang w:val="en-US"/>
        </w:rPr>
        <w:t>Redefining the Board’s Role in Fiscal Planning; 1991; Nonprofit management and leadership,</w:t>
      </w:r>
      <w:r>
        <w:rPr>
          <w:rFonts w:cs="Bembo"/>
          <w:lang w:val="en-US"/>
        </w:rPr>
        <w:t xml:space="preserve"> </w:t>
      </w:r>
      <w:r w:rsidRPr="00E022CA">
        <w:rPr>
          <w:rFonts w:cs="Bembo"/>
          <w:lang w:val="en-US"/>
        </w:rPr>
        <w:t>Vol. 2, No. 2</w:t>
      </w:r>
    </w:p>
    <w:p w:rsidR="00887CFE" w:rsidRDefault="00887CFE" w:rsidP="00A247D4">
      <w:pPr>
        <w:autoSpaceDE w:val="0"/>
        <w:autoSpaceDN w:val="0"/>
        <w:adjustRightInd w:val="0"/>
        <w:spacing w:line="360" w:lineRule="auto"/>
        <w:jc w:val="both"/>
        <w:rPr>
          <w:rFonts w:cs="AdvPS6F00"/>
          <w:lang w:val="en-US"/>
        </w:rPr>
      </w:pPr>
    </w:p>
    <w:p w:rsidR="005D55C4" w:rsidRDefault="005D55C4" w:rsidP="00A247D4">
      <w:pPr>
        <w:autoSpaceDE w:val="0"/>
        <w:autoSpaceDN w:val="0"/>
        <w:adjustRightInd w:val="0"/>
        <w:spacing w:line="360" w:lineRule="auto"/>
        <w:jc w:val="both"/>
        <w:rPr>
          <w:rFonts w:cs="AdvPS6F00"/>
          <w:lang w:val="en-US"/>
        </w:rPr>
      </w:pPr>
      <w:r w:rsidRPr="00853969">
        <w:rPr>
          <w:rFonts w:cs="AdvPS6F00"/>
          <w:lang w:val="en-US"/>
        </w:rPr>
        <w:t>C. Connolly and N. Hyndman; Performance reporting: a comparative study of British and Irish charities The British Accounting Review 36 (2004) 127–154</w:t>
      </w:r>
    </w:p>
    <w:p w:rsidR="005D55C4" w:rsidRDefault="005D55C4" w:rsidP="00A247D4">
      <w:pPr>
        <w:autoSpaceDE w:val="0"/>
        <w:autoSpaceDN w:val="0"/>
        <w:adjustRightInd w:val="0"/>
        <w:spacing w:line="360" w:lineRule="auto"/>
        <w:jc w:val="both"/>
        <w:rPr>
          <w:lang w:val="en-US"/>
        </w:rPr>
      </w:pPr>
    </w:p>
    <w:p w:rsidR="002B667C" w:rsidRDefault="002B667C" w:rsidP="00A247D4">
      <w:pPr>
        <w:autoSpaceDE w:val="0"/>
        <w:autoSpaceDN w:val="0"/>
        <w:adjustRightInd w:val="0"/>
        <w:spacing w:line="360" w:lineRule="auto"/>
        <w:jc w:val="both"/>
        <w:rPr>
          <w:rFonts w:cs="Berkeley-Medium"/>
          <w:lang w:val="en-US"/>
        </w:rPr>
      </w:pPr>
      <w:r>
        <w:rPr>
          <w:rFonts w:cs="Berkeley-Medium"/>
          <w:lang w:val="en-US"/>
        </w:rPr>
        <w:t>J.E. Core and R.W. Holthausen; Corporate governance, chief executive officer compensation and firm performance; 1999; Journal of financial economics 51, 371-406</w:t>
      </w:r>
    </w:p>
    <w:p w:rsidR="002B667C" w:rsidRDefault="002B667C" w:rsidP="00A247D4">
      <w:pPr>
        <w:autoSpaceDE w:val="0"/>
        <w:autoSpaceDN w:val="0"/>
        <w:adjustRightInd w:val="0"/>
        <w:spacing w:line="360" w:lineRule="auto"/>
        <w:jc w:val="both"/>
        <w:rPr>
          <w:rFonts w:cs="Berkeley-Medium"/>
          <w:lang w:val="en-US"/>
        </w:rPr>
      </w:pPr>
    </w:p>
    <w:p w:rsidR="005D55C4" w:rsidRDefault="005D55C4" w:rsidP="00A247D4">
      <w:pPr>
        <w:autoSpaceDE w:val="0"/>
        <w:autoSpaceDN w:val="0"/>
        <w:adjustRightInd w:val="0"/>
        <w:spacing w:line="360" w:lineRule="auto"/>
        <w:jc w:val="both"/>
        <w:rPr>
          <w:rFonts w:cs="Times-Roman"/>
          <w:lang w:val="en-US"/>
        </w:rPr>
      </w:pPr>
      <w:r>
        <w:rPr>
          <w:rFonts w:cs="Berkeley-Medium"/>
          <w:lang w:val="en-US"/>
        </w:rPr>
        <w:t xml:space="preserve">C. Cornforth; </w:t>
      </w:r>
      <w:r w:rsidRPr="00C05342">
        <w:rPr>
          <w:rFonts w:cs="Times-Bold"/>
          <w:bCs/>
          <w:lang w:val="en-US"/>
        </w:rPr>
        <w:t>What makes boards effective? An examination of the relationships between</w:t>
      </w:r>
      <w:r>
        <w:rPr>
          <w:rFonts w:cs="Times-Bold"/>
          <w:bCs/>
          <w:lang w:val="en-US"/>
        </w:rPr>
        <w:t xml:space="preserve"> </w:t>
      </w:r>
      <w:r w:rsidRPr="00C05342">
        <w:rPr>
          <w:rFonts w:cs="Times-Bold"/>
          <w:bCs/>
          <w:lang w:val="en-US"/>
        </w:rPr>
        <w:t>board inputs, structures, processes and effectiveness in non-profit organi</w:t>
      </w:r>
      <w:r>
        <w:rPr>
          <w:rFonts w:cs="Times-Bold"/>
          <w:bCs/>
          <w:lang w:val="en-US"/>
        </w:rPr>
        <w:t>z</w:t>
      </w:r>
      <w:r w:rsidRPr="00C05342">
        <w:rPr>
          <w:rFonts w:cs="Times-Bold"/>
          <w:bCs/>
          <w:lang w:val="en-US"/>
        </w:rPr>
        <w:t>ations</w:t>
      </w:r>
      <w:r>
        <w:rPr>
          <w:rFonts w:cs="Times-Bold"/>
          <w:bCs/>
          <w:lang w:val="en-US"/>
        </w:rPr>
        <w:t xml:space="preserve">; </w:t>
      </w:r>
      <w:r w:rsidRPr="00C05342">
        <w:rPr>
          <w:rFonts w:cs="Times-Italic"/>
          <w:iCs/>
          <w:lang w:val="en-US"/>
        </w:rPr>
        <w:t>Corporate Governance: an</w:t>
      </w:r>
      <w:r>
        <w:rPr>
          <w:rFonts w:cs="Times-Italic"/>
          <w:iCs/>
          <w:lang w:val="en-US"/>
        </w:rPr>
        <w:t xml:space="preserve"> International Review;</w:t>
      </w:r>
      <w:r w:rsidRPr="00C05342">
        <w:rPr>
          <w:rFonts w:cs="Times-Italic"/>
          <w:iCs/>
          <w:lang w:val="en-US"/>
        </w:rPr>
        <w:t xml:space="preserve"> </w:t>
      </w:r>
      <w:r w:rsidRPr="00C05342">
        <w:rPr>
          <w:rFonts w:cs="Times-Roman"/>
          <w:lang w:val="en-US"/>
        </w:rPr>
        <w:t>2001</w:t>
      </w:r>
    </w:p>
    <w:p w:rsidR="005D55C4" w:rsidRDefault="005D55C4" w:rsidP="00A247D4">
      <w:pPr>
        <w:autoSpaceDE w:val="0"/>
        <w:autoSpaceDN w:val="0"/>
        <w:adjustRightInd w:val="0"/>
        <w:spacing w:line="360" w:lineRule="auto"/>
        <w:jc w:val="both"/>
        <w:rPr>
          <w:lang w:val="en-US"/>
        </w:rPr>
      </w:pPr>
    </w:p>
    <w:p w:rsidR="00887CFE" w:rsidRPr="00F47D31" w:rsidRDefault="00887CFE" w:rsidP="00A247D4">
      <w:pPr>
        <w:autoSpaceDE w:val="0"/>
        <w:autoSpaceDN w:val="0"/>
        <w:adjustRightInd w:val="0"/>
        <w:spacing w:line="360" w:lineRule="auto"/>
        <w:jc w:val="both"/>
        <w:rPr>
          <w:rFonts w:cs="BaskervilleNo2BT-Roman"/>
          <w:lang w:val="en-US"/>
        </w:rPr>
      </w:pPr>
      <w:r>
        <w:rPr>
          <w:rFonts w:cs="BaskervilleNo2BT-Roman"/>
          <w:lang w:val="en-US"/>
        </w:rPr>
        <w:t xml:space="preserve">M.A. </w:t>
      </w:r>
      <w:r w:rsidRPr="00F47D31">
        <w:rPr>
          <w:rFonts w:cs="BaskervilleNo2BT-Roman"/>
          <w:lang w:val="en-US"/>
        </w:rPr>
        <w:t>Desai</w:t>
      </w:r>
      <w:r>
        <w:rPr>
          <w:rFonts w:cs="BaskervilleNo2BT-Roman"/>
          <w:lang w:val="en-US"/>
        </w:rPr>
        <w:t xml:space="preserve"> </w:t>
      </w:r>
      <w:r w:rsidRPr="00F47D31">
        <w:rPr>
          <w:rFonts w:cs="BaskervilleNo2BT-Roman"/>
          <w:lang w:val="en-US"/>
        </w:rPr>
        <w:t>and R.J. Yetman</w:t>
      </w:r>
      <w:r>
        <w:rPr>
          <w:rFonts w:cs="BaskervilleNo2BT-Roman"/>
          <w:lang w:val="en-US"/>
        </w:rPr>
        <w:t>;</w:t>
      </w:r>
      <w:r w:rsidRPr="00F47D31">
        <w:rPr>
          <w:rFonts w:cs="BaskervilleNo2BT-Roman"/>
          <w:lang w:val="en-US"/>
        </w:rPr>
        <w:t xml:space="preserve"> ‘Constraining Managers Without Owners: Governance of the</w:t>
      </w:r>
    </w:p>
    <w:p w:rsidR="00887CFE" w:rsidRPr="00F47D31" w:rsidRDefault="00887CFE" w:rsidP="00A247D4">
      <w:pPr>
        <w:autoSpaceDE w:val="0"/>
        <w:autoSpaceDN w:val="0"/>
        <w:adjustRightInd w:val="0"/>
        <w:spacing w:line="360" w:lineRule="auto"/>
        <w:jc w:val="both"/>
        <w:rPr>
          <w:lang w:val="en-US"/>
        </w:rPr>
      </w:pPr>
      <w:r w:rsidRPr="00F47D31">
        <w:rPr>
          <w:rFonts w:cs="BaskervilleNo2BT-Roman"/>
          <w:lang w:val="en-US"/>
        </w:rPr>
        <w:t>Not-for-Profit Enterprise’</w:t>
      </w:r>
      <w:r>
        <w:rPr>
          <w:rFonts w:cs="BaskervilleNo2BT-Roman"/>
          <w:lang w:val="en-US"/>
        </w:rPr>
        <w:t>; 2005;</w:t>
      </w:r>
      <w:r w:rsidRPr="00F47D31">
        <w:rPr>
          <w:rFonts w:cs="BaskervilleNo2BT-Roman"/>
          <w:lang w:val="en-US"/>
        </w:rPr>
        <w:t xml:space="preserve"> </w:t>
      </w:r>
      <w:r w:rsidRPr="00F47D31">
        <w:rPr>
          <w:rFonts w:cs="BaskervilleNo2BT-Italic"/>
          <w:iCs/>
          <w:lang w:val="en-US"/>
        </w:rPr>
        <w:t xml:space="preserve">National Bureau of Economic Research </w:t>
      </w:r>
      <w:r w:rsidRPr="00F47D31">
        <w:rPr>
          <w:rFonts w:cs="BaskervilleNo2BT-Roman"/>
          <w:lang w:val="en-US"/>
        </w:rPr>
        <w:t>(</w:t>
      </w:r>
      <w:r w:rsidRPr="00F47D31">
        <w:rPr>
          <w:rFonts w:cs="BaskervilleNo2BT-Italic"/>
          <w:iCs/>
          <w:lang w:val="en-US"/>
        </w:rPr>
        <w:t>NBER</w:t>
      </w:r>
      <w:r w:rsidRPr="00F47D31">
        <w:rPr>
          <w:rFonts w:cs="BaskervilleNo2BT-Roman"/>
          <w:lang w:val="en-US"/>
        </w:rPr>
        <w:t>) Working Paper Series,</w:t>
      </w:r>
      <w:r>
        <w:rPr>
          <w:rFonts w:cs="BaskervilleNo2BT-Roman"/>
          <w:lang w:val="en-US"/>
        </w:rPr>
        <w:t xml:space="preserve"> </w:t>
      </w:r>
      <w:r w:rsidRPr="00120960">
        <w:rPr>
          <w:rFonts w:cs="BaskervilleNo2BT-Roman"/>
          <w:lang w:val="en-US"/>
        </w:rPr>
        <w:t>No. 11140.</w:t>
      </w:r>
    </w:p>
    <w:p w:rsidR="00887CFE" w:rsidRDefault="00887CFE" w:rsidP="00A247D4">
      <w:pPr>
        <w:autoSpaceDE w:val="0"/>
        <w:autoSpaceDN w:val="0"/>
        <w:adjustRightInd w:val="0"/>
        <w:spacing w:line="360" w:lineRule="auto"/>
        <w:jc w:val="both"/>
        <w:rPr>
          <w:lang w:val="en-US"/>
        </w:rPr>
      </w:pPr>
    </w:p>
    <w:p w:rsidR="00887CFE" w:rsidRPr="009437AB" w:rsidRDefault="00887CFE" w:rsidP="00A247D4">
      <w:pPr>
        <w:autoSpaceDE w:val="0"/>
        <w:autoSpaceDN w:val="0"/>
        <w:adjustRightInd w:val="0"/>
        <w:spacing w:line="360" w:lineRule="auto"/>
        <w:jc w:val="both"/>
        <w:rPr>
          <w:rFonts w:cs="BaskervilleNo2BT-Italic"/>
          <w:iCs/>
          <w:lang w:val="en-US"/>
        </w:rPr>
      </w:pPr>
      <w:r>
        <w:rPr>
          <w:rFonts w:cs="BaskervilleNo2BT-Roman"/>
          <w:lang w:val="en-US"/>
        </w:rPr>
        <w:t xml:space="preserve">E. </w:t>
      </w:r>
      <w:r w:rsidRPr="009437AB">
        <w:rPr>
          <w:rFonts w:cs="BaskervilleNo2BT-Roman"/>
          <w:lang w:val="en-US"/>
        </w:rPr>
        <w:t>Fama and M.C. Jensen</w:t>
      </w:r>
      <w:r>
        <w:rPr>
          <w:rFonts w:cs="BaskervilleNo2BT-Roman"/>
          <w:lang w:val="en-US"/>
        </w:rPr>
        <w:t>;</w:t>
      </w:r>
      <w:r w:rsidRPr="009437AB">
        <w:rPr>
          <w:rFonts w:cs="BaskervilleNo2BT-Roman"/>
          <w:lang w:val="en-US"/>
        </w:rPr>
        <w:t xml:space="preserve"> ‘Separation of Ownership and Control’</w:t>
      </w:r>
      <w:r>
        <w:rPr>
          <w:rFonts w:cs="BaskervilleNo2BT-Roman"/>
          <w:lang w:val="en-US"/>
        </w:rPr>
        <w:t>; 1983;</w:t>
      </w:r>
      <w:r w:rsidRPr="009437AB">
        <w:rPr>
          <w:rFonts w:cs="BaskervilleNo2BT-Roman"/>
          <w:lang w:val="en-US"/>
        </w:rPr>
        <w:t xml:space="preserve"> </w:t>
      </w:r>
      <w:r w:rsidRPr="009437AB">
        <w:rPr>
          <w:rFonts w:cs="BaskervilleNo2BT-Italic"/>
          <w:iCs/>
          <w:lang w:val="en-US"/>
        </w:rPr>
        <w:t>Journal of Law and</w:t>
      </w:r>
    </w:p>
    <w:p w:rsidR="00887CFE" w:rsidRPr="009437AB" w:rsidRDefault="00887CFE" w:rsidP="00A247D4">
      <w:pPr>
        <w:autoSpaceDE w:val="0"/>
        <w:autoSpaceDN w:val="0"/>
        <w:adjustRightInd w:val="0"/>
        <w:spacing w:line="360" w:lineRule="auto"/>
        <w:jc w:val="both"/>
        <w:rPr>
          <w:lang w:val="en-US"/>
        </w:rPr>
      </w:pPr>
      <w:r w:rsidRPr="009437AB">
        <w:rPr>
          <w:rFonts w:cs="BaskervilleNo2BT-Italic"/>
          <w:iCs/>
          <w:lang w:val="en-US"/>
        </w:rPr>
        <w:t>Economics</w:t>
      </w:r>
      <w:r w:rsidRPr="009437AB">
        <w:rPr>
          <w:rFonts w:cs="BaskervilleNo2BT-Roman"/>
          <w:lang w:val="en-US"/>
        </w:rPr>
        <w:t>, Vol. 26, pp. 301–26</w:t>
      </w:r>
    </w:p>
    <w:p w:rsidR="00887CFE" w:rsidRDefault="00887CFE" w:rsidP="00A247D4">
      <w:pPr>
        <w:autoSpaceDE w:val="0"/>
        <w:autoSpaceDN w:val="0"/>
        <w:adjustRightInd w:val="0"/>
        <w:spacing w:line="360" w:lineRule="auto"/>
        <w:jc w:val="both"/>
        <w:rPr>
          <w:lang w:val="en-US"/>
        </w:rPr>
      </w:pPr>
    </w:p>
    <w:p w:rsidR="00887CFE" w:rsidRPr="004551F5" w:rsidRDefault="00887CFE" w:rsidP="00A247D4">
      <w:pPr>
        <w:spacing w:line="360" w:lineRule="auto"/>
        <w:jc w:val="both"/>
        <w:rPr>
          <w:lang w:val="en-US"/>
        </w:rPr>
      </w:pPr>
      <w:r w:rsidRPr="004551F5">
        <w:rPr>
          <w:lang w:val="en-US"/>
        </w:rPr>
        <w:t>A.</w:t>
      </w:r>
      <w:r>
        <w:rPr>
          <w:lang w:val="en-US"/>
        </w:rPr>
        <w:t xml:space="preserve"> </w:t>
      </w:r>
      <w:r w:rsidRPr="004551F5">
        <w:rPr>
          <w:lang w:val="en-US"/>
        </w:rPr>
        <w:t>Fi</w:t>
      </w:r>
      <w:r>
        <w:rPr>
          <w:lang w:val="en-US"/>
        </w:rPr>
        <w:t>eld; Discovering statistics using SPSS; Sage Publications; third edition; 2009</w:t>
      </w:r>
    </w:p>
    <w:p w:rsidR="00887CFE" w:rsidRDefault="00887CFE" w:rsidP="00A247D4">
      <w:pPr>
        <w:spacing w:line="360" w:lineRule="auto"/>
        <w:jc w:val="both"/>
        <w:rPr>
          <w:lang w:val="en-US"/>
        </w:rPr>
      </w:pPr>
    </w:p>
    <w:p w:rsidR="00887CFE" w:rsidRPr="00F47D31" w:rsidRDefault="00887CFE" w:rsidP="00A247D4">
      <w:pPr>
        <w:autoSpaceDE w:val="0"/>
        <w:autoSpaceDN w:val="0"/>
        <w:adjustRightInd w:val="0"/>
        <w:spacing w:line="360" w:lineRule="auto"/>
        <w:jc w:val="both"/>
        <w:rPr>
          <w:rFonts w:cs="BaskervilleNo2BT-Roman"/>
          <w:lang w:val="en-US"/>
        </w:rPr>
      </w:pPr>
      <w:r>
        <w:rPr>
          <w:rFonts w:cs="BaskervilleNo2BT-Roman"/>
          <w:lang w:val="en-US"/>
        </w:rPr>
        <w:t xml:space="preserve">M. </w:t>
      </w:r>
      <w:r w:rsidRPr="00F47D31">
        <w:rPr>
          <w:rFonts w:cs="BaskervilleNo2BT-Roman"/>
          <w:lang w:val="en-US"/>
        </w:rPr>
        <w:t>Fremont-Smith</w:t>
      </w:r>
      <w:r>
        <w:rPr>
          <w:rFonts w:cs="BaskervilleNo2BT-Roman"/>
          <w:lang w:val="en-US"/>
        </w:rPr>
        <w:t xml:space="preserve"> and A. Kosaras;</w:t>
      </w:r>
      <w:r w:rsidRPr="00F47D31">
        <w:rPr>
          <w:rFonts w:cs="BaskervilleNo2BT-Roman"/>
          <w:lang w:val="en-US"/>
        </w:rPr>
        <w:t xml:space="preserve"> ‘Wrongdoing by Officers and Directors of Charities:</w:t>
      </w:r>
    </w:p>
    <w:p w:rsidR="00887CFE" w:rsidRPr="00F47D31" w:rsidRDefault="00887CFE" w:rsidP="00A247D4">
      <w:pPr>
        <w:autoSpaceDE w:val="0"/>
        <w:autoSpaceDN w:val="0"/>
        <w:adjustRightInd w:val="0"/>
        <w:spacing w:line="360" w:lineRule="auto"/>
        <w:jc w:val="both"/>
        <w:rPr>
          <w:rFonts w:cs="BaskervilleNo2BT-Roman"/>
          <w:lang w:val="en-US"/>
        </w:rPr>
      </w:pPr>
      <w:r w:rsidRPr="00F47D31">
        <w:rPr>
          <w:rFonts w:cs="BaskervilleNo2BT-Roman"/>
          <w:lang w:val="en-US"/>
        </w:rPr>
        <w:t>A Survey of Press Reports 1995–2002’</w:t>
      </w:r>
      <w:r>
        <w:rPr>
          <w:rFonts w:cs="BaskervilleNo2BT-Roman"/>
          <w:lang w:val="en-US"/>
        </w:rPr>
        <w:t>; 2003;</w:t>
      </w:r>
      <w:r w:rsidRPr="00F47D31">
        <w:rPr>
          <w:rFonts w:cs="BaskervilleNo2BT-Roman"/>
          <w:lang w:val="en-US"/>
        </w:rPr>
        <w:t xml:space="preserve"> </w:t>
      </w:r>
      <w:r w:rsidRPr="00F47D31">
        <w:rPr>
          <w:rFonts w:cs="BaskervilleNo2BT-Italic"/>
          <w:iCs/>
          <w:lang w:val="en-US"/>
        </w:rPr>
        <w:t>The Exempt Organization Tax Review</w:t>
      </w:r>
      <w:r w:rsidRPr="00F47D31">
        <w:rPr>
          <w:rFonts w:cs="BaskervilleNo2BT-Roman"/>
          <w:lang w:val="en-US"/>
        </w:rPr>
        <w:t>, Vol. 42,</w:t>
      </w:r>
    </w:p>
    <w:p w:rsidR="00887CFE" w:rsidRPr="00F47D31" w:rsidRDefault="00887CFE" w:rsidP="00A247D4">
      <w:pPr>
        <w:autoSpaceDE w:val="0"/>
        <w:autoSpaceDN w:val="0"/>
        <w:adjustRightInd w:val="0"/>
        <w:spacing w:line="360" w:lineRule="auto"/>
        <w:jc w:val="both"/>
        <w:rPr>
          <w:lang w:val="en-US"/>
        </w:rPr>
      </w:pPr>
      <w:r w:rsidRPr="00413393">
        <w:rPr>
          <w:rFonts w:cs="BaskervilleNo2BT-Roman"/>
          <w:lang w:val="en-US"/>
        </w:rPr>
        <w:t>pp. 25–51</w:t>
      </w:r>
    </w:p>
    <w:p w:rsidR="00887CFE" w:rsidRPr="00A2163D" w:rsidRDefault="00887CFE" w:rsidP="00A247D4">
      <w:pPr>
        <w:spacing w:line="360" w:lineRule="auto"/>
        <w:jc w:val="both"/>
        <w:rPr>
          <w:lang w:val="en-US"/>
        </w:rPr>
      </w:pPr>
    </w:p>
    <w:p w:rsidR="00887CFE" w:rsidRDefault="00887CFE" w:rsidP="00A247D4">
      <w:pPr>
        <w:autoSpaceDE w:val="0"/>
        <w:autoSpaceDN w:val="0"/>
        <w:adjustRightInd w:val="0"/>
        <w:spacing w:line="360" w:lineRule="auto"/>
        <w:jc w:val="both"/>
        <w:rPr>
          <w:lang w:val="en-US"/>
        </w:rPr>
      </w:pPr>
      <w:r w:rsidRPr="00A2163D">
        <w:rPr>
          <w:rFonts w:cs="Arial"/>
          <w:lang w:val="en-US"/>
        </w:rPr>
        <w:t xml:space="preserve">B. Frick, M. Schaefer, R. Simmons; </w:t>
      </w:r>
      <w:r w:rsidRPr="00A2163D">
        <w:rPr>
          <w:rFonts w:cs="TTFF5CAEB8t00"/>
          <w:sz w:val="24"/>
          <w:szCs w:val="24"/>
          <w:lang w:val="en-US"/>
        </w:rPr>
        <w:t>The economic performance of charities in Germany;</w:t>
      </w:r>
    </w:p>
    <w:p w:rsidR="00887CFE" w:rsidRDefault="00887CFE" w:rsidP="00A247D4">
      <w:pPr>
        <w:autoSpaceDE w:val="0"/>
        <w:autoSpaceDN w:val="0"/>
        <w:adjustRightInd w:val="0"/>
        <w:spacing w:line="360" w:lineRule="auto"/>
        <w:jc w:val="both"/>
        <w:rPr>
          <w:lang w:val="en-US"/>
        </w:rPr>
      </w:pPr>
    </w:p>
    <w:p w:rsidR="00887CFE" w:rsidRPr="007C645F" w:rsidRDefault="00887CFE" w:rsidP="00A247D4">
      <w:pPr>
        <w:autoSpaceDE w:val="0"/>
        <w:autoSpaceDN w:val="0"/>
        <w:adjustRightInd w:val="0"/>
        <w:spacing w:line="360" w:lineRule="auto"/>
        <w:jc w:val="both"/>
        <w:rPr>
          <w:rFonts w:cs="BaskervilleNo2BT-Roman"/>
          <w:lang w:val="en-US"/>
        </w:rPr>
      </w:pPr>
      <w:r>
        <w:rPr>
          <w:rFonts w:cs="BaskervilleNo2BT-Roman"/>
          <w:lang w:val="en-US"/>
        </w:rPr>
        <w:t>H. Hansmann;</w:t>
      </w:r>
      <w:r w:rsidRPr="007C645F">
        <w:rPr>
          <w:rFonts w:cs="BaskervilleNo2BT-Roman"/>
          <w:lang w:val="en-US"/>
        </w:rPr>
        <w:t xml:space="preserve"> ‘The Role of Nonprofit Enterprise’</w:t>
      </w:r>
      <w:r>
        <w:rPr>
          <w:rFonts w:cs="BaskervilleNo2BT-Roman"/>
          <w:lang w:val="en-US"/>
        </w:rPr>
        <w:t>; 1980;</w:t>
      </w:r>
      <w:r w:rsidRPr="007C645F">
        <w:rPr>
          <w:rFonts w:cs="BaskervilleNo2BT-Roman"/>
          <w:lang w:val="en-US"/>
        </w:rPr>
        <w:t xml:space="preserve"> </w:t>
      </w:r>
      <w:r w:rsidRPr="007C645F">
        <w:rPr>
          <w:rFonts w:cs="BaskervilleNo2BT-Italic"/>
          <w:iCs/>
          <w:lang w:val="en-US"/>
        </w:rPr>
        <w:t>Yale Law Journal</w:t>
      </w:r>
      <w:r w:rsidRPr="007C645F">
        <w:rPr>
          <w:rFonts w:cs="BaskervilleNo2BT-Roman"/>
          <w:lang w:val="en-US"/>
        </w:rPr>
        <w:t>, Vol. 89, No. 5,</w:t>
      </w:r>
    </w:p>
    <w:p w:rsidR="00887CFE" w:rsidRPr="00402703" w:rsidRDefault="00887CFE" w:rsidP="00A247D4">
      <w:pPr>
        <w:autoSpaceDE w:val="0"/>
        <w:autoSpaceDN w:val="0"/>
        <w:adjustRightInd w:val="0"/>
        <w:spacing w:line="360" w:lineRule="auto"/>
        <w:jc w:val="both"/>
      </w:pPr>
      <w:r w:rsidRPr="00402703">
        <w:rPr>
          <w:rFonts w:cs="BaskervilleNo2BT-Roman"/>
        </w:rPr>
        <w:t>pp. 835–901</w:t>
      </w:r>
    </w:p>
    <w:p w:rsidR="00887CFE" w:rsidRPr="00402703" w:rsidRDefault="00887CFE" w:rsidP="00A247D4">
      <w:pPr>
        <w:autoSpaceDE w:val="0"/>
        <w:autoSpaceDN w:val="0"/>
        <w:adjustRightInd w:val="0"/>
        <w:spacing w:line="360" w:lineRule="auto"/>
        <w:jc w:val="both"/>
      </w:pPr>
    </w:p>
    <w:p w:rsidR="00887CFE" w:rsidRPr="004551F5" w:rsidRDefault="00887CFE" w:rsidP="00A247D4">
      <w:pPr>
        <w:autoSpaceDE w:val="0"/>
        <w:autoSpaceDN w:val="0"/>
        <w:adjustRightInd w:val="0"/>
        <w:spacing w:line="360" w:lineRule="auto"/>
        <w:jc w:val="both"/>
      </w:pPr>
      <w:r w:rsidRPr="004551F5">
        <w:t>W. Hoogland and R. Dik; Rappo</w:t>
      </w:r>
      <w:r>
        <w:t>rt over rapporteren;Wolters-Noordhoff; 4</w:t>
      </w:r>
      <w:r w:rsidRPr="004551F5">
        <w:rPr>
          <w:vertAlign w:val="superscript"/>
        </w:rPr>
        <w:t>e</w:t>
      </w:r>
      <w:r>
        <w:t xml:space="preserve"> druk; 2002</w:t>
      </w:r>
    </w:p>
    <w:p w:rsidR="00887CFE" w:rsidRPr="00887CFE" w:rsidRDefault="00887CFE" w:rsidP="00A247D4">
      <w:pPr>
        <w:autoSpaceDE w:val="0"/>
        <w:autoSpaceDN w:val="0"/>
        <w:adjustRightInd w:val="0"/>
        <w:spacing w:line="360" w:lineRule="auto"/>
        <w:jc w:val="both"/>
      </w:pPr>
    </w:p>
    <w:p w:rsidR="00887CFE" w:rsidRPr="009437AB" w:rsidRDefault="00887CFE" w:rsidP="00A247D4">
      <w:pPr>
        <w:autoSpaceDE w:val="0"/>
        <w:autoSpaceDN w:val="0"/>
        <w:adjustRightInd w:val="0"/>
        <w:spacing w:line="360" w:lineRule="auto"/>
        <w:jc w:val="both"/>
        <w:rPr>
          <w:lang w:val="en-US"/>
        </w:rPr>
      </w:pPr>
      <w:r>
        <w:rPr>
          <w:rFonts w:cs="BaskervilleNo2BT-Roman"/>
          <w:lang w:val="en-US"/>
        </w:rPr>
        <w:t>N. Hyndman;</w:t>
      </w:r>
      <w:r w:rsidRPr="009437AB">
        <w:rPr>
          <w:rFonts w:cs="BaskervilleNo2BT-Roman"/>
          <w:lang w:val="en-US"/>
        </w:rPr>
        <w:t xml:space="preserve"> Charity Accounting: An Empirical Study of the Information Needs of</w:t>
      </w:r>
      <w:r>
        <w:rPr>
          <w:rFonts w:cs="BaskervilleNo2BT-Roman"/>
          <w:lang w:val="en-US"/>
        </w:rPr>
        <w:t xml:space="preserve"> </w:t>
      </w:r>
      <w:r w:rsidRPr="009437AB">
        <w:rPr>
          <w:rFonts w:cs="BaskervilleNo2BT-Roman"/>
          <w:lang w:val="en-US"/>
        </w:rPr>
        <w:t>Contributors to UK Fund Raising Charities</w:t>
      </w:r>
      <w:r>
        <w:rPr>
          <w:rFonts w:cs="BaskervilleNo2BT-Roman"/>
          <w:lang w:val="en-US"/>
        </w:rPr>
        <w:t>;</w:t>
      </w:r>
      <w:r w:rsidRPr="009437AB">
        <w:rPr>
          <w:rFonts w:cs="BaskervilleNo2BT-Roman"/>
          <w:lang w:val="en-US"/>
        </w:rPr>
        <w:t xml:space="preserve"> </w:t>
      </w:r>
      <w:r>
        <w:rPr>
          <w:rFonts w:cs="BaskervilleNo2BT-Roman"/>
          <w:lang w:val="en-US"/>
        </w:rPr>
        <w:t xml:space="preserve">1990; </w:t>
      </w:r>
      <w:r w:rsidRPr="009437AB">
        <w:rPr>
          <w:rFonts w:cs="BaskervilleNo2BT-Italic"/>
          <w:iCs/>
          <w:lang w:val="en-US"/>
        </w:rPr>
        <w:t>Financial Accountability &amp; Management</w:t>
      </w:r>
      <w:r w:rsidRPr="009437AB">
        <w:rPr>
          <w:rFonts w:cs="BaskervilleNo2BT-Roman"/>
          <w:lang w:val="en-US"/>
        </w:rPr>
        <w:t>, Vol. 6,</w:t>
      </w:r>
      <w:r>
        <w:rPr>
          <w:rFonts w:cs="BaskervilleNo2BT-Roman"/>
          <w:lang w:val="en-US"/>
        </w:rPr>
        <w:t xml:space="preserve"> </w:t>
      </w:r>
      <w:r w:rsidRPr="00120960">
        <w:rPr>
          <w:rFonts w:cs="BaskervilleNo2BT-Roman"/>
          <w:lang w:val="en-US"/>
        </w:rPr>
        <w:t>No. 4, pp. 295–07</w:t>
      </w:r>
    </w:p>
    <w:p w:rsidR="00887CFE" w:rsidRDefault="00887CFE" w:rsidP="00A247D4">
      <w:pPr>
        <w:autoSpaceDE w:val="0"/>
        <w:autoSpaceDN w:val="0"/>
        <w:adjustRightInd w:val="0"/>
        <w:spacing w:line="360" w:lineRule="auto"/>
        <w:jc w:val="both"/>
        <w:rPr>
          <w:rFonts w:cs="AdvPS405B6"/>
          <w:lang w:val="en-US"/>
        </w:rPr>
      </w:pPr>
    </w:p>
    <w:p w:rsidR="00887CFE" w:rsidRDefault="00887CFE" w:rsidP="00A247D4">
      <w:pPr>
        <w:autoSpaceDE w:val="0"/>
        <w:autoSpaceDN w:val="0"/>
        <w:adjustRightInd w:val="0"/>
        <w:spacing w:line="360" w:lineRule="auto"/>
        <w:jc w:val="both"/>
        <w:rPr>
          <w:rFonts w:cs="BaskervilleNo2BT-Roman"/>
          <w:lang w:val="en-US"/>
        </w:rPr>
      </w:pPr>
      <w:r>
        <w:rPr>
          <w:lang w:val="en-US"/>
        </w:rPr>
        <w:t xml:space="preserve">N. Hyndman and P. McDonnell; Governance and charities: an exploration of key themes and the development of a research agenda; </w:t>
      </w:r>
      <w:r w:rsidRPr="00853969">
        <w:rPr>
          <w:rFonts w:cs="BaskervilleNo2BT-Italic"/>
          <w:iCs/>
          <w:lang w:val="en-US"/>
        </w:rPr>
        <w:t>Financial Accountability &amp; Management</w:t>
      </w:r>
      <w:r w:rsidRPr="00853969">
        <w:rPr>
          <w:rFonts w:cs="BaskervilleNo2BT-Roman"/>
          <w:lang w:val="en-US"/>
        </w:rPr>
        <w:t>, 25(1), February 2009</w:t>
      </w:r>
    </w:p>
    <w:p w:rsidR="00887CFE" w:rsidRDefault="00887CFE" w:rsidP="00A247D4">
      <w:pPr>
        <w:autoSpaceDE w:val="0"/>
        <w:autoSpaceDN w:val="0"/>
        <w:adjustRightInd w:val="0"/>
        <w:spacing w:line="360" w:lineRule="auto"/>
        <w:jc w:val="both"/>
        <w:rPr>
          <w:lang w:val="en-US"/>
        </w:rPr>
      </w:pPr>
    </w:p>
    <w:p w:rsidR="00887CFE" w:rsidRPr="00A2163D" w:rsidRDefault="00887CFE" w:rsidP="00A247D4">
      <w:pPr>
        <w:autoSpaceDE w:val="0"/>
        <w:autoSpaceDN w:val="0"/>
        <w:adjustRightInd w:val="0"/>
        <w:spacing w:line="360" w:lineRule="auto"/>
        <w:jc w:val="both"/>
        <w:rPr>
          <w:rFonts w:cs="AdvPS405B6"/>
          <w:lang w:val="en-US"/>
        </w:rPr>
      </w:pPr>
      <w:r w:rsidRPr="00A2163D">
        <w:rPr>
          <w:lang w:val="en-US"/>
        </w:rPr>
        <w:t xml:space="preserve">J. van Iwaarden, R. Williams, C. Moxham; Charities: how important is performance to donors?; </w:t>
      </w:r>
      <w:r w:rsidRPr="00A2163D">
        <w:rPr>
          <w:rFonts w:cs="AdvPS405B6"/>
          <w:lang w:val="en-US"/>
        </w:rPr>
        <w:t>International Journal of Quality &amp; Reliability Management Vol. 26 No. 1, 2009 pp. 5-22</w:t>
      </w:r>
    </w:p>
    <w:p w:rsidR="00887CFE" w:rsidRDefault="00887CFE" w:rsidP="00A247D4">
      <w:pPr>
        <w:autoSpaceDE w:val="0"/>
        <w:autoSpaceDN w:val="0"/>
        <w:adjustRightInd w:val="0"/>
        <w:spacing w:line="360" w:lineRule="auto"/>
        <w:jc w:val="both"/>
        <w:rPr>
          <w:lang w:val="en-US"/>
        </w:rPr>
      </w:pPr>
    </w:p>
    <w:p w:rsidR="00887CFE" w:rsidRPr="00697B78" w:rsidRDefault="00887CFE" w:rsidP="00A247D4">
      <w:pPr>
        <w:autoSpaceDE w:val="0"/>
        <w:autoSpaceDN w:val="0"/>
        <w:adjustRightInd w:val="0"/>
        <w:spacing w:line="360" w:lineRule="auto"/>
        <w:jc w:val="both"/>
        <w:rPr>
          <w:rFonts w:cs="BaskervilleNo2BT-Roman"/>
          <w:lang w:val="en-US"/>
        </w:rPr>
      </w:pPr>
      <w:r>
        <w:rPr>
          <w:rFonts w:cs="BaskervilleNo2BT-Roman"/>
          <w:lang w:val="en-US"/>
        </w:rPr>
        <w:t xml:space="preserve">M. </w:t>
      </w:r>
      <w:r w:rsidRPr="00697B78">
        <w:rPr>
          <w:rFonts w:cs="BaskervilleNo2BT-Roman"/>
          <w:lang w:val="en-US"/>
        </w:rPr>
        <w:t>Jensen</w:t>
      </w:r>
      <w:r>
        <w:rPr>
          <w:rFonts w:cs="BaskervilleNo2BT-Roman"/>
          <w:lang w:val="en-US"/>
        </w:rPr>
        <w:t>;</w:t>
      </w:r>
      <w:r w:rsidRPr="00697B78">
        <w:rPr>
          <w:rFonts w:cs="BaskervilleNo2BT-Roman"/>
          <w:lang w:val="en-US"/>
        </w:rPr>
        <w:t xml:space="preserve"> The Modern Industrial Revolution, Exit, and the Failure of Internal Control</w:t>
      </w:r>
    </w:p>
    <w:p w:rsidR="00887CFE" w:rsidRPr="00697B78" w:rsidRDefault="00887CFE" w:rsidP="00A247D4">
      <w:pPr>
        <w:autoSpaceDE w:val="0"/>
        <w:autoSpaceDN w:val="0"/>
        <w:adjustRightInd w:val="0"/>
        <w:spacing w:line="360" w:lineRule="auto"/>
        <w:jc w:val="both"/>
        <w:rPr>
          <w:lang w:val="en-US"/>
        </w:rPr>
      </w:pPr>
      <w:r w:rsidRPr="00697B78">
        <w:rPr>
          <w:rFonts w:cs="BaskervilleNo2BT-Roman"/>
          <w:lang w:val="en-US"/>
        </w:rPr>
        <w:t>Systems</w:t>
      </w:r>
      <w:r>
        <w:rPr>
          <w:rFonts w:cs="BaskervilleNo2BT-Roman"/>
          <w:lang w:val="en-US"/>
        </w:rPr>
        <w:t>; 1993;</w:t>
      </w:r>
      <w:r w:rsidRPr="00697B78">
        <w:rPr>
          <w:rFonts w:cs="BaskervilleNo2BT-Roman"/>
          <w:lang w:val="en-US"/>
        </w:rPr>
        <w:t xml:space="preserve"> </w:t>
      </w:r>
      <w:r w:rsidRPr="00697B78">
        <w:rPr>
          <w:rFonts w:cs="BaskervilleNo2BT-Italic"/>
          <w:iCs/>
          <w:lang w:val="en-US"/>
        </w:rPr>
        <w:t>Journal of Finance</w:t>
      </w:r>
      <w:r w:rsidRPr="00697B78">
        <w:rPr>
          <w:rFonts w:cs="BaskervilleNo2BT-Roman"/>
          <w:lang w:val="en-US"/>
        </w:rPr>
        <w:t>, Vol. 48, No. 3, pp. 831–57</w:t>
      </w:r>
    </w:p>
    <w:p w:rsidR="00887CFE" w:rsidRDefault="00887CFE" w:rsidP="00A247D4">
      <w:pPr>
        <w:autoSpaceDE w:val="0"/>
        <w:autoSpaceDN w:val="0"/>
        <w:adjustRightInd w:val="0"/>
        <w:spacing w:line="360" w:lineRule="auto"/>
        <w:jc w:val="both"/>
        <w:rPr>
          <w:lang w:val="en-US"/>
        </w:rPr>
      </w:pPr>
    </w:p>
    <w:p w:rsidR="005D08C1" w:rsidRDefault="005D08C1" w:rsidP="00A247D4">
      <w:pPr>
        <w:autoSpaceDE w:val="0"/>
        <w:autoSpaceDN w:val="0"/>
        <w:adjustRightInd w:val="0"/>
        <w:spacing w:line="360" w:lineRule="auto"/>
        <w:jc w:val="both"/>
        <w:rPr>
          <w:lang w:val="en-US"/>
        </w:rPr>
      </w:pPr>
      <w:r>
        <w:rPr>
          <w:lang w:val="en-US"/>
        </w:rPr>
        <w:t>M. Jensen; Value maximization, stakeholder theory and the corporate objective function; 2010; Journal of applied corporate finance vol. 22</w:t>
      </w:r>
    </w:p>
    <w:p w:rsidR="005D08C1" w:rsidRDefault="005D08C1" w:rsidP="00A247D4">
      <w:pPr>
        <w:autoSpaceDE w:val="0"/>
        <w:autoSpaceDN w:val="0"/>
        <w:adjustRightInd w:val="0"/>
        <w:spacing w:line="360" w:lineRule="auto"/>
        <w:jc w:val="both"/>
        <w:rPr>
          <w:lang w:val="en-US"/>
        </w:rPr>
      </w:pPr>
    </w:p>
    <w:p w:rsidR="00887CFE" w:rsidRDefault="00887CFE" w:rsidP="00A247D4">
      <w:pPr>
        <w:autoSpaceDE w:val="0"/>
        <w:autoSpaceDN w:val="0"/>
        <w:adjustRightInd w:val="0"/>
        <w:spacing w:line="360" w:lineRule="auto"/>
        <w:jc w:val="both"/>
        <w:rPr>
          <w:rFonts w:cs="BaskervilleNo2BT-Roman"/>
          <w:lang w:val="en-US"/>
        </w:rPr>
      </w:pPr>
      <w:r>
        <w:rPr>
          <w:rFonts w:cs="BaskervilleNo2BT-Roman"/>
          <w:lang w:val="en-US"/>
        </w:rPr>
        <w:t xml:space="preserve">G. Jobome; Management pay, governance and performance of large UK non-profits; </w:t>
      </w:r>
      <w:r w:rsidRPr="00853969">
        <w:rPr>
          <w:rFonts w:cs="BaskervilleNo2BT-Italic"/>
          <w:iCs/>
          <w:lang w:val="en-US"/>
        </w:rPr>
        <w:t>Financial Accountability &amp; Management</w:t>
      </w:r>
      <w:r w:rsidRPr="00853969">
        <w:rPr>
          <w:rFonts w:cs="BaskervilleNo2BT-Roman"/>
          <w:lang w:val="en-US"/>
        </w:rPr>
        <w:t>, 22(4), November 2006</w:t>
      </w:r>
    </w:p>
    <w:p w:rsidR="00887CFE" w:rsidRDefault="00887CFE" w:rsidP="00A247D4">
      <w:pPr>
        <w:autoSpaceDE w:val="0"/>
        <w:autoSpaceDN w:val="0"/>
        <w:adjustRightInd w:val="0"/>
        <w:spacing w:line="360" w:lineRule="auto"/>
        <w:jc w:val="both"/>
        <w:rPr>
          <w:lang w:val="en-US"/>
        </w:rPr>
      </w:pPr>
    </w:p>
    <w:p w:rsidR="00EC0466" w:rsidRDefault="00EC0466" w:rsidP="00A247D4">
      <w:pPr>
        <w:autoSpaceDE w:val="0"/>
        <w:autoSpaceDN w:val="0"/>
        <w:adjustRightInd w:val="0"/>
        <w:spacing w:line="360" w:lineRule="auto"/>
        <w:jc w:val="both"/>
        <w:rPr>
          <w:lang w:val="en-US"/>
        </w:rPr>
      </w:pPr>
      <w:r w:rsidRPr="00697B78">
        <w:rPr>
          <w:rFonts w:cs="BaskervilleNo2BT-Roman"/>
          <w:lang w:val="en-US"/>
        </w:rPr>
        <w:t>National Council for Voluntary Organizations (NVCO) (2006b)</w:t>
      </w:r>
      <w:r>
        <w:rPr>
          <w:rFonts w:cs="BaskervilleNo2BT-Roman"/>
          <w:lang w:val="en-US"/>
        </w:rPr>
        <w:t>;</w:t>
      </w:r>
      <w:r w:rsidRPr="00697B78">
        <w:rPr>
          <w:rFonts w:cs="BaskervilleNo2BT-Roman"/>
          <w:lang w:val="en-US"/>
        </w:rPr>
        <w:t xml:space="preserve"> </w:t>
      </w:r>
      <w:r w:rsidRPr="00697B78">
        <w:rPr>
          <w:rFonts w:cs="BaskervilleNo2BT-Italic"/>
          <w:iCs/>
          <w:lang w:val="en-US"/>
        </w:rPr>
        <w:t>Trustee Board Size</w:t>
      </w:r>
    </w:p>
    <w:p w:rsidR="00EC0466" w:rsidRDefault="00EC0466" w:rsidP="00A247D4">
      <w:pPr>
        <w:autoSpaceDE w:val="0"/>
        <w:autoSpaceDN w:val="0"/>
        <w:adjustRightInd w:val="0"/>
        <w:spacing w:line="360" w:lineRule="auto"/>
        <w:jc w:val="both"/>
        <w:rPr>
          <w:lang w:val="en-US"/>
        </w:rPr>
      </w:pPr>
    </w:p>
    <w:p w:rsidR="00EC0466" w:rsidRPr="00697B78" w:rsidRDefault="00EC0466" w:rsidP="00EC0466">
      <w:pPr>
        <w:autoSpaceDE w:val="0"/>
        <w:autoSpaceDN w:val="0"/>
        <w:adjustRightInd w:val="0"/>
        <w:spacing w:line="360" w:lineRule="auto"/>
        <w:jc w:val="both"/>
        <w:rPr>
          <w:rFonts w:cs="BaskervilleNo2BT-Roman"/>
          <w:lang w:val="en-US"/>
        </w:rPr>
      </w:pPr>
      <w:r>
        <w:rPr>
          <w:rFonts w:cs="BaskervilleNo2BT-Roman"/>
          <w:lang w:val="en-US"/>
        </w:rPr>
        <w:t xml:space="preserve">F. </w:t>
      </w:r>
      <w:r w:rsidRPr="00697B78">
        <w:rPr>
          <w:rFonts w:cs="BaskervilleNo2BT-Roman"/>
          <w:lang w:val="en-US"/>
        </w:rPr>
        <w:t>Ostrower and M.M. Stone</w:t>
      </w:r>
      <w:r>
        <w:rPr>
          <w:rFonts w:cs="BaskervilleNo2BT-Roman"/>
          <w:lang w:val="en-US"/>
        </w:rPr>
        <w:t>;</w:t>
      </w:r>
      <w:r w:rsidRPr="00697B78">
        <w:rPr>
          <w:rFonts w:cs="BaskervilleNo2BT-Roman"/>
          <w:lang w:val="en-US"/>
        </w:rPr>
        <w:t xml:space="preserve"> ‘Governance: Research Trends, Gaps and Future Prospects’</w:t>
      </w:r>
      <w:r>
        <w:rPr>
          <w:rFonts w:cs="BaskervilleNo2BT-Roman"/>
          <w:lang w:val="en-US"/>
        </w:rPr>
        <w:t>; 2005;</w:t>
      </w:r>
    </w:p>
    <w:p w:rsidR="00EC0466" w:rsidRPr="00697B78" w:rsidRDefault="00EC0466" w:rsidP="00EC0466">
      <w:pPr>
        <w:autoSpaceDE w:val="0"/>
        <w:autoSpaceDN w:val="0"/>
        <w:adjustRightInd w:val="0"/>
        <w:spacing w:line="360" w:lineRule="auto"/>
        <w:jc w:val="both"/>
        <w:rPr>
          <w:rFonts w:cs="BaskervilleNo2BT-Roman"/>
          <w:lang w:val="en-US"/>
        </w:rPr>
      </w:pPr>
      <w:r w:rsidRPr="00697B78">
        <w:rPr>
          <w:rFonts w:cs="BaskervilleNo2BT-Roman"/>
          <w:lang w:val="en-US"/>
        </w:rPr>
        <w:t xml:space="preserve">in W.W. Powell and R. Steinberg (eds.), </w:t>
      </w:r>
      <w:r w:rsidRPr="00697B78">
        <w:rPr>
          <w:rFonts w:cs="BaskervilleNo2BT-Italic"/>
          <w:iCs/>
          <w:lang w:val="en-US"/>
        </w:rPr>
        <w:t xml:space="preserve">The Nonprofit Sector, A Research Handbook </w:t>
      </w:r>
      <w:r w:rsidRPr="00697B78">
        <w:rPr>
          <w:rFonts w:cs="BaskervilleNo2BT-Roman"/>
          <w:lang w:val="en-US"/>
        </w:rPr>
        <w:t>(2nd ed., Yale</w:t>
      </w:r>
    </w:p>
    <w:p w:rsidR="00EC0466" w:rsidRPr="00697B78" w:rsidRDefault="00EC0466" w:rsidP="00EC0466">
      <w:pPr>
        <w:autoSpaceDE w:val="0"/>
        <w:autoSpaceDN w:val="0"/>
        <w:adjustRightInd w:val="0"/>
        <w:spacing w:line="360" w:lineRule="auto"/>
        <w:jc w:val="both"/>
        <w:rPr>
          <w:lang w:val="en-US"/>
        </w:rPr>
      </w:pPr>
      <w:r w:rsidRPr="00697B78">
        <w:rPr>
          <w:rFonts w:cs="BaskervilleNo2BT-Roman"/>
          <w:lang w:val="en-US"/>
        </w:rPr>
        <w:t>University Press, New Haven CT)</w:t>
      </w:r>
    </w:p>
    <w:p w:rsidR="00EC0466" w:rsidRDefault="00EC0466" w:rsidP="00A247D4">
      <w:pPr>
        <w:autoSpaceDE w:val="0"/>
        <w:autoSpaceDN w:val="0"/>
        <w:adjustRightInd w:val="0"/>
        <w:spacing w:line="360" w:lineRule="auto"/>
        <w:jc w:val="both"/>
        <w:rPr>
          <w:lang w:val="en-US"/>
        </w:rPr>
      </w:pPr>
    </w:p>
    <w:p w:rsidR="0075718E" w:rsidRPr="0075718E" w:rsidRDefault="0075718E" w:rsidP="00A247D4">
      <w:pPr>
        <w:autoSpaceDE w:val="0"/>
        <w:autoSpaceDN w:val="0"/>
        <w:adjustRightInd w:val="0"/>
        <w:spacing w:line="360" w:lineRule="auto"/>
        <w:jc w:val="both"/>
        <w:rPr>
          <w:lang w:val="en-US"/>
        </w:rPr>
      </w:pPr>
      <w:r>
        <w:rPr>
          <w:lang w:val="en-US"/>
        </w:rPr>
        <w:t xml:space="preserve">A.E. Preston; The non-profit worker in a for-profit world; 1989; </w:t>
      </w:r>
      <w:r w:rsidRPr="0075718E">
        <w:rPr>
          <w:rFonts w:cs="Times New Roman"/>
          <w:bCs/>
          <w:lang w:val="en-US"/>
        </w:rPr>
        <w:t>Journal of Labor Economics, 1989, vol. 7, no. 4</w:t>
      </w:r>
    </w:p>
    <w:p w:rsidR="0075718E" w:rsidRDefault="0075718E" w:rsidP="00A247D4">
      <w:pPr>
        <w:autoSpaceDE w:val="0"/>
        <w:autoSpaceDN w:val="0"/>
        <w:adjustRightInd w:val="0"/>
        <w:spacing w:line="360" w:lineRule="auto"/>
        <w:jc w:val="both"/>
        <w:rPr>
          <w:lang w:val="en-US"/>
        </w:rPr>
      </w:pPr>
    </w:p>
    <w:p w:rsidR="00887CFE" w:rsidRDefault="00887CFE" w:rsidP="00A247D4">
      <w:pPr>
        <w:autoSpaceDE w:val="0"/>
        <w:autoSpaceDN w:val="0"/>
        <w:adjustRightInd w:val="0"/>
        <w:spacing w:line="360" w:lineRule="auto"/>
        <w:jc w:val="both"/>
      </w:pPr>
      <w:r w:rsidRPr="00853969">
        <w:t>PriceWaterhouseCooper, Donateur</w:t>
      </w:r>
      <w:r>
        <w:t>s</w:t>
      </w:r>
      <w:r w:rsidRPr="00853969">
        <w:t>vereniging Nederland; Charity Governance: de goede</w:t>
      </w:r>
      <w:r>
        <w:t xml:space="preserve"> doelen sector in beweging, onderzoek naar de Code Wijffels; 2005</w:t>
      </w:r>
    </w:p>
    <w:p w:rsidR="00887CFE" w:rsidRPr="00A2163D" w:rsidRDefault="00887CFE" w:rsidP="00A247D4">
      <w:pPr>
        <w:autoSpaceDE w:val="0"/>
        <w:autoSpaceDN w:val="0"/>
        <w:adjustRightInd w:val="0"/>
        <w:spacing w:line="360" w:lineRule="auto"/>
        <w:jc w:val="both"/>
        <w:rPr>
          <w:rFonts w:cs="ScalaSans-Caps"/>
        </w:rPr>
      </w:pPr>
      <w:r w:rsidRPr="00A2163D">
        <w:t>Vereniging Fondsenwervende Instelling</w:t>
      </w:r>
      <w:r>
        <w:t>en</w:t>
      </w:r>
      <w:r w:rsidRPr="00A2163D">
        <w:t xml:space="preserve">; </w:t>
      </w:r>
      <w:r w:rsidRPr="00A2163D">
        <w:rPr>
          <w:rFonts w:cs="ScalaSans-Caps"/>
        </w:rPr>
        <w:t>Adviesregeling beloningdirecteuren van goede doelen; December 2005</w:t>
      </w:r>
    </w:p>
    <w:p w:rsidR="00887CFE" w:rsidRDefault="00887CFE" w:rsidP="00A247D4">
      <w:pPr>
        <w:autoSpaceDE w:val="0"/>
        <w:autoSpaceDN w:val="0"/>
        <w:adjustRightInd w:val="0"/>
        <w:spacing w:line="360" w:lineRule="auto"/>
        <w:jc w:val="both"/>
        <w:rPr>
          <w:rFonts w:cs="Berkeley-Medium"/>
        </w:rPr>
      </w:pPr>
    </w:p>
    <w:p w:rsidR="00887CFE" w:rsidRPr="00A2163D" w:rsidRDefault="00887CFE" w:rsidP="00A247D4">
      <w:pPr>
        <w:autoSpaceDE w:val="0"/>
        <w:autoSpaceDN w:val="0"/>
        <w:adjustRightInd w:val="0"/>
        <w:spacing w:line="360" w:lineRule="auto"/>
        <w:jc w:val="both"/>
      </w:pPr>
      <w:r w:rsidRPr="00A2163D">
        <w:t>Vereniging Fondsenwervende Instelling</w:t>
      </w:r>
      <w:r>
        <w:t>en</w:t>
      </w:r>
      <w:r w:rsidRPr="00A2163D">
        <w:t>;</w:t>
      </w:r>
      <w:r>
        <w:t xml:space="preserve"> </w:t>
      </w:r>
      <w:r w:rsidRPr="00A2163D">
        <w:t>Advies van de commissie code goed bestuur voor goede doelen; Vereniging Fondsenwervende Instelling; June 2005</w:t>
      </w:r>
    </w:p>
    <w:p w:rsidR="00887CFE" w:rsidRDefault="00887CFE" w:rsidP="00A247D4">
      <w:pPr>
        <w:autoSpaceDE w:val="0"/>
        <w:autoSpaceDN w:val="0"/>
        <w:adjustRightInd w:val="0"/>
        <w:spacing w:line="360" w:lineRule="auto"/>
        <w:jc w:val="both"/>
        <w:rPr>
          <w:rFonts w:cs="Berkeley-Medium"/>
        </w:rPr>
      </w:pPr>
    </w:p>
    <w:p w:rsidR="00887CFE" w:rsidRPr="00C05342" w:rsidRDefault="00887CFE" w:rsidP="00A247D4">
      <w:pPr>
        <w:autoSpaceDE w:val="0"/>
        <w:autoSpaceDN w:val="0"/>
        <w:adjustRightInd w:val="0"/>
        <w:spacing w:line="360" w:lineRule="auto"/>
        <w:jc w:val="both"/>
        <w:rPr>
          <w:rFonts w:cs="Times-Roman"/>
        </w:rPr>
      </w:pPr>
      <w:r w:rsidRPr="00A2163D">
        <w:t>Vereniging Fondsenwervende Instelling</w:t>
      </w:r>
      <w:r>
        <w:t xml:space="preserve">en; Richtlijn reserves goede doelen; 2004 </w:t>
      </w:r>
    </w:p>
    <w:p w:rsidR="00887CFE" w:rsidRDefault="00887CFE" w:rsidP="00A247D4">
      <w:pPr>
        <w:autoSpaceDE w:val="0"/>
        <w:autoSpaceDN w:val="0"/>
        <w:adjustRightInd w:val="0"/>
        <w:spacing w:line="360" w:lineRule="auto"/>
        <w:jc w:val="both"/>
      </w:pPr>
    </w:p>
    <w:p w:rsidR="00EC0466" w:rsidRPr="00EE270C" w:rsidRDefault="00EC0466" w:rsidP="00EC0466">
      <w:pPr>
        <w:autoSpaceDE w:val="0"/>
        <w:autoSpaceDN w:val="0"/>
        <w:adjustRightInd w:val="0"/>
        <w:spacing w:line="360" w:lineRule="auto"/>
        <w:jc w:val="both"/>
        <w:rPr>
          <w:lang w:val="en-US"/>
        </w:rPr>
      </w:pPr>
      <w:r w:rsidRPr="00EE270C">
        <w:rPr>
          <w:rFonts w:cs="BaskervilleNo2BT-Roman"/>
          <w:lang w:val="en-US"/>
        </w:rPr>
        <w:t xml:space="preserve">O.E. Williamson; </w:t>
      </w:r>
      <w:r w:rsidRPr="00EE270C">
        <w:rPr>
          <w:rFonts w:cs="BaskervilleNo2BT-Italic"/>
          <w:iCs/>
          <w:lang w:val="en-US"/>
        </w:rPr>
        <w:t xml:space="preserve">The Mechanisms of Governance </w:t>
      </w:r>
      <w:r w:rsidRPr="00EE270C">
        <w:rPr>
          <w:rFonts w:cs="BaskervilleNo2BT-Roman"/>
          <w:lang w:val="en-US"/>
        </w:rPr>
        <w:t>(Oxford English Press, Oxford); 1997</w:t>
      </w:r>
    </w:p>
    <w:p w:rsidR="00EC0466" w:rsidRPr="00EC0466" w:rsidRDefault="00EC0466" w:rsidP="00A247D4">
      <w:pPr>
        <w:autoSpaceDE w:val="0"/>
        <w:autoSpaceDN w:val="0"/>
        <w:adjustRightInd w:val="0"/>
        <w:spacing w:line="360" w:lineRule="auto"/>
        <w:jc w:val="both"/>
        <w:rPr>
          <w:lang w:val="en-US"/>
        </w:rPr>
      </w:pPr>
    </w:p>
    <w:p w:rsidR="005D55C4" w:rsidRDefault="005D55C4" w:rsidP="00A247D4">
      <w:pPr>
        <w:autoSpaceDE w:val="0"/>
        <w:autoSpaceDN w:val="0"/>
        <w:adjustRightInd w:val="0"/>
        <w:spacing w:line="360" w:lineRule="auto"/>
        <w:jc w:val="both"/>
        <w:rPr>
          <w:lang w:val="en-US"/>
        </w:rPr>
      </w:pPr>
      <w:r>
        <w:rPr>
          <w:lang w:val="en-US"/>
        </w:rPr>
        <w:t>D. Wise; Would the payment of market rates for non-executives directors strengthen charity governance?; International journal of nonprofit and voluntary sector marketing vol. 6 no. 1; 1999</w:t>
      </w:r>
    </w:p>
    <w:p w:rsidR="005D55C4" w:rsidRDefault="005D55C4" w:rsidP="002B667C">
      <w:pPr>
        <w:autoSpaceDE w:val="0"/>
        <w:autoSpaceDN w:val="0"/>
        <w:adjustRightInd w:val="0"/>
        <w:rPr>
          <w:lang w:val="en-US"/>
        </w:rPr>
      </w:pPr>
    </w:p>
    <w:p w:rsidR="002B667C" w:rsidRPr="002B667C" w:rsidRDefault="002B667C" w:rsidP="002B667C">
      <w:pPr>
        <w:autoSpaceDE w:val="0"/>
        <w:autoSpaceDN w:val="0"/>
        <w:adjustRightInd w:val="0"/>
        <w:spacing w:line="360" w:lineRule="auto"/>
        <w:rPr>
          <w:lang w:val="en-US"/>
        </w:rPr>
      </w:pPr>
      <w:r w:rsidRPr="002B667C">
        <w:rPr>
          <w:lang w:val="en-US"/>
        </w:rPr>
        <w:t xml:space="preserve">D. Yermack; </w:t>
      </w:r>
      <w:r w:rsidRPr="002B667C">
        <w:rPr>
          <w:rFonts w:cs="Times New Roman"/>
          <w:lang w:val="en-US"/>
        </w:rPr>
        <w:t>Higher market valuation of companies with a small board of directors</w:t>
      </w:r>
      <w:r>
        <w:rPr>
          <w:rFonts w:cs="Times New Roman"/>
          <w:lang w:val="en-US"/>
        </w:rPr>
        <w:t>; 1996; Journal of financial economics 40, 185-211</w:t>
      </w:r>
    </w:p>
    <w:p w:rsidR="002B667C" w:rsidRDefault="002B667C" w:rsidP="005D55C4">
      <w:pPr>
        <w:autoSpaceDE w:val="0"/>
        <w:autoSpaceDN w:val="0"/>
        <w:adjustRightInd w:val="0"/>
        <w:spacing w:line="360" w:lineRule="auto"/>
        <w:rPr>
          <w:rFonts w:ascii="ScalaSans-Caps" w:hAnsi="ScalaSans-Caps"/>
          <w:b/>
          <w:lang w:val="en-US"/>
        </w:rPr>
      </w:pPr>
    </w:p>
    <w:p w:rsidR="005D55C4" w:rsidRPr="00EE270C" w:rsidRDefault="005D55C4" w:rsidP="005D55C4">
      <w:pPr>
        <w:autoSpaceDE w:val="0"/>
        <w:autoSpaceDN w:val="0"/>
        <w:adjustRightInd w:val="0"/>
        <w:spacing w:line="360" w:lineRule="auto"/>
        <w:rPr>
          <w:rFonts w:ascii="ScalaSans-Caps" w:hAnsi="ScalaSans-Caps"/>
          <w:b/>
          <w:lang w:val="en-US"/>
        </w:rPr>
      </w:pPr>
      <w:r w:rsidRPr="00EE270C">
        <w:rPr>
          <w:rFonts w:ascii="ScalaSans-Caps" w:hAnsi="ScalaSans-Caps"/>
          <w:b/>
          <w:lang w:val="en-US"/>
        </w:rPr>
        <w:t>Other sources used for information and &amp; data:</w:t>
      </w:r>
    </w:p>
    <w:p w:rsidR="005D55C4" w:rsidRDefault="005D55C4" w:rsidP="005D55C4">
      <w:pPr>
        <w:pStyle w:val="ListParagraph"/>
        <w:numPr>
          <w:ilvl w:val="0"/>
          <w:numId w:val="8"/>
        </w:numPr>
        <w:autoSpaceDE w:val="0"/>
        <w:autoSpaceDN w:val="0"/>
        <w:adjustRightInd w:val="0"/>
        <w:spacing w:line="360" w:lineRule="auto"/>
      </w:pPr>
      <w:r w:rsidRPr="002E1AB2">
        <w:t>Website Centraal Bureau Fondsenwerving (C</w:t>
      </w:r>
      <w:r>
        <w:t xml:space="preserve">BF); </w:t>
      </w:r>
      <w:hyperlink r:id="rId29" w:history="1">
        <w:r w:rsidRPr="00984A97">
          <w:rPr>
            <w:rStyle w:val="Hyperlink"/>
          </w:rPr>
          <w:t>http://www.cbf.nl</w:t>
        </w:r>
      </w:hyperlink>
      <w:r>
        <w:t xml:space="preserve"> </w:t>
      </w:r>
    </w:p>
    <w:p w:rsidR="005D55C4" w:rsidRDefault="005D55C4" w:rsidP="005D55C4">
      <w:pPr>
        <w:pStyle w:val="ListParagraph"/>
        <w:numPr>
          <w:ilvl w:val="0"/>
          <w:numId w:val="8"/>
        </w:numPr>
        <w:autoSpaceDE w:val="0"/>
        <w:autoSpaceDN w:val="0"/>
        <w:adjustRightInd w:val="0"/>
        <w:spacing w:line="360" w:lineRule="auto"/>
      </w:pPr>
      <w:r>
        <w:t xml:space="preserve">Website Vereniging Fondsenwervende Instellingen (VFI); </w:t>
      </w:r>
      <w:hyperlink r:id="rId30" w:history="1">
        <w:r w:rsidRPr="00984A97">
          <w:rPr>
            <w:rStyle w:val="Hyperlink"/>
          </w:rPr>
          <w:t>http://www.vfi.nl</w:t>
        </w:r>
      </w:hyperlink>
    </w:p>
    <w:p w:rsidR="005D55C4" w:rsidRDefault="005D55C4" w:rsidP="005D55C4">
      <w:pPr>
        <w:pStyle w:val="ListParagraph"/>
        <w:numPr>
          <w:ilvl w:val="0"/>
          <w:numId w:val="8"/>
        </w:numPr>
        <w:autoSpaceDE w:val="0"/>
        <w:autoSpaceDN w:val="0"/>
        <w:adjustRightInd w:val="0"/>
        <w:spacing w:line="360" w:lineRule="auto"/>
        <w:rPr>
          <w:lang w:val="en-US"/>
        </w:rPr>
      </w:pPr>
      <w:r w:rsidRPr="002E1AB2">
        <w:rPr>
          <w:lang w:val="en-US"/>
        </w:rPr>
        <w:t>Website Belastingdienst (Dutch tax agency);</w:t>
      </w:r>
      <w:r>
        <w:rPr>
          <w:lang w:val="en-US"/>
        </w:rPr>
        <w:t xml:space="preserve"> </w:t>
      </w:r>
      <w:hyperlink r:id="rId31" w:anchor="P0_0" w:history="1">
        <w:r w:rsidRPr="00984A97">
          <w:rPr>
            <w:rStyle w:val="Hyperlink"/>
            <w:lang w:val="en-US"/>
          </w:rPr>
          <w:t>http://www.belastingdienst.nl/variabel/niet_commerciele_organisaties/niet_commerciele_organisaties.html#P0_0</w:t>
        </w:r>
      </w:hyperlink>
    </w:p>
    <w:p w:rsidR="005D55C4" w:rsidRDefault="00D54180" w:rsidP="005D55C4">
      <w:pPr>
        <w:pStyle w:val="ListParagraph"/>
        <w:numPr>
          <w:ilvl w:val="0"/>
          <w:numId w:val="8"/>
        </w:numPr>
        <w:autoSpaceDE w:val="0"/>
        <w:autoSpaceDN w:val="0"/>
        <w:adjustRightInd w:val="0"/>
        <w:spacing w:line="360" w:lineRule="auto"/>
        <w:rPr>
          <w:lang w:val="en-US"/>
        </w:rPr>
      </w:pPr>
      <w:r>
        <w:rPr>
          <w:lang w:val="en-US"/>
        </w:rPr>
        <w:t>W</w:t>
      </w:r>
      <w:r w:rsidR="005D55C4" w:rsidRPr="002E1AB2">
        <w:rPr>
          <w:lang w:val="en-US"/>
        </w:rPr>
        <w:t>ebsites and annual r</w:t>
      </w:r>
      <w:r w:rsidR="005D55C4">
        <w:rPr>
          <w:lang w:val="en-US"/>
        </w:rPr>
        <w:t>eports of many different charities</w:t>
      </w:r>
    </w:p>
    <w:p w:rsidR="007541EF" w:rsidRPr="002E1AB2" w:rsidRDefault="007541EF">
      <w:pPr>
        <w:rPr>
          <w:lang w:val="en-US"/>
        </w:rPr>
      </w:pPr>
      <w:r w:rsidRPr="002E1AB2">
        <w:rPr>
          <w:lang w:val="en-US"/>
        </w:rPr>
        <w:br w:type="page"/>
      </w:r>
    </w:p>
    <w:p w:rsidR="007541EF" w:rsidRDefault="007541EF" w:rsidP="007541EF">
      <w:pPr>
        <w:pStyle w:val="Heading1"/>
        <w:spacing w:before="240" w:line="360" w:lineRule="auto"/>
        <w:rPr>
          <w:sz w:val="32"/>
          <w:szCs w:val="32"/>
          <w:lang w:val="en-US"/>
        </w:rPr>
      </w:pPr>
      <w:bookmarkStart w:id="24" w:name="_Toc299180709"/>
      <w:r w:rsidRPr="007541EF">
        <w:rPr>
          <w:sz w:val="32"/>
          <w:szCs w:val="32"/>
          <w:lang w:val="en-US"/>
        </w:rPr>
        <w:t>Appendi</w:t>
      </w:r>
      <w:r w:rsidR="00725B92">
        <w:rPr>
          <w:sz w:val="32"/>
          <w:szCs w:val="32"/>
          <w:lang w:val="en-US"/>
        </w:rPr>
        <w:t>ces</w:t>
      </w:r>
      <w:bookmarkEnd w:id="24"/>
    </w:p>
    <w:p w:rsidR="00F80CBF" w:rsidRDefault="00F80CBF" w:rsidP="00F80CBF">
      <w:pPr>
        <w:rPr>
          <w:lang w:val="en-US"/>
        </w:rPr>
      </w:pPr>
    </w:p>
    <w:p w:rsidR="00F80CBF" w:rsidRDefault="00F80CBF" w:rsidP="00F80CBF">
      <w:pPr>
        <w:pStyle w:val="Heading2"/>
        <w:spacing w:before="120" w:line="360" w:lineRule="auto"/>
        <w:rPr>
          <w:lang w:val="en-US"/>
        </w:rPr>
      </w:pPr>
      <w:bookmarkStart w:id="25" w:name="_Toc299180710"/>
      <w:r>
        <w:rPr>
          <w:lang w:val="en-US"/>
        </w:rPr>
        <w:t>Appendix 1: Data</w:t>
      </w:r>
      <w:r w:rsidR="00807760">
        <w:rPr>
          <w:lang w:val="en-US"/>
        </w:rPr>
        <w:t xml:space="preserve"> </w:t>
      </w:r>
      <w:r>
        <w:rPr>
          <w:lang w:val="en-US"/>
        </w:rPr>
        <w:t>tables with section I</w:t>
      </w:r>
      <w:bookmarkEnd w:id="25"/>
    </w:p>
    <w:p w:rsidR="00F80CBF" w:rsidRDefault="00F80CBF" w:rsidP="00F80CBF">
      <w:pPr>
        <w:rPr>
          <w:lang w:val="en-US"/>
        </w:rPr>
      </w:pPr>
    </w:p>
    <w:p w:rsidR="00F80CBF" w:rsidRDefault="00F80CBF" w:rsidP="00F80CBF">
      <w:pPr>
        <w:rPr>
          <w:rFonts w:ascii="ScalaSans-Caps" w:hAnsi="ScalaSans-Caps"/>
          <w:lang w:val="en-US"/>
        </w:rPr>
      </w:pPr>
      <w:r w:rsidRPr="00F80CBF">
        <w:rPr>
          <w:rFonts w:ascii="ScalaSans-Caps" w:hAnsi="ScalaSans-Caps"/>
          <w:lang w:val="en-US"/>
        </w:rPr>
        <w:t>Appendix 1A: data with figure 1</w:t>
      </w:r>
    </w:p>
    <w:p w:rsidR="00F80CBF" w:rsidRPr="00252B11" w:rsidRDefault="00F80CBF" w:rsidP="00252B11">
      <w:pPr>
        <w:spacing w:line="360" w:lineRule="auto"/>
        <w:rPr>
          <w:lang w:val="en-US"/>
        </w:rPr>
      </w:pPr>
    </w:p>
    <w:tbl>
      <w:tblPr>
        <w:tblW w:w="4000" w:type="dxa"/>
        <w:tblInd w:w="70" w:type="dxa"/>
        <w:tblCellMar>
          <w:left w:w="70" w:type="dxa"/>
          <w:right w:w="70" w:type="dxa"/>
        </w:tblCellMar>
        <w:tblLook w:val="04A0"/>
      </w:tblPr>
      <w:tblGrid>
        <w:gridCol w:w="3024"/>
        <w:gridCol w:w="976"/>
      </w:tblGrid>
      <w:tr w:rsidR="00F80CBF" w:rsidRPr="00F80CBF" w:rsidTr="00F80CBF">
        <w:trPr>
          <w:trHeight w:val="300"/>
        </w:trPr>
        <w:tc>
          <w:tcPr>
            <w:tcW w:w="3024" w:type="dxa"/>
            <w:tcBorders>
              <w:top w:val="nil"/>
              <w:left w:val="nil"/>
              <w:bottom w:val="nil"/>
              <w:right w:val="nil"/>
            </w:tcBorders>
            <w:shd w:val="clear" w:color="auto" w:fill="auto"/>
            <w:vAlign w:val="bottom"/>
            <w:hideMark/>
          </w:tcPr>
          <w:p w:rsidR="00F80CBF" w:rsidRPr="00F80CBF" w:rsidRDefault="00F80CBF" w:rsidP="00F80CBF">
            <w:pPr>
              <w:rPr>
                <w:rFonts w:ascii="Calibri" w:eastAsia="Times New Roman" w:hAnsi="Calibri" w:cs="Times New Roman"/>
                <w:b/>
                <w:bCs/>
                <w:color w:val="000000"/>
                <w:lang w:eastAsia="nl-NL"/>
              </w:rPr>
            </w:pPr>
            <w:r w:rsidRPr="00F80CBF">
              <w:rPr>
                <w:rFonts w:ascii="Calibri" w:eastAsia="Times New Roman" w:hAnsi="Calibri" w:cs="Times New Roman"/>
                <w:b/>
                <w:bCs/>
                <w:color w:val="000000"/>
                <w:lang w:eastAsia="nl-NL"/>
              </w:rPr>
              <w:t>Health care</w:t>
            </w:r>
          </w:p>
        </w:tc>
        <w:tc>
          <w:tcPr>
            <w:tcW w:w="976" w:type="dxa"/>
            <w:tcBorders>
              <w:top w:val="nil"/>
              <w:left w:val="nil"/>
              <w:bottom w:val="nil"/>
              <w:right w:val="nil"/>
            </w:tcBorders>
            <w:shd w:val="clear" w:color="auto" w:fill="auto"/>
            <w:noWrap/>
            <w:vAlign w:val="bottom"/>
            <w:hideMark/>
          </w:tcPr>
          <w:p w:rsidR="00F80CBF" w:rsidRPr="00F80CBF" w:rsidRDefault="00F80CBF" w:rsidP="00F80CBF">
            <w:pPr>
              <w:rPr>
                <w:rFonts w:ascii="Calibri" w:eastAsia="Times New Roman" w:hAnsi="Calibri" w:cs="Times New Roman"/>
                <w:color w:val="000000"/>
                <w:lang w:eastAsia="nl-NL"/>
              </w:rPr>
            </w:pP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Public health care</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137</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Care for disabled</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90</w:t>
            </w:r>
          </w:p>
        </w:tc>
      </w:tr>
      <w:tr w:rsidR="00F80CBF" w:rsidRPr="00252B11" w:rsidTr="00F80CBF">
        <w:trPr>
          <w:trHeight w:val="6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Blinds, partially sighted and/or deaf, hearing impaired</w:t>
            </w:r>
          </w:p>
        </w:tc>
        <w:tc>
          <w:tcPr>
            <w:tcW w:w="976" w:type="dxa"/>
            <w:tcBorders>
              <w:top w:val="nil"/>
              <w:left w:val="nil"/>
              <w:bottom w:val="single" w:sz="4" w:space="0" w:color="auto"/>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15</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b/>
                <w:bCs/>
                <w:color w:val="000000"/>
                <w:lang w:val="en-US" w:eastAsia="nl-NL"/>
              </w:rPr>
            </w:pPr>
            <w:r w:rsidRPr="00252B11">
              <w:rPr>
                <w:rFonts w:ascii="Calibri" w:eastAsia="Times New Roman" w:hAnsi="Calibri" w:cs="Times New Roman"/>
                <w:b/>
                <w:bCs/>
                <w:color w:val="000000"/>
                <w:lang w:val="en-US" w:eastAsia="nl-NL"/>
              </w:rPr>
              <w:t>Health care total</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b/>
                <w:bCs/>
                <w:color w:val="000000"/>
                <w:lang w:val="en-US" w:eastAsia="nl-NL"/>
              </w:rPr>
            </w:pPr>
            <w:r w:rsidRPr="00252B11">
              <w:rPr>
                <w:rFonts w:ascii="Calibri" w:eastAsia="Times New Roman" w:hAnsi="Calibri" w:cs="Times New Roman"/>
                <w:b/>
                <w:bCs/>
                <w:color w:val="000000"/>
                <w:lang w:val="en-US" w:eastAsia="nl-NL"/>
              </w:rPr>
              <w:t>242</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p>
        </w:tc>
        <w:tc>
          <w:tcPr>
            <w:tcW w:w="976" w:type="dxa"/>
            <w:tcBorders>
              <w:top w:val="nil"/>
              <w:left w:val="nil"/>
              <w:bottom w:val="nil"/>
              <w:right w:val="nil"/>
            </w:tcBorders>
            <w:shd w:val="clear" w:color="auto" w:fill="auto"/>
            <w:noWrap/>
            <w:vAlign w:val="bottom"/>
            <w:hideMark/>
          </w:tcPr>
          <w:p w:rsidR="00F80CBF" w:rsidRPr="00252B11" w:rsidRDefault="00F80CBF" w:rsidP="00F80CBF">
            <w:pPr>
              <w:rPr>
                <w:rFonts w:ascii="Calibri" w:eastAsia="Times New Roman" w:hAnsi="Calibri" w:cs="Times New Roman"/>
                <w:color w:val="000000"/>
                <w:lang w:val="en-US" w:eastAsia="nl-NL"/>
              </w:rPr>
            </w:pP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b/>
                <w:bCs/>
                <w:color w:val="000000"/>
                <w:lang w:val="en-US" w:eastAsia="nl-NL"/>
              </w:rPr>
            </w:pPr>
            <w:r w:rsidRPr="00252B11">
              <w:rPr>
                <w:rFonts w:ascii="Calibri" w:eastAsia="Times New Roman" w:hAnsi="Calibri" w:cs="Times New Roman"/>
                <w:b/>
                <w:bCs/>
                <w:color w:val="000000"/>
                <w:lang w:val="en-US" w:eastAsia="nl-NL"/>
              </w:rPr>
              <w:t>International aid</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rPr>
                <w:rFonts w:ascii="Calibri" w:eastAsia="Times New Roman" w:hAnsi="Calibri" w:cs="Times New Roman"/>
                <w:color w:val="000000"/>
                <w:lang w:val="en-US" w:eastAsia="nl-NL"/>
              </w:rPr>
            </w:pP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Aid for development</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510</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Aid for refugees</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11</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Aid to victims</w:t>
            </w:r>
          </w:p>
        </w:tc>
        <w:tc>
          <w:tcPr>
            <w:tcW w:w="976" w:type="dxa"/>
            <w:tcBorders>
              <w:top w:val="nil"/>
              <w:left w:val="nil"/>
              <w:bottom w:val="single" w:sz="4" w:space="0" w:color="auto"/>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18</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252B11" w:rsidP="00F80CBF">
            <w:pPr>
              <w:rPr>
                <w:rFonts w:ascii="Calibri" w:eastAsia="Times New Roman" w:hAnsi="Calibri" w:cs="Times New Roman"/>
                <w:b/>
                <w:bCs/>
                <w:color w:val="000000"/>
                <w:lang w:val="en-US" w:eastAsia="nl-NL"/>
              </w:rPr>
            </w:pPr>
            <w:r w:rsidRPr="00252B11">
              <w:rPr>
                <w:rFonts w:ascii="Calibri" w:eastAsia="Times New Roman" w:hAnsi="Calibri" w:cs="Times New Roman"/>
                <w:b/>
                <w:bCs/>
                <w:color w:val="000000"/>
                <w:lang w:val="en-US" w:eastAsia="nl-NL"/>
              </w:rPr>
              <w:t>International</w:t>
            </w:r>
            <w:r w:rsidR="00F80CBF" w:rsidRPr="00252B11">
              <w:rPr>
                <w:rFonts w:ascii="Calibri" w:eastAsia="Times New Roman" w:hAnsi="Calibri" w:cs="Times New Roman"/>
                <w:b/>
                <w:bCs/>
                <w:color w:val="000000"/>
                <w:lang w:val="en-US" w:eastAsia="nl-NL"/>
              </w:rPr>
              <w:t xml:space="preserve"> aid total</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b/>
                <w:bCs/>
                <w:color w:val="000000"/>
                <w:lang w:val="en-US" w:eastAsia="nl-NL"/>
              </w:rPr>
            </w:pPr>
            <w:r w:rsidRPr="00252B11">
              <w:rPr>
                <w:rFonts w:ascii="Calibri" w:eastAsia="Times New Roman" w:hAnsi="Calibri" w:cs="Times New Roman"/>
                <w:b/>
                <w:bCs/>
                <w:color w:val="000000"/>
                <w:lang w:val="en-US" w:eastAsia="nl-NL"/>
              </w:rPr>
              <w:t>539</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p>
        </w:tc>
        <w:tc>
          <w:tcPr>
            <w:tcW w:w="976" w:type="dxa"/>
            <w:tcBorders>
              <w:top w:val="nil"/>
              <w:left w:val="nil"/>
              <w:bottom w:val="nil"/>
              <w:right w:val="nil"/>
            </w:tcBorders>
            <w:shd w:val="clear" w:color="auto" w:fill="auto"/>
            <w:noWrap/>
            <w:vAlign w:val="bottom"/>
            <w:hideMark/>
          </w:tcPr>
          <w:p w:rsidR="00F80CBF" w:rsidRPr="00252B11" w:rsidRDefault="00F80CBF" w:rsidP="00F80CBF">
            <w:pPr>
              <w:rPr>
                <w:rFonts w:ascii="Calibri" w:eastAsia="Times New Roman" w:hAnsi="Calibri" w:cs="Times New Roman"/>
                <w:color w:val="000000"/>
                <w:lang w:val="en-US" w:eastAsia="nl-NL"/>
              </w:rPr>
            </w:pP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b/>
                <w:bCs/>
                <w:color w:val="000000"/>
                <w:lang w:val="en-US" w:eastAsia="nl-NL"/>
              </w:rPr>
            </w:pPr>
            <w:r w:rsidRPr="00252B11">
              <w:rPr>
                <w:rFonts w:ascii="Calibri" w:eastAsia="Times New Roman" w:hAnsi="Calibri" w:cs="Times New Roman"/>
                <w:b/>
                <w:bCs/>
                <w:color w:val="000000"/>
                <w:lang w:val="en-US" w:eastAsia="nl-NL"/>
              </w:rPr>
              <w:t>Nature and environment</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rPr>
                <w:rFonts w:ascii="Calibri" w:eastAsia="Times New Roman" w:hAnsi="Calibri" w:cs="Times New Roman"/>
                <w:color w:val="000000"/>
                <w:lang w:val="en-US" w:eastAsia="nl-NL"/>
              </w:rPr>
            </w:pP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Animal welfare and aid</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47</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Environmental interests</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26</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Conservation of nature</w:t>
            </w:r>
          </w:p>
        </w:tc>
        <w:tc>
          <w:tcPr>
            <w:tcW w:w="976" w:type="dxa"/>
            <w:tcBorders>
              <w:top w:val="nil"/>
              <w:left w:val="nil"/>
              <w:bottom w:val="single" w:sz="4" w:space="0" w:color="auto"/>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39</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b/>
                <w:bCs/>
                <w:color w:val="000000"/>
                <w:lang w:val="en-US" w:eastAsia="nl-NL"/>
              </w:rPr>
            </w:pPr>
            <w:r w:rsidRPr="00252B11">
              <w:rPr>
                <w:rFonts w:ascii="Calibri" w:eastAsia="Times New Roman" w:hAnsi="Calibri" w:cs="Times New Roman"/>
                <w:b/>
                <w:bCs/>
                <w:color w:val="000000"/>
                <w:lang w:val="en-US" w:eastAsia="nl-NL"/>
              </w:rPr>
              <w:t>Nature and environment total</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b/>
                <w:bCs/>
                <w:color w:val="000000"/>
                <w:lang w:val="en-US" w:eastAsia="nl-NL"/>
              </w:rPr>
            </w:pPr>
            <w:r w:rsidRPr="00252B11">
              <w:rPr>
                <w:rFonts w:ascii="Calibri" w:eastAsia="Times New Roman" w:hAnsi="Calibri" w:cs="Times New Roman"/>
                <w:b/>
                <w:bCs/>
                <w:color w:val="000000"/>
                <w:lang w:val="en-US" w:eastAsia="nl-NL"/>
              </w:rPr>
              <w:t>112</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p>
        </w:tc>
        <w:tc>
          <w:tcPr>
            <w:tcW w:w="976" w:type="dxa"/>
            <w:tcBorders>
              <w:top w:val="nil"/>
              <w:left w:val="nil"/>
              <w:bottom w:val="nil"/>
              <w:right w:val="nil"/>
            </w:tcBorders>
            <w:shd w:val="clear" w:color="auto" w:fill="auto"/>
            <w:noWrap/>
            <w:vAlign w:val="bottom"/>
            <w:hideMark/>
          </w:tcPr>
          <w:p w:rsidR="00F80CBF" w:rsidRPr="00252B11" w:rsidRDefault="00F80CBF" w:rsidP="00F80CBF">
            <w:pPr>
              <w:rPr>
                <w:rFonts w:ascii="Calibri" w:eastAsia="Times New Roman" w:hAnsi="Calibri" w:cs="Times New Roman"/>
                <w:color w:val="000000"/>
                <w:lang w:val="en-US" w:eastAsia="nl-NL"/>
              </w:rPr>
            </w:pP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b/>
                <w:bCs/>
                <w:color w:val="000000"/>
                <w:lang w:val="en-US" w:eastAsia="nl-NL"/>
              </w:rPr>
            </w:pPr>
            <w:r w:rsidRPr="00252B11">
              <w:rPr>
                <w:rFonts w:ascii="Calibri" w:eastAsia="Times New Roman" w:hAnsi="Calibri" w:cs="Times New Roman"/>
                <w:b/>
                <w:bCs/>
                <w:color w:val="000000"/>
                <w:lang w:val="en-US" w:eastAsia="nl-NL"/>
              </w:rPr>
              <w:t>General welfare</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rPr>
                <w:rFonts w:ascii="Calibri" w:eastAsia="Times New Roman" w:hAnsi="Calibri" w:cs="Times New Roman"/>
                <w:color w:val="000000"/>
                <w:lang w:val="en-US" w:eastAsia="nl-NL"/>
              </w:rPr>
            </w:pP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Social goals</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186</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Human rights</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21</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Arts and culture</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47</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Sports and recreation</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14</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Education and research</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49</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Church and religious</w:t>
            </w:r>
          </w:p>
        </w:tc>
        <w:tc>
          <w:tcPr>
            <w:tcW w:w="976" w:type="dxa"/>
            <w:tcBorders>
              <w:top w:val="nil"/>
              <w:left w:val="nil"/>
              <w:bottom w:val="single" w:sz="4" w:space="0" w:color="auto"/>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color w:val="000000"/>
                <w:lang w:val="en-US" w:eastAsia="nl-NL"/>
              </w:rPr>
            </w:pPr>
            <w:r w:rsidRPr="00252B11">
              <w:rPr>
                <w:rFonts w:ascii="Calibri" w:eastAsia="Times New Roman" w:hAnsi="Calibri" w:cs="Times New Roman"/>
                <w:color w:val="000000"/>
                <w:lang w:val="en-US" w:eastAsia="nl-NL"/>
              </w:rPr>
              <w:t>43</w:t>
            </w:r>
          </w:p>
        </w:tc>
      </w:tr>
      <w:tr w:rsidR="00F80CBF" w:rsidRPr="00252B11" w:rsidTr="00F80CBF">
        <w:trPr>
          <w:trHeight w:val="300"/>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b/>
                <w:bCs/>
                <w:color w:val="000000"/>
                <w:lang w:val="en-US" w:eastAsia="nl-NL"/>
              </w:rPr>
            </w:pPr>
            <w:r w:rsidRPr="00252B11">
              <w:rPr>
                <w:rFonts w:ascii="Calibri" w:eastAsia="Times New Roman" w:hAnsi="Calibri" w:cs="Times New Roman"/>
                <w:b/>
                <w:bCs/>
                <w:color w:val="000000"/>
                <w:lang w:val="en-US" w:eastAsia="nl-NL"/>
              </w:rPr>
              <w:t>General welfare total</w:t>
            </w:r>
          </w:p>
        </w:tc>
        <w:tc>
          <w:tcPr>
            <w:tcW w:w="976" w:type="dxa"/>
            <w:tcBorders>
              <w:top w:val="nil"/>
              <w:left w:val="nil"/>
              <w:bottom w:val="nil"/>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b/>
                <w:bCs/>
                <w:color w:val="000000"/>
                <w:lang w:val="en-US" w:eastAsia="nl-NL"/>
              </w:rPr>
            </w:pPr>
            <w:r w:rsidRPr="00252B11">
              <w:rPr>
                <w:rFonts w:ascii="Calibri" w:eastAsia="Times New Roman" w:hAnsi="Calibri" w:cs="Times New Roman"/>
                <w:b/>
                <w:bCs/>
                <w:color w:val="000000"/>
                <w:lang w:val="en-US" w:eastAsia="nl-NL"/>
              </w:rPr>
              <w:t>360</w:t>
            </w:r>
          </w:p>
        </w:tc>
      </w:tr>
      <w:tr w:rsidR="00F80CBF" w:rsidRPr="00252B11" w:rsidTr="00F80CBF">
        <w:trPr>
          <w:trHeight w:val="300"/>
        </w:trPr>
        <w:tc>
          <w:tcPr>
            <w:tcW w:w="3024" w:type="dxa"/>
            <w:tcBorders>
              <w:top w:val="nil"/>
              <w:left w:val="nil"/>
              <w:bottom w:val="nil"/>
              <w:right w:val="nil"/>
            </w:tcBorders>
            <w:shd w:val="clear" w:color="auto" w:fill="auto"/>
            <w:noWrap/>
            <w:vAlign w:val="bottom"/>
            <w:hideMark/>
          </w:tcPr>
          <w:p w:rsidR="00F80CBF" w:rsidRPr="00252B11" w:rsidRDefault="00F80CBF" w:rsidP="00F80CBF">
            <w:pPr>
              <w:rPr>
                <w:rFonts w:ascii="Calibri" w:eastAsia="Times New Roman" w:hAnsi="Calibri" w:cs="Times New Roman"/>
                <w:color w:val="000000"/>
                <w:lang w:val="en-US" w:eastAsia="nl-NL"/>
              </w:rPr>
            </w:pPr>
          </w:p>
        </w:tc>
        <w:tc>
          <w:tcPr>
            <w:tcW w:w="976" w:type="dxa"/>
            <w:tcBorders>
              <w:top w:val="nil"/>
              <w:left w:val="nil"/>
              <w:bottom w:val="nil"/>
              <w:right w:val="nil"/>
            </w:tcBorders>
            <w:shd w:val="clear" w:color="auto" w:fill="auto"/>
            <w:noWrap/>
            <w:vAlign w:val="bottom"/>
            <w:hideMark/>
          </w:tcPr>
          <w:p w:rsidR="00F80CBF" w:rsidRPr="00252B11" w:rsidRDefault="00F80CBF" w:rsidP="00F80CBF">
            <w:pPr>
              <w:rPr>
                <w:rFonts w:ascii="Calibri" w:eastAsia="Times New Roman" w:hAnsi="Calibri" w:cs="Times New Roman"/>
                <w:color w:val="000000"/>
                <w:lang w:val="en-US" w:eastAsia="nl-NL"/>
              </w:rPr>
            </w:pPr>
          </w:p>
        </w:tc>
      </w:tr>
      <w:tr w:rsidR="00F80CBF" w:rsidRPr="00252B11" w:rsidTr="00F80CBF">
        <w:trPr>
          <w:trHeight w:val="315"/>
        </w:trPr>
        <w:tc>
          <w:tcPr>
            <w:tcW w:w="3024" w:type="dxa"/>
            <w:tcBorders>
              <w:top w:val="nil"/>
              <w:left w:val="nil"/>
              <w:bottom w:val="nil"/>
              <w:right w:val="nil"/>
            </w:tcBorders>
            <w:shd w:val="clear" w:color="auto" w:fill="auto"/>
            <w:vAlign w:val="bottom"/>
            <w:hideMark/>
          </w:tcPr>
          <w:p w:rsidR="00F80CBF" w:rsidRPr="00252B11" w:rsidRDefault="00F80CBF" w:rsidP="00F80CBF">
            <w:pPr>
              <w:rPr>
                <w:rFonts w:ascii="Calibri" w:eastAsia="Times New Roman" w:hAnsi="Calibri" w:cs="Times New Roman"/>
                <w:b/>
                <w:bCs/>
                <w:color w:val="000000"/>
                <w:lang w:val="en-US" w:eastAsia="nl-NL"/>
              </w:rPr>
            </w:pPr>
            <w:r w:rsidRPr="00252B11">
              <w:rPr>
                <w:rFonts w:ascii="Calibri" w:eastAsia="Times New Roman" w:hAnsi="Calibri" w:cs="Times New Roman"/>
                <w:b/>
                <w:bCs/>
                <w:color w:val="000000"/>
                <w:lang w:val="en-US" w:eastAsia="nl-NL"/>
              </w:rPr>
              <w:t>Total</w:t>
            </w:r>
          </w:p>
        </w:tc>
        <w:tc>
          <w:tcPr>
            <w:tcW w:w="976" w:type="dxa"/>
            <w:tcBorders>
              <w:top w:val="nil"/>
              <w:left w:val="nil"/>
              <w:bottom w:val="double" w:sz="6" w:space="0" w:color="auto"/>
              <w:right w:val="nil"/>
            </w:tcBorders>
            <w:shd w:val="clear" w:color="auto" w:fill="auto"/>
            <w:noWrap/>
            <w:vAlign w:val="bottom"/>
            <w:hideMark/>
          </w:tcPr>
          <w:p w:rsidR="00F80CBF" w:rsidRPr="00252B11" w:rsidRDefault="00F80CBF" w:rsidP="00F80CBF">
            <w:pPr>
              <w:jc w:val="right"/>
              <w:rPr>
                <w:rFonts w:ascii="Calibri" w:eastAsia="Times New Roman" w:hAnsi="Calibri" w:cs="Times New Roman"/>
                <w:b/>
                <w:bCs/>
                <w:color w:val="000000"/>
                <w:lang w:val="en-US" w:eastAsia="nl-NL"/>
              </w:rPr>
            </w:pPr>
            <w:r w:rsidRPr="00252B11">
              <w:rPr>
                <w:rFonts w:ascii="Calibri" w:eastAsia="Times New Roman" w:hAnsi="Calibri" w:cs="Times New Roman"/>
                <w:b/>
                <w:bCs/>
                <w:color w:val="000000"/>
                <w:lang w:val="en-US" w:eastAsia="nl-NL"/>
              </w:rPr>
              <w:t>1.253</w:t>
            </w:r>
          </w:p>
        </w:tc>
      </w:tr>
      <w:tr w:rsidR="00F80CBF" w:rsidRPr="00252B11" w:rsidTr="00F80CBF">
        <w:trPr>
          <w:trHeight w:val="315"/>
        </w:trPr>
        <w:tc>
          <w:tcPr>
            <w:tcW w:w="3024" w:type="dxa"/>
            <w:tcBorders>
              <w:top w:val="nil"/>
              <w:left w:val="nil"/>
              <w:bottom w:val="nil"/>
              <w:right w:val="nil"/>
            </w:tcBorders>
            <w:shd w:val="clear" w:color="auto" w:fill="auto"/>
            <w:noWrap/>
            <w:vAlign w:val="bottom"/>
            <w:hideMark/>
          </w:tcPr>
          <w:p w:rsidR="00F80CBF" w:rsidRPr="00252B11" w:rsidRDefault="00F80CBF" w:rsidP="00F80CBF">
            <w:pPr>
              <w:rPr>
                <w:rFonts w:ascii="Calibri" w:eastAsia="Times New Roman" w:hAnsi="Calibri" w:cs="Times New Roman"/>
                <w:color w:val="000000"/>
                <w:lang w:val="en-US" w:eastAsia="nl-NL"/>
              </w:rPr>
            </w:pPr>
          </w:p>
        </w:tc>
        <w:tc>
          <w:tcPr>
            <w:tcW w:w="976" w:type="dxa"/>
            <w:tcBorders>
              <w:top w:val="nil"/>
              <w:left w:val="nil"/>
              <w:bottom w:val="nil"/>
              <w:right w:val="nil"/>
            </w:tcBorders>
            <w:shd w:val="clear" w:color="auto" w:fill="auto"/>
            <w:noWrap/>
            <w:vAlign w:val="bottom"/>
            <w:hideMark/>
          </w:tcPr>
          <w:p w:rsidR="00F80CBF" w:rsidRPr="00252B11" w:rsidRDefault="00F80CBF" w:rsidP="00F80CBF">
            <w:pPr>
              <w:rPr>
                <w:rFonts w:ascii="Calibri" w:eastAsia="Times New Roman" w:hAnsi="Calibri" w:cs="Times New Roman"/>
                <w:color w:val="000000"/>
                <w:lang w:val="en-US" w:eastAsia="nl-NL"/>
              </w:rPr>
            </w:pPr>
          </w:p>
        </w:tc>
      </w:tr>
    </w:tbl>
    <w:p w:rsidR="00F80CBF" w:rsidRDefault="00F80CBF" w:rsidP="00F80CBF">
      <w:pPr>
        <w:rPr>
          <w:rFonts w:ascii="ScalaSans-Caps" w:hAnsi="ScalaSans-Caps"/>
          <w:lang w:val="en-US"/>
        </w:rPr>
      </w:pPr>
    </w:p>
    <w:p w:rsidR="00F80CBF" w:rsidRDefault="00F80CBF">
      <w:pPr>
        <w:rPr>
          <w:rFonts w:ascii="ScalaSans-Caps" w:hAnsi="ScalaSans-Caps"/>
          <w:lang w:val="en-US"/>
        </w:rPr>
      </w:pPr>
      <w:r>
        <w:rPr>
          <w:rFonts w:ascii="ScalaSans-Caps" w:hAnsi="ScalaSans-Caps"/>
          <w:lang w:val="en-US"/>
        </w:rPr>
        <w:br w:type="page"/>
      </w:r>
    </w:p>
    <w:p w:rsidR="00F80CBF" w:rsidRDefault="00F80CBF" w:rsidP="00F80CBF">
      <w:pPr>
        <w:rPr>
          <w:rFonts w:ascii="ScalaSans-Caps" w:hAnsi="ScalaSans-Caps"/>
          <w:lang w:val="en-US"/>
        </w:rPr>
      </w:pPr>
      <w:r>
        <w:rPr>
          <w:rFonts w:ascii="ScalaSans-Caps" w:hAnsi="ScalaSans-Caps"/>
          <w:lang w:val="en-US"/>
        </w:rPr>
        <w:t>Appendix 1B: Data with figure 2</w:t>
      </w:r>
    </w:p>
    <w:p w:rsidR="00F80CBF" w:rsidRPr="00252B11" w:rsidRDefault="00F80CBF" w:rsidP="00252B11">
      <w:pPr>
        <w:spacing w:line="360" w:lineRule="auto"/>
        <w:rPr>
          <w:lang w:val="en-US"/>
        </w:rPr>
      </w:pPr>
    </w:p>
    <w:p w:rsidR="00F80CBF" w:rsidRDefault="00F80CBF" w:rsidP="00F80CBF">
      <w:pPr>
        <w:rPr>
          <w:rFonts w:ascii="ScalaSans-Caps" w:hAnsi="ScalaSans-Caps"/>
          <w:lang w:val="en-US"/>
        </w:rPr>
      </w:pPr>
      <w:r w:rsidRPr="00F80CBF">
        <w:rPr>
          <w:rFonts w:ascii="ScalaSans-Caps" w:hAnsi="ScalaSans-Caps"/>
          <w:noProof/>
          <w:lang w:eastAsia="nl-NL"/>
        </w:rPr>
        <w:drawing>
          <wp:inline distT="0" distB="0" distL="0" distR="0">
            <wp:extent cx="5731510" cy="5410200"/>
            <wp:effectExtent l="19050" t="0" r="2540" b="0"/>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731510" cy="5410200"/>
                    </a:xfrm>
                    <a:prstGeom prst="rect">
                      <a:avLst/>
                    </a:prstGeom>
                    <a:noFill/>
                    <a:ln w="9525">
                      <a:noFill/>
                      <a:miter lim="800000"/>
                      <a:headEnd/>
                      <a:tailEnd/>
                    </a:ln>
                  </pic:spPr>
                </pic:pic>
              </a:graphicData>
            </a:graphic>
          </wp:inline>
        </w:drawing>
      </w:r>
    </w:p>
    <w:p w:rsidR="00F80CBF" w:rsidRDefault="00F80CBF" w:rsidP="00F80CBF">
      <w:pPr>
        <w:rPr>
          <w:rFonts w:ascii="ScalaSans-Caps" w:hAnsi="ScalaSans-Caps"/>
          <w:lang w:val="en-US"/>
        </w:rPr>
      </w:pPr>
    </w:p>
    <w:p w:rsidR="0072456E" w:rsidRDefault="0072456E">
      <w:pPr>
        <w:rPr>
          <w:rFonts w:ascii="ScalaSans-Caps" w:hAnsi="ScalaSans-Caps"/>
          <w:lang w:val="en-US"/>
        </w:rPr>
      </w:pPr>
      <w:r>
        <w:rPr>
          <w:rFonts w:ascii="ScalaSans-Caps" w:hAnsi="ScalaSans-Caps"/>
          <w:lang w:val="en-US"/>
        </w:rPr>
        <w:br w:type="page"/>
      </w:r>
    </w:p>
    <w:p w:rsidR="00F80CBF" w:rsidRDefault="00F80CBF" w:rsidP="00F80CBF">
      <w:pPr>
        <w:rPr>
          <w:rFonts w:ascii="ScalaSans-Caps" w:hAnsi="ScalaSans-Caps"/>
          <w:lang w:val="en-US"/>
        </w:rPr>
      </w:pPr>
      <w:r>
        <w:rPr>
          <w:rFonts w:ascii="ScalaSans-Caps" w:hAnsi="ScalaSans-Caps"/>
          <w:lang w:val="en-US"/>
        </w:rPr>
        <w:t xml:space="preserve">Appendix 1C: </w:t>
      </w:r>
      <w:r w:rsidR="00807760">
        <w:rPr>
          <w:rFonts w:ascii="ScalaSans-Caps" w:hAnsi="ScalaSans-Caps"/>
          <w:lang w:val="en-US"/>
        </w:rPr>
        <w:t>D</w:t>
      </w:r>
      <w:r>
        <w:rPr>
          <w:rFonts w:ascii="ScalaSans-Caps" w:hAnsi="ScalaSans-Caps"/>
          <w:lang w:val="en-US"/>
        </w:rPr>
        <w:t>ata with figure 3</w:t>
      </w:r>
    </w:p>
    <w:p w:rsidR="00F80CBF" w:rsidRDefault="00F80CBF" w:rsidP="00F80CBF">
      <w:pPr>
        <w:rPr>
          <w:rFonts w:ascii="ScalaSans-Caps" w:hAnsi="ScalaSans-Caps"/>
          <w:lang w:val="en-US"/>
        </w:rPr>
      </w:pPr>
    </w:p>
    <w:p w:rsidR="0072456E" w:rsidRDefault="00F80CBF" w:rsidP="00F80CBF">
      <w:pPr>
        <w:rPr>
          <w:rFonts w:ascii="ScalaSans-Caps" w:hAnsi="ScalaSans-Caps"/>
          <w:lang w:val="en-US"/>
        </w:rPr>
      </w:pPr>
      <w:r w:rsidRPr="00F80CBF">
        <w:rPr>
          <w:noProof/>
          <w:lang w:eastAsia="nl-NL"/>
        </w:rPr>
        <w:drawing>
          <wp:inline distT="0" distB="0" distL="0" distR="0">
            <wp:extent cx="5731510" cy="2524125"/>
            <wp:effectExtent l="19050" t="0" r="2540" b="0"/>
            <wp:docPr id="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731510" cy="2524125"/>
                    </a:xfrm>
                    <a:prstGeom prst="rect">
                      <a:avLst/>
                    </a:prstGeom>
                    <a:noFill/>
                    <a:ln w="9525">
                      <a:noFill/>
                      <a:miter lim="800000"/>
                      <a:headEnd/>
                      <a:tailEnd/>
                    </a:ln>
                  </pic:spPr>
                </pic:pic>
              </a:graphicData>
            </a:graphic>
          </wp:inline>
        </w:drawing>
      </w:r>
    </w:p>
    <w:p w:rsidR="0072456E" w:rsidRPr="00252B11" w:rsidRDefault="0072456E" w:rsidP="00252B11">
      <w:pPr>
        <w:spacing w:line="360" w:lineRule="auto"/>
        <w:rPr>
          <w:lang w:val="en-US"/>
        </w:rPr>
      </w:pPr>
    </w:p>
    <w:p w:rsidR="0072456E" w:rsidRPr="00252B11" w:rsidRDefault="0072456E" w:rsidP="00252B11">
      <w:pPr>
        <w:spacing w:line="360" w:lineRule="auto"/>
        <w:rPr>
          <w:lang w:val="en-US"/>
        </w:rPr>
      </w:pPr>
    </w:p>
    <w:p w:rsidR="0072456E" w:rsidRDefault="0072456E" w:rsidP="00F80CBF">
      <w:pPr>
        <w:rPr>
          <w:rFonts w:ascii="ScalaSans-Caps" w:hAnsi="ScalaSans-Caps"/>
          <w:lang w:val="en-US"/>
        </w:rPr>
      </w:pPr>
      <w:r>
        <w:rPr>
          <w:rFonts w:ascii="ScalaSans-Caps" w:hAnsi="ScalaSans-Caps"/>
          <w:lang w:val="en-US"/>
        </w:rPr>
        <w:t>Appendix 1D: Concentration ratio</w:t>
      </w:r>
    </w:p>
    <w:p w:rsidR="0072456E" w:rsidRPr="00252B11" w:rsidRDefault="0072456E" w:rsidP="00252B11">
      <w:pPr>
        <w:spacing w:line="360" w:lineRule="auto"/>
        <w:rPr>
          <w:lang w:val="en-US"/>
        </w:rPr>
      </w:pPr>
    </w:p>
    <w:p w:rsidR="0072456E" w:rsidRDefault="0072456E" w:rsidP="00F80CBF">
      <w:pPr>
        <w:rPr>
          <w:rFonts w:ascii="ScalaSans-Caps" w:hAnsi="ScalaSans-Caps"/>
          <w:lang w:val="en-US"/>
        </w:rPr>
      </w:pPr>
      <w:r w:rsidRPr="0072456E">
        <w:rPr>
          <w:noProof/>
          <w:lang w:eastAsia="nl-NL"/>
        </w:rPr>
        <w:drawing>
          <wp:inline distT="0" distB="0" distL="0" distR="0">
            <wp:extent cx="5731510" cy="2224851"/>
            <wp:effectExtent l="19050" t="0" r="2540" b="0"/>
            <wp:docPr id="1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731510" cy="2224851"/>
                    </a:xfrm>
                    <a:prstGeom prst="rect">
                      <a:avLst/>
                    </a:prstGeom>
                    <a:noFill/>
                    <a:ln w="9525">
                      <a:noFill/>
                      <a:miter lim="800000"/>
                      <a:headEnd/>
                      <a:tailEnd/>
                    </a:ln>
                  </pic:spPr>
                </pic:pic>
              </a:graphicData>
            </a:graphic>
          </wp:inline>
        </w:drawing>
      </w:r>
    </w:p>
    <w:p w:rsidR="0072456E" w:rsidRDefault="0072456E">
      <w:pPr>
        <w:rPr>
          <w:rFonts w:ascii="ScalaSans-Caps" w:hAnsi="ScalaSans-Caps"/>
          <w:lang w:val="en-US"/>
        </w:rPr>
      </w:pPr>
      <w:r>
        <w:rPr>
          <w:rFonts w:ascii="ScalaSans-Caps" w:hAnsi="ScalaSans-Caps"/>
          <w:lang w:val="en-US"/>
        </w:rPr>
        <w:br w:type="page"/>
      </w:r>
    </w:p>
    <w:p w:rsidR="00944A64" w:rsidRDefault="00944A64" w:rsidP="00504A7F">
      <w:pPr>
        <w:pStyle w:val="Heading2"/>
        <w:spacing w:before="120" w:line="360" w:lineRule="auto"/>
        <w:rPr>
          <w:lang w:val="en-US"/>
        </w:rPr>
      </w:pPr>
      <w:bookmarkStart w:id="26" w:name="_Toc299180711"/>
      <w:r>
        <w:rPr>
          <w:lang w:val="en-US"/>
        </w:rPr>
        <w:t xml:space="preserve">Appendix 2: </w:t>
      </w:r>
      <w:r w:rsidR="004C49B2">
        <w:rPr>
          <w:lang w:val="en-US"/>
        </w:rPr>
        <w:t>G</w:t>
      </w:r>
      <w:r>
        <w:rPr>
          <w:lang w:val="en-US"/>
        </w:rPr>
        <w:t>raphical stakeholders framework</w:t>
      </w:r>
      <w:bookmarkEnd w:id="26"/>
    </w:p>
    <w:p w:rsidR="00944A64" w:rsidRDefault="00944A64" w:rsidP="00944A64">
      <w:pPr>
        <w:rPr>
          <w:lang w:val="en-US"/>
        </w:rPr>
      </w:pPr>
    </w:p>
    <w:p w:rsidR="00944A64" w:rsidRDefault="00944A64" w:rsidP="00944A64">
      <w:pPr>
        <w:rPr>
          <w:lang w:val="en-US"/>
        </w:rPr>
      </w:pPr>
      <w:r>
        <w:rPr>
          <w:noProof/>
          <w:lang w:eastAsia="nl-NL"/>
        </w:rPr>
        <w:drawing>
          <wp:inline distT="0" distB="0" distL="0" distR="0">
            <wp:extent cx="5731510" cy="5314673"/>
            <wp:effectExtent l="19050" t="0" r="2540" b="0"/>
            <wp:docPr id="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731510" cy="5314673"/>
                    </a:xfrm>
                    <a:prstGeom prst="rect">
                      <a:avLst/>
                    </a:prstGeom>
                    <a:noFill/>
                    <a:ln w="9525">
                      <a:noFill/>
                      <a:miter lim="800000"/>
                      <a:headEnd/>
                      <a:tailEnd/>
                    </a:ln>
                  </pic:spPr>
                </pic:pic>
              </a:graphicData>
            </a:graphic>
          </wp:inline>
        </w:drawing>
      </w:r>
    </w:p>
    <w:p w:rsidR="00944A64" w:rsidRPr="00944A64" w:rsidRDefault="00944A64" w:rsidP="00944A64">
      <w:pPr>
        <w:rPr>
          <w:i/>
          <w:sz w:val="18"/>
          <w:szCs w:val="18"/>
          <w:lang w:val="en-US"/>
        </w:rPr>
      </w:pPr>
      <w:r w:rsidRPr="00944A64">
        <w:rPr>
          <w:i/>
          <w:sz w:val="18"/>
          <w:szCs w:val="18"/>
          <w:lang w:val="en-US"/>
        </w:rPr>
        <w:t>Source: N. Hyndman and P. McDonnell; Governance and charities: an exploration of key themes and the development  a research agenda; 2009</w:t>
      </w:r>
    </w:p>
    <w:p w:rsidR="00F80CBF" w:rsidRDefault="00F80CBF">
      <w:pPr>
        <w:rPr>
          <w:rFonts w:ascii="ScalaSans-Caps" w:hAnsi="ScalaSans-Caps"/>
          <w:lang w:val="en-US"/>
        </w:rPr>
      </w:pPr>
      <w:r>
        <w:rPr>
          <w:rFonts w:ascii="ScalaSans-Caps" w:hAnsi="ScalaSans-Caps"/>
          <w:lang w:val="en-US"/>
        </w:rPr>
        <w:br w:type="page"/>
      </w:r>
    </w:p>
    <w:p w:rsidR="00BD0DB0" w:rsidRDefault="00BD0DB0" w:rsidP="00504A7F">
      <w:pPr>
        <w:pStyle w:val="Heading2"/>
        <w:spacing w:before="120" w:line="360" w:lineRule="auto"/>
        <w:rPr>
          <w:lang w:val="en-US"/>
        </w:rPr>
      </w:pPr>
      <w:bookmarkStart w:id="27" w:name="_Toc299180712"/>
      <w:r>
        <w:rPr>
          <w:lang w:val="en-US"/>
        </w:rPr>
        <w:t>Appendix 3: Variables table to measure board performance</w:t>
      </w:r>
      <w:bookmarkEnd w:id="27"/>
    </w:p>
    <w:p w:rsidR="00BD0DB0" w:rsidRDefault="00BD0DB0" w:rsidP="00BD0DB0">
      <w:pPr>
        <w:rPr>
          <w:lang w:val="en-US"/>
        </w:rPr>
      </w:pPr>
    </w:p>
    <w:p w:rsidR="00BD0DB0" w:rsidRPr="00BD0DB0" w:rsidRDefault="00BD0DB0" w:rsidP="00BD0DB0">
      <w:pPr>
        <w:rPr>
          <w:lang w:val="en-US"/>
        </w:rPr>
      </w:pPr>
      <w:r>
        <w:rPr>
          <w:noProof/>
          <w:lang w:eastAsia="nl-NL"/>
        </w:rPr>
        <w:drawing>
          <wp:inline distT="0" distB="0" distL="0" distR="0">
            <wp:extent cx="5731510" cy="7523744"/>
            <wp:effectExtent l="19050" t="0" r="254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731510" cy="7523744"/>
                    </a:xfrm>
                    <a:prstGeom prst="rect">
                      <a:avLst/>
                    </a:prstGeom>
                    <a:noFill/>
                    <a:ln w="9525">
                      <a:noFill/>
                      <a:miter lim="800000"/>
                      <a:headEnd/>
                      <a:tailEnd/>
                    </a:ln>
                  </pic:spPr>
                </pic:pic>
              </a:graphicData>
            </a:graphic>
          </wp:inline>
        </w:drawing>
      </w:r>
    </w:p>
    <w:p w:rsidR="00504A7F" w:rsidRDefault="00BD0DB0" w:rsidP="00F80CBF">
      <w:pPr>
        <w:rPr>
          <w:i/>
          <w:sz w:val="18"/>
          <w:szCs w:val="18"/>
          <w:lang w:val="en-US"/>
        </w:rPr>
      </w:pPr>
      <w:r w:rsidRPr="00BD0DB0">
        <w:rPr>
          <w:i/>
          <w:sz w:val="18"/>
          <w:szCs w:val="18"/>
          <w:lang w:val="en-US"/>
        </w:rPr>
        <w:t>Source: C. Conforth and W. Hall; What makes boards effective? An examination of the relationship between board inputs, structures, processes end effectiveness in non-profit organizations; 2001; Corporate governance: an international review</w:t>
      </w:r>
    </w:p>
    <w:p w:rsidR="00504A7F" w:rsidRDefault="00504A7F">
      <w:pPr>
        <w:rPr>
          <w:i/>
          <w:sz w:val="18"/>
          <w:szCs w:val="18"/>
          <w:lang w:val="en-US"/>
        </w:rPr>
      </w:pPr>
      <w:r>
        <w:rPr>
          <w:i/>
          <w:sz w:val="18"/>
          <w:szCs w:val="18"/>
          <w:lang w:val="en-US"/>
        </w:rPr>
        <w:br w:type="page"/>
      </w:r>
    </w:p>
    <w:p w:rsidR="00F80CBF" w:rsidRDefault="00504A7F" w:rsidP="00504A7F">
      <w:pPr>
        <w:pStyle w:val="Heading2"/>
        <w:spacing w:before="120" w:line="360" w:lineRule="auto"/>
        <w:rPr>
          <w:lang w:val="en-US"/>
        </w:rPr>
      </w:pPr>
      <w:bookmarkStart w:id="28" w:name="_Toc299180713"/>
      <w:r>
        <w:rPr>
          <w:lang w:val="en-US"/>
        </w:rPr>
        <w:t xml:space="preserve">Appendix 4: </w:t>
      </w:r>
      <w:r w:rsidR="00252B11">
        <w:rPr>
          <w:lang w:val="en-US"/>
        </w:rPr>
        <w:t>F</w:t>
      </w:r>
      <w:r>
        <w:rPr>
          <w:lang w:val="en-US"/>
        </w:rPr>
        <w:t>requency</w:t>
      </w:r>
      <w:r w:rsidR="002C1229">
        <w:rPr>
          <w:lang w:val="en-US"/>
        </w:rPr>
        <w:t xml:space="preserve"> &amp; cross</w:t>
      </w:r>
      <w:r>
        <w:rPr>
          <w:lang w:val="en-US"/>
        </w:rPr>
        <w:t xml:space="preserve"> tables dataset</w:t>
      </w:r>
      <w:bookmarkEnd w:id="28"/>
    </w:p>
    <w:p w:rsidR="00504A7F" w:rsidRDefault="00504A7F" w:rsidP="00504A7F">
      <w:pPr>
        <w:spacing w:line="360" w:lineRule="auto"/>
        <w:rPr>
          <w:lang w:val="en-US"/>
        </w:rPr>
      </w:pPr>
    </w:p>
    <w:p w:rsidR="00F14E5C" w:rsidRPr="00504A7F" w:rsidRDefault="00F14E5C" w:rsidP="00F14E5C">
      <w:pPr>
        <w:spacing w:line="360" w:lineRule="auto"/>
        <w:rPr>
          <w:rFonts w:ascii="ScalaSans-Caps" w:hAnsi="ScalaSans-Caps"/>
          <w:lang w:val="en-US"/>
        </w:rPr>
      </w:pPr>
      <w:r w:rsidRPr="00504A7F">
        <w:rPr>
          <w:rFonts w:ascii="ScalaSans-Caps" w:hAnsi="ScalaSans-Caps"/>
          <w:lang w:val="en-US"/>
        </w:rPr>
        <w:t>Appendix 4A</w:t>
      </w:r>
    </w:p>
    <w:tbl>
      <w:tblPr>
        <w:tblW w:w="6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382"/>
        <w:gridCol w:w="1456"/>
      </w:tblGrid>
      <w:tr w:rsidR="00F14E5C" w:rsidTr="00F14E5C">
        <w:trPr>
          <w:cantSplit/>
          <w:tblHeader/>
        </w:trPr>
        <w:tc>
          <w:tcPr>
            <w:tcW w:w="6456" w:type="dxa"/>
            <w:gridSpan w:val="6"/>
            <w:tcBorders>
              <w:top w:val="nil"/>
              <w:left w:val="nil"/>
              <w:bottom w:val="nil"/>
              <w:right w:val="nil"/>
            </w:tcBorders>
            <w:shd w:val="clear" w:color="auto" w:fill="FFFFFF"/>
            <w:tcMar>
              <w:top w:w="30" w:type="dxa"/>
              <w:left w:w="30" w:type="dxa"/>
              <w:bottom w:w="30" w:type="dxa"/>
              <w:right w:w="30" w:type="dxa"/>
            </w:tcMar>
            <w:vAlign w:val="center"/>
          </w:tcPr>
          <w:p w:rsidR="00F14E5C" w:rsidRDefault="00F14E5C" w:rsidP="003A6CF1">
            <w:pPr>
              <w:spacing w:line="320" w:lineRule="atLeast"/>
              <w:jc w:val="center"/>
              <w:rPr>
                <w:rFonts w:ascii="Arial" w:hAnsi="Arial" w:cs="Arial"/>
                <w:sz w:val="18"/>
                <w:szCs w:val="18"/>
              </w:rPr>
            </w:pPr>
            <w:r>
              <w:rPr>
                <w:rFonts w:ascii="Arial" w:hAnsi="Arial" w:cs="Arial"/>
                <w:b/>
                <w:bCs/>
                <w:sz w:val="18"/>
                <w:szCs w:val="18"/>
              </w:rPr>
              <w:t>International (1=yes, 0=no)</w:t>
            </w:r>
          </w:p>
        </w:tc>
      </w:tr>
      <w:tr w:rsidR="00F14E5C" w:rsidTr="00F14E5C">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4E5C" w:rsidRDefault="00F14E5C" w:rsidP="003A6CF1">
            <w:pPr>
              <w:rPr>
                <w:rFonts w:ascii="Times New Roman" w:hAnsi="Times New Roman" w:cs="Times New Roman"/>
                <w:sz w:val="24"/>
                <w:szCs w:val="24"/>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4E5C" w:rsidRDefault="00F14E5C" w:rsidP="003A6CF1">
            <w:pP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4E5C" w:rsidRDefault="00F14E5C" w:rsidP="003A6CF1">
            <w:pPr>
              <w:spacing w:line="320" w:lineRule="atLeast"/>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4E5C" w:rsidRDefault="00F14E5C" w:rsidP="003A6CF1">
            <w:pPr>
              <w:spacing w:line="320" w:lineRule="atLeast"/>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4E5C" w:rsidRDefault="00F14E5C" w:rsidP="003A6CF1">
            <w:pPr>
              <w:spacing w:line="320" w:lineRule="atLeast"/>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4E5C" w:rsidRDefault="00F14E5C" w:rsidP="003A6CF1">
            <w:pPr>
              <w:spacing w:line="320" w:lineRule="atLeast"/>
              <w:jc w:val="center"/>
              <w:rPr>
                <w:rFonts w:ascii="Arial" w:hAnsi="Arial" w:cs="Arial"/>
                <w:sz w:val="18"/>
                <w:szCs w:val="18"/>
              </w:rPr>
            </w:pPr>
            <w:r>
              <w:rPr>
                <w:rFonts w:ascii="Arial" w:hAnsi="Arial" w:cs="Arial"/>
                <w:sz w:val="18"/>
                <w:szCs w:val="18"/>
              </w:rPr>
              <w:t>Cumulative Percent</w:t>
            </w:r>
          </w:p>
        </w:tc>
      </w:tr>
      <w:tr w:rsidR="00F14E5C" w:rsidTr="00F14E5C">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4E5C" w:rsidRDefault="00F14E5C" w:rsidP="003A6CF1">
            <w:pPr>
              <w:spacing w:line="320" w:lineRule="atLeast"/>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4E5C" w:rsidRDefault="00F14E5C" w:rsidP="003A6CF1">
            <w:pPr>
              <w:spacing w:line="320" w:lineRule="atLeast"/>
              <w:rPr>
                <w:rFonts w:ascii="Arial" w:hAnsi="Arial" w:cs="Arial"/>
                <w:sz w:val="18"/>
                <w:szCs w:val="18"/>
              </w:rPr>
            </w:pPr>
            <w:r>
              <w:rPr>
                <w:rFonts w:ascii="Arial" w:hAnsi="Arial" w:cs="Arial"/>
                <w:sz w:val="18"/>
                <w:szCs w:val="18"/>
              </w:rPr>
              <w:t>0</w:t>
            </w:r>
          </w:p>
        </w:tc>
        <w:tc>
          <w:tcPr>
            <w:tcW w:w="11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14E5C" w:rsidRDefault="00F14E5C" w:rsidP="003A6CF1">
            <w:pPr>
              <w:spacing w:line="320" w:lineRule="atLeast"/>
              <w:jc w:val="right"/>
              <w:rPr>
                <w:rFonts w:ascii="Arial" w:hAnsi="Arial" w:cs="Arial"/>
                <w:sz w:val="18"/>
                <w:szCs w:val="18"/>
              </w:rPr>
            </w:pPr>
            <w:r>
              <w:rPr>
                <w:rFonts w:ascii="Arial" w:hAnsi="Arial" w:cs="Arial"/>
                <w:sz w:val="18"/>
                <w:szCs w:val="18"/>
              </w:rPr>
              <w:t>320</w:t>
            </w:r>
          </w:p>
        </w:tc>
        <w:tc>
          <w:tcPr>
            <w:tcW w:w="1009" w:type="dxa"/>
            <w:tcBorders>
              <w:top w:val="single" w:sz="16" w:space="0" w:color="000000"/>
              <w:bottom w:val="nil"/>
            </w:tcBorders>
            <w:shd w:val="clear" w:color="auto" w:fill="FFFFFF"/>
            <w:tcMar>
              <w:top w:w="30" w:type="dxa"/>
              <w:left w:w="30" w:type="dxa"/>
              <w:bottom w:w="30" w:type="dxa"/>
              <w:right w:w="30" w:type="dxa"/>
            </w:tcMar>
          </w:tcPr>
          <w:p w:rsidR="00F14E5C" w:rsidRDefault="00F14E5C" w:rsidP="003A6CF1">
            <w:pPr>
              <w:spacing w:line="320" w:lineRule="atLeast"/>
              <w:jc w:val="right"/>
              <w:rPr>
                <w:rFonts w:ascii="Arial" w:hAnsi="Arial" w:cs="Arial"/>
                <w:sz w:val="18"/>
                <w:szCs w:val="18"/>
              </w:rPr>
            </w:pPr>
            <w:r>
              <w:rPr>
                <w:rFonts w:ascii="Arial" w:hAnsi="Arial" w:cs="Arial"/>
                <w:sz w:val="18"/>
                <w:szCs w:val="18"/>
              </w:rPr>
              <w:t>41,3</w:t>
            </w:r>
          </w:p>
        </w:tc>
        <w:tc>
          <w:tcPr>
            <w:tcW w:w="1382" w:type="dxa"/>
            <w:tcBorders>
              <w:top w:val="single" w:sz="16" w:space="0" w:color="000000"/>
              <w:bottom w:val="nil"/>
            </w:tcBorders>
            <w:shd w:val="clear" w:color="auto" w:fill="FFFFFF"/>
            <w:tcMar>
              <w:top w:w="30" w:type="dxa"/>
              <w:left w:w="30" w:type="dxa"/>
              <w:bottom w:w="30" w:type="dxa"/>
              <w:right w:w="30" w:type="dxa"/>
            </w:tcMar>
          </w:tcPr>
          <w:p w:rsidR="00F14E5C" w:rsidRDefault="00F14E5C" w:rsidP="003A6CF1">
            <w:pPr>
              <w:spacing w:line="320" w:lineRule="atLeast"/>
              <w:jc w:val="right"/>
              <w:rPr>
                <w:rFonts w:ascii="Arial" w:hAnsi="Arial" w:cs="Arial"/>
                <w:sz w:val="18"/>
                <w:szCs w:val="18"/>
              </w:rPr>
            </w:pPr>
            <w:r>
              <w:rPr>
                <w:rFonts w:ascii="Arial" w:hAnsi="Arial" w:cs="Arial"/>
                <w:sz w:val="18"/>
                <w:szCs w:val="18"/>
              </w:rPr>
              <w:t>41,3</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14E5C" w:rsidRDefault="00F14E5C" w:rsidP="003A6CF1">
            <w:pPr>
              <w:spacing w:line="320" w:lineRule="atLeast"/>
              <w:jc w:val="right"/>
              <w:rPr>
                <w:rFonts w:ascii="Arial" w:hAnsi="Arial" w:cs="Arial"/>
                <w:sz w:val="18"/>
                <w:szCs w:val="18"/>
              </w:rPr>
            </w:pPr>
            <w:r>
              <w:rPr>
                <w:rFonts w:ascii="Arial" w:hAnsi="Arial" w:cs="Arial"/>
                <w:sz w:val="18"/>
                <w:szCs w:val="18"/>
              </w:rPr>
              <w:t>41,3</w:t>
            </w:r>
          </w:p>
        </w:tc>
      </w:tr>
      <w:tr w:rsidR="00F14E5C" w:rsidTr="00F14E5C">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4E5C" w:rsidRDefault="00F14E5C" w:rsidP="003A6CF1">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F14E5C" w:rsidRDefault="00F14E5C" w:rsidP="003A6CF1">
            <w:pPr>
              <w:spacing w:line="320" w:lineRule="atLeast"/>
              <w:rPr>
                <w:rFonts w:ascii="Arial" w:hAnsi="Arial" w:cs="Arial"/>
                <w:sz w:val="18"/>
                <w:szCs w:val="18"/>
              </w:rPr>
            </w:pPr>
            <w:r>
              <w:rPr>
                <w:rFonts w:ascii="Arial" w:hAnsi="Arial" w:cs="Arial"/>
                <w:sz w:val="18"/>
                <w:szCs w:val="18"/>
              </w:rPr>
              <w:t>1</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F14E5C" w:rsidRDefault="00F14E5C" w:rsidP="003A6CF1">
            <w:pPr>
              <w:spacing w:line="320" w:lineRule="atLeast"/>
              <w:jc w:val="right"/>
              <w:rPr>
                <w:rFonts w:ascii="Arial" w:hAnsi="Arial" w:cs="Arial"/>
                <w:sz w:val="18"/>
                <w:szCs w:val="18"/>
              </w:rPr>
            </w:pPr>
            <w:r>
              <w:rPr>
                <w:rFonts w:ascii="Arial" w:hAnsi="Arial" w:cs="Arial"/>
                <w:sz w:val="18"/>
                <w:szCs w:val="18"/>
              </w:rPr>
              <w:t>454</w:t>
            </w:r>
          </w:p>
        </w:tc>
        <w:tc>
          <w:tcPr>
            <w:tcW w:w="1009" w:type="dxa"/>
            <w:tcBorders>
              <w:top w:val="nil"/>
              <w:bottom w:val="nil"/>
            </w:tcBorders>
            <w:shd w:val="clear" w:color="auto" w:fill="FFFFFF"/>
            <w:tcMar>
              <w:top w:w="30" w:type="dxa"/>
              <w:left w:w="30" w:type="dxa"/>
              <w:bottom w:w="30" w:type="dxa"/>
              <w:right w:w="30" w:type="dxa"/>
            </w:tcMar>
          </w:tcPr>
          <w:p w:rsidR="00F14E5C" w:rsidRDefault="00F14E5C" w:rsidP="003A6CF1">
            <w:pPr>
              <w:spacing w:line="320" w:lineRule="atLeast"/>
              <w:jc w:val="right"/>
              <w:rPr>
                <w:rFonts w:ascii="Arial" w:hAnsi="Arial" w:cs="Arial"/>
                <w:sz w:val="18"/>
                <w:szCs w:val="18"/>
              </w:rPr>
            </w:pPr>
            <w:r>
              <w:rPr>
                <w:rFonts w:ascii="Arial" w:hAnsi="Arial" w:cs="Arial"/>
                <w:sz w:val="18"/>
                <w:szCs w:val="18"/>
              </w:rPr>
              <w:t>58,7</w:t>
            </w:r>
          </w:p>
        </w:tc>
        <w:tc>
          <w:tcPr>
            <w:tcW w:w="1382" w:type="dxa"/>
            <w:tcBorders>
              <w:top w:val="nil"/>
              <w:bottom w:val="nil"/>
            </w:tcBorders>
            <w:shd w:val="clear" w:color="auto" w:fill="FFFFFF"/>
            <w:tcMar>
              <w:top w:w="30" w:type="dxa"/>
              <w:left w:w="30" w:type="dxa"/>
              <w:bottom w:w="30" w:type="dxa"/>
              <w:right w:w="30" w:type="dxa"/>
            </w:tcMar>
          </w:tcPr>
          <w:p w:rsidR="00F14E5C" w:rsidRDefault="00F14E5C" w:rsidP="003A6CF1">
            <w:pPr>
              <w:spacing w:line="320" w:lineRule="atLeast"/>
              <w:jc w:val="right"/>
              <w:rPr>
                <w:rFonts w:ascii="Arial" w:hAnsi="Arial" w:cs="Arial"/>
                <w:sz w:val="18"/>
                <w:szCs w:val="18"/>
              </w:rPr>
            </w:pPr>
            <w:r>
              <w:rPr>
                <w:rFonts w:ascii="Arial" w:hAnsi="Arial" w:cs="Arial"/>
                <w:sz w:val="18"/>
                <w:szCs w:val="18"/>
              </w:rPr>
              <w:t>58,7</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F14E5C" w:rsidRDefault="00F14E5C" w:rsidP="003A6CF1">
            <w:pPr>
              <w:spacing w:line="320" w:lineRule="atLeast"/>
              <w:jc w:val="right"/>
              <w:rPr>
                <w:rFonts w:ascii="Arial" w:hAnsi="Arial" w:cs="Arial"/>
                <w:sz w:val="18"/>
                <w:szCs w:val="18"/>
              </w:rPr>
            </w:pPr>
            <w:r>
              <w:rPr>
                <w:rFonts w:ascii="Arial" w:hAnsi="Arial" w:cs="Arial"/>
                <w:sz w:val="18"/>
                <w:szCs w:val="18"/>
              </w:rPr>
              <w:t>100,0</w:t>
            </w:r>
          </w:p>
        </w:tc>
      </w:tr>
      <w:tr w:rsidR="00F14E5C" w:rsidTr="00F14E5C">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4E5C" w:rsidRDefault="00F14E5C" w:rsidP="003A6CF1">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4E5C" w:rsidRDefault="00F14E5C" w:rsidP="003A6CF1">
            <w:pPr>
              <w:spacing w:line="320" w:lineRule="atLeast"/>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14E5C" w:rsidRDefault="00F14E5C" w:rsidP="003A6CF1">
            <w:pPr>
              <w:spacing w:line="320" w:lineRule="atLeast"/>
              <w:jc w:val="right"/>
              <w:rPr>
                <w:rFonts w:ascii="Arial" w:hAnsi="Arial" w:cs="Arial"/>
                <w:sz w:val="18"/>
                <w:szCs w:val="18"/>
              </w:rPr>
            </w:pPr>
            <w:r>
              <w:rPr>
                <w:rFonts w:ascii="Arial" w:hAnsi="Arial" w:cs="Arial"/>
                <w:sz w:val="18"/>
                <w:szCs w:val="18"/>
              </w:rPr>
              <w:t>774</w:t>
            </w:r>
          </w:p>
        </w:tc>
        <w:tc>
          <w:tcPr>
            <w:tcW w:w="1009" w:type="dxa"/>
            <w:tcBorders>
              <w:top w:val="nil"/>
              <w:bottom w:val="single" w:sz="16" w:space="0" w:color="000000"/>
            </w:tcBorders>
            <w:shd w:val="clear" w:color="auto" w:fill="FFFFFF"/>
            <w:tcMar>
              <w:top w:w="30" w:type="dxa"/>
              <w:left w:w="30" w:type="dxa"/>
              <w:bottom w:w="30" w:type="dxa"/>
              <w:right w:w="30" w:type="dxa"/>
            </w:tcMar>
          </w:tcPr>
          <w:p w:rsidR="00F14E5C" w:rsidRDefault="00F14E5C" w:rsidP="003A6CF1">
            <w:pPr>
              <w:spacing w:line="320" w:lineRule="atLeast"/>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F14E5C" w:rsidRDefault="00F14E5C" w:rsidP="003A6CF1">
            <w:pPr>
              <w:spacing w:line="320" w:lineRule="atLeast"/>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4E5C" w:rsidRDefault="00F14E5C" w:rsidP="003A6CF1">
            <w:pPr>
              <w:jc w:val="center"/>
              <w:rPr>
                <w:rFonts w:ascii="Times New Roman" w:hAnsi="Times New Roman" w:cs="Times New Roman"/>
                <w:sz w:val="24"/>
                <w:szCs w:val="24"/>
              </w:rPr>
            </w:pPr>
          </w:p>
        </w:tc>
      </w:tr>
    </w:tbl>
    <w:p w:rsidR="00F14E5C" w:rsidRDefault="00F14E5C" w:rsidP="00504A7F">
      <w:pPr>
        <w:spacing w:line="360" w:lineRule="auto"/>
        <w:rPr>
          <w:lang w:val="en-US"/>
        </w:rPr>
      </w:pPr>
    </w:p>
    <w:p w:rsidR="00504A7F" w:rsidRPr="00504A7F" w:rsidRDefault="00504A7F" w:rsidP="00504A7F">
      <w:pPr>
        <w:spacing w:line="360" w:lineRule="auto"/>
        <w:rPr>
          <w:rFonts w:ascii="ScalaSans-Caps" w:hAnsi="ScalaSans-Caps"/>
          <w:lang w:val="en-US"/>
        </w:rPr>
      </w:pPr>
      <w:r w:rsidRPr="00504A7F">
        <w:rPr>
          <w:rFonts w:ascii="ScalaSans-Caps" w:hAnsi="ScalaSans-Caps"/>
          <w:lang w:val="en-US"/>
        </w:rPr>
        <w:t>Appendix 4</w:t>
      </w:r>
      <w:r w:rsidR="00F14E5C">
        <w:rPr>
          <w:rFonts w:ascii="ScalaSans-Caps" w:hAnsi="ScalaSans-Caps"/>
          <w:lang w:val="en-US"/>
        </w:rPr>
        <w:t>B</w:t>
      </w:r>
    </w:p>
    <w:tbl>
      <w:tblPr>
        <w:tblW w:w="6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382"/>
        <w:gridCol w:w="1456"/>
      </w:tblGrid>
      <w:tr w:rsidR="00504A7F" w:rsidTr="003A6CF1">
        <w:trPr>
          <w:cantSplit/>
          <w:tblHeader/>
        </w:trPr>
        <w:tc>
          <w:tcPr>
            <w:tcW w:w="6453" w:type="dxa"/>
            <w:gridSpan w:val="6"/>
            <w:tcBorders>
              <w:top w:val="nil"/>
              <w:left w:val="nil"/>
              <w:bottom w:val="nil"/>
              <w:right w:val="nil"/>
            </w:tcBorders>
            <w:shd w:val="clear" w:color="auto" w:fill="FFFFFF"/>
            <w:tcMar>
              <w:top w:w="30" w:type="dxa"/>
              <w:left w:w="30" w:type="dxa"/>
              <w:bottom w:w="30" w:type="dxa"/>
              <w:right w:w="30" w:type="dxa"/>
            </w:tcMar>
            <w:vAlign w:val="center"/>
          </w:tcPr>
          <w:p w:rsidR="00504A7F" w:rsidRDefault="00504A7F" w:rsidP="003A6CF1">
            <w:pPr>
              <w:spacing w:line="320" w:lineRule="atLeast"/>
              <w:jc w:val="center"/>
              <w:rPr>
                <w:rFonts w:ascii="Arial" w:hAnsi="Arial" w:cs="Arial"/>
                <w:sz w:val="18"/>
                <w:szCs w:val="18"/>
              </w:rPr>
            </w:pPr>
            <w:r>
              <w:rPr>
                <w:rFonts w:ascii="Arial" w:hAnsi="Arial" w:cs="Arial"/>
                <w:b/>
                <w:bCs/>
                <w:sz w:val="18"/>
                <w:szCs w:val="18"/>
              </w:rPr>
              <w:t>legal form (1=association, 0=foundation)</w:t>
            </w:r>
          </w:p>
        </w:tc>
      </w:tr>
      <w:tr w:rsidR="00504A7F" w:rsidTr="003A6CF1">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04A7F" w:rsidRDefault="00504A7F" w:rsidP="003A6CF1">
            <w:pPr>
              <w:rPr>
                <w:rFonts w:ascii="Times New Roman" w:hAnsi="Times New Roman" w:cs="Times New Roman"/>
                <w:sz w:val="24"/>
                <w:szCs w:val="24"/>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04A7F" w:rsidRDefault="00504A7F" w:rsidP="003A6CF1">
            <w:pP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04A7F" w:rsidRDefault="00504A7F" w:rsidP="003A6CF1">
            <w:pPr>
              <w:spacing w:line="320" w:lineRule="atLeast"/>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04A7F" w:rsidRDefault="00504A7F" w:rsidP="003A6CF1">
            <w:pPr>
              <w:spacing w:line="320" w:lineRule="atLeast"/>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04A7F" w:rsidRDefault="00504A7F" w:rsidP="003A6CF1">
            <w:pPr>
              <w:spacing w:line="320" w:lineRule="atLeast"/>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04A7F" w:rsidRDefault="00504A7F" w:rsidP="003A6CF1">
            <w:pPr>
              <w:spacing w:line="320" w:lineRule="atLeast"/>
              <w:jc w:val="center"/>
              <w:rPr>
                <w:rFonts w:ascii="Arial" w:hAnsi="Arial" w:cs="Arial"/>
                <w:sz w:val="18"/>
                <w:szCs w:val="18"/>
              </w:rPr>
            </w:pPr>
            <w:r>
              <w:rPr>
                <w:rFonts w:ascii="Arial" w:hAnsi="Arial" w:cs="Arial"/>
                <w:sz w:val="18"/>
                <w:szCs w:val="18"/>
              </w:rPr>
              <w:t>Cumulative Percent</w:t>
            </w:r>
          </w:p>
        </w:tc>
      </w:tr>
      <w:tr w:rsidR="00504A7F" w:rsidTr="003A6CF1">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04A7F" w:rsidRDefault="00504A7F" w:rsidP="003A6CF1">
            <w:pPr>
              <w:spacing w:line="320" w:lineRule="atLeast"/>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rPr>
                <w:rFonts w:ascii="Arial" w:hAnsi="Arial" w:cs="Arial"/>
                <w:sz w:val="18"/>
                <w:szCs w:val="18"/>
              </w:rPr>
            </w:pPr>
            <w:r>
              <w:rPr>
                <w:rFonts w:ascii="Arial" w:hAnsi="Arial" w:cs="Arial"/>
                <w:sz w:val="18"/>
                <w:szCs w:val="18"/>
              </w:rPr>
              <w:t>0</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710</w:t>
            </w:r>
          </w:p>
        </w:tc>
        <w:tc>
          <w:tcPr>
            <w:tcW w:w="1009" w:type="dxa"/>
            <w:tcBorders>
              <w:top w:val="single" w:sz="16" w:space="0" w:color="000000"/>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91,7</w:t>
            </w:r>
          </w:p>
        </w:tc>
        <w:tc>
          <w:tcPr>
            <w:tcW w:w="1381" w:type="dxa"/>
            <w:tcBorders>
              <w:top w:val="single" w:sz="16" w:space="0" w:color="000000"/>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91,7</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91,7</w:t>
            </w:r>
          </w:p>
        </w:tc>
      </w:tr>
      <w:tr w:rsidR="00504A7F" w:rsidTr="003A6CF1">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04A7F" w:rsidRDefault="00504A7F" w:rsidP="003A6CF1">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rPr>
                <w:rFonts w:ascii="Arial" w:hAnsi="Arial" w:cs="Arial"/>
                <w:sz w:val="18"/>
                <w:szCs w:val="18"/>
              </w:rPr>
            </w:pPr>
            <w:r>
              <w:rPr>
                <w:rFonts w:ascii="Arial" w:hAnsi="Arial" w:cs="Arial"/>
                <w:sz w:val="18"/>
                <w:szCs w:val="18"/>
              </w:rPr>
              <w:t>1</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64</w:t>
            </w:r>
          </w:p>
        </w:tc>
        <w:tc>
          <w:tcPr>
            <w:tcW w:w="1009" w:type="dxa"/>
            <w:tcBorders>
              <w:top w:val="nil"/>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8,3</w:t>
            </w:r>
          </w:p>
        </w:tc>
        <w:tc>
          <w:tcPr>
            <w:tcW w:w="1381" w:type="dxa"/>
            <w:tcBorders>
              <w:top w:val="nil"/>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8,3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100,0</w:t>
            </w:r>
          </w:p>
        </w:tc>
      </w:tr>
      <w:tr w:rsidR="00504A7F" w:rsidTr="003A6CF1">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04A7F" w:rsidRDefault="00504A7F" w:rsidP="003A6CF1">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774</w:t>
            </w:r>
          </w:p>
        </w:tc>
        <w:tc>
          <w:tcPr>
            <w:tcW w:w="1009" w:type="dxa"/>
            <w:tcBorders>
              <w:top w:val="nil"/>
              <w:bottom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04A7F" w:rsidRDefault="00504A7F" w:rsidP="003A6CF1">
            <w:pPr>
              <w:jc w:val="center"/>
              <w:rPr>
                <w:rFonts w:ascii="Times New Roman" w:hAnsi="Times New Roman" w:cs="Times New Roman"/>
                <w:sz w:val="24"/>
                <w:szCs w:val="24"/>
              </w:rPr>
            </w:pPr>
          </w:p>
        </w:tc>
      </w:tr>
    </w:tbl>
    <w:p w:rsidR="00504A7F" w:rsidRDefault="00504A7F" w:rsidP="00504A7F">
      <w:pPr>
        <w:spacing w:line="360" w:lineRule="auto"/>
        <w:rPr>
          <w:lang w:val="en-US"/>
        </w:rPr>
      </w:pPr>
    </w:p>
    <w:p w:rsidR="00504A7F" w:rsidRPr="00504A7F" w:rsidRDefault="00504A7F" w:rsidP="00504A7F">
      <w:pPr>
        <w:spacing w:line="360" w:lineRule="auto"/>
        <w:rPr>
          <w:rFonts w:ascii="ScalaSans-Caps" w:hAnsi="ScalaSans-Caps"/>
          <w:lang w:val="en-US"/>
        </w:rPr>
      </w:pPr>
      <w:r w:rsidRPr="00504A7F">
        <w:rPr>
          <w:rFonts w:ascii="ScalaSans-Caps" w:hAnsi="ScalaSans-Caps"/>
          <w:lang w:val="en-US"/>
        </w:rPr>
        <w:t>Appendix 4</w:t>
      </w:r>
      <w:r w:rsidR="00F14E5C">
        <w:rPr>
          <w:rFonts w:ascii="ScalaSans-Caps" w:hAnsi="ScalaSans-Caps"/>
          <w:lang w:val="en-US"/>
        </w:rPr>
        <w:t>C</w:t>
      </w:r>
    </w:p>
    <w:tbl>
      <w:tblPr>
        <w:tblW w:w="6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382"/>
        <w:gridCol w:w="1456"/>
      </w:tblGrid>
      <w:tr w:rsidR="00504A7F" w:rsidTr="003A6CF1">
        <w:trPr>
          <w:cantSplit/>
          <w:tblHeader/>
        </w:trPr>
        <w:tc>
          <w:tcPr>
            <w:tcW w:w="6453" w:type="dxa"/>
            <w:gridSpan w:val="6"/>
            <w:tcBorders>
              <w:top w:val="nil"/>
              <w:left w:val="nil"/>
              <w:bottom w:val="nil"/>
              <w:right w:val="nil"/>
            </w:tcBorders>
            <w:shd w:val="clear" w:color="auto" w:fill="FFFFFF"/>
            <w:tcMar>
              <w:top w:w="30" w:type="dxa"/>
              <w:left w:w="30" w:type="dxa"/>
              <w:bottom w:w="30" w:type="dxa"/>
              <w:right w:w="30" w:type="dxa"/>
            </w:tcMar>
            <w:vAlign w:val="center"/>
          </w:tcPr>
          <w:p w:rsidR="00504A7F" w:rsidRDefault="00504A7F" w:rsidP="00504A7F">
            <w:pPr>
              <w:spacing w:line="320" w:lineRule="atLeast"/>
              <w:jc w:val="center"/>
              <w:rPr>
                <w:rFonts w:ascii="Arial" w:hAnsi="Arial" w:cs="Arial"/>
                <w:sz w:val="18"/>
                <w:szCs w:val="18"/>
              </w:rPr>
            </w:pPr>
            <w:r>
              <w:rPr>
                <w:rFonts w:ascii="Arial" w:hAnsi="Arial" w:cs="Arial"/>
                <w:b/>
                <w:bCs/>
                <w:sz w:val="18"/>
                <w:szCs w:val="18"/>
              </w:rPr>
              <w:t>CBF brand (1=yes, 0=no)</w:t>
            </w:r>
          </w:p>
        </w:tc>
      </w:tr>
      <w:tr w:rsidR="00504A7F" w:rsidTr="003A6CF1">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04A7F" w:rsidRDefault="00504A7F" w:rsidP="003A6CF1">
            <w:pPr>
              <w:rPr>
                <w:rFonts w:ascii="Times New Roman" w:hAnsi="Times New Roman" w:cs="Times New Roman"/>
                <w:sz w:val="24"/>
                <w:szCs w:val="24"/>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04A7F" w:rsidRDefault="00504A7F" w:rsidP="003A6CF1">
            <w:pP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04A7F" w:rsidRDefault="00504A7F" w:rsidP="003A6CF1">
            <w:pPr>
              <w:spacing w:line="320" w:lineRule="atLeast"/>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04A7F" w:rsidRDefault="00504A7F" w:rsidP="003A6CF1">
            <w:pPr>
              <w:spacing w:line="320" w:lineRule="atLeast"/>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04A7F" w:rsidRDefault="00504A7F" w:rsidP="003A6CF1">
            <w:pPr>
              <w:spacing w:line="320" w:lineRule="atLeast"/>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04A7F" w:rsidRDefault="00504A7F" w:rsidP="003A6CF1">
            <w:pPr>
              <w:spacing w:line="320" w:lineRule="atLeast"/>
              <w:jc w:val="center"/>
              <w:rPr>
                <w:rFonts w:ascii="Arial" w:hAnsi="Arial" w:cs="Arial"/>
                <w:sz w:val="18"/>
                <w:szCs w:val="18"/>
              </w:rPr>
            </w:pPr>
            <w:r>
              <w:rPr>
                <w:rFonts w:ascii="Arial" w:hAnsi="Arial" w:cs="Arial"/>
                <w:sz w:val="18"/>
                <w:szCs w:val="18"/>
              </w:rPr>
              <w:t>Cumulative Percent</w:t>
            </w:r>
          </w:p>
        </w:tc>
      </w:tr>
      <w:tr w:rsidR="00504A7F" w:rsidTr="003A6CF1">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04A7F" w:rsidRDefault="00504A7F" w:rsidP="003A6CF1">
            <w:pPr>
              <w:spacing w:line="320" w:lineRule="atLeast"/>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rPr>
                <w:rFonts w:ascii="Arial" w:hAnsi="Arial" w:cs="Arial"/>
                <w:sz w:val="18"/>
                <w:szCs w:val="18"/>
              </w:rPr>
            </w:pPr>
            <w:r>
              <w:rPr>
                <w:rFonts w:ascii="Arial" w:hAnsi="Arial" w:cs="Arial"/>
                <w:sz w:val="18"/>
                <w:szCs w:val="18"/>
              </w:rPr>
              <w:t>0</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430</w:t>
            </w:r>
          </w:p>
        </w:tc>
        <w:tc>
          <w:tcPr>
            <w:tcW w:w="1009" w:type="dxa"/>
            <w:tcBorders>
              <w:top w:val="single" w:sz="16" w:space="0" w:color="000000"/>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55,6</w:t>
            </w:r>
          </w:p>
        </w:tc>
        <w:tc>
          <w:tcPr>
            <w:tcW w:w="1381" w:type="dxa"/>
            <w:tcBorders>
              <w:top w:val="single" w:sz="16" w:space="0" w:color="000000"/>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55,6</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55,6</w:t>
            </w:r>
          </w:p>
        </w:tc>
      </w:tr>
      <w:tr w:rsidR="00504A7F" w:rsidTr="003A6CF1">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04A7F" w:rsidRDefault="00504A7F" w:rsidP="003A6CF1">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rPr>
                <w:rFonts w:ascii="Arial" w:hAnsi="Arial" w:cs="Arial"/>
                <w:sz w:val="18"/>
                <w:szCs w:val="18"/>
              </w:rPr>
            </w:pPr>
            <w:r>
              <w:rPr>
                <w:rFonts w:ascii="Arial" w:hAnsi="Arial" w:cs="Arial"/>
                <w:sz w:val="18"/>
                <w:szCs w:val="18"/>
              </w:rPr>
              <w:t>1</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344</w:t>
            </w:r>
          </w:p>
        </w:tc>
        <w:tc>
          <w:tcPr>
            <w:tcW w:w="1009" w:type="dxa"/>
            <w:tcBorders>
              <w:top w:val="nil"/>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44,4</w:t>
            </w:r>
          </w:p>
        </w:tc>
        <w:tc>
          <w:tcPr>
            <w:tcW w:w="1381" w:type="dxa"/>
            <w:tcBorders>
              <w:top w:val="nil"/>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44,4</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100,0</w:t>
            </w:r>
          </w:p>
        </w:tc>
      </w:tr>
      <w:tr w:rsidR="00504A7F" w:rsidTr="003A6CF1">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04A7F" w:rsidRDefault="00504A7F" w:rsidP="003A6CF1">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774</w:t>
            </w:r>
          </w:p>
        </w:tc>
        <w:tc>
          <w:tcPr>
            <w:tcW w:w="1009" w:type="dxa"/>
            <w:tcBorders>
              <w:top w:val="nil"/>
              <w:bottom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04A7F" w:rsidRDefault="00504A7F" w:rsidP="003A6CF1">
            <w:pPr>
              <w:jc w:val="center"/>
              <w:rPr>
                <w:rFonts w:ascii="Times New Roman" w:hAnsi="Times New Roman" w:cs="Times New Roman"/>
                <w:sz w:val="24"/>
                <w:szCs w:val="24"/>
              </w:rPr>
            </w:pPr>
          </w:p>
        </w:tc>
      </w:tr>
    </w:tbl>
    <w:p w:rsidR="00504A7F" w:rsidRDefault="00504A7F" w:rsidP="00504A7F">
      <w:pPr>
        <w:spacing w:line="360" w:lineRule="auto"/>
        <w:rPr>
          <w:lang w:val="en-US"/>
        </w:rPr>
      </w:pPr>
    </w:p>
    <w:p w:rsidR="00504A7F" w:rsidRPr="00504A7F" w:rsidRDefault="00504A7F" w:rsidP="00504A7F">
      <w:pPr>
        <w:spacing w:line="360" w:lineRule="auto"/>
        <w:rPr>
          <w:rFonts w:ascii="ScalaSans-Caps" w:hAnsi="ScalaSans-Caps"/>
          <w:lang w:val="en-US"/>
        </w:rPr>
      </w:pPr>
      <w:r w:rsidRPr="00504A7F">
        <w:rPr>
          <w:rFonts w:ascii="ScalaSans-Caps" w:hAnsi="ScalaSans-Caps"/>
          <w:lang w:val="en-US"/>
        </w:rPr>
        <w:t>Appendix 4</w:t>
      </w:r>
      <w:r w:rsidR="00F14E5C">
        <w:rPr>
          <w:rFonts w:ascii="ScalaSans-Caps" w:hAnsi="ScalaSans-Caps"/>
          <w:lang w:val="en-US"/>
        </w:rPr>
        <w:t>D</w:t>
      </w:r>
    </w:p>
    <w:tbl>
      <w:tblPr>
        <w:tblW w:w="6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382"/>
        <w:gridCol w:w="1456"/>
      </w:tblGrid>
      <w:tr w:rsidR="00504A7F" w:rsidTr="00F14E5C">
        <w:trPr>
          <w:cantSplit/>
          <w:tblHeader/>
        </w:trPr>
        <w:tc>
          <w:tcPr>
            <w:tcW w:w="6456" w:type="dxa"/>
            <w:gridSpan w:val="6"/>
            <w:tcBorders>
              <w:top w:val="nil"/>
              <w:left w:val="nil"/>
              <w:bottom w:val="nil"/>
              <w:right w:val="nil"/>
            </w:tcBorders>
            <w:shd w:val="clear" w:color="auto" w:fill="FFFFFF"/>
            <w:tcMar>
              <w:top w:w="30" w:type="dxa"/>
              <w:left w:w="30" w:type="dxa"/>
              <w:bottom w:w="30" w:type="dxa"/>
              <w:right w:w="30" w:type="dxa"/>
            </w:tcMar>
            <w:vAlign w:val="center"/>
          </w:tcPr>
          <w:p w:rsidR="00504A7F" w:rsidRDefault="00504A7F" w:rsidP="003A6CF1">
            <w:pPr>
              <w:spacing w:line="320" w:lineRule="atLeast"/>
              <w:jc w:val="center"/>
              <w:rPr>
                <w:rFonts w:ascii="Arial" w:hAnsi="Arial" w:cs="Arial"/>
                <w:sz w:val="18"/>
                <w:szCs w:val="18"/>
              </w:rPr>
            </w:pPr>
            <w:r>
              <w:rPr>
                <w:rFonts w:ascii="Arial" w:hAnsi="Arial" w:cs="Arial"/>
                <w:b/>
                <w:bCs/>
                <w:sz w:val="18"/>
                <w:szCs w:val="18"/>
              </w:rPr>
              <w:t>VFI membership (1=yes, 0=no)</w:t>
            </w:r>
          </w:p>
        </w:tc>
      </w:tr>
      <w:tr w:rsidR="00504A7F" w:rsidTr="00F14E5C">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04A7F" w:rsidRDefault="00504A7F" w:rsidP="003A6CF1">
            <w:pPr>
              <w:rPr>
                <w:rFonts w:ascii="Times New Roman" w:hAnsi="Times New Roman" w:cs="Times New Roman"/>
                <w:sz w:val="24"/>
                <w:szCs w:val="24"/>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04A7F" w:rsidRDefault="00504A7F" w:rsidP="003A6CF1">
            <w:pP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04A7F" w:rsidRDefault="00504A7F" w:rsidP="003A6CF1">
            <w:pPr>
              <w:spacing w:line="320" w:lineRule="atLeast"/>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04A7F" w:rsidRDefault="00504A7F" w:rsidP="003A6CF1">
            <w:pPr>
              <w:spacing w:line="320" w:lineRule="atLeast"/>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04A7F" w:rsidRDefault="00504A7F" w:rsidP="003A6CF1">
            <w:pPr>
              <w:spacing w:line="320" w:lineRule="atLeast"/>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04A7F" w:rsidRDefault="00504A7F" w:rsidP="003A6CF1">
            <w:pPr>
              <w:spacing w:line="320" w:lineRule="atLeast"/>
              <w:jc w:val="center"/>
              <w:rPr>
                <w:rFonts w:ascii="Arial" w:hAnsi="Arial" w:cs="Arial"/>
                <w:sz w:val="18"/>
                <w:szCs w:val="18"/>
              </w:rPr>
            </w:pPr>
            <w:r>
              <w:rPr>
                <w:rFonts w:ascii="Arial" w:hAnsi="Arial" w:cs="Arial"/>
                <w:sz w:val="18"/>
                <w:szCs w:val="18"/>
              </w:rPr>
              <w:t>Cumulative Percent</w:t>
            </w:r>
          </w:p>
        </w:tc>
      </w:tr>
      <w:tr w:rsidR="00504A7F" w:rsidTr="00F14E5C">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04A7F" w:rsidRDefault="00504A7F" w:rsidP="003A6CF1">
            <w:pPr>
              <w:spacing w:line="320" w:lineRule="atLeast"/>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rPr>
                <w:rFonts w:ascii="Arial" w:hAnsi="Arial" w:cs="Arial"/>
                <w:sz w:val="18"/>
                <w:szCs w:val="18"/>
              </w:rPr>
            </w:pPr>
            <w:r>
              <w:rPr>
                <w:rFonts w:ascii="Arial" w:hAnsi="Arial" w:cs="Arial"/>
                <w:sz w:val="18"/>
                <w:szCs w:val="18"/>
              </w:rPr>
              <w:t>0</w:t>
            </w:r>
          </w:p>
        </w:tc>
        <w:tc>
          <w:tcPr>
            <w:tcW w:w="11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657</w:t>
            </w:r>
          </w:p>
        </w:tc>
        <w:tc>
          <w:tcPr>
            <w:tcW w:w="1009" w:type="dxa"/>
            <w:tcBorders>
              <w:top w:val="single" w:sz="16" w:space="0" w:color="000000"/>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84,9</w:t>
            </w:r>
          </w:p>
        </w:tc>
        <w:tc>
          <w:tcPr>
            <w:tcW w:w="1382" w:type="dxa"/>
            <w:tcBorders>
              <w:top w:val="single" w:sz="16" w:space="0" w:color="000000"/>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84,9</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84,9</w:t>
            </w:r>
          </w:p>
        </w:tc>
      </w:tr>
      <w:tr w:rsidR="00504A7F" w:rsidTr="00F14E5C">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04A7F" w:rsidRDefault="00504A7F" w:rsidP="003A6CF1">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rPr>
                <w:rFonts w:ascii="Arial" w:hAnsi="Arial" w:cs="Arial"/>
                <w:sz w:val="18"/>
                <w:szCs w:val="18"/>
              </w:rPr>
            </w:pPr>
            <w:r>
              <w:rPr>
                <w:rFonts w:ascii="Arial" w:hAnsi="Arial" w:cs="Arial"/>
                <w:sz w:val="18"/>
                <w:szCs w:val="18"/>
              </w:rPr>
              <w:t>1</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117</w:t>
            </w:r>
          </w:p>
        </w:tc>
        <w:tc>
          <w:tcPr>
            <w:tcW w:w="1009" w:type="dxa"/>
            <w:tcBorders>
              <w:top w:val="nil"/>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15,1</w:t>
            </w:r>
          </w:p>
        </w:tc>
        <w:tc>
          <w:tcPr>
            <w:tcW w:w="1382" w:type="dxa"/>
            <w:tcBorders>
              <w:top w:val="nil"/>
              <w:bottom w:val="nil"/>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15,1</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100,0</w:t>
            </w:r>
          </w:p>
        </w:tc>
      </w:tr>
      <w:tr w:rsidR="00504A7F" w:rsidTr="00F14E5C">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04A7F" w:rsidRDefault="00504A7F" w:rsidP="003A6CF1">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774</w:t>
            </w:r>
          </w:p>
        </w:tc>
        <w:tc>
          <w:tcPr>
            <w:tcW w:w="1009" w:type="dxa"/>
            <w:tcBorders>
              <w:top w:val="nil"/>
              <w:bottom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504A7F" w:rsidRDefault="00504A7F" w:rsidP="003A6CF1">
            <w:pPr>
              <w:spacing w:line="320" w:lineRule="atLeast"/>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04A7F" w:rsidRDefault="00504A7F" w:rsidP="003A6CF1">
            <w:pPr>
              <w:jc w:val="center"/>
              <w:rPr>
                <w:rFonts w:ascii="Times New Roman" w:hAnsi="Times New Roman" w:cs="Times New Roman"/>
                <w:sz w:val="24"/>
                <w:szCs w:val="24"/>
              </w:rPr>
            </w:pPr>
          </w:p>
        </w:tc>
      </w:tr>
    </w:tbl>
    <w:p w:rsidR="00F14E5C" w:rsidRDefault="00F14E5C" w:rsidP="00F14E5C">
      <w:pPr>
        <w:spacing w:line="360" w:lineRule="auto"/>
        <w:rPr>
          <w:rFonts w:ascii="ScalaSans-Caps" w:hAnsi="ScalaSans-Caps"/>
          <w:lang w:val="en-US"/>
        </w:rPr>
      </w:pPr>
    </w:p>
    <w:p w:rsidR="003A6CF1" w:rsidRDefault="003A6CF1">
      <w:pPr>
        <w:rPr>
          <w:rFonts w:ascii="ScalaSans-Caps" w:hAnsi="ScalaSans-Caps"/>
          <w:lang w:val="en-US"/>
        </w:rPr>
      </w:pPr>
      <w:r>
        <w:rPr>
          <w:rFonts w:ascii="ScalaSans-Caps" w:hAnsi="ScalaSans-Caps"/>
          <w:lang w:val="en-US"/>
        </w:rPr>
        <w:br w:type="page"/>
      </w:r>
    </w:p>
    <w:p w:rsidR="002D0E65" w:rsidRPr="002D0E65" w:rsidRDefault="002D0E65" w:rsidP="002D0E65">
      <w:pPr>
        <w:spacing w:line="360" w:lineRule="auto"/>
        <w:rPr>
          <w:rFonts w:ascii="ScalaSans-Caps" w:hAnsi="ScalaSans-Caps"/>
          <w:lang w:val="en-US"/>
        </w:rPr>
      </w:pPr>
      <w:r w:rsidRPr="002D0E65">
        <w:rPr>
          <w:rFonts w:ascii="ScalaSans-Caps" w:hAnsi="ScalaSans-Caps"/>
          <w:lang w:val="en-US"/>
        </w:rPr>
        <w:t>Appendix 4E</w:t>
      </w:r>
    </w:p>
    <w:tbl>
      <w:tblPr>
        <w:tblW w:w="6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382"/>
        <w:gridCol w:w="1456"/>
      </w:tblGrid>
      <w:tr w:rsidR="002D0E65" w:rsidTr="003A6CF1">
        <w:trPr>
          <w:cantSplit/>
          <w:tblHeader/>
        </w:trPr>
        <w:tc>
          <w:tcPr>
            <w:tcW w:w="6456" w:type="dxa"/>
            <w:gridSpan w:val="6"/>
            <w:tcBorders>
              <w:top w:val="nil"/>
              <w:left w:val="nil"/>
              <w:bottom w:val="nil"/>
              <w:right w:val="nil"/>
            </w:tcBorders>
            <w:shd w:val="clear" w:color="auto" w:fill="FFFFFF"/>
            <w:tcMar>
              <w:top w:w="30" w:type="dxa"/>
              <w:left w:w="30" w:type="dxa"/>
              <w:bottom w:w="30" w:type="dxa"/>
              <w:right w:w="30" w:type="dxa"/>
            </w:tcMar>
            <w:vAlign w:val="center"/>
          </w:tcPr>
          <w:p w:rsidR="002D0E65" w:rsidRDefault="002D0E65" w:rsidP="003A6CF1">
            <w:pPr>
              <w:spacing w:line="320" w:lineRule="atLeast"/>
              <w:jc w:val="center"/>
              <w:rPr>
                <w:rFonts w:ascii="Arial" w:hAnsi="Arial" w:cs="Arial"/>
                <w:sz w:val="18"/>
                <w:szCs w:val="18"/>
              </w:rPr>
            </w:pPr>
            <w:r>
              <w:rPr>
                <w:rFonts w:ascii="Arial" w:hAnsi="Arial" w:cs="Arial"/>
                <w:b/>
                <w:bCs/>
                <w:sz w:val="18"/>
                <w:szCs w:val="18"/>
              </w:rPr>
              <w:t>Advisory council (1=yes, 0=no)</w:t>
            </w:r>
          </w:p>
        </w:tc>
      </w:tr>
      <w:tr w:rsidR="002D0E65" w:rsidTr="003A6CF1">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D0E65" w:rsidRDefault="002D0E65" w:rsidP="003A6CF1">
            <w:pPr>
              <w:rPr>
                <w:rFonts w:ascii="Times New Roman" w:hAnsi="Times New Roman" w:cs="Times New Roman"/>
                <w:sz w:val="24"/>
                <w:szCs w:val="24"/>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D0E65" w:rsidRDefault="002D0E65" w:rsidP="003A6CF1">
            <w:pP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D0E65" w:rsidRDefault="002D0E65" w:rsidP="003A6CF1">
            <w:pPr>
              <w:spacing w:line="320" w:lineRule="atLeast"/>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D0E65" w:rsidRDefault="002D0E65" w:rsidP="003A6CF1">
            <w:pPr>
              <w:spacing w:line="320" w:lineRule="atLeast"/>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D0E65" w:rsidRDefault="002D0E65" w:rsidP="003A6CF1">
            <w:pPr>
              <w:spacing w:line="320" w:lineRule="atLeast"/>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D0E65" w:rsidRDefault="002D0E65" w:rsidP="003A6CF1">
            <w:pPr>
              <w:spacing w:line="320" w:lineRule="atLeast"/>
              <w:jc w:val="center"/>
              <w:rPr>
                <w:rFonts w:ascii="Arial" w:hAnsi="Arial" w:cs="Arial"/>
                <w:sz w:val="18"/>
                <w:szCs w:val="18"/>
              </w:rPr>
            </w:pPr>
            <w:r>
              <w:rPr>
                <w:rFonts w:ascii="Arial" w:hAnsi="Arial" w:cs="Arial"/>
                <w:sz w:val="18"/>
                <w:szCs w:val="18"/>
              </w:rPr>
              <w:t>Cumulative Percent</w:t>
            </w:r>
          </w:p>
        </w:tc>
      </w:tr>
      <w:tr w:rsidR="002D0E65" w:rsidTr="003A6CF1">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D0E65" w:rsidRDefault="002D0E65" w:rsidP="003A6CF1">
            <w:pPr>
              <w:spacing w:line="320" w:lineRule="atLeast"/>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D0E65" w:rsidRDefault="002D0E65" w:rsidP="003A6CF1">
            <w:pPr>
              <w:spacing w:line="320" w:lineRule="atLeast"/>
              <w:rPr>
                <w:rFonts w:ascii="Arial" w:hAnsi="Arial" w:cs="Arial"/>
                <w:sz w:val="18"/>
                <w:szCs w:val="18"/>
              </w:rPr>
            </w:pPr>
            <w:r>
              <w:rPr>
                <w:rFonts w:ascii="Arial" w:hAnsi="Arial" w:cs="Arial"/>
                <w:sz w:val="18"/>
                <w:szCs w:val="18"/>
              </w:rPr>
              <w:t>0</w:t>
            </w:r>
          </w:p>
        </w:tc>
        <w:tc>
          <w:tcPr>
            <w:tcW w:w="11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D0E65" w:rsidRDefault="002D0E65" w:rsidP="003A6CF1">
            <w:pPr>
              <w:spacing w:line="320" w:lineRule="atLeast"/>
              <w:jc w:val="right"/>
              <w:rPr>
                <w:rFonts w:ascii="Arial" w:hAnsi="Arial" w:cs="Arial"/>
                <w:sz w:val="18"/>
                <w:szCs w:val="18"/>
              </w:rPr>
            </w:pPr>
            <w:r>
              <w:rPr>
                <w:rFonts w:ascii="Arial" w:hAnsi="Arial" w:cs="Arial"/>
                <w:sz w:val="18"/>
                <w:szCs w:val="18"/>
              </w:rPr>
              <w:t>527</w:t>
            </w:r>
          </w:p>
        </w:tc>
        <w:tc>
          <w:tcPr>
            <w:tcW w:w="1009" w:type="dxa"/>
            <w:tcBorders>
              <w:top w:val="single" w:sz="16" w:space="0" w:color="000000"/>
              <w:bottom w:val="nil"/>
            </w:tcBorders>
            <w:shd w:val="clear" w:color="auto" w:fill="FFFFFF"/>
            <w:tcMar>
              <w:top w:w="30" w:type="dxa"/>
              <w:left w:w="30" w:type="dxa"/>
              <w:bottom w:w="30" w:type="dxa"/>
              <w:right w:w="30" w:type="dxa"/>
            </w:tcMar>
          </w:tcPr>
          <w:p w:rsidR="002D0E65" w:rsidRDefault="002D0E65" w:rsidP="003A6CF1">
            <w:pPr>
              <w:spacing w:line="320" w:lineRule="atLeast"/>
              <w:jc w:val="right"/>
              <w:rPr>
                <w:rFonts w:ascii="Arial" w:hAnsi="Arial" w:cs="Arial"/>
                <w:sz w:val="18"/>
                <w:szCs w:val="18"/>
              </w:rPr>
            </w:pPr>
            <w:r>
              <w:rPr>
                <w:rFonts w:ascii="Arial" w:hAnsi="Arial" w:cs="Arial"/>
                <w:sz w:val="18"/>
                <w:szCs w:val="18"/>
              </w:rPr>
              <w:t>68,1</w:t>
            </w:r>
          </w:p>
        </w:tc>
        <w:tc>
          <w:tcPr>
            <w:tcW w:w="1382" w:type="dxa"/>
            <w:tcBorders>
              <w:top w:val="single" w:sz="16" w:space="0" w:color="000000"/>
              <w:bottom w:val="nil"/>
            </w:tcBorders>
            <w:shd w:val="clear" w:color="auto" w:fill="FFFFFF"/>
            <w:tcMar>
              <w:top w:w="30" w:type="dxa"/>
              <w:left w:w="30" w:type="dxa"/>
              <w:bottom w:w="30" w:type="dxa"/>
              <w:right w:w="30" w:type="dxa"/>
            </w:tcMar>
          </w:tcPr>
          <w:p w:rsidR="002D0E65" w:rsidRDefault="002D0E65" w:rsidP="003A6CF1">
            <w:pPr>
              <w:spacing w:line="320" w:lineRule="atLeast"/>
              <w:jc w:val="right"/>
              <w:rPr>
                <w:rFonts w:ascii="Arial" w:hAnsi="Arial" w:cs="Arial"/>
                <w:sz w:val="18"/>
                <w:szCs w:val="18"/>
              </w:rPr>
            </w:pPr>
            <w:r>
              <w:rPr>
                <w:rFonts w:ascii="Arial" w:hAnsi="Arial" w:cs="Arial"/>
                <w:sz w:val="18"/>
                <w:szCs w:val="18"/>
              </w:rPr>
              <w:t>68,1</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D0E65" w:rsidRDefault="002D0E65" w:rsidP="003A6CF1">
            <w:pPr>
              <w:spacing w:line="320" w:lineRule="atLeast"/>
              <w:jc w:val="right"/>
              <w:rPr>
                <w:rFonts w:ascii="Arial" w:hAnsi="Arial" w:cs="Arial"/>
                <w:sz w:val="18"/>
                <w:szCs w:val="18"/>
              </w:rPr>
            </w:pPr>
            <w:r>
              <w:rPr>
                <w:rFonts w:ascii="Arial" w:hAnsi="Arial" w:cs="Arial"/>
                <w:sz w:val="18"/>
                <w:szCs w:val="18"/>
              </w:rPr>
              <w:t>68,1</w:t>
            </w:r>
          </w:p>
        </w:tc>
      </w:tr>
      <w:tr w:rsidR="002D0E65" w:rsidTr="003A6CF1">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D0E65" w:rsidRDefault="002D0E65" w:rsidP="003A6CF1">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2D0E65" w:rsidRDefault="002D0E65" w:rsidP="003A6CF1">
            <w:pPr>
              <w:spacing w:line="320" w:lineRule="atLeast"/>
              <w:rPr>
                <w:rFonts w:ascii="Arial" w:hAnsi="Arial" w:cs="Arial"/>
                <w:sz w:val="18"/>
                <w:szCs w:val="18"/>
              </w:rPr>
            </w:pPr>
            <w:r>
              <w:rPr>
                <w:rFonts w:ascii="Arial" w:hAnsi="Arial" w:cs="Arial"/>
                <w:sz w:val="18"/>
                <w:szCs w:val="18"/>
              </w:rPr>
              <w:t>1</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2D0E65" w:rsidRDefault="002D0E65" w:rsidP="003A6CF1">
            <w:pPr>
              <w:spacing w:line="320" w:lineRule="atLeast"/>
              <w:jc w:val="right"/>
              <w:rPr>
                <w:rFonts w:ascii="Arial" w:hAnsi="Arial" w:cs="Arial"/>
                <w:sz w:val="18"/>
                <w:szCs w:val="18"/>
              </w:rPr>
            </w:pPr>
            <w:r>
              <w:rPr>
                <w:rFonts w:ascii="Arial" w:hAnsi="Arial" w:cs="Arial"/>
                <w:sz w:val="18"/>
                <w:szCs w:val="18"/>
              </w:rPr>
              <w:t>247</w:t>
            </w:r>
          </w:p>
        </w:tc>
        <w:tc>
          <w:tcPr>
            <w:tcW w:w="1009" w:type="dxa"/>
            <w:tcBorders>
              <w:top w:val="nil"/>
              <w:bottom w:val="nil"/>
            </w:tcBorders>
            <w:shd w:val="clear" w:color="auto" w:fill="FFFFFF"/>
            <w:tcMar>
              <w:top w:w="30" w:type="dxa"/>
              <w:left w:w="30" w:type="dxa"/>
              <w:bottom w:w="30" w:type="dxa"/>
              <w:right w:w="30" w:type="dxa"/>
            </w:tcMar>
          </w:tcPr>
          <w:p w:rsidR="002D0E65" w:rsidRDefault="002D0E65" w:rsidP="003A6CF1">
            <w:pPr>
              <w:spacing w:line="320" w:lineRule="atLeast"/>
              <w:jc w:val="right"/>
              <w:rPr>
                <w:rFonts w:ascii="Arial" w:hAnsi="Arial" w:cs="Arial"/>
                <w:sz w:val="18"/>
                <w:szCs w:val="18"/>
              </w:rPr>
            </w:pPr>
            <w:r>
              <w:rPr>
                <w:rFonts w:ascii="Arial" w:hAnsi="Arial" w:cs="Arial"/>
                <w:sz w:val="18"/>
                <w:szCs w:val="18"/>
              </w:rPr>
              <w:t>31,9</w:t>
            </w:r>
          </w:p>
        </w:tc>
        <w:tc>
          <w:tcPr>
            <w:tcW w:w="1382" w:type="dxa"/>
            <w:tcBorders>
              <w:top w:val="nil"/>
              <w:bottom w:val="nil"/>
            </w:tcBorders>
            <w:shd w:val="clear" w:color="auto" w:fill="FFFFFF"/>
            <w:tcMar>
              <w:top w:w="30" w:type="dxa"/>
              <w:left w:w="30" w:type="dxa"/>
              <w:bottom w:w="30" w:type="dxa"/>
              <w:right w:w="30" w:type="dxa"/>
            </w:tcMar>
          </w:tcPr>
          <w:p w:rsidR="002D0E65" w:rsidRDefault="002D0E65" w:rsidP="003A6CF1">
            <w:pPr>
              <w:spacing w:line="320" w:lineRule="atLeast"/>
              <w:jc w:val="right"/>
              <w:rPr>
                <w:rFonts w:ascii="Arial" w:hAnsi="Arial" w:cs="Arial"/>
                <w:sz w:val="18"/>
                <w:szCs w:val="18"/>
              </w:rPr>
            </w:pPr>
            <w:r>
              <w:rPr>
                <w:rFonts w:ascii="Arial" w:hAnsi="Arial" w:cs="Arial"/>
                <w:sz w:val="18"/>
                <w:szCs w:val="18"/>
              </w:rPr>
              <w:t>31,9</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2D0E65" w:rsidRDefault="002D0E65" w:rsidP="003A6CF1">
            <w:pPr>
              <w:spacing w:line="320" w:lineRule="atLeast"/>
              <w:jc w:val="right"/>
              <w:rPr>
                <w:rFonts w:ascii="Arial" w:hAnsi="Arial" w:cs="Arial"/>
                <w:sz w:val="18"/>
                <w:szCs w:val="18"/>
              </w:rPr>
            </w:pPr>
            <w:r>
              <w:rPr>
                <w:rFonts w:ascii="Arial" w:hAnsi="Arial" w:cs="Arial"/>
                <w:sz w:val="18"/>
                <w:szCs w:val="18"/>
              </w:rPr>
              <w:t>100,0</w:t>
            </w:r>
          </w:p>
        </w:tc>
      </w:tr>
      <w:tr w:rsidR="002D0E65" w:rsidTr="003A6CF1">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D0E65" w:rsidRDefault="002D0E65" w:rsidP="003A6CF1">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D0E65" w:rsidRDefault="002D0E65" w:rsidP="003A6CF1">
            <w:pPr>
              <w:spacing w:line="320" w:lineRule="atLeast"/>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D0E65" w:rsidRDefault="002D0E65" w:rsidP="003A6CF1">
            <w:pPr>
              <w:spacing w:line="320" w:lineRule="atLeast"/>
              <w:jc w:val="right"/>
              <w:rPr>
                <w:rFonts w:ascii="Arial" w:hAnsi="Arial" w:cs="Arial"/>
                <w:sz w:val="18"/>
                <w:szCs w:val="18"/>
              </w:rPr>
            </w:pPr>
            <w:r>
              <w:rPr>
                <w:rFonts w:ascii="Arial" w:hAnsi="Arial" w:cs="Arial"/>
                <w:sz w:val="18"/>
                <w:szCs w:val="18"/>
              </w:rPr>
              <w:t>774</w:t>
            </w:r>
          </w:p>
        </w:tc>
        <w:tc>
          <w:tcPr>
            <w:tcW w:w="1009" w:type="dxa"/>
            <w:tcBorders>
              <w:top w:val="nil"/>
              <w:bottom w:val="single" w:sz="16" w:space="0" w:color="000000"/>
            </w:tcBorders>
            <w:shd w:val="clear" w:color="auto" w:fill="FFFFFF"/>
            <w:tcMar>
              <w:top w:w="30" w:type="dxa"/>
              <w:left w:w="30" w:type="dxa"/>
              <w:bottom w:w="30" w:type="dxa"/>
              <w:right w:w="30" w:type="dxa"/>
            </w:tcMar>
          </w:tcPr>
          <w:p w:rsidR="002D0E65" w:rsidRDefault="002D0E65" w:rsidP="003A6CF1">
            <w:pPr>
              <w:spacing w:line="320" w:lineRule="atLeast"/>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2D0E65" w:rsidRDefault="002D0E65" w:rsidP="003A6CF1">
            <w:pPr>
              <w:spacing w:line="320" w:lineRule="atLeast"/>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D0E65" w:rsidRDefault="002D0E65" w:rsidP="003A6CF1">
            <w:pPr>
              <w:jc w:val="center"/>
              <w:rPr>
                <w:rFonts w:ascii="Times New Roman" w:hAnsi="Times New Roman" w:cs="Times New Roman"/>
                <w:sz w:val="24"/>
                <w:szCs w:val="24"/>
              </w:rPr>
            </w:pPr>
          </w:p>
        </w:tc>
      </w:tr>
    </w:tbl>
    <w:p w:rsidR="002D0E65" w:rsidRPr="003A6CF1" w:rsidRDefault="002D0E65" w:rsidP="00F14E5C">
      <w:pPr>
        <w:spacing w:line="360" w:lineRule="auto"/>
        <w:rPr>
          <w:lang w:val="en-US"/>
        </w:rPr>
      </w:pPr>
    </w:p>
    <w:p w:rsidR="003A6CF1" w:rsidRPr="002D0E65" w:rsidRDefault="003A6CF1" w:rsidP="003A6CF1">
      <w:pPr>
        <w:spacing w:line="360" w:lineRule="auto"/>
        <w:rPr>
          <w:rFonts w:ascii="ScalaSans-Caps" w:hAnsi="ScalaSans-Caps"/>
          <w:lang w:val="en-US"/>
        </w:rPr>
      </w:pPr>
      <w:r w:rsidRPr="002D0E65">
        <w:rPr>
          <w:rFonts w:ascii="ScalaSans-Caps" w:hAnsi="ScalaSans-Caps"/>
          <w:lang w:val="en-US"/>
        </w:rPr>
        <w:t>Appendix 4</w:t>
      </w:r>
      <w:r>
        <w:rPr>
          <w:rFonts w:ascii="ScalaSans-Caps" w:hAnsi="ScalaSans-Caps"/>
          <w:lang w:val="en-US"/>
        </w:rPr>
        <w:t>F</w:t>
      </w:r>
    </w:p>
    <w:tbl>
      <w:tblPr>
        <w:tblW w:w="64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382"/>
        <w:gridCol w:w="1456"/>
      </w:tblGrid>
      <w:tr w:rsidR="003A6CF1" w:rsidTr="003A6CF1">
        <w:trPr>
          <w:cantSplit/>
          <w:tblHeader/>
        </w:trPr>
        <w:tc>
          <w:tcPr>
            <w:tcW w:w="6456" w:type="dxa"/>
            <w:gridSpan w:val="6"/>
            <w:tcBorders>
              <w:top w:val="nil"/>
              <w:left w:val="nil"/>
              <w:bottom w:val="nil"/>
              <w:right w:val="nil"/>
            </w:tcBorders>
            <w:shd w:val="clear" w:color="auto" w:fill="FFFFFF"/>
            <w:tcMar>
              <w:top w:w="30" w:type="dxa"/>
              <w:left w:w="30" w:type="dxa"/>
              <w:bottom w:w="30" w:type="dxa"/>
              <w:right w:w="30" w:type="dxa"/>
            </w:tcMar>
            <w:vAlign w:val="center"/>
          </w:tcPr>
          <w:p w:rsidR="003A6CF1" w:rsidRDefault="003A6CF1" w:rsidP="003A6CF1">
            <w:pPr>
              <w:spacing w:line="320" w:lineRule="atLeast"/>
              <w:jc w:val="center"/>
              <w:rPr>
                <w:rFonts w:ascii="Arial" w:hAnsi="Arial" w:cs="Arial"/>
                <w:sz w:val="18"/>
                <w:szCs w:val="18"/>
              </w:rPr>
            </w:pPr>
            <w:r>
              <w:rPr>
                <w:rFonts w:ascii="Arial" w:hAnsi="Arial" w:cs="Arial"/>
                <w:b/>
                <w:bCs/>
                <w:sz w:val="18"/>
                <w:szCs w:val="18"/>
              </w:rPr>
              <w:t>Accountancy level (0 to 5)</w:t>
            </w:r>
          </w:p>
        </w:tc>
      </w:tr>
      <w:tr w:rsidR="003A6CF1" w:rsidTr="003A6CF1">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A6CF1" w:rsidRDefault="003A6CF1" w:rsidP="003A6CF1">
            <w:pPr>
              <w:rPr>
                <w:rFonts w:ascii="Times New Roman" w:hAnsi="Times New Roman" w:cs="Times New Roman"/>
                <w:sz w:val="24"/>
                <w:szCs w:val="24"/>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A6CF1" w:rsidRDefault="003A6CF1" w:rsidP="003A6CF1">
            <w:pP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A6CF1" w:rsidRDefault="003A6CF1" w:rsidP="003A6CF1">
            <w:pPr>
              <w:spacing w:line="320" w:lineRule="atLeast"/>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A6CF1" w:rsidRDefault="003A6CF1" w:rsidP="003A6CF1">
            <w:pPr>
              <w:spacing w:line="320" w:lineRule="atLeast"/>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A6CF1" w:rsidRDefault="003A6CF1" w:rsidP="003A6CF1">
            <w:pPr>
              <w:spacing w:line="320" w:lineRule="atLeast"/>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A6CF1" w:rsidRDefault="003A6CF1" w:rsidP="003A6CF1">
            <w:pPr>
              <w:spacing w:line="320" w:lineRule="atLeast"/>
              <w:jc w:val="center"/>
              <w:rPr>
                <w:rFonts w:ascii="Arial" w:hAnsi="Arial" w:cs="Arial"/>
                <w:sz w:val="18"/>
                <w:szCs w:val="18"/>
              </w:rPr>
            </w:pPr>
            <w:r>
              <w:rPr>
                <w:rFonts w:ascii="Arial" w:hAnsi="Arial" w:cs="Arial"/>
                <w:sz w:val="18"/>
                <w:szCs w:val="18"/>
              </w:rPr>
              <w:t>Cumulative Percent</w:t>
            </w:r>
          </w:p>
        </w:tc>
      </w:tr>
      <w:tr w:rsidR="003A6CF1" w:rsidTr="003A6CF1">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A6CF1" w:rsidRDefault="003A6CF1" w:rsidP="003A6CF1">
            <w:pPr>
              <w:spacing w:line="320" w:lineRule="atLeast"/>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rPr>
                <w:rFonts w:ascii="Arial" w:hAnsi="Arial" w:cs="Arial"/>
                <w:sz w:val="18"/>
                <w:szCs w:val="18"/>
              </w:rPr>
            </w:pPr>
            <w:r>
              <w:rPr>
                <w:rFonts w:ascii="Arial" w:hAnsi="Arial" w:cs="Arial"/>
                <w:sz w:val="18"/>
                <w:szCs w:val="18"/>
              </w:rPr>
              <w:t>0</w:t>
            </w:r>
          </w:p>
        </w:tc>
        <w:tc>
          <w:tcPr>
            <w:tcW w:w="11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298</w:t>
            </w:r>
          </w:p>
        </w:tc>
        <w:tc>
          <w:tcPr>
            <w:tcW w:w="1009" w:type="dxa"/>
            <w:tcBorders>
              <w:top w:val="single" w:sz="16" w:space="0" w:color="000000"/>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38,5</w:t>
            </w:r>
          </w:p>
        </w:tc>
        <w:tc>
          <w:tcPr>
            <w:tcW w:w="1382" w:type="dxa"/>
            <w:tcBorders>
              <w:top w:val="single" w:sz="16" w:space="0" w:color="000000"/>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38,5</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38,5</w:t>
            </w:r>
          </w:p>
        </w:tc>
      </w:tr>
      <w:tr w:rsidR="003A6CF1" w:rsidTr="003A6CF1">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A6CF1" w:rsidRDefault="003A6CF1" w:rsidP="003A6CF1">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rPr>
                <w:rFonts w:ascii="Arial" w:hAnsi="Arial" w:cs="Arial"/>
                <w:sz w:val="18"/>
                <w:szCs w:val="18"/>
              </w:rPr>
            </w:pPr>
            <w:r>
              <w:rPr>
                <w:rFonts w:ascii="Arial" w:hAnsi="Arial" w:cs="Arial"/>
                <w:sz w:val="18"/>
                <w:szCs w:val="18"/>
              </w:rPr>
              <w:t>1</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27</w:t>
            </w:r>
          </w:p>
        </w:tc>
        <w:tc>
          <w:tcPr>
            <w:tcW w:w="1009" w:type="dxa"/>
            <w:tcBorders>
              <w:top w:val="nil"/>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3,5</w:t>
            </w:r>
          </w:p>
        </w:tc>
        <w:tc>
          <w:tcPr>
            <w:tcW w:w="1382" w:type="dxa"/>
            <w:tcBorders>
              <w:top w:val="nil"/>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3,5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42,0</w:t>
            </w:r>
          </w:p>
        </w:tc>
      </w:tr>
      <w:tr w:rsidR="003A6CF1" w:rsidTr="003A6CF1">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A6CF1" w:rsidRDefault="003A6CF1" w:rsidP="003A6CF1">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rPr>
                <w:rFonts w:ascii="Arial" w:hAnsi="Arial" w:cs="Arial"/>
                <w:sz w:val="18"/>
                <w:szCs w:val="18"/>
              </w:rPr>
            </w:pPr>
            <w:r>
              <w:rPr>
                <w:rFonts w:ascii="Arial" w:hAnsi="Arial" w:cs="Arial"/>
                <w:sz w:val="18"/>
                <w:szCs w:val="18"/>
              </w:rPr>
              <w:t>2</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32</w:t>
            </w:r>
          </w:p>
        </w:tc>
        <w:tc>
          <w:tcPr>
            <w:tcW w:w="1009" w:type="dxa"/>
            <w:tcBorders>
              <w:top w:val="nil"/>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4,1</w:t>
            </w:r>
          </w:p>
        </w:tc>
        <w:tc>
          <w:tcPr>
            <w:tcW w:w="1382" w:type="dxa"/>
            <w:tcBorders>
              <w:top w:val="nil"/>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4,1</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46,1</w:t>
            </w:r>
          </w:p>
        </w:tc>
      </w:tr>
      <w:tr w:rsidR="003A6CF1" w:rsidTr="003A6CF1">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A6CF1" w:rsidRDefault="003A6CF1" w:rsidP="003A6CF1">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rPr>
                <w:rFonts w:ascii="Arial" w:hAnsi="Arial" w:cs="Arial"/>
                <w:sz w:val="18"/>
                <w:szCs w:val="18"/>
              </w:rPr>
            </w:pPr>
            <w:r>
              <w:rPr>
                <w:rFonts w:ascii="Arial" w:hAnsi="Arial" w:cs="Arial"/>
                <w:sz w:val="18"/>
                <w:szCs w:val="18"/>
              </w:rPr>
              <w:t>3</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,1</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46,3</w:t>
            </w:r>
          </w:p>
        </w:tc>
      </w:tr>
      <w:tr w:rsidR="003A6CF1" w:rsidTr="003A6CF1">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A6CF1" w:rsidRDefault="003A6CF1" w:rsidP="003A6CF1">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rPr>
                <w:rFonts w:ascii="Arial" w:hAnsi="Arial" w:cs="Arial"/>
                <w:sz w:val="18"/>
                <w:szCs w:val="18"/>
              </w:rPr>
            </w:pPr>
            <w:r>
              <w:rPr>
                <w:rFonts w:ascii="Arial" w:hAnsi="Arial" w:cs="Arial"/>
                <w:sz w:val="18"/>
                <w:szCs w:val="18"/>
              </w:rPr>
              <w:t>4</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,1</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46,4</w:t>
            </w:r>
          </w:p>
        </w:tc>
      </w:tr>
      <w:tr w:rsidR="003A6CF1" w:rsidTr="003A6CF1">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A6CF1" w:rsidRDefault="003A6CF1" w:rsidP="003A6CF1">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rPr>
                <w:rFonts w:ascii="Arial" w:hAnsi="Arial" w:cs="Arial"/>
                <w:sz w:val="18"/>
                <w:szCs w:val="18"/>
              </w:rPr>
            </w:pPr>
            <w:r>
              <w:rPr>
                <w:rFonts w:ascii="Arial" w:hAnsi="Arial" w:cs="Arial"/>
                <w:sz w:val="18"/>
                <w:szCs w:val="18"/>
              </w:rPr>
              <w:t>5</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415</w:t>
            </w:r>
          </w:p>
        </w:tc>
        <w:tc>
          <w:tcPr>
            <w:tcW w:w="1009" w:type="dxa"/>
            <w:tcBorders>
              <w:top w:val="nil"/>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53,6</w:t>
            </w:r>
          </w:p>
        </w:tc>
        <w:tc>
          <w:tcPr>
            <w:tcW w:w="1382" w:type="dxa"/>
            <w:tcBorders>
              <w:top w:val="nil"/>
              <w:bottom w:val="nil"/>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53,6</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100,0</w:t>
            </w:r>
          </w:p>
        </w:tc>
      </w:tr>
      <w:tr w:rsidR="003A6CF1" w:rsidTr="003A6CF1">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A6CF1" w:rsidRDefault="003A6CF1" w:rsidP="003A6CF1">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774</w:t>
            </w:r>
          </w:p>
        </w:tc>
        <w:tc>
          <w:tcPr>
            <w:tcW w:w="1009" w:type="dxa"/>
            <w:tcBorders>
              <w:top w:val="nil"/>
              <w:bottom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3A6CF1" w:rsidRDefault="003A6CF1" w:rsidP="003A6CF1">
            <w:pPr>
              <w:spacing w:line="320" w:lineRule="atLeast"/>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A6CF1" w:rsidRDefault="003A6CF1" w:rsidP="003A6CF1">
            <w:pPr>
              <w:jc w:val="center"/>
              <w:rPr>
                <w:rFonts w:ascii="Times New Roman" w:hAnsi="Times New Roman" w:cs="Times New Roman"/>
                <w:sz w:val="24"/>
                <w:szCs w:val="24"/>
              </w:rPr>
            </w:pPr>
          </w:p>
        </w:tc>
      </w:tr>
    </w:tbl>
    <w:p w:rsidR="003A6CF1" w:rsidRPr="003A6CF1" w:rsidRDefault="003A6CF1" w:rsidP="003A6CF1">
      <w:pPr>
        <w:spacing w:line="360" w:lineRule="auto"/>
        <w:rPr>
          <w:rFonts w:cs="Times New Roman"/>
          <w:sz w:val="24"/>
          <w:szCs w:val="24"/>
        </w:rPr>
      </w:pPr>
    </w:p>
    <w:p w:rsidR="00F14E5C" w:rsidRDefault="00F14E5C" w:rsidP="00F14E5C">
      <w:pPr>
        <w:spacing w:line="360" w:lineRule="auto"/>
        <w:rPr>
          <w:rFonts w:ascii="ScalaSans-Caps" w:hAnsi="ScalaSans-Caps"/>
          <w:lang w:val="en-US"/>
        </w:rPr>
      </w:pPr>
      <w:r w:rsidRPr="00504A7F">
        <w:rPr>
          <w:rFonts w:ascii="ScalaSans-Caps" w:hAnsi="ScalaSans-Caps"/>
          <w:lang w:val="en-US"/>
        </w:rPr>
        <w:t xml:space="preserve">Appendix </w:t>
      </w:r>
      <w:r w:rsidR="003A6CF1">
        <w:rPr>
          <w:rFonts w:ascii="ScalaSans-Caps" w:hAnsi="ScalaSans-Caps"/>
          <w:lang w:val="en-US"/>
        </w:rPr>
        <w:t>4G</w:t>
      </w:r>
    </w:p>
    <w:tbl>
      <w:tblPr>
        <w:tblW w:w="517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18"/>
        <w:gridCol w:w="727"/>
        <w:gridCol w:w="1010"/>
        <w:gridCol w:w="1009"/>
        <w:gridCol w:w="1010"/>
      </w:tblGrid>
      <w:tr w:rsidR="0028738F" w:rsidRPr="002C07A4" w:rsidTr="0028738F">
        <w:trPr>
          <w:cantSplit/>
          <w:tblHeader/>
        </w:trPr>
        <w:tc>
          <w:tcPr>
            <w:tcW w:w="5174" w:type="dxa"/>
            <w:gridSpan w:val="5"/>
            <w:tcBorders>
              <w:top w:val="nil"/>
              <w:left w:val="nil"/>
              <w:bottom w:val="nil"/>
              <w:right w:val="nil"/>
            </w:tcBorders>
            <w:shd w:val="clear" w:color="auto" w:fill="FFFFFF"/>
            <w:tcMar>
              <w:top w:w="30" w:type="dxa"/>
              <w:left w:w="30" w:type="dxa"/>
              <w:bottom w:w="30" w:type="dxa"/>
              <w:right w:w="30" w:type="dxa"/>
            </w:tcMar>
            <w:vAlign w:val="center"/>
          </w:tcPr>
          <w:p w:rsidR="0028738F" w:rsidRPr="00CA0DCD" w:rsidRDefault="0028738F" w:rsidP="0028738F">
            <w:pPr>
              <w:spacing w:line="320" w:lineRule="atLeast"/>
              <w:jc w:val="center"/>
              <w:rPr>
                <w:rFonts w:ascii="Arial" w:hAnsi="Arial" w:cs="Arial"/>
                <w:sz w:val="18"/>
                <w:szCs w:val="18"/>
                <w:lang w:val="en-US"/>
              </w:rPr>
            </w:pPr>
            <w:r w:rsidRPr="00CA0DCD">
              <w:rPr>
                <w:rFonts w:ascii="Arial" w:hAnsi="Arial" w:cs="Arial"/>
                <w:b/>
                <w:bCs/>
                <w:sz w:val="18"/>
                <w:szCs w:val="18"/>
                <w:lang w:val="en-US"/>
              </w:rPr>
              <w:t>CBF brand</w:t>
            </w:r>
            <w:r>
              <w:rPr>
                <w:rFonts w:ascii="Arial" w:hAnsi="Arial" w:cs="Arial"/>
                <w:b/>
                <w:bCs/>
                <w:sz w:val="18"/>
                <w:szCs w:val="18"/>
                <w:lang w:val="en-US"/>
              </w:rPr>
              <w:t xml:space="preserve"> </w:t>
            </w:r>
            <w:r w:rsidRPr="00CA0DCD">
              <w:rPr>
                <w:rFonts w:ascii="Arial" w:hAnsi="Arial" w:cs="Arial"/>
                <w:b/>
                <w:bCs/>
                <w:sz w:val="18"/>
                <w:szCs w:val="18"/>
                <w:lang w:val="en-US"/>
              </w:rPr>
              <w:t>* VFI membership Crosstabulation</w:t>
            </w:r>
          </w:p>
        </w:tc>
      </w:tr>
      <w:tr w:rsidR="0028738F" w:rsidTr="0028738F">
        <w:trPr>
          <w:cantSplit/>
          <w:tblHeader/>
        </w:trPr>
        <w:tc>
          <w:tcPr>
            <w:tcW w:w="141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8738F" w:rsidRPr="00CA0DCD" w:rsidRDefault="0028738F" w:rsidP="003A6CF1">
            <w:pPr>
              <w:rPr>
                <w:rFonts w:ascii="Times New Roman" w:hAnsi="Times New Roman" w:cs="Times New Roman"/>
                <w:sz w:val="24"/>
                <w:szCs w:val="24"/>
                <w:lang w:val="en-US"/>
              </w:rPr>
            </w:pP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8738F" w:rsidRPr="00CA0DCD" w:rsidRDefault="0028738F" w:rsidP="003A6CF1">
            <w:pPr>
              <w:rPr>
                <w:rFonts w:ascii="Times New Roman" w:hAnsi="Times New Roman" w:cs="Times New Roman"/>
                <w:sz w:val="24"/>
                <w:szCs w:val="24"/>
                <w:lang w:val="en-US"/>
              </w:rPr>
            </w:pPr>
          </w:p>
        </w:tc>
        <w:tc>
          <w:tcPr>
            <w:tcW w:w="201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8738F" w:rsidRDefault="0028738F" w:rsidP="003A6CF1">
            <w:pPr>
              <w:spacing w:line="320" w:lineRule="atLeast"/>
              <w:jc w:val="center"/>
              <w:rPr>
                <w:rFonts w:ascii="Arial" w:hAnsi="Arial" w:cs="Arial"/>
                <w:sz w:val="18"/>
                <w:szCs w:val="18"/>
              </w:rPr>
            </w:pPr>
            <w:r>
              <w:rPr>
                <w:rFonts w:ascii="Arial" w:hAnsi="Arial" w:cs="Arial"/>
                <w:sz w:val="18"/>
                <w:szCs w:val="18"/>
              </w:rPr>
              <w:t>VFI membership</w:t>
            </w:r>
          </w:p>
        </w:tc>
        <w:tc>
          <w:tcPr>
            <w:tcW w:w="1010" w:type="dxa"/>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28738F" w:rsidRDefault="0028738F" w:rsidP="003A6CF1">
            <w:pPr>
              <w:jc w:val="center"/>
              <w:rPr>
                <w:rFonts w:ascii="Times New Roman" w:hAnsi="Times New Roman" w:cs="Times New Roman"/>
                <w:sz w:val="24"/>
                <w:szCs w:val="24"/>
              </w:rPr>
            </w:pPr>
          </w:p>
        </w:tc>
      </w:tr>
      <w:tr w:rsidR="0028738F" w:rsidTr="0028738F">
        <w:trPr>
          <w:cantSplit/>
          <w:tblHeader/>
        </w:trPr>
        <w:tc>
          <w:tcPr>
            <w:tcW w:w="141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8738F" w:rsidRDefault="0028738F" w:rsidP="003A6CF1">
            <w:pPr>
              <w:rPr>
                <w:rFonts w:ascii="Times New Roman" w:hAnsi="Times New Roman" w:cs="Times New Roman"/>
                <w:sz w:val="24"/>
                <w:szCs w:val="24"/>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8738F" w:rsidRDefault="0028738F" w:rsidP="003A6CF1">
            <w:pPr>
              <w:rPr>
                <w:rFonts w:ascii="Times New Roman" w:hAnsi="Times New Roman" w:cs="Times New Roman"/>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8738F" w:rsidRDefault="0028738F" w:rsidP="003A6CF1">
            <w:pPr>
              <w:spacing w:line="320" w:lineRule="atLeast"/>
              <w:jc w:val="center"/>
              <w:rPr>
                <w:rFonts w:ascii="Arial" w:hAnsi="Arial" w:cs="Arial"/>
                <w:sz w:val="18"/>
                <w:szCs w:val="18"/>
              </w:rPr>
            </w:pPr>
            <w:r>
              <w:rPr>
                <w:rFonts w:ascii="Arial" w:hAnsi="Arial" w:cs="Arial"/>
                <w:sz w:val="18"/>
                <w:szCs w:val="18"/>
              </w:rPr>
              <w:t>0</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28738F" w:rsidRDefault="0028738F" w:rsidP="003A6CF1">
            <w:pPr>
              <w:spacing w:line="320" w:lineRule="atLeast"/>
              <w:jc w:val="center"/>
              <w:rPr>
                <w:rFonts w:ascii="Arial" w:hAnsi="Arial" w:cs="Arial"/>
                <w:sz w:val="18"/>
                <w:szCs w:val="18"/>
              </w:rPr>
            </w:pPr>
            <w:r>
              <w:rPr>
                <w:rFonts w:ascii="Arial" w:hAnsi="Arial" w:cs="Arial"/>
                <w:sz w:val="18"/>
                <w:szCs w:val="18"/>
              </w:rPr>
              <w:t>1</w:t>
            </w:r>
          </w:p>
        </w:tc>
        <w:tc>
          <w:tcPr>
            <w:tcW w:w="101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28738F" w:rsidRDefault="0028738F" w:rsidP="003A6CF1">
            <w:pPr>
              <w:spacing w:line="320" w:lineRule="atLeast"/>
              <w:jc w:val="center"/>
              <w:rPr>
                <w:rFonts w:ascii="Arial" w:hAnsi="Arial" w:cs="Arial"/>
                <w:sz w:val="18"/>
                <w:szCs w:val="18"/>
              </w:rPr>
            </w:pPr>
            <w:r>
              <w:rPr>
                <w:rFonts w:ascii="Arial" w:hAnsi="Arial" w:cs="Arial"/>
                <w:sz w:val="18"/>
                <w:szCs w:val="18"/>
              </w:rPr>
              <w:t>Total</w:t>
            </w:r>
          </w:p>
        </w:tc>
      </w:tr>
      <w:tr w:rsidR="0028738F" w:rsidTr="0028738F">
        <w:trPr>
          <w:cantSplit/>
          <w:tblHeader/>
        </w:trPr>
        <w:tc>
          <w:tcPr>
            <w:tcW w:w="141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8738F" w:rsidRDefault="0028738F" w:rsidP="0028738F">
            <w:pPr>
              <w:spacing w:line="320" w:lineRule="atLeast"/>
              <w:rPr>
                <w:rFonts w:ascii="Arial" w:hAnsi="Arial" w:cs="Arial"/>
                <w:sz w:val="18"/>
                <w:szCs w:val="18"/>
              </w:rPr>
            </w:pPr>
            <w:r>
              <w:rPr>
                <w:rFonts w:ascii="Arial" w:hAnsi="Arial" w:cs="Arial"/>
                <w:sz w:val="18"/>
                <w:szCs w:val="18"/>
              </w:rPr>
              <w:t>CBF brand</w:t>
            </w: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8738F" w:rsidRDefault="0028738F" w:rsidP="003A6CF1">
            <w:pPr>
              <w:spacing w:line="320" w:lineRule="atLeast"/>
              <w:rPr>
                <w:rFonts w:ascii="Arial" w:hAnsi="Arial" w:cs="Arial"/>
                <w:sz w:val="18"/>
                <w:szCs w:val="18"/>
              </w:rPr>
            </w:pPr>
            <w:r>
              <w:rPr>
                <w:rFonts w:ascii="Arial" w:hAnsi="Arial" w:cs="Arial"/>
                <w:sz w:val="18"/>
                <w:szCs w:val="18"/>
              </w:rPr>
              <w:t>0</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8738F" w:rsidRDefault="0028738F" w:rsidP="003A6CF1">
            <w:pPr>
              <w:spacing w:line="320" w:lineRule="atLeast"/>
              <w:jc w:val="right"/>
              <w:rPr>
                <w:rFonts w:ascii="Arial" w:hAnsi="Arial" w:cs="Arial"/>
                <w:sz w:val="18"/>
                <w:szCs w:val="18"/>
              </w:rPr>
            </w:pPr>
            <w:r>
              <w:rPr>
                <w:rFonts w:ascii="Arial" w:hAnsi="Arial" w:cs="Arial"/>
                <w:sz w:val="18"/>
                <w:szCs w:val="18"/>
              </w:rPr>
              <w:t>428</w:t>
            </w:r>
          </w:p>
        </w:tc>
        <w:tc>
          <w:tcPr>
            <w:tcW w:w="1009" w:type="dxa"/>
            <w:tcBorders>
              <w:top w:val="single" w:sz="16" w:space="0" w:color="000000"/>
              <w:bottom w:val="nil"/>
            </w:tcBorders>
            <w:shd w:val="clear" w:color="auto" w:fill="FFFFFF"/>
            <w:tcMar>
              <w:top w:w="30" w:type="dxa"/>
              <w:left w:w="30" w:type="dxa"/>
              <w:bottom w:w="30" w:type="dxa"/>
              <w:right w:w="30" w:type="dxa"/>
            </w:tcMar>
          </w:tcPr>
          <w:p w:rsidR="0028738F" w:rsidRDefault="0028738F" w:rsidP="003A6CF1">
            <w:pPr>
              <w:spacing w:line="320" w:lineRule="atLeast"/>
              <w:jc w:val="right"/>
              <w:rPr>
                <w:rFonts w:ascii="Arial" w:hAnsi="Arial" w:cs="Arial"/>
                <w:sz w:val="18"/>
                <w:szCs w:val="18"/>
              </w:rPr>
            </w:pPr>
            <w:r>
              <w:rPr>
                <w:rFonts w:ascii="Arial" w:hAnsi="Arial" w:cs="Arial"/>
                <w:sz w:val="18"/>
                <w:szCs w:val="18"/>
              </w:rPr>
              <w:t>2</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8738F" w:rsidRDefault="0028738F" w:rsidP="003A6CF1">
            <w:pPr>
              <w:spacing w:line="320" w:lineRule="atLeast"/>
              <w:jc w:val="right"/>
              <w:rPr>
                <w:rFonts w:ascii="Arial" w:hAnsi="Arial" w:cs="Arial"/>
                <w:sz w:val="18"/>
                <w:szCs w:val="18"/>
              </w:rPr>
            </w:pPr>
            <w:r>
              <w:rPr>
                <w:rFonts w:ascii="Arial" w:hAnsi="Arial" w:cs="Arial"/>
                <w:sz w:val="18"/>
                <w:szCs w:val="18"/>
              </w:rPr>
              <w:t>430</w:t>
            </w:r>
          </w:p>
        </w:tc>
      </w:tr>
      <w:tr w:rsidR="0028738F" w:rsidTr="0028738F">
        <w:trPr>
          <w:cantSplit/>
          <w:tblHeader/>
        </w:trPr>
        <w:tc>
          <w:tcPr>
            <w:tcW w:w="141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8738F" w:rsidRDefault="0028738F" w:rsidP="003A6CF1">
            <w:pPr>
              <w:rPr>
                <w:rFonts w:ascii="Arial" w:hAnsi="Arial" w:cs="Arial"/>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28738F" w:rsidRDefault="0028738F" w:rsidP="003A6CF1">
            <w:pPr>
              <w:spacing w:line="320" w:lineRule="atLeast"/>
              <w:rPr>
                <w:rFonts w:ascii="Arial" w:hAnsi="Arial" w:cs="Arial"/>
                <w:sz w:val="18"/>
                <w:szCs w:val="18"/>
              </w:rPr>
            </w:pPr>
            <w:r>
              <w:rPr>
                <w:rFonts w:ascii="Arial" w:hAnsi="Arial" w:cs="Arial"/>
                <w:sz w:val="18"/>
                <w:szCs w:val="18"/>
              </w:rPr>
              <w:t>1</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28738F" w:rsidRDefault="0028738F" w:rsidP="003A6CF1">
            <w:pPr>
              <w:spacing w:line="320" w:lineRule="atLeast"/>
              <w:jc w:val="right"/>
              <w:rPr>
                <w:rFonts w:ascii="Arial" w:hAnsi="Arial" w:cs="Arial"/>
                <w:sz w:val="18"/>
                <w:szCs w:val="18"/>
              </w:rPr>
            </w:pPr>
            <w:r>
              <w:rPr>
                <w:rFonts w:ascii="Arial" w:hAnsi="Arial" w:cs="Arial"/>
                <w:sz w:val="18"/>
                <w:szCs w:val="18"/>
              </w:rPr>
              <w:t>229</w:t>
            </w:r>
          </w:p>
        </w:tc>
        <w:tc>
          <w:tcPr>
            <w:tcW w:w="1009" w:type="dxa"/>
            <w:tcBorders>
              <w:top w:val="nil"/>
              <w:bottom w:val="nil"/>
            </w:tcBorders>
            <w:shd w:val="clear" w:color="auto" w:fill="FFFFFF"/>
            <w:tcMar>
              <w:top w:w="30" w:type="dxa"/>
              <w:left w:w="30" w:type="dxa"/>
              <w:bottom w:w="30" w:type="dxa"/>
              <w:right w:w="30" w:type="dxa"/>
            </w:tcMar>
          </w:tcPr>
          <w:p w:rsidR="0028738F" w:rsidRDefault="0028738F" w:rsidP="003A6CF1">
            <w:pPr>
              <w:spacing w:line="320" w:lineRule="atLeast"/>
              <w:jc w:val="right"/>
              <w:rPr>
                <w:rFonts w:ascii="Arial" w:hAnsi="Arial" w:cs="Arial"/>
                <w:sz w:val="18"/>
                <w:szCs w:val="18"/>
              </w:rPr>
            </w:pPr>
            <w:r>
              <w:rPr>
                <w:rFonts w:ascii="Arial" w:hAnsi="Arial" w:cs="Arial"/>
                <w:sz w:val="18"/>
                <w:szCs w:val="18"/>
              </w:rPr>
              <w:t>115</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8738F" w:rsidRDefault="0028738F" w:rsidP="003A6CF1">
            <w:pPr>
              <w:spacing w:line="320" w:lineRule="atLeast"/>
              <w:jc w:val="right"/>
              <w:rPr>
                <w:rFonts w:ascii="Arial" w:hAnsi="Arial" w:cs="Arial"/>
                <w:sz w:val="18"/>
                <w:szCs w:val="18"/>
              </w:rPr>
            </w:pPr>
            <w:r>
              <w:rPr>
                <w:rFonts w:ascii="Arial" w:hAnsi="Arial" w:cs="Arial"/>
                <w:sz w:val="18"/>
                <w:szCs w:val="18"/>
              </w:rPr>
              <w:t>344</w:t>
            </w:r>
          </w:p>
        </w:tc>
      </w:tr>
      <w:tr w:rsidR="0028738F" w:rsidTr="0028738F">
        <w:trPr>
          <w:cantSplit/>
        </w:trPr>
        <w:tc>
          <w:tcPr>
            <w:tcW w:w="141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8738F" w:rsidRDefault="0028738F" w:rsidP="003A6CF1">
            <w:pPr>
              <w:rPr>
                <w:rFonts w:ascii="Times New Roman" w:hAnsi="Times New Roman" w:cs="Times New Roman"/>
                <w:sz w:val="24"/>
                <w:szCs w:val="24"/>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8738F" w:rsidRDefault="0028738F" w:rsidP="003A6CF1">
            <w:pPr>
              <w:spacing w:line="320" w:lineRule="atLeast"/>
              <w:rPr>
                <w:rFonts w:ascii="Arial" w:hAnsi="Arial" w:cs="Arial"/>
                <w:sz w:val="18"/>
                <w:szCs w:val="18"/>
              </w:rPr>
            </w:pPr>
            <w:r>
              <w:rPr>
                <w:rFonts w:ascii="Arial" w:hAnsi="Arial" w:cs="Arial"/>
                <w:sz w:val="18"/>
                <w:szCs w:val="18"/>
              </w:rPr>
              <w:t>Total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8738F" w:rsidRDefault="0028738F" w:rsidP="003A6CF1">
            <w:pPr>
              <w:spacing w:line="320" w:lineRule="atLeast"/>
              <w:jc w:val="right"/>
              <w:rPr>
                <w:rFonts w:ascii="Arial" w:hAnsi="Arial" w:cs="Arial"/>
                <w:sz w:val="18"/>
                <w:szCs w:val="18"/>
              </w:rPr>
            </w:pPr>
            <w:r>
              <w:rPr>
                <w:rFonts w:ascii="Arial" w:hAnsi="Arial" w:cs="Arial"/>
                <w:sz w:val="18"/>
                <w:szCs w:val="18"/>
              </w:rPr>
              <w:t>657</w:t>
            </w:r>
          </w:p>
        </w:tc>
        <w:tc>
          <w:tcPr>
            <w:tcW w:w="1009" w:type="dxa"/>
            <w:tcBorders>
              <w:top w:val="nil"/>
              <w:bottom w:val="single" w:sz="16" w:space="0" w:color="000000"/>
            </w:tcBorders>
            <w:shd w:val="clear" w:color="auto" w:fill="FFFFFF"/>
            <w:tcMar>
              <w:top w:w="30" w:type="dxa"/>
              <w:left w:w="30" w:type="dxa"/>
              <w:bottom w:w="30" w:type="dxa"/>
              <w:right w:w="30" w:type="dxa"/>
            </w:tcMar>
          </w:tcPr>
          <w:p w:rsidR="0028738F" w:rsidRDefault="0028738F" w:rsidP="003A6CF1">
            <w:pPr>
              <w:spacing w:line="320" w:lineRule="atLeast"/>
              <w:jc w:val="right"/>
              <w:rPr>
                <w:rFonts w:ascii="Arial" w:hAnsi="Arial" w:cs="Arial"/>
                <w:sz w:val="18"/>
                <w:szCs w:val="18"/>
              </w:rPr>
            </w:pPr>
            <w:r>
              <w:rPr>
                <w:rFonts w:ascii="Arial" w:hAnsi="Arial" w:cs="Arial"/>
                <w:sz w:val="18"/>
                <w:szCs w:val="18"/>
              </w:rPr>
              <w:t>117</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8738F" w:rsidRDefault="0028738F" w:rsidP="003A6CF1">
            <w:pPr>
              <w:spacing w:line="320" w:lineRule="atLeast"/>
              <w:jc w:val="right"/>
              <w:rPr>
                <w:rFonts w:ascii="Arial" w:hAnsi="Arial" w:cs="Arial"/>
                <w:sz w:val="18"/>
                <w:szCs w:val="18"/>
              </w:rPr>
            </w:pPr>
            <w:r>
              <w:rPr>
                <w:rFonts w:ascii="Arial" w:hAnsi="Arial" w:cs="Arial"/>
                <w:sz w:val="18"/>
                <w:szCs w:val="18"/>
              </w:rPr>
              <w:t>774</w:t>
            </w:r>
          </w:p>
        </w:tc>
      </w:tr>
    </w:tbl>
    <w:p w:rsidR="00504A7F" w:rsidRDefault="00504A7F" w:rsidP="00504A7F">
      <w:pPr>
        <w:spacing w:line="360" w:lineRule="auto"/>
        <w:rPr>
          <w:lang w:val="en-US"/>
        </w:rPr>
      </w:pPr>
    </w:p>
    <w:p w:rsidR="001738E1" w:rsidRDefault="001738E1">
      <w:pPr>
        <w:rPr>
          <w:lang w:val="en-US"/>
        </w:rPr>
      </w:pPr>
      <w:r>
        <w:rPr>
          <w:lang w:val="en-US"/>
        </w:rPr>
        <w:br w:type="page"/>
      </w:r>
    </w:p>
    <w:p w:rsidR="001738E1" w:rsidRDefault="001738E1" w:rsidP="00504A7F">
      <w:pPr>
        <w:spacing w:line="360" w:lineRule="auto"/>
        <w:rPr>
          <w:rFonts w:ascii="ScalaSans-Caps" w:hAnsi="ScalaSans-Caps"/>
          <w:lang w:val="en-US"/>
        </w:rPr>
      </w:pPr>
      <w:r w:rsidRPr="001738E1">
        <w:rPr>
          <w:rFonts w:ascii="ScalaSans-Caps" w:hAnsi="ScalaSans-Caps"/>
          <w:lang w:val="en-US"/>
        </w:rPr>
        <w:t>Appendix 4H</w:t>
      </w:r>
    </w:p>
    <w:p w:rsidR="001738E1" w:rsidRPr="001738E1" w:rsidRDefault="001738E1" w:rsidP="00504A7F">
      <w:pPr>
        <w:spacing w:line="360" w:lineRule="auto"/>
        <w:rPr>
          <w:rFonts w:ascii="ScalaSans-Caps" w:hAnsi="ScalaSans-Caps"/>
          <w:lang w:val="en-US"/>
        </w:rPr>
      </w:pPr>
    </w:p>
    <w:p w:rsidR="001738E1" w:rsidRDefault="001738E1" w:rsidP="00504A7F">
      <w:pPr>
        <w:spacing w:line="360" w:lineRule="auto"/>
        <w:rPr>
          <w:lang w:val="en-US"/>
        </w:rPr>
      </w:pPr>
      <w:r w:rsidRPr="001738E1">
        <w:rPr>
          <w:noProof/>
          <w:lang w:eastAsia="nl-NL"/>
        </w:rPr>
        <w:drawing>
          <wp:inline distT="0" distB="0" distL="0" distR="0">
            <wp:extent cx="5153025" cy="1571625"/>
            <wp:effectExtent l="19050" t="0" r="9525"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153025" cy="1571625"/>
                    </a:xfrm>
                    <a:prstGeom prst="rect">
                      <a:avLst/>
                    </a:prstGeom>
                    <a:noFill/>
                    <a:ln w="9525">
                      <a:noFill/>
                      <a:miter lim="800000"/>
                      <a:headEnd/>
                      <a:tailEnd/>
                    </a:ln>
                  </pic:spPr>
                </pic:pic>
              </a:graphicData>
            </a:graphic>
          </wp:inline>
        </w:drawing>
      </w:r>
    </w:p>
    <w:p w:rsidR="001738E1" w:rsidRDefault="001738E1" w:rsidP="00504A7F">
      <w:pPr>
        <w:spacing w:line="360" w:lineRule="auto"/>
        <w:rPr>
          <w:lang w:val="en-US"/>
        </w:rPr>
      </w:pPr>
    </w:p>
    <w:p w:rsidR="00161F1A" w:rsidRDefault="00161F1A" w:rsidP="00161F1A">
      <w:pPr>
        <w:spacing w:line="360" w:lineRule="auto"/>
        <w:rPr>
          <w:rFonts w:ascii="ScalaSans-Caps" w:hAnsi="ScalaSans-Caps"/>
          <w:lang w:val="en-US"/>
        </w:rPr>
      </w:pPr>
      <w:r w:rsidRPr="001738E1">
        <w:rPr>
          <w:rFonts w:ascii="ScalaSans-Caps" w:hAnsi="ScalaSans-Caps"/>
          <w:lang w:val="en-US"/>
        </w:rPr>
        <w:t>Appendix 4</w:t>
      </w:r>
      <w:r>
        <w:rPr>
          <w:rFonts w:ascii="ScalaSans-Caps" w:hAnsi="ScalaSans-Caps"/>
          <w:lang w:val="en-US"/>
        </w:rPr>
        <w:t>I</w:t>
      </w:r>
    </w:p>
    <w:p w:rsidR="00161F1A" w:rsidRPr="00161F1A" w:rsidRDefault="00161F1A" w:rsidP="00161F1A">
      <w:pPr>
        <w:spacing w:line="360" w:lineRule="auto"/>
        <w:rPr>
          <w:lang w:val="en-US"/>
        </w:rPr>
      </w:pPr>
    </w:p>
    <w:p w:rsidR="001738E1" w:rsidRDefault="00161F1A" w:rsidP="00504A7F">
      <w:pPr>
        <w:spacing w:line="360" w:lineRule="auto"/>
        <w:rPr>
          <w:lang w:val="en-US"/>
        </w:rPr>
      </w:pPr>
      <w:r w:rsidRPr="00161F1A">
        <w:rPr>
          <w:noProof/>
          <w:lang w:eastAsia="nl-NL"/>
        </w:rPr>
        <w:drawing>
          <wp:inline distT="0" distB="0" distL="0" distR="0">
            <wp:extent cx="4543425" cy="1571625"/>
            <wp:effectExtent l="19050" t="0" r="9525" b="0"/>
            <wp:docPr id="1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4543425" cy="1571625"/>
                    </a:xfrm>
                    <a:prstGeom prst="rect">
                      <a:avLst/>
                    </a:prstGeom>
                    <a:noFill/>
                    <a:ln w="9525">
                      <a:noFill/>
                      <a:miter lim="800000"/>
                      <a:headEnd/>
                      <a:tailEnd/>
                    </a:ln>
                  </pic:spPr>
                </pic:pic>
              </a:graphicData>
            </a:graphic>
          </wp:inline>
        </w:drawing>
      </w:r>
    </w:p>
    <w:p w:rsidR="00210A7D" w:rsidRDefault="00210A7D" w:rsidP="00887CFE">
      <w:pPr>
        <w:spacing w:line="360" w:lineRule="auto"/>
        <w:rPr>
          <w:lang w:val="en-US"/>
        </w:rPr>
      </w:pPr>
    </w:p>
    <w:p w:rsidR="007D634A" w:rsidRDefault="007D634A" w:rsidP="007D634A">
      <w:pPr>
        <w:spacing w:line="360" w:lineRule="auto"/>
        <w:rPr>
          <w:rFonts w:ascii="ScalaSans-Caps" w:hAnsi="ScalaSans-Caps"/>
          <w:lang w:val="en-US"/>
        </w:rPr>
      </w:pPr>
      <w:r w:rsidRPr="001738E1">
        <w:rPr>
          <w:rFonts w:ascii="ScalaSans-Caps" w:hAnsi="ScalaSans-Caps"/>
          <w:lang w:val="en-US"/>
        </w:rPr>
        <w:t>Appendix 4</w:t>
      </w:r>
      <w:r>
        <w:rPr>
          <w:rFonts w:ascii="ScalaSans-Caps" w:hAnsi="ScalaSans-Caps"/>
          <w:lang w:val="en-US"/>
        </w:rPr>
        <w:t>J</w:t>
      </w:r>
    </w:p>
    <w:p w:rsidR="00210A7D" w:rsidRDefault="003E3DDC" w:rsidP="00887CFE">
      <w:pPr>
        <w:spacing w:line="360" w:lineRule="auto"/>
        <w:rPr>
          <w:lang w:val="en-US"/>
        </w:rPr>
      </w:pPr>
      <w:r w:rsidRPr="003E3DDC">
        <w:rPr>
          <w:noProof/>
          <w:lang w:eastAsia="nl-NL"/>
        </w:rPr>
        <w:drawing>
          <wp:inline distT="0" distB="0" distL="0" distR="0">
            <wp:extent cx="5731510" cy="3247235"/>
            <wp:effectExtent l="19050" t="0" r="21590" b="0"/>
            <wp:docPr id="2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D634A" w:rsidRDefault="007D634A" w:rsidP="00887CFE">
      <w:pPr>
        <w:spacing w:line="360" w:lineRule="auto"/>
        <w:rPr>
          <w:lang w:val="en-US"/>
        </w:rPr>
      </w:pPr>
    </w:p>
    <w:p w:rsidR="007D634A" w:rsidRDefault="007D634A" w:rsidP="00887CFE">
      <w:pPr>
        <w:spacing w:line="360" w:lineRule="auto"/>
        <w:rPr>
          <w:lang w:val="en-US"/>
        </w:rPr>
      </w:pPr>
    </w:p>
    <w:p w:rsidR="00CB41B6" w:rsidRDefault="00CB41B6" w:rsidP="00887CFE">
      <w:pPr>
        <w:spacing w:line="360" w:lineRule="auto"/>
        <w:rPr>
          <w:lang w:val="en-US"/>
        </w:rPr>
      </w:pPr>
      <w:r w:rsidRPr="00CB41B6">
        <w:rPr>
          <w:noProof/>
          <w:lang w:eastAsia="nl-NL"/>
        </w:rPr>
        <w:drawing>
          <wp:inline distT="0" distB="0" distL="0" distR="0">
            <wp:extent cx="5731510" cy="3243195"/>
            <wp:effectExtent l="19050" t="0" r="21590" b="0"/>
            <wp:docPr id="24"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B41B6" w:rsidRDefault="00CB41B6" w:rsidP="00887CFE">
      <w:pPr>
        <w:spacing w:line="360" w:lineRule="auto"/>
        <w:rPr>
          <w:lang w:val="en-US"/>
        </w:rPr>
      </w:pPr>
    </w:p>
    <w:p w:rsidR="00210A7D" w:rsidRDefault="00210A7D" w:rsidP="00210A7D">
      <w:pPr>
        <w:spacing w:line="360" w:lineRule="auto"/>
        <w:rPr>
          <w:rFonts w:ascii="ScalaSans-Caps" w:hAnsi="ScalaSans-Caps"/>
          <w:lang w:val="en-US"/>
        </w:rPr>
      </w:pPr>
      <w:r w:rsidRPr="001738E1">
        <w:rPr>
          <w:rFonts w:ascii="ScalaSans-Caps" w:hAnsi="ScalaSans-Caps"/>
          <w:lang w:val="en-US"/>
        </w:rPr>
        <w:t>Appendix 4</w:t>
      </w:r>
      <w:r w:rsidR="007D634A">
        <w:rPr>
          <w:rFonts w:ascii="ScalaSans-Caps" w:hAnsi="ScalaSans-Caps"/>
          <w:lang w:val="en-US"/>
        </w:rPr>
        <w:t>K</w:t>
      </w:r>
    </w:p>
    <w:p w:rsidR="00210A7D" w:rsidRDefault="00210A7D" w:rsidP="00887CFE">
      <w:pPr>
        <w:spacing w:line="360" w:lineRule="auto"/>
        <w:rPr>
          <w:lang w:val="en-US"/>
        </w:rPr>
      </w:pPr>
    </w:p>
    <w:p w:rsidR="00887CFE" w:rsidRDefault="00210A7D">
      <w:pPr>
        <w:rPr>
          <w:lang w:val="en-US"/>
        </w:rPr>
      </w:pPr>
      <w:r w:rsidRPr="00210A7D">
        <w:rPr>
          <w:noProof/>
          <w:lang w:eastAsia="nl-NL"/>
        </w:rPr>
        <w:drawing>
          <wp:inline distT="0" distB="0" distL="0" distR="0">
            <wp:extent cx="5731510" cy="1703962"/>
            <wp:effectExtent l="19050" t="0" r="2540" b="0"/>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731510" cy="1703962"/>
                    </a:xfrm>
                    <a:prstGeom prst="rect">
                      <a:avLst/>
                    </a:prstGeom>
                    <a:noFill/>
                    <a:ln w="9525">
                      <a:noFill/>
                      <a:miter lim="800000"/>
                      <a:headEnd/>
                      <a:tailEnd/>
                    </a:ln>
                  </pic:spPr>
                </pic:pic>
              </a:graphicData>
            </a:graphic>
          </wp:inline>
        </w:drawing>
      </w:r>
    </w:p>
    <w:p w:rsidR="00887CFE" w:rsidRDefault="00887CFE" w:rsidP="00A247D4">
      <w:pPr>
        <w:spacing w:line="360" w:lineRule="auto"/>
        <w:rPr>
          <w:lang w:val="en-US"/>
        </w:rPr>
      </w:pPr>
    </w:p>
    <w:p w:rsidR="00887CFE" w:rsidRDefault="00887CFE" w:rsidP="00887CFE">
      <w:pPr>
        <w:spacing w:line="360" w:lineRule="auto"/>
        <w:rPr>
          <w:rFonts w:ascii="ScalaSans-Caps" w:hAnsi="ScalaSans-Caps"/>
          <w:lang w:val="en-US"/>
        </w:rPr>
      </w:pPr>
      <w:r w:rsidRPr="001738E1">
        <w:rPr>
          <w:rFonts w:ascii="ScalaSans-Caps" w:hAnsi="ScalaSans-Caps"/>
          <w:lang w:val="en-US"/>
        </w:rPr>
        <w:t>Appendix 4</w:t>
      </w:r>
      <w:r w:rsidR="007D634A">
        <w:rPr>
          <w:rFonts w:ascii="ScalaSans-Caps" w:hAnsi="ScalaSans-Caps"/>
          <w:lang w:val="en-US"/>
        </w:rPr>
        <w:t>L</w:t>
      </w:r>
    </w:p>
    <w:p w:rsidR="00887CFE" w:rsidRDefault="00887CFE" w:rsidP="00887CFE">
      <w:pPr>
        <w:spacing w:line="360" w:lineRule="auto"/>
        <w:rPr>
          <w:lang w:val="en-US"/>
        </w:rPr>
      </w:pPr>
    </w:p>
    <w:p w:rsidR="00887CFE" w:rsidRDefault="00887CFE">
      <w:pPr>
        <w:rPr>
          <w:lang w:val="en-US"/>
        </w:rPr>
      </w:pPr>
      <w:r w:rsidRPr="00887CFE">
        <w:rPr>
          <w:noProof/>
          <w:lang w:eastAsia="nl-NL"/>
        </w:rPr>
        <w:drawing>
          <wp:inline distT="0" distB="0" distL="0" distR="0">
            <wp:extent cx="5667375" cy="1962150"/>
            <wp:effectExtent l="19050" t="0" r="9525" b="0"/>
            <wp:docPr id="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667375" cy="1962150"/>
                    </a:xfrm>
                    <a:prstGeom prst="rect">
                      <a:avLst/>
                    </a:prstGeom>
                    <a:noFill/>
                    <a:ln w="9525">
                      <a:noFill/>
                      <a:miter lim="800000"/>
                      <a:headEnd/>
                      <a:tailEnd/>
                    </a:ln>
                  </pic:spPr>
                </pic:pic>
              </a:graphicData>
            </a:graphic>
          </wp:inline>
        </w:drawing>
      </w:r>
    </w:p>
    <w:p w:rsidR="00887CFE" w:rsidRDefault="00887CFE" w:rsidP="00887CFE">
      <w:pPr>
        <w:spacing w:line="360" w:lineRule="auto"/>
        <w:rPr>
          <w:lang w:val="en-US"/>
        </w:rPr>
      </w:pPr>
    </w:p>
    <w:p w:rsidR="001738E1" w:rsidRDefault="002C1229" w:rsidP="002C1229">
      <w:pPr>
        <w:pStyle w:val="Heading2"/>
        <w:spacing w:before="120" w:line="360" w:lineRule="auto"/>
        <w:rPr>
          <w:lang w:val="en-US"/>
        </w:rPr>
      </w:pPr>
      <w:bookmarkStart w:id="29" w:name="_Toc299180714"/>
      <w:r>
        <w:rPr>
          <w:lang w:val="en-US"/>
        </w:rPr>
        <w:t>Appendix 5: Correlation matrix</w:t>
      </w:r>
      <w:bookmarkEnd w:id="29"/>
    </w:p>
    <w:p w:rsidR="002C1229" w:rsidRDefault="002C1229" w:rsidP="002C1229">
      <w:pPr>
        <w:spacing w:line="360" w:lineRule="auto"/>
        <w:rPr>
          <w:lang w:val="en-US"/>
        </w:rPr>
      </w:pPr>
    </w:p>
    <w:p w:rsidR="002C1229" w:rsidRDefault="00161F1A" w:rsidP="00C2240C">
      <w:pPr>
        <w:spacing w:line="360" w:lineRule="auto"/>
        <w:ind w:left="-709"/>
        <w:jc w:val="both"/>
        <w:rPr>
          <w:lang w:val="en-US"/>
        </w:rPr>
      </w:pPr>
      <w:r w:rsidRPr="00161F1A">
        <w:rPr>
          <w:noProof/>
          <w:lang w:eastAsia="nl-NL"/>
        </w:rPr>
        <w:drawing>
          <wp:inline distT="0" distB="0" distL="0" distR="0">
            <wp:extent cx="6667500" cy="5703887"/>
            <wp:effectExtent l="19050" t="0" r="0" b="0"/>
            <wp:docPr id="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6667500" cy="5703887"/>
                    </a:xfrm>
                    <a:prstGeom prst="rect">
                      <a:avLst/>
                    </a:prstGeom>
                    <a:noFill/>
                    <a:ln w="9525">
                      <a:noFill/>
                      <a:miter lim="800000"/>
                      <a:headEnd/>
                      <a:tailEnd/>
                    </a:ln>
                  </pic:spPr>
                </pic:pic>
              </a:graphicData>
            </a:graphic>
          </wp:inline>
        </w:drawing>
      </w:r>
    </w:p>
    <w:p w:rsidR="002C2879" w:rsidRDefault="002C2879" w:rsidP="002C2879">
      <w:pPr>
        <w:spacing w:line="360" w:lineRule="auto"/>
        <w:jc w:val="both"/>
        <w:rPr>
          <w:lang w:val="en-US"/>
        </w:rPr>
      </w:pPr>
    </w:p>
    <w:p w:rsidR="002C2879" w:rsidRDefault="002C2879" w:rsidP="002C2879">
      <w:pPr>
        <w:spacing w:line="360" w:lineRule="auto"/>
        <w:jc w:val="both"/>
        <w:rPr>
          <w:lang w:val="en-US"/>
        </w:rPr>
      </w:pPr>
    </w:p>
    <w:p w:rsidR="002C2879" w:rsidRDefault="002C2879">
      <w:pPr>
        <w:rPr>
          <w:lang w:val="en-US"/>
        </w:rPr>
      </w:pPr>
      <w:r>
        <w:rPr>
          <w:lang w:val="en-US"/>
        </w:rPr>
        <w:br w:type="page"/>
      </w:r>
    </w:p>
    <w:p w:rsidR="002C2879" w:rsidRDefault="002C2879" w:rsidP="002C2879">
      <w:pPr>
        <w:pStyle w:val="Heading2"/>
        <w:spacing w:before="120" w:line="360" w:lineRule="auto"/>
        <w:rPr>
          <w:lang w:val="en-US"/>
        </w:rPr>
      </w:pPr>
      <w:bookmarkStart w:id="30" w:name="_Toc299180715"/>
      <w:r>
        <w:rPr>
          <w:lang w:val="en-US"/>
        </w:rPr>
        <w:t>Appendix 6: Regression tables</w:t>
      </w:r>
      <w:bookmarkEnd w:id="30"/>
    </w:p>
    <w:p w:rsidR="002C2879" w:rsidRDefault="002C2879" w:rsidP="002C2879">
      <w:pPr>
        <w:spacing w:line="360" w:lineRule="auto"/>
        <w:jc w:val="both"/>
        <w:rPr>
          <w:lang w:val="en-US"/>
        </w:rPr>
      </w:pPr>
    </w:p>
    <w:p w:rsidR="002C2879" w:rsidRPr="002C2879" w:rsidRDefault="002C2879" w:rsidP="002C2879">
      <w:pPr>
        <w:spacing w:line="360" w:lineRule="auto"/>
        <w:jc w:val="both"/>
        <w:rPr>
          <w:rFonts w:ascii="ScalaSans-Caps" w:hAnsi="ScalaSans-Caps"/>
          <w:lang w:val="en-US"/>
        </w:rPr>
      </w:pPr>
      <w:r w:rsidRPr="002C2879">
        <w:rPr>
          <w:rFonts w:ascii="ScalaSans-Caps" w:hAnsi="ScalaSans-Caps"/>
          <w:lang w:val="en-US"/>
        </w:rPr>
        <w:t>Appendix 6A</w:t>
      </w:r>
    </w:p>
    <w:p w:rsidR="002C2879" w:rsidRDefault="002C2879" w:rsidP="002C2879">
      <w:pPr>
        <w:spacing w:line="360" w:lineRule="auto"/>
        <w:jc w:val="both"/>
        <w:rPr>
          <w:lang w:val="en-US"/>
        </w:rPr>
      </w:pPr>
    </w:p>
    <w:tbl>
      <w:tblPr>
        <w:tblW w:w="572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010"/>
        <w:gridCol w:w="1077"/>
        <w:gridCol w:w="1456"/>
        <w:gridCol w:w="1456"/>
      </w:tblGrid>
      <w:tr w:rsidR="002C2879" w:rsidRPr="002C2879" w:rsidTr="002C2879">
        <w:trPr>
          <w:cantSplit/>
          <w:tblHeader/>
        </w:trPr>
        <w:tc>
          <w:tcPr>
            <w:tcW w:w="5726" w:type="dxa"/>
            <w:gridSpan w:val="5"/>
            <w:tcBorders>
              <w:top w:val="nil"/>
              <w:left w:val="nil"/>
              <w:bottom w:val="nil"/>
              <w:right w:val="nil"/>
            </w:tcBorders>
            <w:shd w:val="clear" w:color="auto" w:fill="FFFFFF"/>
            <w:tcMar>
              <w:top w:w="30" w:type="dxa"/>
              <w:left w:w="30" w:type="dxa"/>
              <w:bottom w:w="30" w:type="dxa"/>
              <w:right w:w="30" w:type="dxa"/>
            </w:tcMar>
            <w:vAlign w:val="center"/>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b/>
                <w:bCs/>
                <w:color w:val="000000"/>
                <w:sz w:val="18"/>
                <w:szCs w:val="18"/>
              </w:rPr>
              <w:t>Model Summary</w:t>
            </w:r>
          </w:p>
        </w:tc>
      </w:tr>
      <w:tr w:rsidR="002C2879" w:rsidRPr="002C07A4" w:rsidTr="002C2879">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Model</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R</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R Square</w:t>
            </w:r>
          </w:p>
        </w:tc>
        <w:tc>
          <w:tcPr>
            <w:tcW w:w="145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Adjusted R Square</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lang w:val="en-US"/>
              </w:rPr>
            </w:pPr>
            <w:r w:rsidRPr="002C2879">
              <w:rPr>
                <w:rFonts w:ascii="Arial" w:hAnsi="Arial" w:cs="Arial"/>
                <w:color w:val="000000"/>
                <w:sz w:val="18"/>
                <w:szCs w:val="18"/>
                <w:lang w:val="en-US"/>
              </w:rPr>
              <w:t>Std. Error of the Estimate</w:t>
            </w:r>
          </w:p>
        </w:tc>
      </w:tr>
      <w:tr w:rsidR="002C2879" w:rsidRPr="002C2879" w:rsidTr="002C2879">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1</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,826</w:t>
            </w:r>
            <w:r w:rsidRPr="002C2879">
              <w:rPr>
                <w:rFonts w:ascii="Arial" w:hAnsi="Arial" w:cs="Arial"/>
                <w:color w:val="000000"/>
                <w:sz w:val="18"/>
                <w:szCs w:val="18"/>
                <w:vertAlign w:val="superscript"/>
              </w:rPr>
              <w:t>a</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,682</w:t>
            </w:r>
          </w:p>
        </w:tc>
        <w:tc>
          <w:tcPr>
            <w:tcW w:w="1456" w:type="dxa"/>
            <w:tcBorders>
              <w:top w:val="single" w:sz="16" w:space="0" w:color="000000"/>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,678</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,59554</w:t>
            </w:r>
          </w:p>
        </w:tc>
      </w:tr>
      <w:tr w:rsidR="002C2879" w:rsidRPr="002C2879" w:rsidTr="002C2879">
        <w:trPr>
          <w:cantSplit/>
        </w:trPr>
        <w:tc>
          <w:tcPr>
            <w:tcW w:w="5726" w:type="dxa"/>
            <w:gridSpan w:val="5"/>
            <w:tcBorders>
              <w:top w:val="nil"/>
              <w:left w:val="nil"/>
              <w:bottom w:val="nil"/>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lang w:val="en-US"/>
              </w:rPr>
              <w:t xml:space="preserve">a. Predictors: (Constant), Dummy_nature, Acc. Level 0 dummy, Number of directors, Dummy_health, Executive managers, Dummy_welfare, CBF brand, International, Acc. </w:t>
            </w:r>
            <w:r w:rsidRPr="002C2879">
              <w:rPr>
                <w:rFonts w:ascii="Arial" w:hAnsi="Arial" w:cs="Arial"/>
                <w:color w:val="000000"/>
                <w:sz w:val="18"/>
                <w:szCs w:val="18"/>
              </w:rPr>
              <w:t>Level 5 dummy</w:t>
            </w:r>
          </w:p>
        </w:tc>
      </w:tr>
    </w:tbl>
    <w:p w:rsidR="002C2879" w:rsidRPr="002C2879" w:rsidRDefault="002C2879" w:rsidP="002C2879">
      <w:pPr>
        <w:autoSpaceDE w:val="0"/>
        <w:autoSpaceDN w:val="0"/>
        <w:adjustRightInd w:val="0"/>
        <w:spacing w:line="360" w:lineRule="auto"/>
        <w:rPr>
          <w:rFonts w:cs="Times New Roman"/>
        </w:rPr>
      </w:pPr>
    </w:p>
    <w:tbl>
      <w:tblPr>
        <w:tblW w:w="788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271"/>
        <w:gridCol w:w="1456"/>
        <w:gridCol w:w="1009"/>
        <w:gridCol w:w="1398"/>
        <w:gridCol w:w="1010"/>
        <w:gridCol w:w="1010"/>
      </w:tblGrid>
      <w:tr w:rsidR="002C2879" w:rsidRPr="002C2879">
        <w:trPr>
          <w:cantSplit/>
          <w:tblHeader/>
        </w:trPr>
        <w:tc>
          <w:tcPr>
            <w:tcW w:w="7879" w:type="dxa"/>
            <w:gridSpan w:val="7"/>
            <w:tcBorders>
              <w:top w:val="nil"/>
              <w:left w:val="nil"/>
              <w:bottom w:val="nil"/>
              <w:right w:val="nil"/>
            </w:tcBorders>
            <w:shd w:val="clear" w:color="auto" w:fill="FFFFFF"/>
            <w:tcMar>
              <w:top w:w="30" w:type="dxa"/>
              <w:left w:w="30" w:type="dxa"/>
              <w:bottom w:w="30" w:type="dxa"/>
              <w:right w:w="30" w:type="dxa"/>
            </w:tcMar>
            <w:vAlign w:val="center"/>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b/>
                <w:bCs/>
                <w:color w:val="000000"/>
                <w:sz w:val="18"/>
                <w:szCs w:val="18"/>
              </w:rPr>
              <w:t>ANOVA</w:t>
            </w:r>
            <w:r w:rsidRPr="002C2879">
              <w:rPr>
                <w:rFonts w:ascii="Arial" w:hAnsi="Arial" w:cs="Arial"/>
                <w:b/>
                <w:bCs/>
                <w:color w:val="000000"/>
                <w:sz w:val="18"/>
                <w:szCs w:val="18"/>
                <w:vertAlign w:val="superscript"/>
              </w:rPr>
              <w:t>b</w:t>
            </w:r>
          </w:p>
        </w:tc>
      </w:tr>
      <w:tr w:rsidR="002C2879" w:rsidRPr="002C2879">
        <w:trPr>
          <w:cantSplit/>
          <w:tblHeader/>
        </w:trPr>
        <w:tc>
          <w:tcPr>
            <w:tcW w:w="199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Model</w:t>
            </w:r>
          </w:p>
        </w:tc>
        <w:tc>
          <w:tcPr>
            <w:tcW w:w="14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Sum of Squares</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df</w:t>
            </w:r>
          </w:p>
        </w:tc>
        <w:tc>
          <w:tcPr>
            <w:tcW w:w="13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Mean Square</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F</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Sig.</w:t>
            </w:r>
          </w:p>
        </w:tc>
      </w:tr>
      <w:tr w:rsidR="002C2879" w:rsidRPr="002C2879">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1</w:t>
            </w:r>
          </w:p>
        </w:tc>
        <w:tc>
          <w:tcPr>
            <w:tcW w:w="12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Regression</w:t>
            </w:r>
          </w:p>
        </w:tc>
        <w:tc>
          <w:tcPr>
            <w:tcW w:w="14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580,864</w:t>
            </w:r>
          </w:p>
        </w:tc>
        <w:tc>
          <w:tcPr>
            <w:tcW w:w="1009" w:type="dxa"/>
            <w:tcBorders>
              <w:top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9</w:t>
            </w:r>
          </w:p>
        </w:tc>
        <w:tc>
          <w:tcPr>
            <w:tcW w:w="1397" w:type="dxa"/>
            <w:tcBorders>
              <w:top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64,540</w:t>
            </w:r>
          </w:p>
        </w:tc>
        <w:tc>
          <w:tcPr>
            <w:tcW w:w="1010" w:type="dxa"/>
            <w:tcBorders>
              <w:top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181,977</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,000</w:t>
            </w:r>
            <w:r w:rsidRPr="002C2879">
              <w:rPr>
                <w:rFonts w:ascii="Arial" w:hAnsi="Arial" w:cs="Arial"/>
                <w:color w:val="000000"/>
                <w:sz w:val="18"/>
                <w:szCs w:val="18"/>
                <w:vertAlign w:val="superscript"/>
              </w:rPr>
              <w:t>a</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271"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Residual</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270,608</w:t>
            </w:r>
          </w:p>
        </w:tc>
        <w:tc>
          <w:tcPr>
            <w:tcW w:w="1009"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763</w:t>
            </w:r>
          </w:p>
        </w:tc>
        <w:tc>
          <w:tcPr>
            <w:tcW w:w="1397"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,355</w:t>
            </w:r>
          </w:p>
        </w:tc>
        <w:tc>
          <w:tcPr>
            <w:tcW w:w="1010" w:type="dxa"/>
            <w:tcBorders>
              <w:top w:val="nil"/>
              <w:bottom w:val="nil"/>
            </w:tcBorders>
            <w:shd w:val="clear" w:color="auto" w:fill="FFFFFF"/>
            <w:tcMar>
              <w:top w:w="30" w:type="dxa"/>
              <w:left w:w="30" w:type="dxa"/>
              <w:bottom w:w="30" w:type="dxa"/>
              <w:right w:w="30" w:type="dxa"/>
            </w:tcMar>
            <w:vAlign w:val="center"/>
          </w:tcPr>
          <w:p w:rsidR="002C2879" w:rsidRPr="002C2879" w:rsidRDefault="002C2879" w:rsidP="002C2879">
            <w:pPr>
              <w:autoSpaceDE w:val="0"/>
              <w:autoSpaceDN w:val="0"/>
              <w:adjustRightInd w:val="0"/>
              <w:jc w:val="center"/>
              <w:rPr>
                <w:rFonts w:ascii="Times New Roman" w:hAnsi="Times New Roman" w:cs="Times New Roman"/>
                <w:sz w:val="24"/>
                <w:szCs w:val="24"/>
              </w:rPr>
            </w:pPr>
          </w:p>
        </w:tc>
        <w:tc>
          <w:tcPr>
            <w:tcW w:w="1010" w:type="dxa"/>
            <w:tcBorders>
              <w:top w:val="nil"/>
              <w:bottom w:val="nil"/>
              <w:right w:val="single" w:sz="16" w:space="0" w:color="000000"/>
            </w:tcBorders>
            <w:shd w:val="clear" w:color="auto" w:fill="FFFFFF"/>
            <w:tcMar>
              <w:top w:w="30" w:type="dxa"/>
              <w:left w:w="30" w:type="dxa"/>
              <w:bottom w:w="30" w:type="dxa"/>
              <w:right w:w="30" w:type="dxa"/>
            </w:tcMar>
            <w:vAlign w:val="center"/>
          </w:tcPr>
          <w:p w:rsidR="002C2879" w:rsidRPr="002C2879" w:rsidRDefault="002C2879" w:rsidP="002C2879">
            <w:pPr>
              <w:autoSpaceDE w:val="0"/>
              <w:autoSpaceDN w:val="0"/>
              <w:adjustRightInd w:val="0"/>
              <w:jc w:val="center"/>
              <w:rPr>
                <w:rFonts w:ascii="Times New Roman" w:hAnsi="Times New Roman" w:cs="Times New Roman"/>
                <w:sz w:val="24"/>
                <w:szCs w:val="24"/>
              </w:rPr>
            </w:pP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Times New Roman" w:hAnsi="Times New Roman" w:cs="Times New Roman"/>
                <w:sz w:val="24"/>
                <w:szCs w:val="24"/>
              </w:rPr>
            </w:pPr>
          </w:p>
        </w:tc>
        <w:tc>
          <w:tcPr>
            <w:tcW w:w="12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851,472</w:t>
            </w:r>
          </w:p>
        </w:tc>
        <w:tc>
          <w:tcPr>
            <w:tcW w:w="1009" w:type="dxa"/>
            <w:tcBorders>
              <w:top w:val="nil"/>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772</w:t>
            </w:r>
          </w:p>
        </w:tc>
        <w:tc>
          <w:tcPr>
            <w:tcW w:w="1397" w:type="dxa"/>
            <w:tcBorders>
              <w:top w:val="nil"/>
              <w:bottom w:val="single" w:sz="16" w:space="0" w:color="000000"/>
            </w:tcBorders>
            <w:shd w:val="clear" w:color="auto" w:fill="FFFFFF"/>
            <w:tcMar>
              <w:top w:w="30" w:type="dxa"/>
              <w:left w:w="30" w:type="dxa"/>
              <w:bottom w:w="30" w:type="dxa"/>
              <w:right w:w="30" w:type="dxa"/>
            </w:tcMar>
            <w:vAlign w:val="center"/>
          </w:tcPr>
          <w:p w:rsidR="002C2879" w:rsidRPr="002C2879" w:rsidRDefault="002C2879" w:rsidP="002C2879">
            <w:pPr>
              <w:autoSpaceDE w:val="0"/>
              <w:autoSpaceDN w:val="0"/>
              <w:adjustRightInd w:val="0"/>
              <w:jc w:val="center"/>
              <w:rPr>
                <w:rFonts w:ascii="Times New Roman" w:hAnsi="Times New Roman" w:cs="Times New Roman"/>
                <w:sz w:val="24"/>
                <w:szCs w:val="24"/>
              </w:rPr>
            </w:pPr>
          </w:p>
        </w:tc>
        <w:tc>
          <w:tcPr>
            <w:tcW w:w="1010" w:type="dxa"/>
            <w:tcBorders>
              <w:top w:val="nil"/>
              <w:bottom w:val="single" w:sz="16" w:space="0" w:color="000000"/>
            </w:tcBorders>
            <w:shd w:val="clear" w:color="auto" w:fill="FFFFFF"/>
            <w:tcMar>
              <w:top w:w="30" w:type="dxa"/>
              <w:left w:w="30" w:type="dxa"/>
              <w:bottom w:w="30" w:type="dxa"/>
              <w:right w:w="30" w:type="dxa"/>
            </w:tcMar>
            <w:vAlign w:val="center"/>
          </w:tcPr>
          <w:p w:rsidR="002C2879" w:rsidRPr="002C2879" w:rsidRDefault="002C2879" w:rsidP="002C2879">
            <w:pPr>
              <w:autoSpaceDE w:val="0"/>
              <w:autoSpaceDN w:val="0"/>
              <w:adjustRightInd w:val="0"/>
              <w:jc w:val="center"/>
              <w:rPr>
                <w:rFonts w:ascii="Times New Roman" w:hAnsi="Times New Roman" w:cs="Times New Roman"/>
                <w:sz w:val="24"/>
                <w:szCs w:val="24"/>
              </w:rPr>
            </w:pP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C2879" w:rsidRPr="002C2879" w:rsidRDefault="002C2879" w:rsidP="002C2879">
            <w:pPr>
              <w:autoSpaceDE w:val="0"/>
              <w:autoSpaceDN w:val="0"/>
              <w:adjustRightInd w:val="0"/>
              <w:jc w:val="center"/>
              <w:rPr>
                <w:rFonts w:ascii="Times New Roman" w:hAnsi="Times New Roman" w:cs="Times New Roman"/>
                <w:sz w:val="24"/>
                <w:szCs w:val="24"/>
              </w:rPr>
            </w:pPr>
          </w:p>
        </w:tc>
      </w:tr>
      <w:tr w:rsidR="002C2879" w:rsidRPr="002C2879">
        <w:trPr>
          <w:cantSplit/>
          <w:tblHeader/>
        </w:trPr>
        <w:tc>
          <w:tcPr>
            <w:tcW w:w="7879" w:type="dxa"/>
            <w:gridSpan w:val="7"/>
            <w:tcBorders>
              <w:top w:val="nil"/>
              <w:left w:val="nil"/>
              <w:bottom w:val="nil"/>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lang w:val="en-US"/>
              </w:rPr>
              <w:t xml:space="preserve">a. Predictors: (Constant), Dummy_nature, Acc. Level 0 dummy, Number of directors, Dummy_health, Executive managers, Dummy_welfare, CBF brand, International, Acc. </w:t>
            </w:r>
            <w:r w:rsidRPr="002C2879">
              <w:rPr>
                <w:rFonts w:ascii="Arial" w:hAnsi="Arial" w:cs="Arial"/>
                <w:color w:val="000000"/>
                <w:sz w:val="18"/>
                <w:szCs w:val="18"/>
              </w:rPr>
              <w:t>Level 5 dummy</w:t>
            </w:r>
          </w:p>
        </w:tc>
      </w:tr>
      <w:tr w:rsidR="002C2879" w:rsidRPr="002C07A4">
        <w:trPr>
          <w:cantSplit/>
        </w:trPr>
        <w:tc>
          <w:tcPr>
            <w:tcW w:w="7879" w:type="dxa"/>
            <w:gridSpan w:val="7"/>
            <w:tcBorders>
              <w:top w:val="nil"/>
              <w:left w:val="nil"/>
              <w:bottom w:val="nil"/>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lang w:val="en-US"/>
              </w:rPr>
            </w:pPr>
            <w:r w:rsidRPr="002C2879">
              <w:rPr>
                <w:rFonts w:ascii="Arial" w:hAnsi="Arial" w:cs="Arial"/>
                <w:color w:val="000000"/>
                <w:sz w:val="18"/>
                <w:szCs w:val="18"/>
                <w:lang w:val="en-US"/>
              </w:rPr>
              <w:t>b. Dependent Variable: LOG_income</w:t>
            </w:r>
          </w:p>
        </w:tc>
      </w:tr>
    </w:tbl>
    <w:p w:rsidR="002C2879" w:rsidRPr="002C2879" w:rsidRDefault="002C2879" w:rsidP="002C2879">
      <w:pPr>
        <w:spacing w:line="360" w:lineRule="auto"/>
        <w:rPr>
          <w:lang w:val="en-US"/>
        </w:rPr>
      </w:pPr>
    </w:p>
    <w:p w:rsidR="00483019" w:rsidRDefault="00483019">
      <w:pPr>
        <w:rPr>
          <w:rFonts w:ascii="ScalaSans-Caps" w:hAnsi="ScalaSans-Caps"/>
          <w:lang w:val="en-US"/>
        </w:rPr>
      </w:pPr>
      <w:r>
        <w:rPr>
          <w:rFonts w:ascii="ScalaSans-Caps" w:hAnsi="ScalaSans-Caps"/>
          <w:lang w:val="en-US"/>
        </w:rPr>
        <w:br w:type="page"/>
      </w:r>
    </w:p>
    <w:p w:rsidR="002C2879" w:rsidRDefault="002C2879" w:rsidP="002C2879">
      <w:pPr>
        <w:spacing w:line="360" w:lineRule="auto"/>
        <w:jc w:val="both"/>
        <w:rPr>
          <w:rFonts w:ascii="ScalaSans-Caps" w:hAnsi="ScalaSans-Caps"/>
          <w:lang w:val="en-US"/>
        </w:rPr>
      </w:pPr>
      <w:r w:rsidRPr="002C2879">
        <w:rPr>
          <w:rFonts w:ascii="ScalaSans-Caps" w:hAnsi="ScalaSans-Caps"/>
          <w:lang w:val="en-US"/>
        </w:rPr>
        <w:t>Appendix 6</w:t>
      </w:r>
      <w:r>
        <w:rPr>
          <w:rFonts w:ascii="ScalaSans-Caps" w:hAnsi="ScalaSans-Caps"/>
          <w:lang w:val="en-US"/>
        </w:rPr>
        <w:t>B</w:t>
      </w:r>
    </w:p>
    <w:p w:rsidR="002C2879" w:rsidRPr="002C2879" w:rsidRDefault="002C2879" w:rsidP="002C2879">
      <w:pPr>
        <w:spacing w:line="360" w:lineRule="auto"/>
        <w:jc w:val="both"/>
        <w:rPr>
          <w:lang w:val="en-US"/>
        </w:rPr>
      </w:pPr>
    </w:p>
    <w:tbl>
      <w:tblPr>
        <w:tblW w:w="572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010"/>
        <w:gridCol w:w="1077"/>
        <w:gridCol w:w="1456"/>
        <w:gridCol w:w="1456"/>
      </w:tblGrid>
      <w:tr w:rsidR="002C2879" w:rsidRPr="002C2879" w:rsidTr="002C2879">
        <w:trPr>
          <w:cantSplit/>
          <w:tblHeader/>
        </w:trPr>
        <w:tc>
          <w:tcPr>
            <w:tcW w:w="5726" w:type="dxa"/>
            <w:gridSpan w:val="5"/>
            <w:tcBorders>
              <w:top w:val="nil"/>
              <w:left w:val="nil"/>
              <w:bottom w:val="nil"/>
              <w:right w:val="nil"/>
            </w:tcBorders>
            <w:shd w:val="clear" w:color="auto" w:fill="FFFFFF"/>
            <w:tcMar>
              <w:top w:w="30" w:type="dxa"/>
              <w:left w:w="30" w:type="dxa"/>
              <w:bottom w:w="30" w:type="dxa"/>
              <w:right w:w="30" w:type="dxa"/>
            </w:tcMar>
            <w:vAlign w:val="center"/>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b/>
                <w:bCs/>
                <w:color w:val="000000"/>
                <w:sz w:val="18"/>
                <w:szCs w:val="18"/>
              </w:rPr>
              <w:t>Model Summary</w:t>
            </w:r>
          </w:p>
        </w:tc>
      </w:tr>
      <w:tr w:rsidR="002C2879" w:rsidRPr="002C07A4" w:rsidTr="002C2879">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Model</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R</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R Square</w:t>
            </w:r>
          </w:p>
        </w:tc>
        <w:tc>
          <w:tcPr>
            <w:tcW w:w="145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Adjusted R Square</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lang w:val="en-US"/>
              </w:rPr>
            </w:pPr>
            <w:r w:rsidRPr="002C2879">
              <w:rPr>
                <w:rFonts w:ascii="Arial" w:hAnsi="Arial" w:cs="Arial"/>
                <w:color w:val="000000"/>
                <w:sz w:val="18"/>
                <w:szCs w:val="18"/>
                <w:lang w:val="en-US"/>
              </w:rPr>
              <w:t>Std. Error of the Estimate</w:t>
            </w:r>
          </w:p>
        </w:tc>
      </w:tr>
      <w:tr w:rsidR="002C2879" w:rsidRPr="002C2879" w:rsidTr="002C2879">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1</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,845</w:t>
            </w:r>
            <w:r w:rsidRPr="002C2879">
              <w:rPr>
                <w:rFonts w:ascii="Arial" w:hAnsi="Arial" w:cs="Arial"/>
                <w:color w:val="000000"/>
                <w:sz w:val="18"/>
                <w:szCs w:val="18"/>
                <w:vertAlign w:val="superscript"/>
              </w:rPr>
              <w:t>a</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,714</w:t>
            </w:r>
          </w:p>
        </w:tc>
        <w:tc>
          <w:tcPr>
            <w:tcW w:w="1456" w:type="dxa"/>
            <w:tcBorders>
              <w:top w:val="single" w:sz="16" w:space="0" w:color="000000"/>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,709</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,56693</w:t>
            </w:r>
          </w:p>
        </w:tc>
      </w:tr>
      <w:tr w:rsidR="002C2879" w:rsidRPr="002C2879" w:rsidTr="002C2879">
        <w:trPr>
          <w:cantSplit/>
        </w:trPr>
        <w:tc>
          <w:tcPr>
            <w:tcW w:w="5726" w:type="dxa"/>
            <w:gridSpan w:val="5"/>
            <w:tcBorders>
              <w:top w:val="nil"/>
              <w:left w:val="nil"/>
              <w:bottom w:val="nil"/>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lang w:val="en-US"/>
              </w:rPr>
              <w:t xml:space="preserve">a. Predictors: (Constant), Dummy_nature, Acc. Level 2 dummy, Advisory council, Acc. Level 3 dummy, Acc. Level 4 dummy, legal form, Acc. Level 1 dummy, Acc. Level 0 dummy, Dummy_health, VFI membership, Number of directors, Dummy_welfare, Executive managers, CBF brand, Acc. </w:t>
            </w:r>
            <w:r w:rsidRPr="002C2879">
              <w:rPr>
                <w:rFonts w:ascii="Arial" w:hAnsi="Arial" w:cs="Arial"/>
                <w:color w:val="000000"/>
                <w:sz w:val="18"/>
                <w:szCs w:val="18"/>
              </w:rPr>
              <w:t>Level 5 dummy</w:t>
            </w:r>
          </w:p>
        </w:tc>
      </w:tr>
    </w:tbl>
    <w:p w:rsidR="002C2879" w:rsidRPr="002C2879" w:rsidRDefault="002C2879" w:rsidP="002C2879">
      <w:pPr>
        <w:autoSpaceDE w:val="0"/>
        <w:autoSpaceDN w:val="0"/>
        <w:adjustRightInd w:val="0"/>
        <w:spacing w:line="360" w:lineRule="auto"/>
        <w:rPr>
          <w:rFonts w:cs="Times New Roman"/>
          <w:sz w:val="24"/>
          <w:szCs w:val="24"/>
        </w:rPr>
      </w:pPr>
    </w:p>
    <w:tbl>
      <w:tblPr>
        <w:tblW w:w="88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970"/>
        <w:gridCol w:w="1324"/>
        <w:gridCol w:w="1323"/>
        <w:gridCol w:w="1456"/>
        <w:gridCol w:w="1010"/>
        <w:gridCol w:w="1010"/>
      </w:tblGrid>
      <w:tr w:rsidR="002C2879" w:rsidRPr="002C2879">
        <w:trPr>
          <w:cantSplit/>
          <w:tblHeader/>
        </w:trPr>
        <w:tc>
          <w:tcPr>
            <w:tcW w:w="8816" w:type="dxa"/>
            <w:gridSpan w:val="7"/>
            <w:tcBorders>
              <w:top w:val="nil"/>
              <w:left w:val="nil"/>
              <w:bottom w:val="nil"/>
              <w:right w:val="nil"/>
            </w:tcBorders>
            <w:shd w:val="clear" w:color="auto" w:fill="FFFFFF"/>
            <w:tcMar>
              <w:top w:w="30" w:type="dxa"/>
              <w:left w:w="30" w:type="dxa"/>
              <w:bottom w:w="30" w:type="dxa"/>
              <w:right w:w="30" w:type="dxa"/>
            </w:tcMar>
            <w:vAlign w:val="center"/>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b/>
                <w:bCs/>
                <w:color w:val="000000"/>
                <w:sz w:val="18"/>
                <w:szCs w:val="18"/>
              </w:rPr>
              <w:t>Coefficients</w:t>
            </w:r>
            <w:r w:rsidRPr="002C2879">
              <w:rPr>
                <w:rFonts w:ascii="Arial" w:hAnsi="Arial" w:cs="Arial"/>
                <w:b/>
                <w:bCs/>
                <w:color w:val="000000"/>
                <w:sz w:val="18"/>
                <w:szCs w:val="18"/>
                <w:vertAlign w:val="superscript"/>
              </w:rPr>
              <w:t>a</w:t>
            </w:r>
          </w:p>
        </w:tc>
      </w:tr>
      <w:tr w:rsidR="002C2879" w:rsidRPr="002C2879">
        <w:trPr>
          <w:cantSplit/>
          <w:tblHeader/>
        </w:trPr>
        <w:tc>
          <w:tcPr>
            <w:tcW w:w="269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Model</w:t>
            </w:r>
          </w:p>
        </w:tc>
        <w:tc>
          <w:tcPr>
            <w:tcW w:w="264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Unstandardized Coefficients</w:t>
            </w:r>
          </w:p>
        </w:tc>
        <w:tc>
          <w:tcPr>
            <w:tcW w:w="1455" w:type="dxa"/>
            <w:tcBorders>
              <w:top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Standardized Coefficients</w:t>
            </w:r>
          </w:p>
        </w:tc>
        <w:tc>
          <w:tcPr>
            <w:tcW w:w="101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t</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Sig.</w:t>
            </w:r>
          </w:p>
        </w:tc>
      </w:tr>
      <w:tr w:rsidR="002C2879" w:rsidRPr="002C2879">
        <w:trPr>
          <w:cantSplit/>
          <w:tblHeader/>
        </w:trPr>
        <w:tc>
          <w:tcPr>
            <w:tcW w:w="2696"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rPr>
                <w:rFonts w:ascii="Arial" w:hAnsi="Arial" w:cs="Arial"/>
                <w:color w:val="000000"/>
                <w:sz w:val="18"/>
                <w:szCs w:val="18"/>
              </w:rPr>
            </w:pPr>
          </w:p>
        </w:tc>
        <w:tc>
          <w:tcPr>
            <w:tcW w:w="132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B</w:t>
            </w:r>
          </w:p>
        </w:tc>
        <w:tc>
          <w:tcPr>
            <w:tcW w:w="1322" w:type="dxa"/>
            <w:tcBorders>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Std. Error</w:t>
            </w:r>
          </w:p>
        </w:tc>
        <w:tc>
          <w:tcPr>
            <w:tcW w:w="1455" w:type="dxa"/>
            <w:tcBorders>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Beta</w:t>
            </w:r>
          </w:p>
        </w:tc>
        <w:tc>
          <w:tcPr>
            <w:tcW w:w="10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rPr>
                <w:rFonts w:ascii="Arial" w:hAnsi="Arial" w:cs="Arial"/>
                <w:color w:val="000000"/>
                <w:sz w:val="18"/>
                <w:szCs w:val="18"/>
              </w:rPr>
            </w:pP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rPr>
                <w:rFonts w:ascii="Arial" w:hAnsi="Arial" w:cs="Arial"/>
                <w:color w:val="000000"/>
                <w:sz w:val="18"/>
                <w:szCs w:val="18"/>
              </w:rPr>
            </w:pPr>
          </w:p>
        </w:tc>
      </w:tr>
      <w:tr w:rsidR="002C2879" w:rsidRPr="002C2879">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1</w:t>
            </w:r>
          </w:p>
        </w:tc>
        <w:tc>
          <w:tcPr>
            <w:tcW w:w="19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(Constant)</w:t>
            </w:r>
          </w:p>
        </w:tc>
        <w:tc>
          <w:tcPr>
            <w:tcW w:w="132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4,503</w:t>
            </w:r>
          </w:p>
        </w:tc>
        <w:tc>
          <w:tcPr>
            <w:tcW w:w="1322" w:type="dxa"/>
            <w:tcBorders>
              <w:top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,066</w:t>
            </w:r>
          </w:p>
        </w:tc>
        <w:tc>
          <w:tcPr>
            <w:tcW w:w="1455" w:type="dxa"/>
            <w:tcBorders>
              <w:top w:val="single" w:sz="16" w:space="0" w:color="000000"/>
              <w:bottom w:val="nil"/>
            </w:tcBorders>
            <w:shd w:val="clear" w:color="auto" w:fill="FFFFFF"/>
            <w:tcMar>
              <w:top w:w="30" w:type="dxa"/>
              <w:left w:w="30" w:type="dxa"/>
              <w:bottom w:w="30" w:type="dxa"/>
              <w:right w:w="30" w:type="dxa"/>
            </w:tcMar>
            <w:vAlign w:val="center"/>
          </w:tcPr>
          <w:p w:rsidR="002C2879" w:rsidRPr="002C2879" w:rsidRDefault="002C2879" w:rsidP="002C2879">
            <w:pPr>
              <w:autoSpaceDE w:val="0"/>
              <w:autoSpaceDN w:val="0"/>
              <w:adjustRightInd w:val="0"/>
              <w:jc w:val="center"/>
              <w:rPr>
                <w:rFonts w:ascii="Times New Roman" w:hAnsi="Times New Roman" w:cs="Times New Roman"/>
                <w:sz w:val="24"/>
                <w:szCs w:val="24"/>
              </w:rPr>
            </w:pPr>
          </w:p>
        </w:tc>
        <w:tc>
          <w:tcPr>
            <w:tcW w:w="1010" w:type="dxa"/>
            <w:tcBorders>
              <w:top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68,140</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,000</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Number of directors</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,026</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,011</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,053</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2,449</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,015</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CBF brand</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-,002</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,066</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,000</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-,030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,976</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Acc. Level 5 dummy</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,804</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,068</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,382</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11,912</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,000</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Acc. Level 4 dummy</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,403</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,572</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,014</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,704</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,481</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Acc. Level 3 dummy</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,824</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,573</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,028</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1,439</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,151</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Acc. Level 2 dummy</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,061</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,114</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,012</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,532</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,595</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Acc. Level 1 dummy</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,344</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,115</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,060</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3,006</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,003</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Acc. Level 0 dummy</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-,022</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,043</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-,010</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-,517</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,605</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Advisory council</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,175</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,047</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,078</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3,691</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,000</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legal form</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,250</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,077</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,066</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3,259</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,001</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VFI membership</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,494</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,069</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,169</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7,193</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,000</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Executive managers</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,584</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,040</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,388</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14,760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,000</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Dummy_welfare</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-,014</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,053</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-,006</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-,259</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,795</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Dummy_health</w:t>
            </w:r>
          </w:p>
        </w:tc>
        <w:tc>
          <w:tcPr>
            <w:tcW w:w="1323"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-,140</w:t>
            </w:r>
          </w:p>
        </w:tc>
        <w:tc>
          <w:tcPr>
            <w:tcW w:w="1322"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,059</w:t>
            </w:r>
          </w:p>
        </w:tc>
        <w:tc>
          <w:tcPr>
            <w:tcW w:w="1455"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-,052</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-2,375</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,018</w:t>
            </w:r>
          </w:p>
        </w:tc>
      </w:tr>
      <w:tr w:rsidR="002C2879" w:rsidRP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Dummy_nature</w:t>
            </w:r>
          </w:p>
        </w:tc>
        <w:tc>
          <w:tcPr>
            <w:tcW w:w="132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,195</w:t>
            </w:r>
          </w:p>
        </w:tc>
        <w:tc>
          <w:tcPr>
            <w:tcW w:w="1322" w:type="dxa"/>
            <w:tcBorders>
              <w:top w:val="nil"/>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,073</w:t>
            </w:r>
          </w:p>
        </w:tc>
        <w:tc>
          <w:tcPr>
            <w:tcW w:w="1455" w:type="dxa"/>
            <w:tcBorders>
              <w:top w:val="nil"/>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,059</w:t>
            </w:r>
          </w:p>
        </w:tc>
        <w:tc>
          <w:tcPr>
            <w:tcW w:w="1010" w:type="dxa"/>
            <w:tcBorders>
              <w:top w:val="nil"/>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2,680</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,008</w:t>
            </w:r>
          </w:p>
        </w:tc>
      </w:tr>
      <w:tr w:rsidR="002C2879" w:rsidRPr="002C07A4">
        <w:trPr>
          <w:cantSplit/>
        </w:trPr>
        <w:tc>
          <w:tcPr>
            <w:tcW w:w="8816" w:type="dxa"/>
            <w:gridSpan w:val="7"/>
            <w:tcBorders>
              <w:top w:val="nil"/>
              <w:left w:val="nil"/>
              <w:bottom w:val="nil"/>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lang w:val="en-US"/>
              </w:rPr>
            </w:pPr>
            <w:r w:rsidRPr="002C2879">
              <w:rPr>
                <w:rFonts w:ascii="Arial" w:hAnsi="Arial" w:cs="Arial"/>
                <w:color w:val="000000"/>
                <w:sz w:val="18"/>
                <w:szCs w:val="18"/>
                <w:lang w:val="en-US"/>
              </w:rPr>
              <w:t>a. Dependent Variable: LOG_income</w:t>
            </w:r>
          </w:p>
        </w:tc>
      </w:tr>
    </w:tbl>
    <w:p w:rsidR="002C2879" w:rsidRPr="002C2879" w:rsidRDefault="002C2879" w:rsidP="002C2879">
      <w:pPr>
        <w:spacing w:line="360" w:lineRule="auto"/>
        <w:jc w:val="both"/>
        <w:rPr>
          <w:b/>
          <w:lang w:val="en-US"/>
        </w:rPr>
      </w:pPr>
    </w:p>
    <w:p w:rsidR="00483019" w:rsidRDefault="00483019">
      <w:pPr>
        <w:rPr>
          <w:rFonts w:ascii="ScalaSans-Caps" w:hAnsi="ScalaSans-Caps"/>
          <w:lang w:val="en-US"/>
        </w:rPr>
      </w:pPr>
      <w:r>
        <w:rPr>
          <w:rFonts w:ascii="ScalaSans-Caps" w:hAnsi="ScalaSans-Caps"/>
          <w:lang w:val="en-US"/>
        </w:rPr>
        <w:br w:type="page"/>
      </w:r>
    </w:p>
    <w:p w:rsidR="002C2879" w:rsidRDefault="002C2879" w:rsidP="002C2879">
      <w:pPr>
        <w:spacing w:line="360" w:lineRule="auto"/>
        <w:jc w:val="both"/>
        <w:rPr>
          <w:rFonts w:ascii="ScalaSans-Caps" w:hAnsi="ScalaSans-Caps"/>
          <w:lang w:val="en-US"/>
        </w:rPr>
      </w:pPr>
      <w:r w:rsidRPr="002C2879">
        <w:rPr>
          <w:rFonts w:ascii="ScalaSans-Caps" w:hAnsi="ScalaSans-Caps"/>
          <w:lang w:val="en-US"/>
        </w:rPr>
        <w:t>Appendix 6</w:t>
      </w:r>
      <w:r>
        <w:rPr>
          <w:rFonts w:ascii="ScalaSans-Caps" w:hAnsi="ScalaSans-Caps"/>
          <w:lang w:val="en-US"/>
        </w:rPr>
        <w:t>C</w:t>
      </w:r>
    </w:p>
    <w:p w:rsidR="002C2879" w:rsidRPr="002C2879" w:rsidRDefault="002C2879" w:rsidP="002C2879">
      <w:pPr>
        <w:spacing w:line="360" w:lineRule="auto"/>
        <w:jc w:val="both"/>
        <w:rPr>
          <w:lang w:val="en-US"/>
        </w:rPr>
      </w:pPr>
    </w:p>
    <w:tbl>
      <w:tblPr>
        <w:tblW w:w="572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010"/>
        <w:gridCol w:w="1077"/>
        <w:gridCol w:w="1456"/>
        <w:gridCol w:w="1456"/>
      </w:tblGrid>
      <w:tr w:rsidR="002C2879" w:rsidRPr="002C2879" w:rsidTr="002C2879">
        <w:trPr>
          <w:cantSplit/>
          <w:tblHeader/>
        </w:trPr>
        <w:tc>
          <w:tcPr>
            <w:tcW w:w="5726" w:type="dxa"/>
            <w:gridSpan w:val="5"/>
            <w:tcBorders>
              <w:top w:val="nil"/>
              <w:left w:val="nil"/>
              <w:bottom w:val="nil"/>
              <w:right w:val="nil"/>
            </w:tcBorders>
            <w:shd w:val="clear" w:color="auto" w:fill="FFFFFF"/>
            <w:tcMar>
              <w:top w:w="30" w:type="dxa"/>
              <w:left w:w="30" w:type="dxa"/>
              <w:bottom w:w="30" w:type="dxa"/>
              <w:right w:w="30" w:type="dxa"/>
            </w:tcMar>
            <w:vAlign w:val="center"/>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b/>
                <w:bCs/>
                <w:color w:val="000000"/>
                <w:sz w:val="18"/>
                <w:szCs w:val="18"/>
              </w:rPr>
              <w:t>Model Summary</w:t>
            </w:r>
          </w:p>
        </w:tc>
      </w:tr>
      <w:tr w:rsidR="002C2879" w:rsidRPr="002C07A4" w:rsidTr="002C2879">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Model</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R</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R Square</w:t>
            </w:r>
          </w:p>
        </w:tc>
        <w:tc>
          <w:tcPr>
            <w:tcW w:w="145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Adjusted R Square</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lang w:val="en-US"/>
              </w:rPr>
            </w:pPr>
            <w:r w:rsidRPr="002C2879">
              <w:rPr>
                <w:rFonts w:ascii="Arial" w:hAnsi="Arial" w:cs="Arial"/>
                <w:color w:val="000000"/>
                <w:sz w:val="18"/>
                <w:szCs w:val="18"/>
                <w:lang w:val="en-US"/>
              </w:rPr>
              <w:t>Std. Error of the Estimate</w:t>
            </w:r>
          </w:p>
        </w:tc>
      </w:tr>
      <w:tr w:rsidR="002C2879" w:rsidRPr="002C2879" w:rsidTr="002C2879">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1</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,833</w:t>
            </w:r>
            <w:r w:rsidRPr="002C2879">
              <w:rPr>
                <w:rFonts w:ascii="Arial" w:hAnsi="Arial" w:cs="Arial"/>
                <w:color w:val="000000"/>
                <w:sz w:val="18"/>
                <w:szCs w:val="18"/>
                <w:vertAlign w:val="superscript"/>
              </w:rPr>
              <w:t>a</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,695</w:t>
            </w:r>
          </w:p>
        </w:tc>
        <w:tc>
          <w:tcPr>
            <w:tcW w:w="1456" w:type="dxa"/>
            <w:tcBorders>
              <w:top w:val="single" w:sz="16" w:space="0" w:color="000000"/>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,689</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,58560</w:t>
            </w:r>
          </w:p>
        </w:tc>
      </w:tr>
      <w:tr w:rsidR="002C2879" w:rsidRPr="002C2879" w:rsidTr="002C2879">
        <w:trPr>
          <w:cantSplit/>
        </w:trPr>
        <w:tc>
          <w:tcPr>
            <w:tcW w:w="5726" w:type="dxa"/>
            <w:gridSpan w:val="5"/>
            <w:tcBorders>
              <w:top w:val="nil"/>
              <w:left w:val="nil"/>
              <w:bottom w:val="nil"/>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lang w:val="en-US"/>
              </w:rPr>
              <w:t xml:space="preserve">a. Predictors: (Constant), Dummy_nature, Acc. Level 2 dummy, Advisory council, Acc. Level 3 dummy, Acc. Level 4 dummy, legal form, Acc. Level 1 dummy, Acc. Level 0 dummy, Dummy_health, Number of directors, Executive managers, Dummy_welfare, CBF brand, Acc. </w:t>
            </w:r>
            <w:r w:rsidRPr="002C2879">
              <w:rPr>
                <w:rFonts w:ascii="Arial" w:hAnsi="Arial" w:cs="Arial"/>
                <w:color w:val="000000"/>
                <w:sz w:val="18"/>
                <w:szCs w:val="18"/>
              </w:rPr>
              <w:t>Level 5 dummy</w:t>
            </w:r>
          </w:p>
        </w:tc>
      </w:tr>
    </w:tbl>
    <w:p w:rsidR="002C2879" w:rsidRPr="002C2879" w:rsidRDefault="002C2879" w:rsidP="002C2879">
      <w:pPr>
        <w:autoSpaceDE w:val="0"/>
        <w:autoSpaceDN w:val="0"/>
        <w:adjustRightInd w:val="0"/>
        <w:spacing w:line="400" w:lineRule="atLeast"/>
        <w:rPr>
          <w:rFonts w:ascii="Times New Roman" w:hAnsi="Times New Roman" w:cs="Times New Roman"/>
          <w:sz w:val="24"/>
          <w:szCs w:val="24"/>
        </w:rPr>
      </w:pPr>
    </w:p>
    <w:tbl>
      <w:tblPr>
        <w:tblW w:w="88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970"/>
        <w:gridCol w:w="1324"/>
        <w:gridCol w:w="1323"/>
        <w:gridCol w:w="1456"/>
        <w:gridCol w:w="1010"/>
        <w:gridCol w:w="1010"/>
      </w:tblGrid>
      <w:tr w:rsidR="002C2879" w:rsidRPr="002C2879" w:rsidTr="002C2879">
        <w:trPr>
          <w:cantSplit/>
          <w:tblHeader/>
        </w:trPr>
        <w:tc>
          <w:tcPr>
            <w:tcW w:w="8820" w:type="dxa"/>
            <w:gridSpan w:val="7"/>
            <w:tcBorders>
              <w:top w:val="nil"/>
              <w:left w:val="nil"/>
              <w:bottom w:val="nil"/>
              <w:right w:val="nil"/>
            </w:tcBorders>
            <w:shd w:val="clear" w:color="auto" w:fill="FFFFFF"/>
            <w:tcMar>
              <w:top w:w="30" w:type="dxa"/>
              <w:left w:w="30" w:type="dxa"/>
              <w:bottom w:w="30" w:type="dxa"/>
              <w:right w:w="30" w:type="dxa"/>
            </w:tcMar>
            <w:vAlign w:val="center"/>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b/>
                <w:bCs/>
                <w:color w:val="000000"/>
                <w:sz w:val="18"/>
                <w:szCs w:val="18"/>
              </w:rPr>
              <w:t>Coefficients</w:t>
            </w:r>
            <w:r w:rsidRPr="002C2879">
              <w:rPr>
                <w:rFonts w:ascii="Arial" w:hAnsi="Arial" w:cs="Arial"/>
                <w:b/>
                <w:bCs/>
                <w:color w:val="000000"/>
                <w:sz w:val="18"/>
                <w:szCs w:val="18"/>
                <w:vertAlign w:val="superscript"/>
              </w:rPr>
              <w:t>a</w:t>
            </w:r>
          </w:p>
        </w:tc>
      </w:tr>
      <w:tr w:rsidR="002C2879" w:rsidRPr="002C2879" w:rsidTr="002C2879">
        <w:trPr>
          <w:cantSplit/>
          <w:tblHeader/>
        </w:trPr>
        <w:tc>
          <w:tcPr>
            <w:tcW w:w="269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Model</w:t>
            </w:r>
          </w:p>
        </w:tc>
        <w:tc>
          <w:tcPr>
            <w:tcW w:w="264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Unstandardized Coefficients</w:t>
            </w:r>
          </w:p>
        </w:tc>
        <w:tc>
          <w:tcPr>
            <w:tcW w:w="1456" w:type="dxa"/>
            <w:tcBorders>
              <w:top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Standardized Coefficients</w:t>
            </w:r>
          </w:p>
        </w:tc>
        <w:tc>
          <w:tcPr>
            <w:tcW w:w="101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t</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Sig.</w:t>
            </w:r>
          </w:p>
        </w:tc>
      </w:tr>
      <w:tr w:rsidR="002C2879" w:rsidRPr="002C2879" w:rsidTr="002C2879">
        <w:trPr>
          <w:cantSplit/>
          <w:tblHeader/>
        </w:trPr>
        <w:tc>
          <w:tcPr>
            <w:tcW w:w="2697"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rPr>
                <w:rFonts w:ascii="Arial" w:hAnsi="Arial" w:cs="Arial"/>
                <w:color w:val="000000"/>
                <w:sz w:val="18"/>
                <w:szCs w:val="18"/>
              </w:rPr>
            </w:pPr>
          </w:p>
        </w:tc>
        <w:tc>
          <w:tcPr>
            <w:tcW w:w="132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B</w:t>
            </w:r>
          </w:p>
        </w:tc>
        <w:tc>
          <w:tcPr>
            <w:tcW w:w="1323" w:type="dxa"/>
            <w:tcBorders>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Std. Error</w:t>
            </w:r>
          </w:p>
        </w:tc>
        <w:tc>
          <w:tcPr>
            <w:tcW w:w="1456" w:type="dxa"/>
            <w:tcBorders>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spacing w:line="320" w:lineRule="atLeast"/>
              <w:jc w:val="center"/>
              <w:rPr>
                <w:rFonts w:ascii="Arial" w:hAnsi="Arial" w:cs="Arial"/>
                <w:color w:val="000000"/>
                <w:sz w:val="18"/>
                <w:szCs w:val="18"/>
              </w:rPr>
            </w:pPr>
            <w:r w:rsidRPr="002C2879">
              <w:rPr>
                <w:rFonts w:ascii="Arial" w:hAnsi="Arial" w:cs="Arial"/>
                <w:color w:val="000000"/>
                <w:sz w:val="18"/>
                <w:szCs w:val="18"/>
              </w:rPr>
              <w:t>Beta</w:t>
            </w:r>
          </w:p>
        </w:tc>
        <w:tc>
          <w:tcPr>
            <w:tcW w:w="10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rPr>
                <w:rFonts w:ascii="Arial" w:hAnsi="Arial" w:cs="Arial"/>
                <w:color w:val="000000"/>
                <w:sz w:val="18"/>
                <w:szCs w:val="18"/>
              </w:rPr>
            </w:pP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C2879" w:rsidRPr="002C2879" w:rsidRDefault="002C2879" w:rsidP="002C2879">
            <w:pPr>
              <w:autoSpaceDE w:val="0"/>
              <w:autoSpaceDN w:val="0"/>
              <w:adjustRightInd w:val="0"/>
              <w:rPr>
                <w:rFonts w:ascii="Arial" w:hAnsi="Arial" w:cs="Arial"/>
                <w:color w:val="000000"/>
                <w:sz w:val="18"/>
                <w:szCs w:val="18"/>
              </w:rPr>
            </w:pPr>
          </w:p>
        </w:tc>
      </w:tr>
      <w:tr w:rsidR="002C2879" w:rsidRPr="002C2879" w:rsidTr="002C2879">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1</w:t>
            </w:r>
          </w:p>
        </w:tc>
        <w:tc>
          <w:tcPr>
            <w:tcW w:w="19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(Constant)</w:t>
            </w:r>
          </w:p>
        </w:tc>
        <w:tc>
          <w:tcPr>
            <w:tcW w:w="132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4,481</w:t>
            </w:r>
          </w:p>
        </w:tc>
        <w:tc>
          <w:tcPr>
            <w:tcW w:w="1323" w:type="dxa"/>
            <w:tcBorders>
              <w:top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,068</w:t>
            </w:r>
          </w:p>
        </w:tc>
        <w:tc>
          <w:tcPr>
            <w:tcW w:w="1456" w:type="dxa"/>
            <w:tcBorders>
              <w:top w:val="single" w:sz="16" w:space="0" w:color="000000"/>
              <w:bottom w:val="nil"/>
            </w:tcBorders>
            <w:shd w:val="clear" w:color="auto" w:fill="FFFFFF"/>
            <w:tcMar>
              <w:top w:w="30" w:type="dxa"/>
              <w:left w:w="30" w:type="dxa"/>
              <w:bottom w:w="30" w:type="dxa"/>
              <w:right w:w="30" w:type="dxa"/>
            </w:tcMar>
            <w:vAlign w:val="center"/>
          </w:tcPr>
          <w:p w:rsidR="002C2879" w:rsidRPr="002C2879" w:rsidRDefault="002C2879" w:rsidP="002C2879">
            <w:pPr>
              <w:autoSpaceDE w:val="0"/>
              <w:autoSpaceDN w:val="0"/>
              <w:adjustRightInd w:val="0"/>
              <w:jc w:val="center"/>
              <w:rPr>
                <w:rFonts w:ascii="Times New Roman" w:hAnsi="Times New Roman" w:cs="Times New Roman"/>
                <w:sz w:val="24"/>
                <w:szCs w:val="24"/>
              </w:rPr>
            </w:pPr>
          </w:p>
        </w:tc>
        <w:tc>
          <w:tcPr>
            <w:tcW w:w="1010" w:type="dxa"/>
            <w:tcBorders>
              <w:top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65,720</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,000</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Number of directors</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,028</w:t>
            </w:r>
          </w:p>
        </w:tc>
        <w:tc>
          <w:tcPr>
            <w:tcW w:w="1323"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,011</w:t>
            </w:r>
          </w:p>
        </w:tc>
        <w:tc>
          <w:tcPr>
            <w:tcW w:w="1456"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,058</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2,583</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,010</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CBF brand</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,122</w:t>
            </w:r>
          </w:p>
        </w:tc>
        <w:tc>
          <w:tcPr>
            <w:tcW w:w="1323"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,066</w:t>
            </w:r>
          </w:p>
        </w:tc>
        <w:tc>
          <w:tcPr>
            <w:tcW w:w="1456"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,058</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1,842</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,066</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Acc. Level 5 dummy</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,783</w:t>
            </w:r>
          </w:p>
        </w:tc>
        <w:tc>
          <w:tcPr>
            <w:tcW w:w="1323"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,070</w:t>
            </w:r>
          </w:p>
        </w:tc>
        <w:tc>
          <w:tcPr>
            <w:tcW w:w="1456"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,372</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11,237</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,000</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Acc. Level 4 dummy</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,287</w:t>
            </w:r>
          </w:p>
        </w:tc>
        <w:tc>
          <w:tcPr>
            <w:tcW w:w="1323"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,591</w:t>
            </w:r>
          </w:p>
        </w:tc>
        <w:tc>
          <w:tcPr>
            <w:tcW w:w="1456"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,010</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,485</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,628</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Acc. Level 3 dummy</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,636</w:t>
            </w:r>
          </w:p>
        </w:tc>
        <w:tc>
          <w:tcPr>
            <w:tcW w:w="1323"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,591</w:t>
            </w:r>
          </w:p>
        </w:tc>
        <w:tc>
          <w:tcPr>
            <w:tcW w:w="1456"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,022</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1,076</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,282</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Acc. Level 2 dummy</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-,018</w:t>
            </w:r>
          </w:p>
        </w:tc>
        <w:tc>
          <w:tcPr>
            <w:tcW w:w="1323"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,117</w:t>
            </w:r>
          </w:p>
        </w:tc>
        <w:tc>
          <w:tcPr>
            <w:tcW w:w="1456"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-,003</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-,157</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,876</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Acc. Level 1 dummy</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,328</w:t>
            </w:r>
          </w:p>
        </w:tc>
        <w:tc>
          <w:tcPr>
            <w:tcW w:w="1323"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,118</w:t>
            </w:r>
          </w:p>
        </w:tc>
        <w:tc>
          <w:tcPr>
            <w:tcW w:w="1456"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,057</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2,771</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,006</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Acc. Level 0 dummy</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-,019</w:t>
            </w:r>
          </w:p>
        </w:tc>
        <w:tc>
          <w:tcPr>
            <w:tcW w:w="1323"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,044</w:t>
            </w:r>
          </w:p>
        </w:tc>
        <w:tc>
          <w:tcPr>
            <w:tcW w:w="1456"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-,009</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-,441</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,659</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Advisory council</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,199</w:t>
            </w:r>
          </w:p>
        </w:tc>
        <w:tc>
          <w:tcPr>
            <w:tcW w:w="1323"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,049</w:t>
            </w:r>
          </w:p>
        </w:tc>
        <w:tc>
          <w:tcPr>
            <w:tcW w:w="1456"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,088</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4,080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,000</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legal form</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,267</w:t>
            </w:r>
          </w:p>
        </w:tc>
        <w:tc>
          <w:tcPr>
            <w:tcW w:w="1323"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,079</w:t>
            </w:r>
          </w:p>
        </w:tc>
        <w:tc>
          <w:tcPr>
            <w:tcW w:w="1456"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,070</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3,375</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,001</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Executive managers</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,659</w:t>
            </w:r>
          </w:p>
        </w:tc>
        <w:tc>
          <w:tcPr>
            <w:tcW w:w="1323"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,039</w:t>
            </w:r>
          </w:p>
        </w:tc>
        <w:tc>
          <w:tcPr>
            <w:tcW w:w="1456"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,437</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16,679</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,000</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Dummy_welfare</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-,024</w:t>
            </w:r>
          </w:p>
        </w:tc>
        <w:tc>
          <w:tcPr>
            <w:tcW w:w="1323"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,054</w:t>
            </w:r>
          </w:p>
        </w:tc>
        <w:tc>
          <w:tcPr>
            <w:tcW w:w="1456"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-,010</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-,448</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,655</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Dummy_health</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-,107</w:t>
            </w:r>
          </w:p>
        </w:tc>
        <w:tc>
          <w:tcPr>
            <w:tcW w:w="1323"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,061</w:t>
            </w:r>
          </w:p>
        </w:tc>
        <w:tc>
          <w:tcPr>
            <w:tcW w:w="1456"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-,040</w:t>
            </w:r>
          </w:p>
        </w:tc>
        <w:tc>
          <w:tcPr>
            <w:tcW w:w="1010" w:type="dxa"/>
            <w:tcBorders>
              <w:top w:val="nil"/>
              <w:bottom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-1,764</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,078</w:t>
            </w:r>
          </w:p>
        </w:tc>
      </w:tr>
      <w:tr w:rsidR="002C2879" w:rsidRPr="002C2879" w:rsidTr="002C2879">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rPr>
                <w:rFonts w:ascii="Arial" w:hAnsi="Arial" w:cs="Arial"/>
                <w:color w:val="000000"/>
                <w:sz w:val="18"/>
                <w:szCs w:val="18"/>
              </w:rPr>
            </w:pPr>
          </w:p>
        </w:tc>
        <w:tc>
          <w:tcPr>
            <w:tcW w:w="19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rPr>
            </w:pPr>
            <w:r w:rsidRPr="002C2879">
              <w:rPr>
                <w:rFonts w:ascii="Arial" w:hAnsi="Arial" w:cs="Arial"/>
                <w:color w:val="000000"/>
                <w:sz w:val="18"/>
                <w:szCs w:val="18"/>
              </w:rPr>
              <w:t>Dummy_nature</w:t>
            </w:r>
          </w:p>
        </w:tc>
        <w:tc>
          <w:tcPr>
            <w:tcW w:w="132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,123</w:t>
            </w:r>
          </w:p>
        </w:tc>
        <w:tc>
          <w:tcPr>
            <w:tcW w:w="1323" w:type="dxa"/>
            <w:tcBorders>
              <w:top w:val="nil"/>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,074</w:t>
            </w:r>
          </w:p>
        </w:tc>
        <w:tc>
          <w:tcPr>
            <w:tcW w:w="1456" w:type="dxa"/>
            <w:tcBorders>
              <w:top w:val="nil"/>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,037</w:t>
            </w:r>
          </w:p>
        </w:tc>
        <w:tc>
          <w:tcPr>
            <w:tcW w:w="1010" w:type="dxa"/>
            <w:tcBorders>
              <w:top w:val="nil"/>
              <w:bottom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1,645</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jc w:val="right"/>
              <w:rPr>
                <w:rFonts w:ascii="Arial" w:hAnsi="Arial" w:cs="Arial"/>
                <w:color w:val="000000"/>
                <w:sz w:val="18"/>
                <w:szCs w:val="18"/>
              </w:rPr>
            </w:pPr>
            <w:r w:rsidRPr="002C2879">
              <w:rPr>
                <w:rFonts w:ascii="Arial" w:hAnsi="Arial" w:cs="Arial"/>
                <w:color w:val="000000"/>
                <w:sz w:val="18"/>
                <w:szCs w:val="18"/>
              </w:rPr>
              <w:t>,100</w:t>
            </w:r>
          </w:p>
        </w:tc>
      </w:tr>
      <w:tr w:rsidR="002C2879" w:rsidRPr="002C07A4" w:rsidTr="002C2879">
        <w:trPr>
          <w:cantSplit/>
        </w:trPr>
        <w:tc>
          <w:tcPr>
            <w:tcW w:w="8820" w:type="dxa"/>
            <w:gridSpan w:val="7"/>
            <w:tcBorders>
              <w:top w:val="nil"/>
              <w:left w:val="nil"/>
              <w:bottom w:val="nil"/>
              <w:right w:val="nil"/>
            </w:tcBorders>
            <w:shd w:val="clear" w:color="auto" w:fill="FFFFFF"/>
            <w:tcMar>
              <w:top w:w="30" w:type="dxa"/>
              <w:left w:w="30" w:type="dxa"/>
              <w:bottom w:w="30" w:type="dxa"/>
              <w:right w:w="30" w:type="dxa"/>
            </w:tcMar>
          </w:tcPr>
          <w:p w:rsidR="002C2879" w:rsidRPr="002C2879" w:rsidRDefault="002C2879" w:rsidP="002C2879">
            <w:pPr>
              <w:autoSpaceDE w:val="0"/>
              <w:autoSpaceDN w:val="0"/>
              <w:adjustRightInd w:val="0"/>
              <w:spacing w:line="320" w:lineRule="atLeast"/>
              <w:rPr>
                <w:rFonts w:ascii="Arial" w:hAnsi="Arial" w:cs="Arial"/>
                <w:color w:val="000000"/>
                <w:sz w:val="18"/>
                <w:szCs w:val="18"/>
                <w:lang w:val="en-US"/>
              </w:rPr>
            </w:pPr>
            <w:r w:rsidRPr="002C2879">
              <w:rPr>
                <w:rFonts w:ascii="Arial" w:hAnsi="Arial" w:cs="Arial"/>
                <w:color w:val="000000"/>
                <w:sz w:val="18"/>
                <w:szCs w:val="18"/>
                <w:lang w:val="en-US"/>
              </w:rPr>
              <w:t>a. Dependent Variable: LOG_income</w:t>
            </w:r>
          </w:p>
        </w:tc>
      </w:tr>
    </w:tbl>
    <w:p w:rsidR="002C2879" w:rsidRDefault="002C2879" w:rsidP="002C2879">
      <w:pPr>
        <w:spacing w:line="360" w:lineRule="auto"/>
        <w:jc w:val="both"/>
        <w:rPr>
          <w:lang w:val="en-US"/>
        </w:rPr>
      </w:pPr>
    </w:p>
    <w:p w:rsidR="002C2879" w:rsidRDefault="002C2879" w:rsidP="002C2879">
      <w:pPr>
        <w:spacing w:line="360" w:lineRule="auto"/>
        <w:jc w:val="both"/>
        <w:rPr>
          <w:lang w:val="en-US"/>
        </w:rPr>
      </w:pPr>
    </w:p>
    <w:p w:rsidR="008A0AC6" w:rsidRDefault="008A0AC6">
      <w:pPr>
        <w:rPr>
          <w:lang w:val="en-US"/>
        </w:rPr>
      </w:pPr>
      <w:r>
        <w:rPr>
          <w:lang w:val="en-US"/>
        </w:rPr>
        <w:br w:type="page"/>
      </w:r>
    </w:p>
    <w:p w:rsidR="008A0AC6" w:rsidRDefault="008A0AC6" w:rsidP="008A0AC6">
      <w:pPr>
        <w:spacing w:line="360" w:lineRule="auto"/>
        <w:jc w:val="both"/>
        <w:rPr>
          <w:rFonts w:ascii="ScalaSans-Caps" w:hAnsi="ScalaSans-Caps"/>
          <w:lang w:val="en-US"/>
        </w:rPr>
      </w:pPr>
      <w:r w:rsidRPr="002C2879">
        <w:rPr>
          <w:rFonts w:ascii="ScalaSans-Caps" w:hAnsi="ScalaSans-Caps"/>
          <w:lang w:val="en-US"/>
        </w:rPr>
        <w:t>Appendix 6</w:t>
      </w:r>
      <w:r>
        <w:rPr>
          <w:rFonts w:ascii="ScalaSans-Caps" w:hAnsi="ScalaSans-Caps"/>
          <w:lang w:val="en-US"/>
        </w:rPr>
        <w:t>D</w:t>
      </w:r>
    </w:p>
    <w:p w:rsidR="008A0AC6" w:rsidRPr="008A0AC6" w:rsidRDefault="008A0AC6" w:rsidP="008A0AC6">
      <w:pPr>
        <w:autoSpaceDE w:val="0"/>
        <w:autoSpaceDN w:val="0"/>
        <w:adjustRightInd w:val="0"/>
        <w:spacing w:line="360" w:lineRule="auto"/>
        <w:rPr>
          <w:rFonts w:cs="Times New Roman"/>
        </w:rPr>
      </w:pPr>
    </w:p>
    <w:tbl>
      <w:tblPr>
        <w:tblW w:w="572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010"/>
        <w:gridCol w:w="1077"/>
        <w:gridCol w:w="1456"/>
        <w:gridCol w:w="1456"/>
      </w:tblGrid>
      <w:tr w:rsidR="008A0AC6" w:rsidRPr="008A0AC6">
        <w:trPr>
          <w:cantSplit/>
          <w:tblHeader/>
        </w:trPr>
        <w:tc>
          <w:tcPr>
            <w:tcW w:w="5724" w:type="dxa"/>
            <w:gridSpan w:val="5"/>
            <w:tcBorders>
              <w:top w:val="nil"/>
              <w:left w:val="nil"/>
              <w:bottom w:val="nil"/>
              <w:right w:val="nil"/>
            </w:tcBorders>
            <w:shd w:val="clear" w:color="auto" w:fill="FFFFFF"/>
            <w:tcMar>
              <w:top w:w="30" w:type="dxa"/>
              <w:left w:w="30" w:type="dxa"/>
              <w:bottom w:w="30" w:type="dxa"/>
              <w:right w:w="30" w:type="dxa"/>
            </w:tcMar>
            <w:vAlign w:val="center"/>
          </w:tcPr>
          <w:p w:rsidR="008A0AC6" w:rsidRPr="008A0AC6" w:rsidRDefault="008A0AC6" w:rsidP="008A0AC6">
            <w:pPr>
              <w:autoSpaceDE w:val="0"/>
              <w:autoSpaceDN w:val="0"/>
              <w:adjustRightInd w:val="0"/>
              <w:spacing w:line="320" w:lineRule="atLeast"/>
              <w:jc w:val="center"/>
              <w:rPr>
                <w:rFonts w:ascii="Arial" w:hAnsi="Arial" w:cs="Arial"/>
                <w:color w:val="000000"/>
                <w:sz w:val="18"/>
                <w:szCs w:val="18"/>
              </w:rPr>
            </w:pPr>
            <w:r w:rsidRPr="008A0AC6">
              <w:rPr>
                <w:rFonts w:ascii="Arial" w:hAnsi="Arial" w:cs="Arial"/>
                <w:b/>
                <w:bCs/>
                <w:color w:val="000000"/>
                <w:sz w:val="18"/>
                <w:szCs w:val="18"/>
              </w:rPr>
              <w:t>Model Summary</w:t>
            </w:r>
          </w:p>
        </w:tc>
      </w:tr>
      <w:tr w:rsidR="008A0AC6" w:rsidRPr="002C07A4">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A0AC6" w:rsidRPr="008A0AC6" w:rsidRDefault="008A0AC6" w:rsidP="008A0AC6">
            <w:pPr>
              <w:autoSpaceDE w:val="0"/>
              <w:autoSpaceDN w:val="0"/>
              <w:adjustRightInd w:val="0"/>
              <w:spacing w:line="320" w:lineRule="atLeast"/>
              <w:rPr>
                <w:rFonts w:ascii="Arial" w:hAnsi="Arial" w:cs="Arial"/>
                <w:color w:val="000000"/>
                <w:sz w:val="18"/>
                <w:szCs w:val="18"/>
              </w:rPr>
            </w:pPr>
            <w:r w:rsidRPr="008A0AC6">
              <w:rPr>
                <w:rFonts w:ascii="Arial" w:hAnsi="Arial" w:cs="Arial"/>
                <w:color w:val="000000"/>
                <w:sz w:val="18"/>
                <w:szCs w:val="18"/>
              </w:rPr>
              <w:t>Model</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A0AC6" w:rsidRPr="008A0AC6" w:rsidRDefault="008A0AC6" w:rsidP="008A0AC6">
            <w:pPr>
              <w:autoSpaceDE w:val="0"/>
              <w:autoSpaceDN w:val="0"/>
              <w:adjustRightInd w:val="0"/>
              <w:spacing w:line="320" w:lineRule="atLeast"/>
              <w:jc w:val="center"/>
              <w:rPr>
                <w:rFonts w:ascii="Arial" w:hAnsi="Arial" w:cs="Arial"/>
                <w:color w:val="000000"/>
                <w:sz w:val="18"/>
                <w:szCs w:val="18"/>
              </w:rPr>
            </w:pPr>
            <w:r w:rsidRPr="008A0AC6">
              <w:rPr>
                <w:rFonts w:ascii="Arial" w:hAnsi="Arial" w:cs="Arial"/>
                <w:color w:val="000000"/>
                <w:sz w:val="18"/>
                <w:szCs w:val="18"/>
              </w:rPr>
              <w:t>R</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A0AC6" w:rsidRPr="008A0AC6" w:rsidRDefault="008A0AC6" w:rsidP="008A0AC6">
            <w:pPr>
              <w:autoSpaceDE w:val="0"/>
              <w:autoSpaceDN w:val="0"/>
              <w:adjustRightInd w:val="0"/>
              <w:spacing w:line="320" w:lineRule="atLeast"/>
              <w:jc w:val="center"/>
              <w:rPr>
                <w:rFonts w:ascii="Arial" w:hAnsi="Arial" w:cs="Arial"/>
                <w:color w:val="000000"/>
                <w:sz w:val="18"/>
                <w:szCs w:val="18"/>
              </w:rPr>
            </w:pPr>
            <w:r w:rsidRPr="008A0AC6">
              <w:rPr>
                <w:rFonts w:ascii="Arial" w:hAnsi="Arial" w:cs="Arial"/>
                <w:color w:val="000000"/>
                <w:sz w:val="18"/>
                <w:szCs w:val="18"/>
              </w:rPr>
              <w:t>R Square</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A0AC6" w:rsidRPr="008A0AC6" w:rsidRDefault="008A0AC6" w:rsidP="008A0AC6">
            <w:pPr>
              <w:autoSpaceDE w:val="0"/>
              <w:autoSpaceDN w:val="0"/>
              <w:adjustRightInd w:val="0"/>
              <w:spacing w:line="320" w:lineRule="atLeast"/>
              <w:jc w:val="center"/>
              <w:rPr>
                <w:rFonts w:ascii="Arial" w:hAnsi="Arial" w:cs="Arial"/>
                <w:color w:val="000000"/>
                <w:sz w:val="18"/>
                <w:szCs w:val="18"/>
              </w:rPr>
            </w:pPr>
            <w:r w:rsidRPr="008A0AC6">
              <w:rPr>
                <w:rFonts w:ascii="Arial" w:hAnsi="Arial" w:cs="Arial"/>
                <w:color w:val="000000"/>
                <w:sz w:val="18"/>
                <w:szCs w:val="18"/>
              </w:rPr>
              <w:t>Adjusted R Square</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A0AC6" w:rsidRPr="008A0AC6" w:rsidRDefault="008A0AC6" w:rsidP="008A0AC6">
            <w:pPr>
              <w:autoSpaceDE w:val="0"/>
              <w:autoSpaceDN w:val="0"/>
              <w:adjustRightInd w:val="0"/>
              <w:spacing w:line="320" w:lineRule="atLeast"/>
              <w:jc w:val="center"/>
              <w:rPr>
                <w:rFonts w:ascii="Arial" w:hAnsi="Arial" w:cs="Arial"/>
                <w:color w:val="000000"/>
                <w:sz w:val="18"/>
                <w:szCs w:val="18"/>
                <w:lang w:val="en-US"/>
              </w:rPr>
            </w:pPr>
            <w:r w:rsidRPr="008A0AC6">
              <w:rPr>
                <w:rFonts w:ascii="Arial" w:hAnsi="Arial" w:cs="Arial"/>
                <w:color w:val="000000"/>
                <w:sz w:val="18"/>
                <w:szCs w:val="18"/>
                <w:lang w:val="en-US"/>
              </w:rPr>
              <w:t>Std. Error of the Estimate</w:t>
            </w:r>
          </w:p>
        </w:tc>
      </w:tr>
      <w:tr w:rsidR="008A0AC6" w:rsidRPr="008A0AC6">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rPr>
                <w:rFonts w:ascii="Arial" w:hAnsi="Arial" w:cs="Arial"/>
                <w:color w:val="000000"/>
                <w:sz w:val="18"/>
                <w:szCs w:val="18"/>
              </w:rPr>
            </w:pPr>
            <w:r w:rsidRPr="008A0AC6">
              <w:rPr>
                <w:rFonts w:ascii="Arial" w:hAnsi="Arial" w:cs="Arial"/>
                <w:color w:val="000000"/>
                <w:sz w:val="18"/>
                <w:szCs w:val="18"/>
              </w:rPr>
              <w:t>1</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,406</w:t>
            </w:r>
            <w:r w:rsidRPr="008A0AC6">
              <w:rPr>
                <w:rFonts w:ascii="Arial" w:hAnsi="Arial" w:cs="Arial"/>
                <w:color w:val="000000"/>
                <w:sz w:val="18"/>
                <w:szCs w:val="18"/>
                <w:vertAlign w:val="superscript"/>
              </w:rPr>
              <w:t>a</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,165</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,150</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,1211552</w:t>
            </w:r>
          </w:p>
        </w:tc>
      </w:tr>
      <w:tr w:rsidR="008A0AC6" w:rsidRPr="008A0AC6">
        <w:trPr>
          <w:cantSplit/>
        </w:trPr>
        <w:tc>
          <w:tcPr>
            <w:tcW w:w="5724" w:type="dxa"/>
            <w:gridSpan w:val="5"/>
            <w:tcBorders>
              <w:top w:val="nil"/>
              <w:left w:val="nil"/>
              <w:bottom w:val="nil"/>
              <w:right w:val="nil"/>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rPr>
                <w:rFonts w:ascii="Arial" w:hAnsi="Arial" w:cs="Arial"/>
                <w:color w:val="000000"/>
                <w:sz w:val="18"/>
                <w:szCs w:val="18"/>
              </w:rPr>
            </w:pPr>
            <w:r w:rsidRPr="008A0AC6">
              <w:rPr>
                <w:rFonts w:ascii="Arial" w:hAnsi="Arial" w:cs="Arial"/>
                <w:color w:val="000000"/>
                <w:sz w:val="18"/>
                <w:szCs w:val="18"/>
                <w:lang w:val="en-US"/>
              </w:rPr>
              <w:t xml:space="preserve">a. Predictors: (Constant), size class 5, Acc. Level 0 dummy, Dummy_welfare, size class 4, legal form, size class 2, Dummy_nature, Dummy_health, CBF brand, VFI membership, size class 3, International, Acc. </w:t>
            </w:r>
            <w:r w:rsidRPr="008A0AC6">
              <w:rPr>
                <w:rFonts w:ascii="Arial" w:hAnsi="Arial" w:cs="Arial"/>
                <w:color w:val="000000"/>
                <w:sz w:val="18"/>
                <w:szCs w:val="18"/>
              </w:rPr>
              <w:t>Level 5 dummy</w:t>
            </w:r>
          </w:p>
        </w:tc>
      </w:tr>
    </w:tbl>
    <w:p w:rsidR="008A0AC6" w:rsidRPr="008A0AC6" w:rsidRDefault="008A0AC6" w:rsidP="008A0AC6">
      <w:pPr>
        <w:autoSpaceDE w:val="0"/>
        <w:autoSpaceDN w:val="0"/>
        <w:adjustRightInd w:val="0"/>
        <w:spacing w:line="360" w:lineRule="auto"/>
        <w:rPr>
          <w:rFonts w:cs="Times New Roman"/>
        </w:rPr>
      </w:pPr>
    </w:p>
    <w:tbl>
      <w:tblPr>
        <w:tblW w:w="788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271"/>
        <w:gridCol w:w="1456"/>
        <w:gridCol w:w="1009"/>
        <w:gridCol w:w="1398"/>
        <w:gridCol w:w="1010"/>
        <w:gridCol w:w="1010"/>
      </w:tblGrid>
      <w:tr w:rsidR="008A0AC6" w:rsidRPr="008A0AC6" w:rsidTr="008A0AC6">
        <w:trPr>
          <w:cantSplit/>
          <w:tblHeader/>
        </w:trPr>
        <w:tc>
          <w:tcPr>
            <w:tcW w:w="7882" w:type="dxa"/>
            <w:gridSpan w:val="7"/>
            <w:tcBorders>
              <w:top w:val="nil"/>
              <w:left w:val="nil"/>
              <w:bottom w:val="nil"/>
              <w:right w:val="nil"/>
            </w:tcBorders>
            <w:shd w:val="clear" w:color="auto" w:fill="FFFFFF"/>
            <w:tcMar>
              <w:top w:w="30" w:type="dxa"/>
              <w:left w:w="30" w:type="dxa"/>
              <w:bottom w:w="30" w:type="dxa"/>
              <w:right w:w="30" w:type="dxa"/>
            </w:tcMar>
            <w:vAlign w:val="center"/>
          </w:tcPr>
          <w:p w:rsidR="008A0AC6" w:rsidRPr="008A0AC6" w:rsidRDefault="008A0AC6" w:rsidP="008A0AC6">
            <w:pPr>
              <w:autoSpaceDE w:val="0"/>
              <w:autoSpaceDN w:val="0"/>
              <w:adjustRightInd w:val="0"/>
              <w:spacing w:line="320" w:lineRule="atLeast"/>
              <w:jc w:val="center"/>
              <w:rPr>
                <w:rFonts w:ascii="Arial" w:hAnsi="Arial" w:cs="Arial"/>
                <w:color w:val="000000"/>
                <w:sz w:val="18"/>
                <w:szCs w:val="18"/>
              </w:rPr>
            </w:pPr>
            <w:r w:rsidRPr="008A0AC6">
              <w:rPr>
                <w:rFonts w:ascii="Arial" w:hAnsi="Arial" w:cs="Arial"/>
                <w:b/>
                <w:bCs/>
                <w:color w:val="000000"/>
                <w:sz w:val="18"/>
                <w:szCs w:val="18"/>
              </w:rPr>
              <w:t>ANOVA</w:t>
            </w:r>
            <w:r w:rsidRPr="008A0AC6">
              <w:rPr>
                <w:rFonts w:ascii="Arial" w:hAnsi="Arial" w:cs="Arial"/>
                <w:b/>
                <w:bCs/>
                <w:color w:val="000000"/>
                <w:sz w:val="18"/>
                <w:szCs w:val="18"/>
                <w:vertAlign w:val="superscript"/>
              </w:rPr>
              <w:t>b</w:t>
            </w:r>
          </w:p>
        </w:tc>
      </w:tr>
      <w:tr w:rsidR="008A0AC6" w:rsidRPr="008A0AC6" w:rsidTr="008A0AC6">
        <w:trPr>
          <w:cantSplit/>
          <w:tblHeader/>
        </w:trPr>
        <w:tc>
          <w:tcPr>
            <w:tcW w:w="199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A0AC6" w:rsidRPr="008A0AC6" w:rsidRDefault="008A0AC6" w:rsidP="008A0AC6">
            <w:pPr>
              <w:autoSpaceDE w:val="0"/>
              <w:autoSpaceDN w:val="0"/>
              <w:adjustRightInd w:val="0"/>
              <w:spacing w:line="320" w:lineRule="atLeast"/>
              <w:rPr>
                <w:rFonts w:ascii="Arial" w:hAnsi="Arial" w:cs="Arial"/>
                <w:color w:val="000000"/>
                <w:sz w:val="18"/>
                <w:szCs w:val="18"/>
              </w:rPr>
            </w:pPr>
            <w:r w:rsidRPr="008A0AC6">
              <w:rPr>
                <w:rFonts w:ascii="Arial" w:hAnsi="Arial" w:cs="Arial"/>
                <w:color w:val="000000"/>
                <w:sz w:val="18"/>
                <w:szCs w:val="18"/>
              </w:rPr>
              <w:t>Model</w:t>
            </w:r>
          </w:p>
        </w:tc>
        <w:tc>
          <w:tcPr>
            <w:tcW w:w="145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A0AC6" w:rsidRPr="008A0AC6" w:rsidRDefault="008A0AC6" w:rsidP="008A0AC6">
            <w:pPr>
              <w:autoSpaceDE w:val="0"/>
              <w:autoSpaceDN w:val="0"/>
              <w:adjustRightInd w:val="0"/>
              <w:spacing w:line="320" w:lineRule="atLeast"/>
              <w:jc w:val="center"/>
              <w:rPr>
                <w:rFonts w:ascii="Arial" w:hAnsi="Arial" w:cs="Arial"/>
                <w:color w:val="000000"/>
                <w:sz w:val="18"/>
                <w:szCs w:val="18"/>
              </w:rPr>
            </w:pPr>
            <w:r w:rsidRPr="008A0AC6">
              <w:rPr>
                <w:rFonts w:ascii="Arial" w:hAnsi="Arial" w:cs="Arial"/>
                <w:color w:val="000000"/>
                <w:sz w:val="18"/>
                <w:szCs w:val="18"/>
              </w:rPr>
              <w:t>Sum of Squares</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A0AC6" w:rsidRPr="008A0AC6" w:rsidRDefault="008A0AC6" w:rsidP="008A0AC6">
            <w:pPr>
              <w:autoSpaceDE w:val="0"/>
              <w:autoSpaceDN w:val="0"/>
              <w:adjustRightInd w:val="0"/>
              <w:spacing w:line="320" w:lineRule="atLeast"/>
              <w:jc w:val="center"/>
              <w:rPr>
                <w:rFonts w:ascii="Arial" w:hAnsi="Arial" w:cs="Arial"/>
                <w:color w:val="000000"/>
                <w:sz w:val="18"/>
                <w:szCs w:val="18"/>
              </w:rPr>
            </w:pPr>
            <w:r w:rsidRPr="008A0AC6">
              <w:rPr>
                <w:rFonts w:ascii="Arial" w:hAnsi="Arial" w:cs="Arial"/>
                <w:color w:val="000000"/>
                <w:sz w:val="18"/>
                <w:szCs w:val="18"/>
              </w:rPr>
              <w:t>df</w:t>
            </w:r>
          </w:p>
        </w:tc>
        <w:tc>
          <w:tcPr>
            <w:tcW w:w="13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A0AC6" w:rsidRPr="008A0AC6" w:rsidRDefault="008A0AC6" w:rsidP="008A0AC6">
            <w:pPr>
              <w:autoSpaceDE w:val="0"/>
              <w:autoSpaceDN w:val="0"/>
              <w:adjustRightInd w:val="0"/>
              <w:spacing w:line="320" w:lineRule="atLeast"/>
              <w:jc w:val="center"/>
              <w:rPr>
                <w:rFonts w:ascii="Arial" w:hAnsi="Arial" w:cs="Arial"/>
                <w:color w:val="000000"/>
                <w:sz w:val="18"/>
                <w:szCs w:val="18"/>
              </w:rPr>
            </w:pPr>
            <w:r w:rsidRPr="008A0AC6">
              <w:rPr>
                <w:rFonts w:ascii="Arial" w:hAnsi="Arial" w:cs="Arial"/>
                <w:color w:val="000000"/>
                <w:sz w:val="18"/>
                <w:szCs w:val="18"/>
              </w:rPr>
              <w:t>Mean Square</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A0AC6" w:rsidRPr="008A0AC6" w:rsidRDefault="008A0AC6" w:rsidP="008A0AC6">
            <w:pPr>
              <w:autoSpaceDE w:val="0"/>
              <w:autoSpaceDN w:val="0"/>
              <w:adjustRightInd w:val="0"/>
              <w:spacing w:line="320" w:lineRule="atLeast"/>
              <w:jc w:val="center"/>
              <w:rPr>
                <w:rFonts w:ascii="Arial" w:hAnsi="Arial" w:cs="Arial"/>
                <w:color w:val="000000"/>
                <w:sz w:val="18"/>
                <w:szCs w:val="18"/>
              </w:rPr>
            </w:pPr>
            <w:r w:rsidRPr="008A0AC6">
              <w:rPr>
                <w:rFonts w:ascii="Arial" w:hAnsi="Arial" w:cs="Arial"/>
                <w:color w:val="000000"/>
                <w:sz w:val="18"/>
                <w:szCs w:val="18"/>
              </w:rPr>
              <w:t>F</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A0AC6" w:rsidRPr="008A0AC6" w:rsidRDefault="008A0AC6" w:rsidP="008A0AC6">
            <w:pPr>
              <w:autoSpaceDE w:val="0"/>
              <w:autoSpaceDN w:val="0"/>
              <w:adjustRightInd w:val="0"/>
              <w:spacing w:line="320" w:lineRule="atLeast"/>
              <w:jc w:val="center"/>
              <w:rPr>
                <w:rFonts w:ascii="Arial" w:hAnsi="Arial" w:cs="Arial"/>
                <w:color w:val="000000"/>
                <w:sz w:val="18"/>
                <w:szCs w:val="18"/>
              </w:rPr>
            </w:pPr>
            <w:r w:rsidRPr="008A0AC6">
              <w:rPr>
                <w:rFonts w:ascii="Arial" w:hAnsi="Arial" w:cs="Arial"/>
                <w:color w:val="000000"/>
                <w:sz w:val="18"/>
                <w:szCs w:val="18"/>
              </w:rPr>
              <w:t>Sig.</w:t>
            </w:r>
          </w:p>
        </w:tc>
      </w:tr>
      <w:tr w:rsidR="008A0AC6" w:rsidRPr="008A0AC6" w:rsidTr="008A0AC6">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rPr>
                <w:rFonts w:ascii="Arial" w:hAnsi="Arial" w:cs="Arial"/>
                <w:color w:val="000000"/>
                <w:sz w:val="18"/>
                <w:szCs w:val="18"/>
              </w:rPr>
            </w:pPr>
            <w:r w:rsidRPr="008A0AC6">
              <w:rPr>
                <w:rFonts w:ascii="Arial" w:hAnsi="Arial" w:cs="Arial"/>
                <w:color w:val="000000"/>
                <w:sz w:val="18"/>
                <w:szCs w:val="18"/>
              </w:rPr>
              <w:t>1</w:t>
            </w:r>
          </w:p>
        </w:tc>
        <w:tc>
          <w:tcPr>
            <w:tcW w:w="12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rPr>
                <w:rFonts w:ascii="Arial" w:hAnsi="Arial" w:cs="Arial"/>
                <w:color w:val="000000"/>
                <w:sz w:val="18"/>
                <w:szCs w:val="18"/>
              </w:rPr>
            </w:pPr>
            <w:r w:rsidRPr="008A0AC6">
              <w:rPr>
                <w:rFonts w:ascii="Arial" w:hAnsi="Arial" w:cs="Arial"/>
                <w:color w:val="000000"/>
                <w:sz w:val="18"/>
                <w:szCs w:val="18"/>
              </w:rPr>
              <w:t>Regression</w:t>
            </w:r>
          </w:p>
        </w:tc>
        <w:tc>
          <w:tcPr>
            <w:tcW w:w="145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2,179</w:t>
            </w:r>
          </w:p>
        </w:tc>
        <w:tc>
          <w:tcPr>
            <w:tcW w:w="1009" w:type="dxa"/>
            <w:tcBorders>
              <w:top w:val="single" w:sz="16" w:space="0" w:color="000000"/>
              <w:bottom w:val="nil"/>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13</w:t>
            </w:r>
          </w:p>
        </w:tc>
        <w:tc>
          <w:tcPr>
            <w:tcW w:w="1398" w:type="dxa"/>
            <w:tcBorders>
              <w:top w:val="single" w:sz="16" w:space="0" w:color="000000"/>
              <w:bottom w:val="nil"/>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,168</w:t>
            </w:r>
          </w:p>
        </w:tc>
        <w:tc>
          <w:tcPr>
            <w:tcW w:w="1010" w:type="dxa"/>
            <w:tcBorders>
              <w:top w:val="single" w:sz="16" w:space="0" w:color="000000"/>
              <w:bottom w:val="nil"/>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11,418</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,000</w:t>
            </w:r>
            <w:r w:rsidRPr="008A0AC6">
              <w:rPr>
                <w:rFonts w:ascii="Arial" w:hAnsi="Arial" w:cs="Arial"/>
                <w:color w:val="000000"/>
                <w:sz w:val="18"/>
                <w:szCs w:val="18"/>
                <w:vertAlign w:val="superscript"/>
              </w:rPr>
              <w:t>a</w:t>
            </w:r>
          </w:p>
        </w:tc>
      </w:tr>
      <w:tr w:rsidR="008A0AC6" w:rsidRPr="008A0AC6" w:rsidTr="008A0AC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rPr>
                <w:rFonts w:ascii="Arial" w:hAnsi="Arial" w:cs="Arial"/>
                <w:color w:val="000000"/>
                <w:sz w:val="18"/>
                <w:szCs w:val="18"/>
              </w:rPr>
            </w:pPr>
          </w:p>
        </w:tc>
        <w:tc>
          <w:tcPr>
            <w:tcW w:w="1271" w:type="dxa"/>
            <w:tcBorders>
              <w:top w:val="nil"/>
              <w:left w:val="nil"/>
              <w:bottom w:val="nil"/>
              <w:right w:val="single" w:sz="16" w:space="0" w:color="000000"/>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rPr>
                <w:rFonts w:ascii="Arial" w:hAnsi="Arial" w:cs="Arial"/>
                <w:color w:val="000000"/>
                <w:sz w:val="18"/>
                <w:szCs w:val="18"/>
              </w:rPr>
            </w:pPr>
            <w:r w:rsidRPr="008A0AC6">
              <w:rPr>
                <w:rFonts w:ascii="Arial" w:hAnsi="Arial" w:cs="Arial"/>
                <w:color w:val="000000"/>
                <w:sz w:val="18"/>
                <w:szCs w:val="18"/>
              </w:rPr>
              <w:t>Residual</w:t>
            </w:r>
          </w:p>
        </w:tc>
        <w:tc>
          <w:tcPr>
            <w:tcW w:w="1456" w:type="dxa"/>
            <w:tcBorders>
              <w:top w:val="nil"/>
              <w:left w:val="single" w:sz="16" w:space="0" w:color="000000"/>
              <w:bottom w:val="nil"/>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11,053</w:t>
            </w:r>
          </w:p>
        </w:tc>
        <w:tc>
          <w:tcPr>
            <w:tcW w:w="1009" w:type="dxa"/>
            <w:tcBorders>
              <w:top w:val="nil"/>
              <w:bottom w:val="nil"/>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753</w:t>
            </w:r>
          </w:p>
        </w:tc>
        <w:tc>
          <w:tcPr>
            <w:tcW w:w="1398" w:type="dxa"/>
            <w:tcBorders>
              <w:top w:val="nil"/>
              <w:bottom w:val="nil"/>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,015</w:t>
            </w:r>
          </w:p>
        </w:tc>
        <w:tc>
          <w:tcPr>
            <w:tcW w:w="1010" w:type="dxa"/>
            <w:tcBorders>
              <w:top w:val="nil"/>
              <w:bottom w:val="nil"/>
            </w:tcBorders>
            <w:shd w:val="clear" w:color="auto" w:fill="FFFFFF"/>
            <w:tcMar>
              <w:top w:w="30" w:type="dxa"/>
              <w:left w:w="30" w:type="dxa"/>
              <w:bottom w:w="30" w:type="dxa"/>
              <w:right w:w="30" w:type="dxa"/>
            </w:tcMar>
            <w:vAlign w:val="center"/>
          </w:tcPr>
          <w:p w:rsidR="008A0AC6" w:rsidRPr="008A0AC6" w:rsidRDefault="008A0AC6" w:rsidP="008A0AC6">
            <w:pPr>
              <w:autoSpaceDE w:val="0"/>
              <w:autoSpaceDN w:val="0"/>
              <w:adjustRightInd w:val="0"/>
              <w:jc w:val="center"/>
              <w:rPr>
                <w:rFonts w:ascii="Times New Roman" w:hAnsi="Times New Roman" w:cs="Times New Roman"/>
                <w:sz w:val="24"/>
                <w:szCs w:val="24"/>
              </w:rPr>
            </w:pPr>
          </w:p>
        </w:tc>
        <w:tc>
          <w:tcPr>
            <w:tcW w:w="1010" w:type="dxa"/>
            <w:tcBorders>
              <w:top w:val="nil"/>
              <w:bottom w:val="nil"/>
              <w:right w:val="single" w:sz="16" w:space="0" w:color="000000"/>
            </w:tcBorders>
            <w:shd w:val="clear" w:color="auto" w:fill="FFFFFF"/>
            <w:tcMar>
              <w:top w:w="30" w:type="dxa"/>
              <w:left w:w="30" w:type="dxa"/>
              <w:bottom w:w="30" w:type="dxa"/>
              <w:right w:w="30" w:type="dxa"/>
            </w:tcMar>
            <w:vAlign w:val="center"/>
          </w:tcPr>
          <w:p w:rsidR="008A0AC6" w:rsidRPr="008A0AC6" w:rsidRDefault="008A0AC6" w:rsidP="008A0AC6">
            <w:pPr>
              <w:autoSpaceDE w:val="0"/>
              <w:autoSpaceDN w:val="0"/>
              <w:adjustRightInd w:val="0"/>
              <w:jc w:val="center"/>
              <w:rPr>
                <w:rFonts w:ascii="Times New Roman" w:hAnsi="Times New Roman" w:cs="Times New Roman"/>
                <w:sz w:val="24"/>
                <w:szCs w:val="24"/>
              </w:rPr>
            </w:pPr>
          </w:p>
        </w:tc>
      </w:tr>
      <w:tr w:rsidR="008A0AC6" w:rsidRPr="008A0AC6" w:rsidTr="008A0AC6">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rPr>
                <w:rFonts w:ascii="Times New Roman" w:hAnsi="Times New Roman" w:cs="Times New Roman"/>
                <w:sz w:val="24"/>
                <w:szCs w:val="24"/>
              </w:rPr>
            </w:pPr>
          </w:p>
        </w:tc>
        <w:tc>
          <w:tcPr>
            <w:tcW w:w="12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rPr>
                <w:rFonts w:ascii="Arial" w:hAnsi="Arial" w:cs="Arial"/>
                <w:color w:val="000000"/>
                <w:sz w:val="18"/>
                <w:szCs w:val="18"/>
              </w:rPr>
            </w:pPr>
            <w:r w:rsidRPr="008A0AC6">
              <w:rPr>
                <w:rFonts w:ascii="Arial" w:hAnsi="Arial" w:cs="Arial"/>
                <w:color w:val="000000"/>
                <w:sz w:val="18"/>
                <w:szCs w:val="18"/>
              </w:rPr>
              <w:t>Total</w:t>
            </w:r>
          </w:p>
        </w:tc>
        <w:tc>
          <w:tcPr>
            <w:tcW w:w="145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13,232</w:t>
            </w:r>
          </w:p>
        </w:tc>
        <w:tc>
          <w:tcPr>
            <w:tcW w:w="1009" w:type="dxa"/>
            <w:tcBorders>
              <w:top w:val="nil"/>
              <w:bottom w:val="single" w:sz="16" w:space="0" w:color="000000"/>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jc w:val="right"/>
              <w:rPr>
                <w:rFonts w:ascii="Arial" w:hAnsi="Arial" w:cs="Arial"/>
                <w:color w:val="000000"/>
                <w:sz w:val="18"/>
                <w:szCs w:val="18"/>
              </w:rPr>
            </w:pPr>
            <w:r w:rsidRPr="008A0AC6">
              <w:rPr>
                <w:rFonts w:ascii="Arial" w:hAnsi="Arial" w:cs="Arial"/>
                <w:color w:val="000000"/>
                <w:sz w:val="18"/>
                <w:szCs w:val="18"/>
              </w:rPr>
              <w:t>766</w:t>
            </w:r>
          </w:p>
        </w:tc>
        <w:tc>
          <w:tcPr>
            <w:tcW w:w="1398" w:type="dxa"/>
            <w:tcBorders>
              <w:top w:val="nil"/>
              <w:bottom w:val="single" w:sz="16" w:space="0" w:color="000000"/>
            </w:tcBorders>
            <w:shd w:val="clear" w:color="auto" w:fill="FFFFFF"/>
            <w:tcMar>
              <w:top w:w="30" w:type="dxa"/>
              <w:left w:w="30" w:type="dxa"/>
              <w:bottom w:w="30" w:type="dxa"/>
              <w:right w:w="30" w:type="dxa"/>
            </w:tcMar>
            <w:vAlign w:val="center"/>
          </w:tcPr>
          <w:p w:rsidR="008A0AC6" w:rsidRPr="008A0AC6" w:rsidRDefault="008A0AC6" w:rsidP="008A0AC6">
            <w:pPr>
              <w:autoSpaceDE w:val="0"/>
              <w:autoSpaceDN w:val="0"/>
              <w:adjustRightInd w:val="0"/>
              <w:jc w:val="center"/>
              <w:rPr>
                <w:rFonts w:ascii="Times New Roman" w:hAnsi="Times New Roman" w:cs="Times New Roman"/>
                <w:sz w:val="24"/>
                <w:szCs w:val="24"/>
              </w:rPr>
            </w:pPr>
          </w:p>
        </w:tc>
        <w:tc>
          <w:tcPr>
            <w:tcW w:w="1010" w:type="dxa"/>
            <w:tcBorders>
              <w:top w:val="nil"/>
              <w:bottom w:val="single" w:sz="16" w:space="0" w:color="000000"/>
            </w:tcBorders>
            <w:shd w:val="clear" w:color="auto" w:fill="FFFFFF"/>
            <w:tcMar>
              <w:top w:w="30" w:type="dxa"/>
              <w:left w:w="30" w:type="dxa"/>
              <w:bottom w:w="30" w:type="dxa"/>
              <w:right w:w="30" w:type="dxa"/>
            </w:tcMar>
            <w:vAlign w:val="center"/>
          </w:tcPr>
          <w:p w:rsidR="008A0AC6" w:rsidRPr="008A0AC6" w:rsidRDefault="008A0AC6" w:rsidP="008A0AC6">
            <w:pPr>
              <w:autoSpaceDE w:val="0"/>
              <w:autoSpaceDN w:val="0"/>
              <w:adjustRightInd w:val="0"/>
              <w:jc w:val="center"/>
              <w:rPr>
                <w:rFonts w:ascii="Times New Roman" w:hAnsi="Times New Roman" w:cs="Times New Roman"/>
                <w:sz w:val="24"/>
                <w:szCs w:val="24"/>
              </w:rPr>
            </w:pP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A0AC6" w:rsidRPr="008A0AC6" w:rsidRDefault="008A0AC6" w:rsidP="008A0AC6">
            <w:pPr>
              <w:autoSpaceDE w:val="0"/>
              <w:autoSpaceDN w:val="0"/>
              <w:adjustRightInd w:val="0"/>
              <w:jc w:val="center"/>
              <w:rPr>
                <w:rFonts w:ascii="Times New Roman" w:hAnsi="Times New Roman" w:cs="Times New Roman"/>
                <w:sz w:val="24"/>
                <w:szCs w:val="24"/>
              </w:rPr>
            </w:pPr>
          </w:p>
        </w:tc>
      </w:tr>
      <w:tr w:rsidR="008A0AC6" w:rsidRPr="008A0AC6" w:rsidTr="008A0AC6">
        <w:trPr>
          <w:cantSplit/>
          <w:tblHeader/>
        </w:trPr>
        <w:tc>
          <w:tcPr>
            <w:tcW w:w="7882" w:type="dxa"/>
            <w:gridSpan w:val="7"/>
            <w:tcBorders>
              <w:top w:val="nil"/>
              <w:left w:val="nil"/>
              <w:bottom w:val="nil"/>
              <w:right w:val="nil"/>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rPr>
                <w:rFonts w:ascii="Arial" w:hAnsi="Arial" w:cs="Arial"/>
                <w:color w:val="000000"/>
                <w:sz w:val="18"/>
                <w:szCs w:val="18"/>
              </w:rPr>
            </w:pPr>
            <w:r w:rsidRPr="008A0AC6">
              <w:rPr>
                <w:rFonts w:ascii="Arial" w:hAnsi="Arial" w:cs="Arial"/>
                <w:color w:val="000000"/>
                <w:sz w:val="18"/>
                <w:szCs w:val="18"/>
                <w:lang w:val="en-US"/>
              </w:rPr>
              <w:t xml:space="preserve">a. Predictors: (Constant), size class 5, Acc. Level 0 dummy, Dummy_welfare, size class 4, legal form, size class 2, Dummy_nature, Dummy_health, CBF brand, VFI membership, size class 3, International, Acc. </w:t>
            </w:r>
            <w:r w:rsidRPr="008A0AC6">
              <w:rPr>
                <w:rFonts w:ascii="Arial" w:hAnsi="Arial" w:cs="Arial"/>
                <w:color w:val="000000"/>
                <w:sz w:val="18"/>
                <w:szCs w:val="18"/>
              </w:rPr>
              <w:t>Level 5 dummy</w:t>
            </w:r>
          </w:p>
        </w:tc>
      </w:tr>
      <w:tr w:rsidR="008A0AC6" w:rsidRPr="002C07A4" w:rsidTr="008A0AC6">
        <w:trPr>
          <w:cantSplit/>
        </w:trPr>
        <w:tc>
          <w:tcPr>
            <w:tcW w:w="7882" w:type="dxa"/>
            <w:gridSpan w:val="7"/>
            <w:tcBorders>
              <w:top w:val="nil"/>
              <w:left w:val="nil"/>
              <w:bottom w:val="nil"/>
              <w:right w:val="nil"/>
            </w:tcBorders>
            <w:shd w:val="clear" w:color="auto" w:fill="FFFFFF"/>
            <w:tcMar>
              <w:top w:w="30" w:type="dxa"/>
              <w:left w:w="30" w:type="dxa"/>
              <w:bottom w:w="30" w:type="dxa"/>
              <w:right w:w="30" w:type="dxa"/>
            </w:tcMar>
          </w:tcPr>
          <w:p w:rsidR="008A0AC6" w:rsidRPr="008A0AC6" w:rsidRDefault="008A0AC6" w:rsidP="008A0AC6">
            <w:pPr>
              <w:autoSpaceDE w:val="0"/>
              <w:autoSpaceDN w:val="0"/>
              <w:adjustRightInd w:val="0"/>
              <w:spacing w:line="320" w:lineRule="atLeast"/>
              <w:rPr>
                <w:rFonts w:ascii="Arial" w:hAnsi="Arial" w:cs="Arial"/>
                <w:color w:val="000000"/>
                <w:sz w:val="18"/>
                <w:szCs w:val="18"/>
                <w:lang w:val="en-US"/>
              </w:rPr>
            </w:pPr>
            <w:r w:rsidRPr="008A0AC6">
              <w:rPr>
                <w:rFonts w:ascii="Arial" w:hAnsi="Arial" w:cs="Arial"/>
                <w:color w:val="000000"/>
                <w:sz w:val="18"/>
                <w:szCs w:val="18"/>
                <w:lang w:val="en-US"/>
              </w:rPr>
              <w:t>b. Dependent Variable: Performance: program expenses / total costs</w:t>
            </w:r>
          </w:p>
        </w:tc>
      </w:tr>
    </w:tbl>
    <w:p w:rsidR="00526AC5" w:rsidRDefault="00526AC5" w:rsidP="00143895">
      <w:pPr>
        <w:spacing w:line="360" w:lineRule="auto"/>
        <w:rPr>
          <w:lang w:val="en-US"/>
        </w:rPr>
      </w:pPr>
    </w:p>
    <w:p w:rsidR="00526AC5" w:rsidRDefault="00526AC5" w:rsidP="00526AC5">
      <w:pPr>
        <w:spacing w:line="360" w:lineRule="auto"/>
        <w:jc w:val="both"/>
        <w:rPr>
          <w:rFonts w:ascii="ScalaSans-Caps" w:hAnsi="ScalaSans-Caps"/>
          <w:lang w:val="en-US"/>
        </w:rPr>
      </w:pPr>
      <w:r w:rsidRPr="002C2879">
        <w:rPr>
          <w:rFonts w:ascii="ScalaSans-Caps" w:hAnsi="ScalaSans-Caps"/>
          <w:lang w:val="en-US"/>
        </w:rPr>
        <w:t>Appendix 6</w:t>
      </w:r>
      <w:r>
        <w:rPr>
          <w:rFonts w:ascii="ScalaSans-Caps" w:hAnsi="ScalaSans-Caps"/>
          <w:lang w:val="en-US"/>
        </w:rPr>
        <w:t>E</w:t>
      </w:r>
    </w:p>
    <w:p w:rsidR="00526AC5" w:rsidRPr="00143895" w:rsidRDefault="00526AC5" w:rsidP="00143895">
      <w:pPr>
        <w:autoSpaceDE w:val="0"/>
        <w:autoSpaceDN w:val="0"/>
        <w:adjustRightInd w:val="0"/>
        <w:spacing w:line="360" w:lineRule="auto"/>
        <w:rPr>
          <w:rFonts w:cs="Times New Roman"/>
        </w:rPr>
      </w:pPr>
    </w:p>
    <w:tbl>
      <w:tblPr>
        <w:tblW w:w="576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2"/>
        <w:gridCol w:w="1016"/>
        <w:gridCol w:w="1083"/>
        <w:gridCol w:w="1465"/>
        <w:gridCol w:w="1465"/>
      </w:tblGrid>
      <w:tr w:rsidR="00526AC5" w:rsidRPr="00526AC5">
        <w:trPr>
          <w:cantSplit/>
          <w:tblHeader/>
        </w:trPr>
        <w:tc>
          <w:tcPr>
            <w:tcW w:w="5759" w:type="dxa"/>
            <w:gridSpan w:val="5"/>
            <w:tcBorders>
              <w:top w:val="nil"/>
              <w:left w:val="nil"/>
              <w:bottom w:val="nil"/>
              <w:right w:val="nil"/>
            </w:tcBorders>
            <w:shd w:val="clear" w:color="auto" w:fill="FFFFFF"/>
            <w:tcMar>
              <w:top w:w="30" w:type="dxa"/>
              <w:left w:w="30" w:type="dxa"/>
              <w:bottom w:w="30" w:type="dxa"/>
              <w:right w:w="30" w:type="dxa"/>
            </w:tcMar>
            <w:vAlign w:val="center"/>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b/>
                <w:bCs/>
                <w:color w:val="000000"/>
                <w:sz w:val="18"/>
                <w:szCs w:val="18"/>
              </w:rPr>
              <w:t>Model Summary</w:t>
            </w:r>
          </w:p>
        </w:tc>
      </w:tr>
      <w:tr w:rsidR="00526AC5" w:rsidRPr="002C07A4">
        <w:trPr>
          <w:cantSplit/>
          <w:tblHeader/>
        </w:trPr>
        <w:tc>
          <w:tcPr>
            <w:tcW w:w="73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Model</w:t>
            </w:r>
          </w:p>
        </w:tc>
        <w:tc>
          <w:tcPr>
            <w:tcW w:w="101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R</w:t>
            </w:r>
          </w:p>
        </w:tc>
        <w:tc>
          <w:tcPr>
            <w:tcW w:w="10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R Square</w:t>
            </w:r>
          </w:p>
        </w:tc>
        <w:tc>
          <w:tcPr>
            <w:tcW w:w="146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Adjusted R Square</w:t>
            </w:r>
          </w:p>
        </w:tc>
        <w:tc>
          <w:tcPr>
            <w:tcW w:w="146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lang w:val="en-US"/>
              </w:rPr>
            </w:pPr>
            <w:r w:rsidRPr="00526AC5">
              <w:rPr>
                <w:rFonts w:ascii="Arial" w:hAnsi="Arial" w:cs="Arial"/>
                <w:color w:val="000000"/>
                <w:sz w:val="18"/>
                <w:szCs w:val="18"/>
                <w:lang w:val="en-US"/>
              </w:rPr>
              <w:t>Std. Error of the Estimate</w:t>
            </w:r>
          </w:p>
        </w:tc>
      </w:tr>
      <w:tr w:rsidR="00526AC5" w:rsidRPr="00526AC5">
        <w:trPr>
          <w:cantSplit/>
          <w:tblHeader/>
        </w:trPr>
        <w:tc>
          <w:tcPr>
            <w:tcW w:w="73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1</w:t>
            </w:r>
          </w:p>
        </w:tc>
        <w:tc>
          <w:tcPr>
            <w:tcW w:w="101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,371</w:t>
            </w:r>
            <w:r w:rsidRPr="00526AC5">
              <w:rPr>
                <w:rFonts w:ascii="Arial" w:hAnsi="Arial" w:cs="Arial"/>
                <w:color w:val="000000"/>
                <w:sz w:val="18"/>
                <w:szCs w:val="18"/>
                <w:vertAlign w:val="superscript"/>
              </w:rPr>
              <w:t>a</w:t>
            </w:r>
          </w:p>
        </w:tc>
        <w:tc>
          <w:tcPr>
            <w:tcW w:w="1083" w:type="dxa"/>
            <w:tcBorders>
              <w:top w:val="single" w:sz="16" w:space="0" w:color="000000"/>
              <w:bottom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,138</w:t>
            </w:r>
          </w:p>
        </w:tc>
        <w:tc>
          <w:tcPr>
            <w:tcW w:w="1464" w:type="dxa"/>
            <w:tcBorders>
              <w:top w:val="single" w:sz="16" w:space="0" w:color="000000"/>
              <w:bottom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,108</w:t>
            </w:r>
          </w:p>
        </w:tc>
        <w:tc>
          <w:tcPr>
            <w:tcW w:w="146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,1087359</w:t>
            </w:r>
          </w:p>
        </w:tc>
      </w:tr>
      <w:tr w:rsidR="00526AC5" w:rsidRPr="00526AC5">
        <w:trPr>
          <w:cantSplit/>
        </w:trPr>
        <w:tc>
          <w:tcPr>
            <w:tcW w:w="5759" w:type="dxa"/>
            <w:gridSpan w:val="5"/>
            <w:tcBorders>
              <w:top w:val="nil"/>
              <w:left w:val="nil"/>
              <w:bottom w:val="nil"/>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lang w:val="en-US"/>
              </w:rPr>
              <w:t xml:space="preserve">a. Predictors: (Constant), size class 5, Dummy_health, Acc. Level 0 dummy, legal form, Dummy_nature, size class 4, VFI membership, Dummy_international_aid, CBF brand, International, Acc. </w:t>
            </w:r>
            <w:r w:rsidRPr="00526AC5">
              <w:rPr>
                <w:rFonts w:ascii="Arial" w:hAnsi="Arial" w:cs="Arial"/>
                <w:color w:val="000000"/>
                <w:sz w:val="18"/>
                <w:szCs w:val="18"/>
              </w:rPr>
              <w:t>Level 5 dummy</w:t>
            </w:r>
          </w:p>
        </w:tc>
      </w:tr>
    </w:tbl>
    <w:p w:rsidR="00526AC5" w:rsidRDefault="00526AC5" w:rsidP="00526AC5">
      <w:pPr>
        <w:autoSpaceDE w:val="0"/>
        <w:autoSpaceDN w:val="0"/>
        <w:adjustRightInd w:val="0"/>
        <w:spacing w:line="360" w:lineRule="auto"/>
        <w:rPr>
          <w:rFonts w:cs="Times New Roman"/>
        </w:rPr>
      </w:pPr>
    </w:p>
    <w:p w:rsidR="00526AC5" w:rsidRDefault="00526AC5">
      <w:pPr>
        <w:rPr>
          <w:rFonts w:cs="Times New Roman"/>
        </w:rPr>
      </w:pPr>
      <w:r>
        <w:rPr>
          <w:rFonts w:cs="Times New Roman"/>
        </w:rPr>
        <w:br w:type="page"/>
      </w:r>
    </w:p>
    <w:p w:rsidR="00526AC5" w:rsidRPr="00526AC5" w:rsidRDefault="00526AC5" w:rsidP="00526AC5">
      <w:pPr>
        <w:autoSpaceDE w:val="0"/>
        <w:autoSpaceDN w:val="0"/>
        <w:adjustRightInd w:val="0"/>
        <w:spacing w:line="360" w:lineRule="auto"/>
        <w:rPr>
          <w:rFonts w:cs="Times New Roman"/>
        </w:rPr>
      </w:pPr>
    </w:p>
    <w:tbl>
      <w:tblPr>
        <w:tblW w:w="79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1"/>
        <w:gridCol w:w="1279"/>
        <w:gridCol w:w="1465"/>
        <w:gridCol w:w="1016"/>
        <w:gridCol w:w="1406"/>
        <w:gridCol w:w="1017"/>
        <w:gridCol w:w="1017"/>
      </w:tblGrid>
      <w:tr w:rsidR="00526AC5" w:rsidRPr="00526AC5" w:rsidTr="00526AC5">
        <w:trPr>
          <w:cantSplit/>
          <w:tblHeader/>
        </w:trPr>
        <w:tc>
          <w:tcPr>
            <w:tcW w:w="7931" w:type="dxa"/>
            <w:gridSpan w:val="7"/>
            <w:tcBorders>
              <w:top w:val="nil"/>
              <w:left w:val="nil"/>
              <w:bottom w:val="nil"/>
              <w:right w:val="nil"/>
            </w:tcBorders>
            <w:shd w:val="clear" w:color="auto" w:fill="FFFFFF"/>
            <w:tcMar>
              <w:top w:w="30" w:type="dxa"/>
              <w:left w:w="30" w:type="dxa"/>
              <w:bottom w:w="30" w:type="dxa"/>
              <w:right w:w="30" w:type="dxa"/>
            </w:tcMar>
            <w:vAlign w:val="center"/>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b/>
                <w:bCs/>
                <w:color w:val="000000"/>
                <w:sz w:val="18"/>
                <w:szCs w:val="18"/>
              </w:rPr>
              <w:t>ANOVA</w:t>
            </w:r>
            <w:r w:rsidRPr="00526AC5">
              <w:rPr>
                <w:rFonts w:ascii="Arial" w:hAnsi="Arial" w:cs="Arial"/>
                <w:b/>
                <w:bCs/>
                <w:color w:val="000000"/>
                <w:sz w:val="18"/>
                <w:szCs w:val="18"/>
                <w:vertAlign w:val="superscript"/>
              </w:rPr>
              <w:t>b</w:t>
            </w:r>
          </w:p>
        </w:tc>
      </w:tr>
      <w:tr w:rsidR="00526AC5" w:rsidRPr="00526AC5" w:rsidTr="00526AC5">
        <w:trPr>
          <w:cantSplit/>
          <w:tblHeader/>
        </w:trPr>
        <w:tc>
          <w:tcPr>
            <w:tcW w:w="2010"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Model</w:t>
            </w:r>
          </w:p>
        </w:tc>
        <w:tc>
          <w:tcPr>
            <w:tcW w:w="14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Sum of Squares</w:t>
            </w:r>
          </w:p>
        </w:tc>
        <w:tc>
          <w:tcPr>
            <w:tcW w:w="10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df</w:t>
            </w:r>
          </w:p>
        </w:tc>
        <w:tc>
          <w:tcPr>
            <w:tcW w:w="140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Mean Square</w:t>
            </w:r>
          </w:p>
        </w:tc>
        <w:tc>
          <w:tcPr>
            <w:tcW w:w="10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F</w:t>
            </w:r>
          </w:p>
        </w:tc>
        <w:tc>
          <w:tcPr>
            <w:tcW w:w="10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Sig.</w:t>
            </w:r>
          </w:p>
        </w:tc>
      </w:tr>
      <w:tr w:rsidR="00526AC5" w:rsidRPr="00526AC5" w:rsidTr="00526AC5">
        <w:trPr>
          <w:cantSplit/>
          <w:tblHeader/>
        </w:trPr>
        <w:tc>
          <w:tcPr>
            <w:tcW w:w="73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1</w:t>
            </w:r>
          </w:p>
        </w:tc>
        <w:tc>
          <w:tcPr>
            <w:tcW w:w="12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Regression</w:t>
            </w:r>
          </w:p>
        </w:tc>
        <w:tc>
          <w:tcPr>
            <w:tcW w:w="14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,590</w:t>
            </w:r>
          </w:p>
        </w:tc>
        <w:tc>
          <w:tcPr>
            <w:tcW w:w="1016" w:type="dxa"/>
            <w:tcBorders>
              <w:top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11</w:t>
            </w:r>
          </w:p>
        </w:tc>
        <w:tc>
          <w:tcPr>
            <w:tcW w:w="1406" w:type="dxa"/>
            <w:tcBorders>
              <w:top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,054</w:t>
            </w:r>
          </w:p>
        </w:tc>
        <w:tc>
          <w:tcPr>
            <w:tcW w:w="1017" w:type="dxa"/>
            <w:tcBorders>
              <w:top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4,539</w:t>
            </w:r>
          </w:p>
        </w:tc>
        <w:tc>
          <w:tcPr>
            <w:tcW w:w="101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,000</w:t>
            </w:r>
            <w:r w:rsidRPr="00526AC5">
              <w:rPr>
                <w:rFonts w:ascii="Arial" w:hAnsi="Arial" w:cs="Arial"/>
                <w:color w:val="000000"/>
                <w:sz w:val="18"/>
                <w:szCs w:val="18"/>
                <w:vertAlign w:val="superscript"/>
              </w:rPr>
              <w:t>a</w:t>
            </w:r>
          </w:p>
        </w:tc>
      </w:tr>
      <w:tr w:rsidR="00526AC5" w:rsidRPr="00526AC5" w:rsidTr="00526AC5">
        <w:trPr>
          <w:cantSplit/>
          <w:tblHeader/>
        </w:trPr>
        <w:tc>
          <w:tcPr>
            <w:tcW w:w="7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Residual</w:t>
            </w:r>
          </w:p>
        </w:tc>
        <w:tc>
          <w:tcPr>
            <w:tcW w:w="1465" w:type="dxa"/>
            <w:tcBorders>
              <w:top w:val="nil"/>
              <w:left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3,689</w:t>
            </w:r>
          </w:p>
        </w:tc>
        <w:tc>
          <w:tcPr>
            <w:tcW w:w="1016"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312</w:t>
            </w:r>
          </w:p>
        </w:tc>
        <w:tc>
          <w:tcPr>
            <w:tcW w:w="1406"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,012</w:t>
            </w:r>
          </w:p>
        </w:tc>
        <w:tc>
          <w:tcPr>
            <w:tcW w:w="1017" w:type="dxa"/>
            <w:tcBorders>
              <w:top w:val="nil"/>
              <w:bottom w:val="nil"/>
            </w:tcBorders>
            <w:shd w:val="clear" w:color="auto" w:fill="FFFFFF"/>
            <w:tcMar>
              <w:top w:w="30" w:type="dxa"/>
              <w:left w:w="30" w:type="dxa"/>
              <w:bottom w:w="30" w:type="dxa"/>
              <w:right w:w="30" w:type="dxa"/>
            </w:tcMar>
            <w:vAlign w:val="center"/>
          </w:tcPr>
          <w:p w:rsidR="00526AC5" w:rsidRPr="00526AC5" w:rsidRDefault="00526AC5" w:rsidP="00526AC5">
            <w:pPr>
              <w:autoSpaceDE w:val="0"/>
              <w:autoSpaceDN w:val="0"/>
              <w:adjustRightInd w:val="0"/>
              <w:jc w:val="center"/>
              <w:rPr>
                <w:rFonts w:ascii="Times New Roman" w:hAnsi="Times New Roman" w:cs="Times New Roman"/>
                <w:sz w:val="24"/>
                <w:szCs w:val="24"/>
              </w:rPr>
            </w:pPr>
          </w:p>
        </w:tc>
        <w:tc>
          <w:tcPr>
            <w:tcW w:w="1017" w:type="dxa"/>
            <w:tcBorders>
              <w:top w:val="nil"/>
              <w:bottom w:val="nil"/>
              <w:right w:val="single" w:sz="16" w:space="0" w:color="000000"/>
            </w:tcBorders>
            <w:shd w:val="clear" w:color="auto" w:fill="FFFFFF"/>
            <w:tcMar>
              <w:top w:w="30" w:type="dxa"/>
              <w:left w:w="30" w:type="dxa"/>
              <w:bottom w:w="30" w:type="dxa"/>
              <w:right w:w="30" w:type="dxa"/>
            </w:tcMar>
            <w:vAlign w:val="center"/>
          </w:tcPr>
          <w:p w:rsidR="00526AC5" w:rsidRPr="00526AC5" w:rsidRDefault="00526AC5" w:rsidP="00526AC5">
            <w:pPr>
              <w:autoSpaceDE w:val="0"/>
              <w:autoSpaceDN w:val="0"/>
              <w:adjustRightInd w:val="0"/>
              <w:jc w:val="center"/>
              <w:rPr>
                <w:rFonts w:ascii="Times New Roman" w:hAnsi="Times New Roman" w:cs="Times New Roman"/>
                <w:sz w:val="24"/>
                <w:szCs w:val="24"/>
              </w:rPr>
            </w:pPr>
          </w:p>
        </w:tc>
      </w:tr>
      <w:tr w:rsidR="00526AC5" w:rsidRPr="00526AC5" w:rsidTr="00526AC5">
        <w:trPr>
          <w:cantSplit/>
          <w:tblHeader/>
        </w:trPr>
        <w:tc>
          <w:tcPr>
            <w:tcW w:w="7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rPr>
                <w:rFonts w:ascii="Times New Roman" w:hAnsi="Times New Roman" w:cs="Times New Roman"/>
                <w:sz w:val="24"/>
                <w:szCs w:val="24"/>
              </w:rPr>
            </w:pPr>
          </w:p>
        </w:tc>
        <w:tc>
          <w:tcPr>
            <w:tcW w:w="12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Total</w:t>
            </w:r>
          </w:p>
        </w:tc>
        <w:tc>
          <w:tcPr>
            <w:tcW w:w="14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4,279</w:t>
            </w:r>
          </w:p>
        </w:tc>
        <w:tc>
          <w:tcPr>
            <w:tcW w:w="1016" w:type="dxa"/>
            <w:tcBorders>
              <w:top w:val="nil"/>
              <w:bottom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323</w:t>
            </w:r>
          </w:p>
        </w:tc>
        <w:tc>
          <w:tcPr>
            <w:tcW w:w="1406" w:type="dxa"/>
            <w:tcBorders>
              <w:top w:val="nil"/>
              <w:bottom w:val="single" w:sz="16" w:space="0" w:color="000000"/>
            </w:tcBorders>
            <w:shd w:val="clear" w:color="auto" w:fill="FFFFFF"/>
            <w:tcMar>
              <w:top w:w="30" w:type="dxa"/>
              <w:left w:w="30" w:type="dxa"/>
              <w:bottom w:w="30" w:type="dxa"/>
              <w:right w:w="30" w:type="dxa"/>
            </w:tcMar>
            <w:vAlign w:val="center"/>
          </w:tcPr>
          <w:p w:rsidR="00526AC5" w:rsidRPr="00526AC5" w:rsidRDefault="00526AC5" w:rsidP="00526AC5">
            <w:pPr>
              <w:autoSpaceDE w:val="0"/>
              <w:autoSpaceDN w:val="0"/>
              <w:adjustRightInd w:val="0"/>
              <w:jc w:val="center"/>
              <w:rPr>
                <w:rFonts w:ascii="Times New Roman" w:hAnsi="Times New Roman" w:cs="Times New Roman"/>
                <w:sz w:val="24"/>
                <w:szCs w:val="24"/>
              </w:rPr>
            </w:pPr>
          </w:p>
        </w:tc>
        <w:tc>
          <w:tcPr>
            <w:tcW w:w="1017" w:type="dxa"/>
            <w:tcBorders>
              <w:top w:val="nil"/>
              <w:bottom w:val="single" w:sz="16" w:space="0" w:color="000000"/>
            </w:tcBorders>
            <w:shd w:val="clear" w:color="auto" w:fill="FFFFFF"/>
            <w:tcMar>
              <w:top w:w="30" w:type="dxa"/>
              <w:left w:w="30" w:type="dxa"/>
              <w:bottom w:w="30" w:type="dxa"/>
              <w:right w:w="30" w:type="dxa"/>
            </w:tcMar>
            <w:vAlign w:val="center"/>
          </w:tcPr>
          <w:p w:rsidR="00526AC5" w:rsidRPr="00526AC5" w:rsidRDefault="00526AC5" w:rsidP="00526AC5">
            <w:pPr>
              <w:autoSpaceDE w:val="0"/>
              <w:autoSpaceDN w:val="0"/>
              <w:adjustRightInd w:val="0"/>
              <w:jc w:val="center"/>
              <w:rPr>
                <w:rFonts w:ascii="Times New Roman" w:hAnsi="Times New Roman" w:cs="Times New Roman"/>
                <w:sz w:val="24"/>
                <w:szCs w:val="24"/>
              </w:rPr>
            </w:pPr>
          </w:p>
        </w:tc>
        <w:tc>
          <w:tcPr>
            <w:tcW w:w="101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26AC5" w:rsidRPr="00526AC5" w:rsidRDefault="00526AC5" w:rsidP="00526AC5">
            <w:pPr>
              <w:autoSpaceDE w:val="0"/>
              <w:autoSpaceDN w:val="0"/>
              <w:adjustRightInd w:val="0"/>
              <w:jc w:val="center"/>
              <w:rPr>
                <w:rFonts w:ascii="Times New Roman" w:hAnsi="Times New Roman" w:cs="Times New Roman"/>
                <w:sz w:val="24"/>
                <w:szCs w:val="24"/>
              </w:rPr>
            </w:pPr>
          </w:p>
        </w:tc>
      </w:tr>
      <w:tr w:rsidR="00526AC5" w:rsidRPr="00526AC5" w:rsidTr="00526AC5">
        <w:trPr>
          <w:cantSplit/>
          <w:tblHeader/>
        </w:trPr>
        <w:tc>
          <w:tcPr>
            <w:tcW w:w="7931" w:type="dxa"/>
            <w:gridSpan w:val="7"/>
            <w:tcBorders>
              <w:top w:val="nil"/>
              <w:left w:val="nil"/>
              <w:bottom w:val="nil"/>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lang w:val="en-US"/>
              </w:rPr>
              <w:t xml:space="preserve">a. Predictors: (Constant), size class 5, Dummy_health, Acc. Level 0 dummy, legal form, Dummy_nature, size class 4, VFI membership, Dummy_international_aid, CBF brand, International, Acc. </w:t>
            </w:r>
            <w:r w:rsidRPr="00526AC5">
              <w:rPr>
                <w:rFonts w:ascii="Arial" w:hAnsi="Arial" w:cs="Arial"/>
                <w:color w:val="000000"/>
                <w:sz w:val="18"/>
                <w:szCs w:val="18"/>
              </w:rPr>
              <w:t>Level 5 dummy</w:t>
            </w:r>
          </w:p>
        </w:tc>
      </w:tr>
      <w:tr w:rsidR="00526AC5" w:rsidRPr="002C07A4" w:rsidTr="00526AC5">
        <w:trPr>
          <w:cantSplit/>
        </w:trPr>
        <w:tc>
          <w:tcPr>
            <w:tcW w:w="7931" w:type="dxa"/>
            <w:gridSpan w:val="7"/>
            <w:tcBorders>
              <w:top w:val="nil"/>
              <w:left w:val="nil"/>
              <w:bottom w:val="nil"/>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lang w:val="en-US"/>
              </w:rPr>
            </w:pPr>
            <w:r w:rsidRPr="00526AC5">
              <w:rPr>
                <w:rFonts w:ascii="Arial" w:hAnsi="Arial" w:cs="Arial"/>
                <w:color w:val="000000"/>
                <w:sz w:val="18"/>
                <w:szCs w:val="18"/>
                <w:lang w:val="en-US"/>
              </w:rPr>
              <w:t>b. Dependent Variable: Performance: program expenses / total costs</w:t>
            </w:r>
          </w:p>
        </w:tc>
      </w:tr>
    </w:tbl>
    <w:p w:rsidR="00526AC5" w:rsidRPr="00526AC5" w:rsidRDefault="00526AC5" w:rsidP="00526AC5">
      <w:pPr>
        <w:autoSpaceDE w:val="0"/>
        <w:autoSpaceDN w:val="0"/>
        <w:adjustRightInd w:val="0"/>
        <w:spacing w:line="360" w:lineRule="auto"/>
        <w:rPr>
          <w:rFonts w:cs="Times New Roman"/>
          <w:lang w:val="en-US"/>
        </w:rPr>
      </w:pPr>
    </w:p>
    <w:tbl>
      <w:tblPr>
        <w:tblW w:w="92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6"/>
        <w:gridCol w:w="2422"/>
        <w:gridCol w:w="1320"/>
        <w:gridCol w:w="1319"/>
        <w:gridCol w:w="1452"/>
        <w:gridCol w:w="1008"/>
        <w:gridCol w:w="1008"/>
      </w:tblGrid>
      <w:tr w:rsidR="00526AC5" w:rsidRPr="00526AC5" w:rsidTr="00526AC5">
        <w:trPr>
          <w:cantSplit/>
          <w:tblHeader/>
        </w:trPr>
        <w:tc>
          <w:tcPr>
            <w:tcW w:w="9255" w:type="dxa"/>
            <w:gridSpan w:val="7"/>
            <w:tcBorders>
              <w:top w:val="nil"/>
              <w:left w:val="nil"/>
              <w:bottom w:val="nil"/>
              <w:right w:val="nil"/>
            </w:tcBorders>
            <w:shd w:val="clear" w:color="auto" w:fill="FFFFFF"/>
            <w:tcMar>
              <w:top w:w="30" w:type="dxa"/>
              <w:left w:w="30" w:type="dxa"/>
              <w:bottom w:w="30" w:type="dxa"/>
              <w:right w:w="30" w:type="dxa"/>
            </w:tcMar>
            <w:vAlign w:val="center"/>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b/>
                <w:bCs/>
                <w:color w:val="000000"/>
                <w:sz w:val="18"/>
                <w:szCs w:val="18"/>
              </w:rPr>
              <w:t>Coefficients</w:t>
            </w:r>
            <w:r w:rsidRPr="00526AC5">
              <w:rPr>
                <w:rFonts w:ascii="Arial" w:hAnsi="Arial" w:cs="Arial"/>
                <w:b/>
                <w:bCs/>
                <w:color w:val="000000"/>
                <w:sz w:val="18"/>
                <w:szCs w:val="18"/>
                <w:vertAlign w:val="superscript"/>
              </w:rPr>
              <w:t>a</w:t>
            </w:r>
          </w:p>
        </w:tc>
      </w:tr>
      <w:tr w:rsidR="00526AC5" w:rsidRPr="00526AC5" w:rsidTr="00526AC5">
        <w:trPr>
          <w:cantSplit/>
          <w:tblHeader/>
        </w:trPr>
        <w:tc>
          <w:tcPr>
            <w:tcW w:w="314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Model</w:t>
            </w:r>
          </w:p>
        </w:tc>
        <w:tc>
          <w:tcPr>
            <w:tcW w:w="263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Unstandardized Coefficients</w:t>
            </w:r>
          </w:p>
        </w:tc>
        <w:tc>
          <w:tcPr>
            <w:tcW w:w="1452" w:type="dxa"/>
            <w:tcBorders>
              <w:top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Standardized Coefficients</w:t>
            </w:r>
          </w:p>
        </w:tc>
        <w:tc>
          <w:tcPr>
            <w:tcW w:w="1008"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t</w:t>
            </w:r>
          </w:p>
        </w:tc>
        <w:tc>
          <w:tcPr>
            <w:tcW w:w="10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Sig.</w:t>
            </w:r>
          </w:p>
        </w:tc>
      </w:tr>
      <w:tr w:rsidR="00526AC5" w:rsidRPr="00526AC5" w:rsidTr="00526AC5">
        <w:trPr>
          <w:cantSplit/>
          <w:tblHeader/>
        </w:trPr>
        <w:tc>
          <w:tcPr>
            <w:tcW w:w="3148"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rPr>
                <w:rFonts w:ascii="Arial" w:hAnsi="Arial" w:cs="Arial"/>
                <w:color w:val="000000"/>
                <w:sz w:val="18"/>
                <w:szCs w:val="18"/>
              </w:rPr>
            </w:pPr>
          </w:p>
        </w:tc>
        <w:tc>
          <w:tcPr>
            <w:tcW w:w="132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B</w:t>
            </w:r>
          </w:p>
        </w:tc>
        <w:tc>
          <w:tcPr>
            <w:tcW w:w="1319" w:type="dxa"/>
            <w:tcBorders>
              <w:bottom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Std. Error</w:t>
            </w:r>
          </w:p>
        </w:tc>
        <w:tc>
          <w:tcPr>
            <w:tcW w:w="1452" w:type="dxa"/>
            <w:tcBorders>
              <w:bottom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spacing w:line="320" w:lineRule="atLeast"/>
              <w:jc w:val="center"/>
              <w:rPr>
                <w:rFonts w:ascii="Arial" w:hAnsi="Arial" w:cs="Arial"/>
                <w:color w:val="000000"/>
                <w:sz w:val="18"/>
                <w:szCs w:val="18"/>
              </w:rPr>
            </w:pPr>
            <w:r w:rsidRPr="00526AC5">
              <w:rPr>
                <w:rFonts w:ascii="Arial" w:hAnsi="Arial" w:cs="Arial"/>
                <w:color w:val="000000"/>
                <w:sz w:val="18"/>
                <w:szCs w:val="18"/>
              </w:rPr>
              <w:t>Beta</w:t>
            </w:r>
          </w:p>
        </w:tc>
        <w:tc>
          <w:tcPr>
            <w:tcW w:w="100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rPr>
                <w:rFonts w:ascii="Arial" w:hAnsi="Arial" w:cs="Arial"/>
                <w:color w:val="000000"/>
                <w:sz w:val="18"/>
                <w:szCs w:val="18"/>
              </w:rPr>
            </w:pPr>
          </w:p>
        </w:tc>
        <w:tc>
          <w:tcPr>
            <w:tcW w:w="10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26AC5" w:rsidRPr="00526AC5" w:rsidRDefault="00526AC5" w:rsidP="00526AC5">
            <w:pPr>
              <w:autoSpaceDE w:val="0"/>
              <w:autoSpaceDN w:val="0"/>
              <w:adjustRightInd w:val="0"/>
              <w:rPr>
                <w:rFonts w:ascii="Arial" w:hAnsi="Arial" w:cs="Arial"/>
                <w:color w:val="000000"/>
                <w:sz w:val="18"/>
                <w:szCs w:val="18"/>
              </w:rPr>
            </w:pPr>
          </w:p>
        </w:tc>
      </w:tr>
      <w:tr w:rsidR="00526AC5" w:rsidRPr="00526AC5" w:rsidTr="00526AC5">
        <w:trPr>
          <w:cantSplit/>
          <w:tblHeader/>
        </w:trPr>
        <w:tc>
          <w:tcPr>
            <w:tcW w:w="72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1</w:t>
            </w:r>
          </w:p>
        </w:tc>
        <w:tc>
          <w:tcPr>
            <w:tcW w:w="242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(Constant)</w:t>
            </w:r>
          </w:p>
        </w:tc>
        <w:tc>
          <w:tcPr>
            <w:tcW w:w="132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,856</w:t>
            </w:r>
          </w:p>
        </w:tc>
        <w:tc>
          <w:tcPr>
            <w:tcW w:w="1319" w:type="dxa"/>
            <w:tcBorders>
              <w:top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,050</w:t>
            </w:r>
          </w:p>
        </w:tc>
        <w:tc>
          <w:tcPr>
            <w:tcW w:w="1452" w:type="dxa"/>
            <w:tcBorders>
              <w:top w:val="single" w:sz="16" w:space="0" w:color="000000"/>
              <w:bottom w:val="nil"/>
            </w:tcBorders>
            <w:shd w:val="clear" w:color="auto" w:fill="FFFFFF"/>
            <w:tcMar>
              <w:top w:w="30" w:type="dxa"/>
              <w:left w:w="30" w:type="dxa"/>
              <w:bottom w:w="30" w:type="dxa"/>
              <w:right w:w="30" w:type="dxa"/>
            </w:tcMar>
            <w:vAlign w:val="center"/>
          </w:tcPr>
          <w:p w:rsidR="00526AC5" w:rsidRPr="00526AC5" w:rsidRDefault="00526AC5" w:rsidP="00526AC5">
            <w:pPr>
              <w:autoSpaceDE w:val="0"/>
              <w:autoSpaceDN w:val="0"/>
              <w:adjustRightInd w:val="0"/>
              <w:jc w:val="center"/>
              <w:rPr>
                <w:rFonts w:ascii="Times New Roman" w:hAnsi="Times New Roman" w:cs="Times New Roman"/>
                <w:sz w:val="24"/>
                <w:szCs w:val="24"/>
              </w:rPr>
            </w:pPr>
          </w:p>
        </w:tc>
        <w:tc>
          <w:tcPr>
            <w:tcW w:w="1008" w:type="dxa"/>
            <w:tcBorders>
              <w:top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17,040</w:t>
            </w:r>
          </w:p>
        </w:tc>
        <w:tc>
          <w:tcPr>
            <w:tcW w:w="10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,000</w:t>
            </w:r>
          </w:p>
        </w:tc>
      </w:tr>
      <w:tr w:rsidR="00526AC5" w:rsidRPr="00526AC5" w:rsidTr="00526AC5">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rPr>
                <w:rFonts w:ascii="Arial" w:hAnsi="Arial" w:cs="Arial"/>
                <w:color w:val="000000"/>
                <w:sz w:val="18"/>
                <w:szCs w:val="18"/>
              </w:rPr>
            </w:pPr>
          </w:p>
        </w:tc>
        <w:tc>
          <w:tcPr>
            <w:tcW w:w="2422" w:type="dxa"/>
            <w:tcBorders>
              <w:top w:val="nil"/>
              <w:left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CBF brand</w:t>
            </w:r>
          </w:p>
        </w:tc>
        <w:tc>
          <w:tcPr>
            <w:tcW w:w="1320" w:type="dxa"/>
            <w:tcBorders>
              <w:top w:val="nil"/>
              <w:left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,002</w:t>
            </w:r>
          </w:p>
        </w:tc>
        <w:tc>
          <w:tcPr>
            <w:tcW w:w="1319"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,017</w:t>
            </w:r>
          </w:p>
        </w:tc>
        <w:tc>
          <w:tcPr>
            <w:tcW w:w="1452"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,008</w:t>
            </w:r>
          </w:p>
        </w:tc>
        <w:tc>
          <w:tcPr>
            <w:tcW w:w="1008"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,129</w:t>
            </w:r>
          </w:p>
        </w:tc>
        <w:tc>
          <w:tcPr>
            <w:tcW w:w="1008" w:type="dxa"/>
            <w:tcBorders>
              <w:top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,897</w:t>
            </w:r>
          </w:p>
        </w:tc>
      </w:tr>
      <w:tr w:rsidR="00526AC5" w:rsidRPr="00526AC5" w:rsidTr="00526AC5">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rPr>
                <w:rFonts w:ascii="Arial" w:hAnsi="Arial" w:cs="Arial"/>
                <w:color w:val="000000"/>
                <w:sz w:val="18"/>
                <w:szCs w:val="18"/>
              </w:rPr>
            </w:pPr>
          </w:p>
        </w:tc>
        <w:tc>
          <w:tcPr>
            <w:tcW w:w="2422" w:type="dxa"/>
            <w:tcBorders>
              <w:top w:val="nil"/>
              <w:left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VFI membership</w:t>
            </w:r>
          </w:p>
        </w:tc>
        <w:tc>
          <w:tcPr>
            <w:tcW w:w="1320" w:type="dxa"/>
            <w:tcBorders>
              <w:top w:val="nil"/>
              <w:left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-,059</w:t>
            </w:r>
          </w:p>
        </w:tc>
        <w:tc>
          <w:tcPr>
            <w:tcW w:w="1319"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,015</w:t>
            </w:r>
          </w:p>
        </w:tc>
        <w:tc>
          <w:tcPr>
            <w:tcW w:w="1452"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-,246</w:t>
            </w:r>
          </w:p>
        </w:tc>
        <w:tc>
          <w:tcPr>
            <w:tcW w:w="1008"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-3,948</w:t>
            </w:r>
          </w:p>
        </w:tc>
        <w:tc>
          <w:tcPr>
            <w:tcW w:w="1008" w:type="dxa"/>
            <w:tcBorders>
              <w:top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,000</w:t>
            </w:r>
          </w:p>
        </w:tc>
      </w:tr>
      <w:tr w:rsidR="00526AC5" w:rsidRPr="00526AC5" w:rsidTr="00526AC5">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rPr>
                <w:rFonts w:ascii="Arial" w:hAnsi="Arial" w:cs="Arial"/>
                <w:color w:val="000000"/>
                <w:sz w:val="18"/>
                <w:szCs w:val="18"/>
              </w:rPr>
            </w:pPr>
          </w:p>
        </w:tc>
        <w:tc>
          <w:tcPr>
            <w:tcW w:w="2422" w:type="dxa"/>
            <w:tcBorders>
              <w:top w:val="nil"/>
              <w:left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legal form</w:t>
            </w:r>
          </w:p>
        </w:tc>
        <w:tc>
          <w:tcPr>
            <w:tcW w:w="1320" w:type="dxa"/>
            <w:tcBorders>
              <w:top w:val="nil"/>
              <w:left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-,007</w:t>
            </w:r>
          </w:p>
        </w:tc>
        <w:tc>
          <w:tcPr>
            <w:tcW w:w="1319"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,018</w:t>
            </w:r>
          </w:p>
        </w:tc>
        <w:tc>
          <w:tcPr>
            <w:tcW w:w="1452"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-,022</w:t>
            </w:r>
          </w:p>
        </w:tc>
        <w:tc>
          <w:tcPr>
            <w:tcW w:w="1008"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-,395</w:t>
            </w:r>
          </w:p>
        </w:tc>
        <w:tc>
          <w:tcPr>
            <w:tcW w:w="1008" w:type="dxa"/>
            <w:tcBorders>
              <w:top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,693</w:t>
            </w:r>
          </w:p>
        </w:tc>
      </w:tr>
      <w:tr w:rsidR="00526AC5" w:rsidRPr="00526AC5" w:rsidTr="00526AC5">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rPr>
                <w:rFonts w:ascii="Arial" w:hAnsi="Arial" w:cs="Arial"/>
                <w:color w:val="000000"/>
                <w:sz w:val="18"/>
                <w:szCs w:val="18"/>
              </w:rPr>
            </w:pPr>
          </w:p>
        </w:tc>
        <w:tc>
          <w:tcPr>
            <w:tcW w:w="2422" w:type="dxa"/>
            <w:tcBorders>
              <w:top w:val="nil"/>
              <w:left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Acc. Level 5 dummy</w:t>
            </w:r>
          </w:p>
        </w:tc>
        <w:tc>
          <w:tcPr>
            <w:tcW w:w="1320" w:type="dxa"/>
            <w:tcBorders>
              <w:top w:val="nil"/>
              <w:left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-,007</w:t>
            </w:r>
          </w:p>
        </w:tc>
        <w:tc>
          <w:tcPr>
            <w:tcW w:w="1319"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,050</w:t>
            </w:r>
          </w:p>
        </w:tc>
        <w:tc>
          <w:tcPr>
            <w:tcW w:w="1452"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-,016</w:t>
            </w:r>
          </w:p>
        </w:tc>
        <w:tc>
          <w:tcPr>
            <w:tcW w:w="1008"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-,148</w:t>
            </w:r>
          </w:p>
        </w:tc>
        <w:tc>
          <w:tcPr>
            <w:tcW w:w="1008" w:type="dxa"/>
            <w:tcBorders>
              <w:top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,882</w:t>
            </w:r>
          </w:p>
        </w:tc>
      </w:tr>
      <w:tr w:rsidR="00526AC5" w:rsidRPr="00526AC5" w:rsidTr="00526AC5">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rPr>
                <w:rFonts w:ascii="Arial" w:hAnsi="Arial" w:cs="Arial"/>
                <w:color w:val="000000"/>
                <w:sz w:val="18"/>
                <w:szCs w:val="18"/>
              </w:rPr>
            </w:pPr>
          </w:p>
        </w:tc>
        <w:tc>
          <w:tcPr>
            <w:tcW w:w="2422" w:type="dxa"/>
            <w:tcBorders>
              <w:top w:val="nil"/>
              <w:left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Acc. Level 0 dummy</w:t>
            </w:r>
          </w:p>
        </w:tc>
        <w:tc>
          <w:tcPr>
            <w:tcW w:w="1320" w:type="dxa"/>
            <w:tcBorders>
              <w:top w:val="nil"/>
              <w:left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,064</w:t>
            </w:r>
          </w:p>
        </w:tc>
        <w:tc>
          <w:tcPr>
            <w:tcW w:w="1319"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,057</w:t>
            </w:r>
          </w:p>
        </w:tc>
        <w:tc>
          <w:tcPr>
            <w:tcW w:w="1452"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,117</w:t>
            </w:r>
          </w:p>
        </w:tc>
        <w:tc>
          <w:tcPr>
            <w:tcW w:w="1008"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1,134</w:t>
            </w:r>
          </w:p>
        </w:tc>
        <w:tc>
          <w:tcPr>
            <w:tcW w:w="1008" w:type="dxa"/>
            <w:tcBorders>
              <w:top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,258</w:t>
            </w:r>
          </w:p>
        </w:tc>
      </w:tr>
      <w:tr w:rsidR="00526AC5" w:rsidRPr="00526AC5" w:rsidTr="00526AC5">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rPr>
                <w:rFonts w:ascii="Arial" w:hAnsi="Arial" w:cs="Arial"/>
                <w:color w:val="000000"/>
                <w:sz w:val="18"/>
                <w:szCs w:val="18"/>
              </w:rPr>
            </w:pPr>
          </w:p>
        </w:tc>
        <w:tc>
          <w:tcPr>
            <w:tcW w:w="2422" w:type="dxa"/>
            <w:tcBorders>
              <w:top w:val="nil"/>
              <w:left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International</w:t>
            </w:r>
          </w:p>
        </w:tc>
        <w:tc>
          <w:tcPr>
            <w:tcW w:w="1320" w:type="dxa"/>
            <w:tcBorders>
              <w:top w:val="nil"/>
              <w:left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,004</w:t>
            </w:r>
          </w:p>
        </w:tc>
        <w:tc>
          <w:tcPr>
            <w:tcW w:w="1319"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,018</w:t>
            </w:r>
          </w:p>
        </w:tc>
        <w:tc>
          <w:tcPr>
            <w:tcW w:w="1452"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,018</w:t>
            </w:r>
          </w:p>
        </w:tc>
        <w:tc>
          <w:tcPr>
            <w:tcW w:w="1008"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,228</w:t>
            </w:r>
          </w:p>
        </w:tc>
        <w:tc>
          <w:tcPr>
            <w:tcW w:w="1008" w:type="dxa"/>
            <w:tcBorders>
              <w:top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,820</w:t>
            </w:r>
          </w:p>
        </w:tc>
      </w:tr>
      <w:tr w:rsidR="00526AC5" w:rsidRPr="00526AC5" w:rsidTr="00526AC5">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rPr>
                <w:rFonts w:ascii="Arial" w:hAnsi="Arial" w:cs="Arial"/>
                <w:color w:val="000000"/>
                <w:sz w:val="18"/>
                <w:szCs w:val="18"/>
              </w:rPr>
            </w:pPr>
          </w:p>
        </w:tc>
        <w:tc>
          <w:tcPr>
            <w:tcW w:w="2422" w:type="dxa"/>
            <w:tcBorders>
              <w:top w:val="nil"/>
              <w:left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Dummy_health</w:t>
            </w:r>
          </w:p>
        </w:tc>
        <w:tc>
          <w:tcPr>
            <w:tcW w:w="1320" w:type="dxa"/>
            <w:tcBorders>
              <w:top w:val="nil"/>
              <w:left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-,025</w:t>
            </w:r>
          </w:p>
        </w:tc>
        <w:tc>
          <w:tcPr>
            <w:tcW w:w="1319"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,018</w:t>
            </w:r>
          </w:p>
        </w:tc>
        <w:tc>
          <w:tcPr>
            <w:tcW w:w="1452"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-,085</w:t>
            </w:r>
          </w:p>
        </w:tc>
        <w:tc>
          <w:tcPr>
            <w:tcW w:w="1008"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-1,410</w:t>
            </w:r>
          </w:p>
        </w:tc>
        <w:tc>
          <w:tcPr>
            <w:tcW w:w="1008" w:type="dxa"/>
            <w:tcBorders>
              <w:top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,159</w:t>
            </w:r>
          </w:p>
        </w:tc>
      </w:tr>
      <w:tr w:rsidR="00526AC5" w:rsidRPr="00526AC5" w:rsidTr="00526AC5">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rPr>
                <w:rFonts w:ascii="Arial" w:hAnsi="Arial" w:cs="Arial"/>
                <w:color w:val="000000"/>
                <w:sz w:val="18"/>
                <w:szCs w:val="18"/>
              </w:rPr>
            </w:pPr>
          </w:p>
        </w:tc>
        <w:tc>
          <w:tcPr>
            <w:tcW w:w="2422" w:type="dxa"/>
            <w:tcBorders>
              <w:top w:val="nil"/>
              <w:left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Dummy_international_aid</w:t>
            </w:r>
          </w:p>
        </w:tc>
        <w:tc>
          <w:tcPr>
            <w:tcW w:w="1320" w:type="dxa"/>
            <w:tcBorders>
              <w:top w:val="nil"/>
              <w:left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,013</w:t>
            </w:r>
          </w:p>
        </w:tc>
        <w:tc>
          <w:tcPr>
            <w:tcW w:w="1319"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,020</w:t>
            </w:r>
          </w:p>
        </w:tc>
        <w:tc>
          <w:tcPr>
            <w:tcW w:w="1452"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,050</w:t>
            </w:r>
          </w:p>
        </w:tc>
        <w:tc>
          <w:tcPr>
            <w:tcW w:w="1008"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,656</w:t>
            </w:r>
          </w:p>
        </w:tc>
        <w:tc>
          <w:tcPr>
            <w:tcW w:w="1008" w:type="dxa"/>
            <w:tcBorders>
              <w:top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,512</w:t>
            </w:r>
          </w:p>
        </w:tc>
      </w:tr>
      <w:tr w:rsidR="00526AC5" w:rsidRPr="00526AC5" w:rsidTr="00526AC5">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rPr>
                <w:rFonts w:ascii="Arial" w:hAnsi="Arial" w:cs="Arial"/>
                <w:color w:val="000000"/>
                <w:sz w:val="18"/>
                <w:szCs w:val="18"/>
              </w:rPr>
            </w:pPr>
          </w:p>
        </w:tc>
        <w:tc>
          <w:tcPr>
            <w:tcW w:w="2422" w:type="dxa"/>
            <w:tcBorders>
              <w:top w:val="nil"/>
              <w:left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Dummy_nature</w:t>
            </w:r>
          </w:p>
        </w:tc>
        <w:tc>
          <w:tcPr>
            <w:tcW w:w="1320" w:type="dxa"/>
            <w:tcBorders>
              <w:top w:val="nil"/>
              <w:left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,048</w:t>
            </w:r>
          </w:p>
        </w:tc>
        <w:tc>
          <w:tcPr>
            <w:tcW w:w="1319"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,018</w:t>
            </w:r>
          </w:p>
        </w:tc>
        <w:tc>
          <w:tcPr>
            <w:tcW w:w="1452"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,163</w:t>
            </w:r>
          </w:p>
        </w:tc>
        <w:tc>
          <w:tcPr>
            <w:tcW w:w="1008"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2,586</w:t>
            </w:r>
          </w:p>
        </w:tc>
        <w:tc>
          <w:tcPr>
            <w:tcW w:w="1008" w:type="dxa"/>
            <w:tcBorders>
              <w:top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,010</w:t>
            </w:r>
          </w:p>
        </w:tc>
      </w:tr>
      <w:tr w:rsidR="00526AC5" w:rsidRPr="00526AC5" w:rsidTr="00526AC5">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rPr>
                <w:rFonts w:ascii="Arial" w:hAnsi="Arial" w:cs="Arial"/>
                <w:color w:val="000000"/>
                <w:sz w:val="18"/>
                <w:szCs w:val="18"/>
              </w:rPr>
            </w:pPr>
          </w:p>
        </w:tc>
        <w:tc>
          <w:tcPr>
            <w:tcW w:w="2422" w:type="dxa"/>
            <w:tcBorders>
              <w:top w:val="nil"/>
              <w:left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size class 4</w:t>
            </w:r>
          </w:p>
        </w:tc>
        <w:tc>
          <w:tcPr>
            <w:tcW w:w="1320" w:type="dxa"/>
            <w:tcBorders>
              <w:top w:val="nil"/>
              <w:left w:val="single" w:sz="16" w:space="0" w:color="000000"/>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,025</w:t>
            </w:r>
          </w:p>
        </w:tc>
        <w:tc>
          <w:tcPr>
            <w:tcW w:w="1319"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,015</w:t>
            </w:r>
          </w:p>
        </w:tc>
        <w:tc>
          <w:tcPr>
            <w:tcW w:w="1452"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,096</w:t>
            </w:r>
          </w:p>
        </w:tc>
        <w:tc>
          <w:tcPr>
            <w:tcW w:w="1008" w:type="dxa"/>
            <w:tcBorders>
              <w:top w:val="nil"/>
              <w:bottom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1,710</w:t>
            </w:r>
          </w:p>
        </w:tc>
        <w:tc>
          <w:tcPr>
            <w:tcW w:w="1008" w:type="dxa"/>
            <w:tcBorders>
              <w:top w:val="nil"/>
              <w:bottom w:val="nil"/>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,088</w:t>
            </w:r>
          </w:p>
        </w:tc>
      </w:tr>
      <w:tr w:rsidR="00526AC5" w:rsidRPr="00526AC5" w:rsidTr="00526AC5">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rPr>
                <w:rFonts w:ascii="Arial" w:hAnsi="Arial" w:cs="Arial"/>
                <w:color w:val="000000"/>
                <w:sz w:val="18"/>
                <w:szCs w:val="18"/>
              </w:rPr>
            </w:pPr>
          </w:p>
        </w:tc>
        <w:tc>
          <w:tcPr>
            <w:tcW w:w="242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rPr>
            </w:pPr>
            <w:r w:rsidRPr="00526AC5">
              <w:rPr>
                <w:rFonts w:ascii="Arial" w:hAnsi="Arial" w:cs="Arial"/>
                <w:color w:val="000000"/>
                <w:sz w:val="18"/>
                <w:szCs w:val="18"/>
              </w:rPr>
              <w:t>size class 5</w:t>
            </w:r>
          </w:p>
        </w:tc>
        <w:tc>
          <w:tcPr>
            <w:tcW w:w="132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,051</w:t>
            </w:r>
          </w:p>
        </w:tc>
        <w:tc>
          <w:tcPr>
            <w:tcW w:w="1319" w:type="dxa"/>
            <w:tcBorders>
              <w:top w:val="nil"/>
              <w:bottom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,020</w:t>
            </w:r>
          </w:p>
        </w:tc>
        <w:tc>
          <w:tcPr>
            <w:tcW w:w="1452" w:type="dxa"/>
            <w:tcBorders>
              <w:top w:val="nil"/>
              <w:bottom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,154</w:t>
            </w:r>
          </w:p>
        </w:tc>
        <w:tc>
          <w:tcPr>
            <w:tcW w:w="1008" w:type="dxa"/>
            <w:tcBorders>
              <w:top w:val="nil"/>
              <w:bottom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2,612</w:t>
            </w:r>
          </w:p>
        </w:tc>
        <w:tc>
          <w:tcPr>
            <w:tcW w:w="10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jc w:val="right"/>
              <w:rPr>
                <w:rFonts w:ascii="Arial" w:hAnsi="Arial" w:cs="Arial"/>
                <w:color w:val="000000"/>
                <w:sz w:val="18"/>
                <w:szCs w:val="18"/>
              </w:rPr>
            </w:pPr>
            <w:r w:rsidRPr="00526AC5">
              <w:rPr>
                <w:rFonts w:ascii="Arial" w:hAnsi="Arial" w:cs="Arial"/>
                <w:color w:val="000000"/>
                <w:sz w:val="18"/>
                <w:szCs w:val="18"/>
              </w:rPr>
              <w:t>,009</w:t>
            </w:r>
          </w:p>
        </w:tc>
      </w:tr>
      <w:tr w:rsidR="00526AC5" w:rsidRPr="002C07A4" w:rsidTr="00526AC5">
        <w:trPr>
          <w:cantSplit/>
        </w:trPr>
        <w:tc>
          <w:tcPr>
            <w:tcW w:w="9255" w:type="dxa"/>
            <w:gridSpan w:val="7"/>
            <w:tcBorders>
              <w:top w:val="nil"/>
              <w:left w:val="nil"/>
              <w:bottom w:val="nil"/>
              <w:right w:val="nil"/>
            </w:tcBorders>
            <w:shd w:val="clear" w:color="auto" w:fill="FFFFFF"/>
            <w:tcMar>
              <w:top w:w="30" w:type="dxa"/>
              <w:left w:w="30" w:type="dxa"/>
              <w:bottom w:w="30" w:type="dxa"/>
              <w:right w:w="30" w:type="dxa"/>
            </w:tcMar>
          </w:tcPr>
          <w:p w:rsidR="00526AC5" w:rsidRPr="00526AC5" w:rsidRDefault="00526AC5" w:rsidP="00526AC5">
            <w:pPr>
              <w:autoSpaceDE w:val="0"/>
              <w:autoSpaceDN w:val="0"/>
              <w:adjustRightInd w:val="0"/>
              <w:spacing w:line="320" w:lineRule="atLeast"/>
              <w:rPr>
                <w:rFonts w:ascii="Arial" w:hAnsi="Arial" w:cs="Arial"/>
                <w:color w:val="000000"/>
                <w:sz w:val="18"/>
                <w:szCs w:val="18"/>
                <w:lang w:val="en-US"/>
              </w:rPr>
            </w:pPr>
            <w:r w:rsidRPr="00526AC5">
              <w:rPr>
                <w:rFonts w:ascii="Arial" w:hAnsi="Arial" w:cs="Arial"/>
                <w:color w:val="000000"/>
                <w:sz w:val="18"/>
                <w:szCs w:val="18"/>
                <w:lang w:val="en-US"/>
              </w:rPr>
              <w:t>a. Dependent Variable: Performance: program expenses / total costs</w:t>
            </w:r>
          </w:p>
        </w:tc>
      </w:tr>
    </w:tbl>
    <w:p w:rsidR="00526AC5" w:rsidRDefault="00526AC5" w:rsidP="00526AC5">
      <w:pPr>
        <w:spacing w:line="360" w:lineRule="auto"/>
        <w:jc w:val="both"/>
        <w:rPr>
          <w:lang w:val="en-US"/>
        </w:rPr>
      </w:pPr>
    </w:p>
    <w:p w:rsidR="00CD46A6" w:rsidRDefault="00CD46A6">
      <w:pPr>
        <w:rPr>
          <w:lang w:val="en-US"/>
        </w:rPr>
      </w:pPr>
      <w:r>
        <w:rPr>
          <w:lang w:val="en-US"/>
        </w:rPr>
        <w:br w:type="page"/>
      </w:r>
    </w:p>
    <w:p w:rsidR="00CD46A6" w:rsidRDefault="00CD46A6" w:rsidP="00CD46A6">
      <w:pPr>
        <w:spacing w:line="360" w:lineRule="auto"/>
        <w:jc w:val="both"/>
        <w:rPr>
          <w:rFonts w:ascii="ScalaSans-Caps" w:hAnsi="ScalaSans-Caps"/>
          <w:lang w:val="en-US"/>
        </w:rPr>
      </w:pPr>
      <w:r w:rsidRPr="002C2879">
        <w:rPr>
          <w:rFonts w:ascii="ScalaSans-Caps" w:hAnsi="ScalaSans-Caps"/>
          <w:lang w:val="en-US"/>
        </w:rPr>
        <w:t>Appendix 6</w:t>
      </w:r>
      <w:r>
        <w:rPr>
          <w:rFonts w:ascii="ScalaSans-Caps" w:hAnsi="ScalaSans-Caps"/>
          <w:lang w:val="en-US"/>
        </w:rPr>
        <w:t>F</w:t>
      </w:r>
    </w:p>
    <w:p w:rsidR="00CD46A6" w:rsidRDefault="00CD46A6" w:rsidP="00526AC5">
      <w:pPr>
        <w:spacing w:line="360" w:lineRule="auto"/>
        <w:jc w:val="both"/>
        <w:rPr>
          <w:lang w:val="en-US"/>
        </w:rPr>
      </w:pPr>
    </w:p>
    <w:tbl>
      <w:tblPr>
        <w:tblW w:w="572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010"/>
        <w:gridCol w:w="1077"/>
        <w:gridCol w:w="1456"/>
        <w:gridCol w:w="1456"/>
      </w:tblGrid>
      <w:tr w:rsidR="00CD46A6" w:rsidRPr="00CD46A6" w:rsidTr="00CD46A6">
        <w:trPr>
          <w:cantSplit/>
          <w:tblHeader/>
        </w:trPr>
        <w:tc>
          <w:tcPr>
            <w:tcW w:w="5726" w:type="dxa"/>
            <w:gridSpan w:val="5"/>
            <w:tcBorders>
              <w:top w:val="nil"/>
              <w:left w:val="nil"/>
              <w:bottom w:val="nil"/>
              <w:right w:val="nil"/>
            </w:tcBorders>
            <w:shd w:val="clear" w:color="auto" w:fill="FFFFFF"/>
            <w:tcMar>
              <w:top w:w="30" w:type="dxa"/>
              <w:left w:w="30" w:type="dxa"/>
              <w:bottom w:w="30" w:type="dxa"/>
              <w:right w:w="30" w:type="dxa"/>
            </w:tcMar>
            <w:vAlign w:val="center"/>
          </w:tcPr>
          <w:p w:rsidR="00CD46A6" w:rsidRPr="00CD46A6" w:rsidRDefault="00CD46A6" w:rsidP="00CD46A6">
            <w:pPr>
              <w:autoSpaceDE w:val="0"/>
              <w:autoSpaceDN w:val="0"/>
              <w:adjustRightInd w:val="0"/>
              <w:spacing w:line="320" w:lineRule="atLeast"/>
              <w:jc w:val="center"/>
              <w:rPr>
                <w:rFonts w:ascii="Arial" w:hAnsi="Arial" w:cs="Arial"/>
                <w:color w:val="000000"/>
                <w:sz w:val="18"/>
                <w:szCs w:val="18"/>
              </w:rPr>
            </w:pPr>
            <w:r w:rsidRPr="00CD46A6">
              <w:rPr>
                <w:rFonts w:ascii="Arial" w:hAnsi="Arial" w:cs="Arial"/>
                <w:b/>
                <w:bCs/>
                <w:color w:val="000000"/>
                <w:sz w:val="18"/>
                <w:szCs w:val="18"/>
              </w:rPr>
              <w:t>Model Summary</w:t>
            </w:r>
          </w:p>
        </w:tc>
      </w:tr>
      <w:tr w:rsidR="00CD46A6" w:rsidRPr="002C07A4" w:rsidTr="00CD46A6">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Model</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spacing w:line="320" w:lineRule="atLeast"/>
              <w:jc w:val="center"/>
              <w:rPr>
                <w:rFonts w:ascii="Arial" w:hAnsi="Arial" w:cs="Arial"/>
                <w:color w:val="000000"/>
                <w:sz w:val="18"/>
                <w:szCs w:val="18"/>
              </w:rPr>
            </w:pPr>
            <w:r w:rsidRPr="00CD46A6">
              <w:rPr>
                <w:rFonts w:ascii="Arial" w:hAnsi="Arial" w:cs="Arial"/>
                <w:color w:val="000000"/>
                <w:sz w:val="18"/>
                <w:szCs w:val="18"/>
              </w:rPr>
              <w:t>R</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spacing w:line="320" w:lineRule="atLeast"/>
              <w:jc w:val="center"/>
              <w:rPr>
                <w:rFonts w:ascii="Arial" w:hAnsi="Arial" w:cs="Arial"/>
                <w:color w:val="000000"/>
                <w:sz w:val="18"/>
                <w:szCs w:val="18"/>
              </w:rPr>
            </w:pPr>
            <w:r w:rsidRPr="00CD46A6">
              <w:rPr>
                <w:rFonts w:ascii="Arial" w:hAnsi="Arial" w:cs="Arial"/>
                <w:color w:val="000000"/>
                <w:sz w:val="18"/>
                <w:szCs w:val="18"/>
              </w:rPr>
              <w:t>R Square</w:t>
            </w:r>
          </w:p>
        </w:tc>
        <w:tc>
          <w:tcPr>
            <w:tcW w:w="145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spacing w:line="320" w:lineRule="atLeast"/>
              <w:jc w:val="center"/>
              <w:rPr>
                <w:rFonts w:ascii="Arial" w:hAnsi="Arial" w:cs="Arial"/>
                <w:color w:val="000000"/>
                <w:sz w:val="18"/>
                <w:szCs w:val="18"/>
              </w:rPr>
            </w:pPr>
            <w:r w:rsidRPr="00CD46A6">
              <w:rPr>
                <w:rFonts w:ascii="Arial" w:hAnsi="Arial" w:cs="Arial"/>
                <w:color w:val="000000"/>
                <w:sz w:val="18"/>
                <w:szCs w:val="18"/>
              </w:rPr>
              <w:t>Adjusted R Square</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spacing w:line="320" w:lineRule="atLeast"/>
              <w:jc w:val="center"/>
              <w:rPr>
                <w:rFonts w:ascii="Arial" w:hAnsi="Arial" w:cs="Arial"/>
                <w:color w:val="000000"/>
                <w:sz w:val="18"/>
                <w:szCs w:val="18"/>
                <w:lang w:val="en-US"/>
              </w:rPr>
            </w:pPr>
            <w:r w:rsidRPr="00CD46A6">
              <w:rPr>
                <w:rFonts w:ascii="Arial" w:hAnsi="Arial" w:cs="Arial"/>
                <w:color w:val="000000"/>
                <w:sz w:val="18"/>
                <w:szCs w:val="18"/>
                <w:lang w:val="en-US"/>
              </w:rPr>
              <w:t>Std. Error of the Estimate</w:t>
            </w:r>
          </w:p>
        </w:tc>
      </w:tr>
      <w:tr w:rsidR="00CD46A6" w:rsidRPr="00CD46A6" w:rsidTr="00CD46A6">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1</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,169</w:t>
            </w:r>
            <w:r w:rsidRPr="00CD46A6">
              <w:rPr>
                <w:rFonts w:ascii="Arial" w:hAnsi="Arial" w:cs="Arial"/>
                <w:color w:val="000000"/>
                <w:sz w:val="18"/>
                <w:szCs w:val="18"/>
                <w:vertAlign w:val="superscript"/>
              </w:rPr>
              <w:t>a</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,029</w:t>
            </w:r>
          </w:p>
        </w:tc>
        <w:tc>
          <w:tcPr>
            <w:tcW w:w="1456" w:type="dxa"/>
            <w:tcBorders>
              <w:top w:val="single" w:sz="16" w:space="0" w:color="000000"/>
              <w:bottom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,012</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,6475687</w:t>
            </w:r>
          </w:p>
        </w:tc>
      </w:tr>
      <w:tr w:rsidR="00CD46A6" w:rsidRPr="00CD46A6" w:rsidTr="00CD46A6">
        <w:trPr>
          <w:cantSplit/>
        </w:trPr>
        <w:tc>
          <w:tcPr>
            <w:tcW w:w="5726" w:type="dxa"/>
            <w:gridSpan w:val="5"/>
            <w:tcBorders>
              <w:top w:val="nil"/>
              <w:left w:val="nil"/>
              <w:bottom w:val="nil"/>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lang w:val="en-US"/>
              </w:rPr>
              <w:t xml:space="preserve">a. Predictors: (Constant), size class 5, Acc. Level 0 dummy, Dummy_welfare, size class 4, legal form, size class 2, Dummy_nature, Dummy_health, CBF brand, VFI membership, size class 3, International, Acc. </w:t>
            </w:r>
            <w:r w:rsidRPr="00CD46A6">
              <w:rPr>
                <w:rFonts w:ascii="Arial" w:hAnsi="Arial" w:cs="Arial"/>
                <w:color w:val="000000"/>
                <w:sz w:val="18"/>
                <w:szCs w:val="18"/>
              </w:rPr>
              <w:t>Level 5 dummy</w:t>
            </w:r>
          </w:p>
        </w:tc>
      </w:tr>
    </w:tbl>
    <w:p w:rsidR="00CD46A6" w:rsidRPr="00CD46A6" w:rsidRDefault="00CD46A6" w:rsidP="00CD46A6">
      <w:pPr>
        <w:autoSpaceDE w:val="0"/>
        <w:autoSpaceDN w:val="0"/>
        <w:adjustRightInd w:val="0"/>
        <w:spacing w:line="360" w:lineRule="auto"/>
        <w:rPr>
          <w:rFonts w:cs="Times New Roman"/>
        </w:rPr>
      </w:pPr>
    </w:p>
    <w:tbl>
      <w:tblPr>
        <w:tblW w:w="877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924"/>
        <w:gridCol w:w="1324"/>
        <w:gridCol w:w="1323"/>
        <w:gridCol w:w="1456"/>
        <w:gridCol w:w="1010"/>
        <w:gridCol w:w="1010"/>
      </w:tblGrid>
      <w:tr w:rsidR="00CD46A6" w:rsidRPr="00CD46A6" w:rsidTr="00CD46A6">
        <w:trPr>
          <w:cantSplit/>
          <w:tblHeader/>
        </w:trPr>
        <w:tc>
          <w:tcPr>
            <w:tcW w:w="8774" w:type="dxa"/>
            <w:gridSpan w:val="7"/>
            <w:tcBorders>
              <w:top w:val="nil"/>
              <w:left w:val="nil"/>
              <w:bottom w:val="nil"/>
              <w:right w:val="nil"/>
            </w:tcBorders>
            <w:shd w:val="clear" w:color="auto" w:fill="FFFFFF"/>
            <w:tcMar>
              <w:top w:w="30" w:type="dxa"/>
              <w:left w:w="30" w:type="dxa"/>
              <w:bottom w:w="30" w:type="dxa"/>
              <w:right w:w="30" w:type="dxa"/>
            </w:tcMar>
            <w:vAlign w:val="center"/>
          </w:tcPr>
          <w:p w:rsidR="00CD46A6" w:rsidRPr="00CD46A6" w:rsidRDefault="00CD46A6" w:rsidP="00CD46A6">
            <w:pPr>
              <w:autoSpaceDE w:val="0"/>
              <w:autoSpaceDN w:val="0"/>
              <w:adjustRightInd w:val="0"/>
              <w:spacing w:line="320" w:lineRule="atLeast"/>
              <w:jc w:val="center"/>
              <w:rPr>
                <w:rFonts w:ascii="Arial" w:hAnsi="Arial" w:cs="Arial"/>
                <w:color w:val="000000"/>
                <w:sz w:val="18"/>
                <w:szCs w:val="18"/>
              </w:rPr>
            </w:pPr>
            <w:r w:rsidRPr="00CD46A6">
              <w:rPr>
                <w:rFonts w:ascii="Arial" w:hAnsi="Arial" w:cs="Arial"/>
                <w:b/>
                <w:bCs/>
                <w:color w:val="000000"/>
                <w:sz w:val="18"/>
                <w:szCs w:val="18"/>
              </w:rPr>
              <w:t>Coefficients</w:t>
            </w:r>
            <w:r w:rsidRPr="00CD46A6">
              <w:rPr>
                <w:rFonts w:ascii="Arial" w:hAnsi="Arial" w:cs="Arial"/>
                <w:b/>
                <w:bCs/>
                <w:color w:val="000000"/>
                <w:sz w:val="18"/>
                <w:szCs w:val="18"/>
                <w:vertAlign w:val="superscript"/>
              </w:rPr>
              <w:t>a</w:t>
            </w:r>
          </w:p>
        </w:tc>
      </w:tr>
      <w:tr w:rsidR="00CD46A6" w:rsidRPr="00CD46A6" w:rsidTr="00CD46A6">
        <w:trPr>
          <w:cantSplit/>
          <w:tblHeader/>
        </w:trPr>
        <w:tc>
          <w:tcPr>
            <w:tcW w:w="265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Model</w:t>
            </w:r>
          </w:p>
        </w:tc>
        <w:tc>
          <w:tcPr>
            <w:tcW w:w="264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spacing w:line="320" w:lineRule="atLeast"/>
              <w:jc w:val="center"/>
              <w:rPr>
                <w:rFonts w:ascii="Arial" w:hAnsi="Arial" w:cs="Arial"/>
                <w:color w:val="000000"/>
                <w:sz w:val="18"/>
                <w:szCs w:val="18"/>
              </w:rPr>
            </w:pPr>
            <w:r w:rsidRPr="00CD46A6">
              <w:rPr>
                <w:rFonts w:ascii="Arial" w:hAnsi="Arial" w:cs="Arial"/>
                <w:color w:val="000000"/>
                <w:sz w:val="18"/>
                <w:szCs w:val="18"/>
              </w:rPr>
              <w:t>Unstandardized Coefficients</w:t>
            </w:r>
          </w:p>
        </w:tc>
        <w:tc>
          <w:tcPr>
            <w:tcW w:w="1456" w:type="dxa"/>
            <w:tcBorders>
              <w:top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spacing w:line="320" w:lineRule="atLeast"/>
              <w:jc w:val="center"/>
              <w:rPr>
                <w:rFonts w:ascii="Arial" w:hAnsi="Arial" w:cs="Arial"/>
                <w:color w:val="000000"/>
                <w:sz w:val="18"/>
                <w:szCs w:val="18"/>
              </w:rPr>
            </w:pPr>
            <w:r w:rsidRPr="00CD46A6">
              <w:rPr>
                <w:rFonts w:ascii="Arial" w:hAnsi="Arial" w:cs="Arial"/>
                <w:color w:val="000000"/>
                <w:sz w:val="18"/>
                <w:szCs w:val="18"/>
              </w:rPr>
              <w:t>Standardized Coefficients</w:t>
            </w:r>
          </w:p>
        </w:tc>
        <w:tc>
          <w:tcPr>
            <w:tcW w:w="101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spacing w:line="320" w:lineRule="atLeast"/>
              <w:jc w:val="center"/>
              <w:rPr>
                <w:rFonts w:ascii="Arial" w:hAnsi="Arial" w:cs="Arial"/>
                <w:color w:val="000000"/>
                <w:sz w:val="18"/>
                <w:szCs w:val="18"/>
              </w:rPr>
            </w:pPr>
            <w:r w:rsidRPr="00CD46A6">
              <w:rPr>
                <w:rFonts w:ascii="Arial" w:hAnsi="Arial" w:cs="Arial"/>
                <w:color w:val="000000"/>
                <w:sz w:val="18"/>
                <w:szCs w:val="18"/>
              </w:rPr>
              <w:t>t</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spacing w:line="320" w:lineRule="atLeast"/>
              <w:jc w:val="center"/>
              <w:rPr>
                <w:rFonts w:ascii="Arial" w:hAnsi="Arial" w:cs="Arial"/>
                <w:color w:val="000000"/>
                <w:sz w:val="18"/>
                <w:szCs w:val="18"/>
              </w:rPr>
            </w:pPr>
            <w:r w:rsidRPr="00CD46A6">
              <w:rPr>
                <w:rFonts w:ascii="Arial" w:hAnsi="Arial" w:cs="Arial"/>
                <w:color w:val="000000"/>
                <w:sz w:val="18"/>
                <w:szCs w:val="18"/>
              </w:rPr>
              <w:t>Sig.</w:t>
            </w:r>
          </w:p>
        </w:tc>
      </w:tr>
      <w:tr w:rsidR="00CD46A6" w:rsidRPr="00CD46A6" w:rsidTr="00CD46A6">
        <w:trPr>
          <w:cantSplit/>
          <w:tblHeader/>
        </w:trPr>
        <w:tc>
          <w:tcPr>
            <w:tcW w:w="2651"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rPr>
                <w:rFonts w:ascii="Arial" w:hAnsi="Arial" w:cs="Arial"/>
                <w:color w:val="000000"/>
                <w:sz w:val="18"/>
                <w:szCs w:val="18"/>
              </w:rPr>
            </w:pPr>
          </w:p>
        </w:tc>
        <w:tc>
          <w:tcPr>
            <w:tcW w:w="132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spacing w:line="320" w:lineRule="atLeast"/>
              <w:jc w:val="center"/>
              <w:rPr>
                <w:rFonts w:ascii="Arial" w:hAnsi="Arial" w:cs="Arial"/>
                <w:color w:val="000000"/>
                <w:sz w:val="18"/>
                <w:szCs w:val="18"/>
              </w:rPr>
            </w:pPr>
            <w:r w:rsidRPr="00CD46A6">
              <w:rPr>
                <w:rFonts w:ascii="Arial" w:hAnsi="Arial" w:cs="Arial"/>
                <w:color w:val="000000"/>
                <w:sz w:val="18"/>
                <w:szCs w:val="18"/>
              </w:rPr>
              <w:t>B</w:t>
            </w:r>
          </w:p>
        </w:tc>
        <w:tc>
          <w:tcPr>
            <w:tcW w:w="1323" w:type="dxa"/>
            <w:tcBorders>
              <w:bottom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spacing w:line="320" w:lineRule="atLeast"/>
              <w:jc w:val="center"/>
              <w:rPr>
                <w:rFonts w:ascii="Arial" w:hAnsi="Arial" w:cs="Arial"/>
                <w:color w:val="000000"/>
                <w:sz w:val="18"/>
                <w:szCs w:val="18"/>
              </w:rPr>
            </w:pPr>
            <w:r w:rsidRPr="00CD46A6">
              <w:rPr>
                <w:rFonts w:ascii="Arial" w:hAnsi="Arial" w:cs="Arial"/>
                <w:color w:val="000000"/>
                <w:sz w:val="18"/>
                <w:szCs w:val="18"/>
              </w:rPr>
              <w:t>Std. Error</w:t>
            </w:r>
          </w:p>
        </w:tc>
        <w:tc>
          <w:tcPr>
            <w:tcW w:w="1456" w:type="dxa"/>
            <w:tcBorders>
              <w:bottom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spacing w:line="320" w:lineRule="atLeast"/>
              <w:jc w:val="center"/>
              <w:rPr>
                <w:rFonts w:ascii="Arial" w:hAnsi="Arial" w:cs="Arial"/>
                <w:color w:val="000000"/>
                <w:sz w:val="18"/>
                <w:szCs w:val="18"/>
              </w:rPr>
            </w:pPr>
            <w:r w:rsidRPr="00CD46A6">
              <w:rPr>
                <w:rFonts w:ascii="Arial" w:hAnsi="Arial" w:cs="Arial"/>
                <w:color w:val="000000"/>
                <w:sz w:val="18"/>
                <w:szCs w:val="18"/>
              </w:rPr>
              <w:t>Beta</w:t>
            </w:r>
          </w:p>
        </w:tc>
        <w:tc>
          <w:tcPr>
            <w:tcW w:w="10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rPr>
                <w:rFonts w:ascii="Arial" w:hAnsi="Arial" w:cs="Arial"/>
                <w:color w:val="000000"/>
                <w:sz w:val="18"/>
                <w:szCs w:val="18"/>
              </w:rPr>
            </w:pP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46A6" w:rsidRPr="00CD46A6" w:rsidRDefault="00CD46A6" w:rsidP="00CD46A6">
            <w:pPr>
              <w:autoSpaceDE w:val="0"/>
              <w:autoSpaceDN w:val="0"/>
              <w:adjustRightInd w:val="0"/>
              <w:rPr>
                <w:rFonts w:ascii="Arial" w:hAnsi="Arial" w:cs="Arial"/>
                <w:color w:val="000000"/>
                <w:sz w:val="18"/>
                <w:szCs w:val="18"/>
              </w:rPr>
            </w:pPr>
          </w:p>
        </w:tc>
      </w:tr>
      <w:tr w:rsidR="00CD46A6" w:rsidRPr="00CD46A6" w:rsidTr="00CD46A6">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1</w:t>
            </w:r>
          </w:p>
        </w:tc>
        <w:tc>
          <w:tcPr>
            <w:tcW w:w="19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(Constant)</w:t>
            </w:r>
          </w:p>
        </w:tc>
        <w:tc>
          <w:tcPr>
            <w:tcW w:w="132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1,077</w:t>
            </w:r>
          </w:p>
        </w:tc>
        <w:tc>
          <w:tcPr>
            <w:tcW w:w="1323" w:type="dxa"/>
            <w:tcBorders>
              <w:top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,088</w:t>
            </w:r>
          </w:p>
        </w:tc>
        <w:tc>
          <w:tcPr>
            <w:tcW w:w="1456" w:type="dxa"/>
            <w:tcBorders>
              <w:top w:val="single" w:sz="16" w:space="0" w:color="000000"/>
              <w:bottom w:val="nil"/>
            </w:tcBorders>
            <w:shd w:val="clear" w:color="auto" w:fill="FFFFFF"/>
            <w:tcMar>
              <w:top w:w="30" w:type="dxa"/>
              <w:left w:w="30" w:type="dxa"/>
              <w:bottom w:w="30" w:type="dxa"/>
              <w:right w:w="30" w:type="dxa"/>
            </w:tcMar>
            <w:vAlign w:val="center"/>
          </w:tcPr>
          <w:p w:rsidR="00CD46A6" w:rsidRPr="00CD46A6" w:rsidRDefault="00CD46A6" w:rsidP="00CD46A6">
            <w:pPr>
              <w:autoSpaceDE w:val="0"/>
              <w:autoSpaceDN w:val="0"/>
              <w:adjustRightInd w:val="0"/>
              <w:jc w:val="center"/>
              <w:rPr>
                <w:rFonts w:ascii="Times New Roman" w:hAnsi="Times New Roman" w:cs="Times New Roman"/>
                <w:sz w:val="24"/>
                <w:szCs w:val="24"/>
              </w:rPr>
            </w:pPr>
          </w:p>
        </w:tc>
        <w:tc>
          <w:tcPr>
            <w:tcW w:w="1010" w:type="dxa"/>
            <w:tcBorders>
              <w:top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12,216</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,000</w:t>
            </w:r>
          </w:p>
        </w:tc>
      </w:tr>
      <w:tr w:rsidR="00CD46A6" w:rsidRPr="00CD46A6" w:rsidTr="00CD46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rPr>
                <w:rFonts w:ascii="Arial" w:hAnsi="Arial" w:cs="Arial"/>
                <w:color w:val="000000"/>
                <w:sz w:val="18"/>
                <w:szCs w:val="18"/>
              </w:rPr>
            </w:pPr>
          </w:p>
        </w:tc>
        <w:tc>
          <w:tcPr>
            <w:tcW w:w="1924" w:type="dxa"/>
            <w:tcBorders>
              <w:top w:val="nil"/>
              <w:left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CBF brand</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,040</w:t>
            </w:r>
          </w:p>
        </w:tc>
        <w:tc>
          <w:tcPr>
            <w:tcW w:w="1323"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,069</w:t>
            </w:r>
          </w:p>
        </w:tc>
        <w:tc>
          <w:tcPr>
            <w:tcW w:w="1456"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,030</w:t>
            </w:r>
          </w:p>
        </w:tc>
        <w:tc>
          <w:tcPr>
            <w:tcW w:w="1010"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,574</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,566</w:t>
            </w:r>
          </w:p>
        </w:tc>
      </w:tr>
      <w:tr w:rsidR="00CD46A6" w:rsidRPr="00CD46A6" w:rsidTr="00CD46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rPr>
                <w:rFonts w:ascii="Arial" w:hAnsi="Arial" w:cs="Arial"/>
                <w:color w:val="000000"/>
                <w:sz w:val="18"/>
                <w:szCs w:val="18"/>
              </w:rPr>
            </w:pPr>
          </w:p>
        </w:tc>
        <w:tc>
          <w:tcPr>
            <w:tcW w:w="1924" w:type="dxa"/>
            <w:tcBorders>
              <w:top w:val="nil"/>
              <w:left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VFI membership</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-,062</w:t>
            </w:r>
          </w:p>
        </w:tc>
        <w:tc>
          <w:tcPr>
            <w:tcW w:w="1323"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,082</w:t>
            </w:r>
          </w:p>
        </w:tc>
        <w:tc>
          <w:tcPr>
            <w:tcW w:w="1456"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-,034</w:t>
            </w:r>
          </w:p>
        </w:tc>
        <w:tc>
          <w:tcPr>
            <w:tcW w:w="1010"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-,750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,454</w:t>
            </w:r>
          </w:p>
        </w:tc>
      </w:tr>
      <w:tr w:rsidR="00CD46A6" w:rsidRPr="00CD46A6" w:rsidTr="00CD46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rPr>
                <w:rFonts w:ascii="Arial" w:hAnsi="Arial" w:cs="Arial"/>
                <w:color w:val="000000"/>
                <w:sz w:val="18"/>
                <w:szCs w:val="18"/>
              </w:rPr>
            </w:pPr>
          </w:p>
        </w:tc>
        <w:tc>
          <w:tcPr>
            <w:tcW w:w="1924" w:type="dxa"/>
            <w:tcBorders>
              <w:top w:val="nil"/>
              <w:left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legal form</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-,063</w:t>
            </w:r>
          </w:p>
        </w:tc>
        <w:tc>
          <w:tcPr>
            <w:tcW w:w="1323"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,089</w:t>
            </w:r>
          </w:p>
        </w:tc>
        <w:tc>
          <w:tcPr>
            <w:tcW w:w="1456"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-,027</w:t>
            </w:r>
          </w:p>
        </w:tc>
        <w:tc>
          <w:tcPr>
            <w:tcW w:w="1010"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-,706</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,480</w:t>
            </w:r>
          </w:p>
        </w:tc>
      </w:tr>
      <w:tr w:rsidR="00CD46A6" w:rsidRPr="00CD46A6" w:rsidTr="00CD46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rPr>
                <w:rFonts w:ascii="Arial" w:hAnsi="Arial" w:cs="Arial"/>
                <w:color w:val="000000"/>
                <w:sz w:val="18"/>
                <w:szCs w:val="18"/>
              </w:rPr>
            </w:pPr>
          </w:p>
        </w:tc>
        <w:tc>
          <w:tcPr>
            <w:tcW w:w="1924" w:type="dxa"/>
            <w:tcBorders>
              <w:top w:val="nil"/>
              <w:left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Acc. Level 5 dummy</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-,115</w:t>
            </w:r>
          </w:p>
        </w:tc>
        <w:tc>
          <w:tcPr>
            <w:tcW w:w="1323"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,081</w:t>
            </w:r>
          </w:p>
        </w:tc>
        <w:tc>
          <w:tcPr>
            <w:tcW w:w="1456"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-,088</w:t>
            </w:r>
          </w:p>
        </w:tc>
        <w:tc>
          <w:tcPr>
            <w:tcW w:w="1010"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-1,420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,156</w:t>
            </w:r>
          </w:p>
        </w:tc>
      </w:tr>
      <w:tr w:rsidR="00CD46A6" w:rsidRPr="00CD46A6" w:rsidTr="00CD46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rPr>
                <w:rFonts w:ascii="Arial" w:hAnsi="Arial" w:cs="Arial"/>
                <w:color w:val="000000"/>
                <w:sz w:val="18"/>
                <w:szCs w:val="18"/>
              </w:rPr>
            </w:pPr>
          </w:p>
        </w:tc>
        <w:tc>
          <w:tcPr>
            <w:tcW w:w="1924" w:type="dxa"/>
            <w:tcBorders>
              <w:top w:val="nil"/>
              <w:left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Acc. Level 0 dummy</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-,052</w:t>
            </w:r>
          </w:p>
        </w:tc>
        <w:tc>
          <w:tcPr>
            <w:tcW w:w="1323"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,049</w:t>
            </w:r>
          </w:p>
        </w:tc>
        <w:tc>
          <w:tcPr>
            <w:tcW w:w="1456"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-,039</w:t>
            </w:r>
          </w:p>
        </w:tc>
        <w:tc>
          <w:tcPr>
            <w:tcW w:w="1010"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-1,070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,285</w:t>
            </w:r>
          </w:p>
        </w:tc>
      </w:tr>
      <w:tr w:rsidR="00CD46A6" w:rsidRPr="00CD46A6" w:rsidTr="00CD46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rPr>
                <w:rFonts w:ascii="Arial" w:hAnsi="Arial" w:cs="Arial"/>
                <w:color w:val="000000"/>
                <w:sz w:val="18"/>
                <w:szCs w:val="18"/>
              </w:rPr>
            </w:pPr>
          </w:p>
        </w:tc>
        <w:tc>
          <w:tcPr>
            <w:tcW w:w="1924" w:type="dxa"/>
            <w:tcBorders>
              <w:top w:val="nil"/>
              <w:left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International</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-,023</w:t>
            </w:r>
          </w:p>
        </w:tc>
        <w:tc>
          <w:tcPr>
            <w:tcW w:w="1323"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,070</w:t>
            </w:r>
          </w:p>
        </w:tc>
        <w:tc>
          <w:tcPr>
            <w:tcW w:w="1456"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-,018</w:t>
            </w:r>
          </w:p>
        </w:tc>
        <w:tc>
          <w:tcPr>
            <w:tcW w:w="1010"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-,330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,742</w:t>
            </w:r>
          </w:p>
        </w:tc>
      </w:tr>
      <w:tr w:rsidR="00CD46A6" w:rsidRPr="00CD46A6" w:rsidTr="00CD46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rPr>
                <w:rFonts w:ascii="Arial" w:hAnsi="Arial" w:cs="Arial"/>
                <w:color w:val="000000"/>
                <w:sz w:val="18"/>
                <w:szCs w:val="18"/>
              </w:rPr>
            </w:pPr>
          </w:p>
        </w:tc>
        <w:tc>
          <w:tcPr>
            <w:tcW w:w="1924" w:type="dxa"/>
            <w:tcBorders>
              <w:top w:val="nil"/>
              <w:left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Dummy_welfare</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-,036</w:t>
            </w:r>
          </w:p>
        </w:tc>
        <w:tc>
          <w:tcPr>
            <w:tcW w:w="1323"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,073</w:t>
            </w:r>
          </w:p>
        </w:tc>
        <w:tc>
          <w:tcPr>
            <w:tcW w:w="1456"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-,024</w:t>
            </w:r>
          </w:p>
        </w:tc>
        <w:tc>
          <w:tcPr>
            <w:tcW w:w="1010"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-,487</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,626</w:t>
            </w:r>
          </w:p>
        </w:tc>
      </w:tr>
      <w:tr w:rsidR="00CD46A6" w:rsidRPr="00CD46A6" w:rsidTr="00CD46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rPr>
                <w:rFonts w:ascii="Arial" w:hAnsi="Arial" w:cs="Arial"/>
                <w:color w:val="000000"/>
                <w:sz w:val="18"/>
                <w:szCs w:val="18"/>
              </w:rPr>
            </w:pPr>
          </w:p>
        </w:tc>
        <w:tc>
          <w:tcPr>
            <w:tcW w:w="1924" w:type="dxa"/>
            <w:tcBorders>
              <w:top w:val="nil"/>
              <w:left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Dummy_health</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,023</w:t>
            </w:r>
          </w:p>
        </w:tc>
        <w:tc>
          <w:tcPr>
            <w:tcW w:w="1323"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,081</w:t>
            </w:r>
          </w:p>
        </w:tc>
        <w:tc>
          <w:tcPr>
            <w:tcW w:w="1456"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,014</w:t>
            </w:r>
          </w:p>
        </w:tc>
        <w:tc>
          <w:tcPr>
            <w:tcW w:w="1010"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,289</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,773</w:t>
            </w:r>
          </w:p>
        </w:tc>
      </w:tr>
      <w:tr w:rsidR="00CD46A6" w:rsidRPr="00CD46A6" w:rsidTr="00CD46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rPr>
                <w:rFonts w:ascii="Arial" w:hAnsi="Arial" w:cs="Arial"/>
                <w:color w:val="000000"/>
                <w:sz w:val="18"/>
                <w:szCs w:val="18"/>
              </w:rPr>
            </w:pPr>
          </w:p>
        </w:tc>
        <w:tc>
          <w:tcPr>
            <w:tcW w:w="1924" w:type="dxa"/>
            <w:tcBorders>
              <w:top w:val="nil"/>
              <w:left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Dummy_nature</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-,024</w:t>
            </w:r>
          </w:p>
        </w:tc>
        <w:tc>
          <w:tcPr>
            <w:tcW w:w="1323"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,101</w:t>
            </w:r>
          </w:p>
        </w:tc>
        <w:tc>
          <w:tcPr>
            <w:tcW w:w="1456"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-,012</w:t>
            </w:r>
          </w:p>
        </w:tc>
        <w:tc>
          <w:tcPr>
            <w:tcW w:w="1010"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-,234</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,815</w:t>
            </w:r>
          </w:p>
        </w:tc>
      </w:tr>
      <w:tr w:rsidR="00CD46A6" w:rsidRPr="00CD46A6" w:rsidTr="00CD46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rPr>
                <w:rFonts w:ascii="Arial" w:hAnsi="Arial" w:cs="Arial"/>
                <w:color w:val="000000"/>
                <w:sz w:val="18"/>
                <w:szCs w:val="18"/>
              </w:rPr>
            </w:pPr>
          </w:p>
        </w:tc>
        <w:tc>
          <w:tcPr>
            <w:tcW w:w="1924" w:type="dxa"/>
            <w:tcBorders>
              <w:top w:val="nil"/>
              <w:left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size class 2</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-,152</w:t>
            </w:r>
          </w:p>
        </w:tc>
        <w:tc>
          <w:tcPr>
            <w:tcW w:w="1323"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,070</w:t>
            </w:r>
          </w:p>
        </w:tc>
        <w:tc>
          <w:tcPr>
            <w:tcW w:w="1456"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-,097</w:t>
            </w:r>
          </w:p>
        </w:tc>
        <w:tc>
          <w:tcPr>
            <w:tcW w:w="1010"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-2,169</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,030</w:t>
            </w:r>
          </w:p>
        </w:tc>
      </w:tr>
      <w:tr w:rsidR="00CD46A6" w:rsidRPr="00CD46A6" w:rsidTr="00CD46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rPr>
                <w:rFonts w:ascii="Arial" w:hAnsi="Arial" w:cs="Arial"/>
                <w:color w:val="000000"/>
                <w:sz w:val="18"/>
                <w:szCs w:val="18"/>
              </w:rPr>
            </w:pPr>
          </w:p>
        </w:tc>
        <w:tc>
          <w:tcPr>
            <w:tcW w:w="1924" w:type="dxa"/>
            <w:tcBorders>
              <w:top w:val="nil"/>
              <w:left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size class 3</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-,127</w:t>
            </w:r>
          </w:p>
        </w:tc>
        <w:tc>
          <w:tcPr>
            <w:tcW w:w="1323"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,087</w:t>
            </w:r>
          </w:p>
        </w:tc>
        <w:tc>
          <w:tcPr>
            <w:tcW w:w="1456"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-,085</w:t>
            </w:r>
          </w:p>
        </w:tc>
        <w:tc>
          <w:tcPr>
            <w:tcW w:w="1010"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-1,461</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,144</w:t>
            </w:r>
          </w:p>
        </w:tc>
      </w:tr>
      <w:tr w:rsidR="00CD46A6" w:rsidRPr="00CD46A6" w:rsidTr="00CD46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rPr>
                <w:rFonts w:ascii="Arial" w:hAnsi="Arial" w:cs="Arial"/>
                <w:color w:val="000000"/>
                <w:sz w:val="18"/>
                <w:szCs w:val="18"/>
              </w:rPr>
            </w:pPr>
          </w:p>
        </w:tc>
        <w:tc>
          <w:tcPr>
            <w:tcW w:w="1924" w:type="dxa"/>
            <w:tcBorders>
              <w:top w:val="nil"/>
              <w:left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size class 4</w:t>
            </w:r>
          </w:p>
        </w:tc>
        <w:tc>
          <w:tcPr>
            <w:tcW w:w="1324" w:type="dxa"/>
            <w:tcBorders>
              <w:top w:val="nil"/>
              <w:left w:val="single" w:sz="16" w:space="0" w:color="000000"/>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-,117</w:t>
            </w:r>
          </w:p>
        </w:tc>
        <w:tc>
          <w:tcPr>
            <w:tcW w:w="1323"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,109</w:t>
            </w:r>
          </w:p>
        </w:tc>
        <w:tc>
          <w:tcPr>
            <w:tcW w:w="1456"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-,056</w:t>
            </w:r>
          </w:p>
        </w:tc>
        <w:tc>
          <w:tcPr>
            <w:tcW w:w="1010" w:type="dxa"/>
            <w:tcBorders>
              <w:top w:val="nil"/>
              <w:bottom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-1,075</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,283</w:t>
            </w:r>
          </w:p>
        </w:tc>
      </w:tr>
      <w:tr w:rsidR="00CD46A6" w:rsidRPr="00CD46A6" w:rsidTr="00CD46A6">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rPr>
                <w:rFonts w:ascii="Arial" w:hAnsi="Arial" w:cs="Arial"/>
                <w:color w:val="000000"/>
                <w:sz w:val="18"/>
                <w:szCs w:val="18"/>
              </w:rPr>
            </w:pPr>
          </w:p>
        </w:tc>
        <w:tc>
          <w:tcPr>
            <w:tcW w:w="19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rPr>
            </w:pPr>
            <w:r w:rsidRPr="00CD46A6">
              <w:rPr>
                <w:rFonts w:ascii="Arial" w:hAnsi="Arial" w:cs="Arial"/>
                <w:color w:val="000000"/>
                <w:sz w:val="18"/>
                <w:szCs w:val="18"/>
              </w:rPr>
              <w:t>size class 5</w:t>
            </w:r>
          </w:p>
        </w:tc>
        <w:tc>
          <w:tcPr>
            <w:tcW w:w="132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-,062</w:t>
            </w:r>
          </w:p>
        </w:tc>
        <w:tc>
          <w:tcPr>
            <w:tcW w:w="1323" w:type="dxa"/>
            <w:tcBorders>
              <w:top w:val="nil"/>
              <w:bottom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,135</w:t>
            </w:r>
          </w:p>
        </w:tc>
        <w:tc>
          <w:tcPr>
            <w:tcW w:w="1456" w:type="dxa"/>
            <w:tcBorders>
              <w:top w:val="nil"/>
              <w:bottom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-,022</w:t>
            </w:r>
          </w:p>
        </w:tc>
        <w:tc>
          <w:tcPr>
            <w:tcW w:w="1010" w:type="dxa"/>
            <w:tcBorders>
              <w:top w:val="nil"/>
              <w:bottom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-,456</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jc w:val="right"/>
              <w:rPr>
                <w:rFonts w:ascii="Arial" w:hAnsi="Arial" w:cs="Arial"/>
                <w:color w:val="000000"/>
                <w:sz w:val="18"/>
                <w:szCs w:val="18"/>
              </w:rPr>
            </w:pPr>
            <w:r w:rsidRPr="00CD46A6">
              <w:rPr>
                <w:rFonts w:ascii="Arial" w:hAnsi="Arial" w:cs="Arial"/>
                <w:color w:val="000000"/>
                <w:sz w:val="18"/>
                <w:szCs w:val="18"/>
              </w:rPr>
              <w:t>,649</w:t>
            </w:r>
          </w:p>
        </w:tc>
      </w:tr>
      <w:tr w:rsidR="00CD46A6" w:rsidRPr="002C07A4" w:rsidTr="00CD46A6">
        <w:trPr>
          <w:cantSplit/>
        </w:trPr>
        <w:tc>
          <w:tcPr>
            <w:tcW w:w="8774" w:type="dxa"/>
            <w:gridSpan w:val="7"/>
            <w:tcBorders>
              <w:top w:val="nil"/>
              <w:left w:val="nil"/>
              <w:bottom w:val="nil"/>
              <w:right w:val="nil"/>
            </w:tcBorders>
            <w:shd w:val="clear" w:color="auto" w:fill="FFFFFF"/>
            <w:tcMar>
              <w:top w:w="30" w:type="dxa"/>
              <w:left w:w="30" w:type="dxa"/>
              <w:bottom w:w="30" w:type="dxa"/>
              <w:right w:w="30" w:type="dxa"/>
            </w:tcMar>
          </w:tcPr>
          <w:p w:rsidR="00CD46A6" w:rsidRPr="00CD46A6" w:rsidRDefault="00CD46A6" w:rsidP="00CD46A6">
            <w:pPr>
              <w:autoSpaceDE w:val="0"/>
              <w:autoSpaceDN w:val="0"/>
              <w:adjustRightInd w:val="0"/>
              <w:spacing w:line="320" w:lineRule="atLeast"/>
              <w:rPr>
                <w:rFonts w:ascii="Arial" w:hAnsi="Arial" w:cs="Arial"/>
                <w:color w:val="000000"/>
                <w:sz w:val="18"/>
                <w:szCs w:val="18"/>
                <w:lang w:val="en-US"/>
              </w:rPr>
            </w:pPr>
            <w:r w:rsidRPr="00CD46A6">
              <w:rPr>
                <w:rFonts w:ascii="Arial" w:hAnsi="Arial" w:cs="Arial"/>
                <w:color w:val="000000"/>
                <w:sz w:val="18"/>
                <w:szCs w:val="18"/>
                <w:lang w:val="en-US"/>
              </w:rPr>
              <w:t>a. Dependent Variable: Performance: program expenses / total income</w:t>
            </w:r>
          </w:p>
        </w:tc>
      </w:tr>
    </w:tbl>
    <w:p w:rsidR="00CD46A6" w:rsidRDefault="00CD46A6" w:rsidP="00526AC5">
      <w:pPr>
        <w:spacing w:line="360" w:lineRule="auto"/>
        <w:jc w:val="both"/>
        <w:rPr>
          <w:lang w:val="en-US"/>
        </w:rPr>
      </w:pPr>
    </w:p>
    <w:p w:rsidR="00CD46A6" w:rsidRDefault="00CD46A6" w:rsidP="00526AC5">
      <w:pPr>
        <w:spacing w:line="360" w:lineRule="auto"/>
        <w:jc w:val="both"/>
        <w:rPr>
          <w:lang w:val="en-US"/>
        </w:rPr>
      </w:pPr>
    </w:p>
    <w:p w:rsidR="00CD46A6" w:rsidRPr="00526AC5" w:rsidRDefault="00CD46A6" w:rsidP="00526AC5">
      <w:pPr>
        <w:spacing w:line="360" w:lineRule="auto"/>
        <w:jc w:val="both"/>
        <w:rPr>
          <w:lang w:val="en-US"/>
        </w:rPr>
      </w:pPr>
    </w:p>
    <w:sectPr w:rsidR="00CD46A6" w:rsidRPr="00526AC5" w:rsidSect="000F68F4">
      <w:headerReference w:type="default" r:id="rId44"/>
      <w:footerReference w:type="default" r:id="rId45"/>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4D3" w:rsidRDefault="006A24D3" w:rsidP="008B252C">
      <w:r>
        <w:separator/>
      </w:r>
    </w:p>
  </w:endnote>
  <w:endnote w:type="continuationSeparator" w:id="0">
    <w:p w:rsidR="006A24D3" w:rsidRDefault="006A24D3" w:rsidP="008B25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calaSans-Caps">
    <w:altName w:val="Arial"/>
    <w:charset w:val="00"/>
    <w:family w:val="swiss"/>
    <w:pitch w:val="variable"/>
    <w:sig w:usb0="00000003" w:usb1="00000000" w:usb2="00000000" w:usb3="00000000" w:csb0="00000001" w:csb1="00000000"/>
  </w:font>
  <w:font w:name="BaskervilleNo2BT-Roman">
    <w:panose1 w:val="00000000000000000000"/>
    <w:charset w:val="00"/>
    <w:family w:val="roman"/>
    <w:notTrueType/>
    <w:pitch w:val="default"/>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keley-Medium">
    <w:panose1 w:val="00000000000000000000"/>
    <w:charset w:val="00"/>
    <w:family w:val="roman"/>
    <w:notTrueType/>
    <w:pitch w:val="default"/>
    <w:sig w:usb0="00000003" w:usb1="00000000" w:usb2="00000000" w:usb3="00000000" w:csb0="00000001" w:csb1="00000000"/>
  </w:font>
  <w:font w:name="Berkeley-Italic">
    <w:panose1 w:val="00000000000000000000"/>
    <w:charset w:val="00"/>
    <w:family w:val="roman"/>
    <w:notTrueType/>
    <w:pitch w:val="default"/>
    <w:sig w:usb0="00000003" w:usb1="00000000" w:usb2="00000000" w:usb3="00000000" w:csb0="00000001" w:csb1="00000000"/>
  </w:font>
  <w:font w:name="AdvPS6F00">
    <w:panose1 w:val="00000000000000000000"/>
    <w:charset w:val="00"/>
    <w:family w:val="roman"/>
    <w:notTrueType/>
    <w:pitch w:val="default"/>
    <w:sig w:usb0="00000003" w:usb1="00000000" w:usb2="00000000" w:usb3="00000000" w:csb0="00000001" w:csb1="00000000"/>
  </w:font>
  <w:font w:name="BaskervilleNo2BT-Italic">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TFF5CAEB8t00">
    <w:panose1 w:val="00000000000000000000"/>
    <w:charset w:val="00"/>
    <w:family w:val="auto"/>
    <w:notTrueType/>
    <w:pitch w:val="default"/>
    <w:sig w:usb0="00000003" w:usb1="00000000" w:usb2="00000000" w:usb3="00000000" w:csb0="00000001" w:csb1="00000000"/>
  </w:font>
  <w:font w:name="AdvPS405B6">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97739"/>
      <w:docPartObj>
        <w:docPartGallery w:val="Page Numbers (Bottom of Page)"/>
        <w:docPartUnique/>
      </w:docPartObj>
    </w:sdtPr>
    <w:sdtContent>
      <w:p w:rsidR="002C07A4" w:rsidRDefault="002800DD">
        <w:pPr>
          <w:pStyle w:val="Footer"/>
          <w:jc w:val="right"/>
        </w:pPr>
        <w:fldSimple w:instr=" PAGE   \* MERGEFORMAT ">
          <w:r w:rsidR="0054330C">
            <w:rPr>
              <w:noProof/>
            </w:rPr>
            <w:t>68</w:t>
          </w:r>
        </w:fldSimple>
      </w:p>
    </w:sdtContent>
  </w:sdt>
  <w:p w:rsidR="002C07A4" w:rsidRDefault="002C07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4D3" w:rsidRDefault="006A24D3" w:rsidP="008B252C">
      <w:r>
        <w:separator/>
      </w:r>
    </w:p>
  </w:footnote>
  <w:footnote w:type="continuationSeparator" w:id="0">
    <w:p w:rsidR="006A24D3" w:rsidRDefault="006A24D3" w:rsidP="008B252C">
      <w:r>
        <w:continuationSeparator/>
      </w:r>
    </w:p>
  </w:footnote>
  <w:footnote w:id="1">
    <w:p w:rsidR="002C07A4" w:rsidRPr="008B252C" w:rsidRDefault="002C07A4" w:rsidP="00D42B2D">
      <w:pPr>
        <w:pStyle w:val="FootnoteText"/>
        <w:rPr>
          <w:lang w:val="en-US"/>
        </w:rPr>
      </w:pPr>
      <w:r>
        <w:rPr>
          <w:rStyle w:val="FootnoteReference"/>
        </w:rPr>
        <w:footnoteRef/>
      </w:r>
      <w:r w:rsidRPr="008B252C">
        <w:rPr>
          <w:lang w:val="en-US"/>
        </w:rPr>
        <w:t xml:space="preserve"> Source: http://www.cbf.nl/OverhetCBF/english-version.php</w:t>
      </w:r>
    </w:p>
  </w:footnote>
  <w:footnote w:id="2">
    <w:p w:rsidR="002C07A4" w:rsidRPr="00E815E4" w:rsidRDefault="002C07A4">
      <w:pPr>
        <w:pStyle w:val="FootnoteText"/>
        <w:rPr>
          <w:lang w:val="en-US"/>
        </w:rPr>
      </w:pPr>
      <w:r>
        <w:rPr>
          <w:rStyle w:val="FootnoteReference"/>
        </w:rPr>
        <w:footnoteRef/>
      </w:r>
      <w:r w:rsidRPr="00E815E4">
        <w:rPr>
          <w:lang w:val="en-US"/>
        </w:rPr>
        <w:t xml:space="preserve"> Hyndman and McDonnell, governance and </w:t>
      </w:r>
      <w:r>
        <w:rPr>
          <w:lang w:val="en-US"/>
        </w:rPr>
        <w:t>charities: an exploration of key themes and development of a research agenda, 2009, Financial accountability &amp; management</w:t>
      </w:r>
    </w:p>
  </w:footnote>
  <w:footnote w:id="3">
    <w:p w:rsidR="002C07A4" w:rsidRPr="002C28A0" w:rsidRDefault="002C07A4">
      <w:pPr>
        <w:pStyle w:val="FootnoteText"/>
        <w:rPr>
          <w:lang w:val="en-US"/>
        </w:rPr>
      </w:pPr>
      <w:r>
        <w:rPr>
          <w:rStyle w:val="FootnoteReference"/>
        </w:rPr>
        <w:footnoteRef/>
      </w:r>
      <w:r w:rsidRPr="002C28A0">
        <w:rPr>
          <w:lang w:val="en-US"/>
        </w:rPr>
        <w:t xml:space="preserve"> J.A. Alexander and B.</w:t>
      </w:r>
      <w:r>
        <w:rPr>
          <w:lang w:val="en-US"/>
        </w:rPr>
        <w:t>J. Weiner, The adoption of the corporate governance model by nonprofit organizations, 1998, nonprofit management &amp; leadership</w:t>
      </w:r>
    </w:p>
  </w:footnote>
  <w:footnote w:id="4">
    <w:p w:rsidR="002C07A4" w:rsidRPr="005541AB" w:rsidRDefault="002C07A4">
      <w:pPr>
        <w:pStyle w:val="FootnoteText"/>
        <w:rPr>
          <w:lang w:val="en-US"/>
        </w:rPr>
      </w:pPr>
      <w:r>
        <w:rPr>
          <w:rStyle w:val="FootnoteReference"/>
        </w:rPr>
        <w:footnoteRef/>
      </w:r>
      <w:r w:rsidRPr="005541AB">
        <w:rPr>
          <w:lang w:val="en-US"/>
        </w:rPr>
        <w:t xml:space="preserve"> J.L. Callen, A.</w:t>
      </w:r>
      <w:r>
        <w:rPr>
          <w:lang w:val="en-US"/>
        </w:rPr>
        <w:t xml:space="preserve"> </w:t>
      </w:r>
      <w:r w:rsidRPr="005541AB">
        <w:rPr>
          <w:lang w:val="en-US"/>
        </w:rPr>
        <w:t>Klein a</w:t>
      </w:r>
      <w:r>
        <w:rPr>
          <w:lang w:val="en-US"/>
        </w:rPr>
        <w:t>nd D. TInkelman; Board composition, committees and organization efficiency: the case of non-profits; 2003; Nonprofit and voluntary sector quarterly vol. no. 32</w:t>
      </w:r>
    </w:p>
  </w:footnote>
  <w:footnote w:id="5">
    <w:p w:rsidR="002C07A4" w:rsidRPr="006E35A8" w:rsidRDefault="002C07A4">
      <w:pPr>
        <w:pStyle w:val="FootnoteText"/>
        <w:rPr>
          <w:lang w:val="en-US"/>
        </w:rPr>
      </w:pPr>
      <w:r>
        <w:rPr>
          <w:rStyle w:val="FootnoteReference"/>
        </w:rPr>
        <w:footnoteRef/>
      </w:r>
      <w:r w:rsidRPr="006E35A8">
        <w:rPr>
          <w:lang w:val="en-US"/>
        </w:rPr>
        <w:t xml:space="preserve"> </w:t>
      </w:r>
      <w:r w:rsidRPr="006E35A8">
        <w:rPr>
          <w:rFonts w:cs="BaskervilleNo2BT-Roman"/>
          <w:lang w:val="en-US"/>
        </w:rPr>
        <w:t>National Council for Voluntary Organizations (NVCO)</w:t>
      </w:r>
      <w:r>
        <w:rPr>
          <w:rFonts w:cs="BaskervilleNo2BT-Roman"/>
          <w:lang w:val="en-US"/>
        </w:rPr>
        <w:t>; Trustee board size; 2006</w:t>
      </w:r>
    </w:p>
  </w:footnote>
  <w:footnote w:id="6">
    <w:p w:rsidR="002C07A4" w:rsidRPr="00EA2EC4" w:rsidRDefault="002C07A4" w:rsidP="001B657A">
      <w:pPr>
        <w:autoSpaceDE w:val="0"/>
        <w:autoSpaceDN w:val="0"/>
        <w:adjustRightInd w:val="0"/>
        <w:rPr>
          <w:rFonts w:cs="Bembo"/>
          <w:sz w:val="20"/>
          <w:szCs w:val="20"/>
          <w:lang w:val="en-US"/>
        </w:rPr>
      </w:pPr>
      <w:r>
        <w:rPr>
          <w:rStyle w:val="FootnoteReference"/>
        </w:rPr>
        <w:footnoteRef/>
      </w:r>
      <w:r w:rsidRPr="00EA2EC4">
        <w:rPr>
          <w:lang w:val="en-US"/>
        </w:rPr>
        <w:t xml:space="preserve"> J</w:t>
      </w:r>
      <w:r w:rsidRPr="00EA2EC4">
        <w:rPr>
          <w:sz w:val="20"/>
          <w:szCs w:val="20"/>
          <w:lang w:val="en-US"/>
        </w:rPr>
        <w:t xml:space="preserve">. Carver; </w:t>
      </w:r>
      <w:r w:rsidRPr="00EA2EC4">
        <w:rPr>
          <w:rFonts w:cs="Bembo"/>
          <w:sz w:val="20"/>
          <w:szCs w:val="20"/>
          <w:lang w:val="en-US"/>
        </w:rPr>
        <w:t>Redefining the Board’s Role in Fiscal Planning</w:t>
      </w:r>
      <w:r>
        <w:rPr>
          <w:rFonts w:cs="Bembo"/>
          <w:sz w:val="20"/>
          <w:szCs w:val="20"/>
          <w:lang w:val="en-US"/>
        </w:rPr>
        <w:t xml:space="preserve">; 1991; </w:t>
      </w:r>
      <w:r w:rsidRPr="00EA2EC4">
        <w:rPr>
          <w:rFonts w:cs="Bembo"/>
          <w:sz w:val="20"/>
          <w:szCs w:val="20"/>
          <w:lang w:val="en-US"/>
        </w:rPr>
        <w:t>Nonprofit management and leadership,</w:t>
      </w:r>
    </w:p>
    <w:p w:rsidR="002C07A4" w:rsidRPr="00EA2EC4" w:rsidRDefault="002C07A4" w:rsidP="001B657A">
      <w:pPr>
        <w:autoSpaceDE w:val="0"/>
        <w:autoSpaceDN w:val="0"/>
        <w:adjustRightInd w:val="0"/>
        <w:rPr>
          <w:sz w:val="20"/>
          <w:szCs w:val="20"/>
          <w:lang w:val="en-US"/>
        </w:rPr>
      </w:pPr>
      <w:r w:rsidRPr="00EA2EC4">
        <w:rPr>
          <w:rFonts w:cs="Bembo"/>
          <w:sz w:val="20"/>
          <w:szCs w:val="20"/>
        </w:rPr>
        <w:t>Vol. 2, No.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A4" w:rsidRDefault="002C07A4" w:rsidP="00AC4A76">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00737"/>
    <w:multiLevelType w:val="hybridMultilevel"/>
    <w:tmpl w:val="EC5C24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0225B71"/>
    <w:multiLevelType w:val="hybridMultilevel"/>
    <w:tmpl w:val="257C60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89041F2"/>
    <w:multiLevelType w:val="hybridMultilevel"/>
    <w:tmpl w:val="43406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EB5211A"/>
    <w:multiLevelType w:val="hybridMultilevel"/>
    <w:tmpl w:val="33549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0ED0C10"/>
    <w:multiLevelType w:val="hybridMultilevel"/>
    <w:tmpl w:val="2C16B9A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72F035AC"/>
    <w:multiLevelType w:val="hybridMultilevel"/>
    <w:tmpl w:val="591605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63655D7"/>
    <w:multiLevelType w:val="hybridMultilevel"/>
    <w:tmpl w:val="C1EC1B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7EA60327"/>
    <w:multiLevelType w:val="hybridMultilevel"/>
    <w:tmpl w:val="4128E9EE"/>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6"/>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93185">
      <o:colormenu v:ext="edit" strokecolor="none"/>
    </o:shapedefaults>
  </w:hdrShapeDefaults>
  <w:footnotePr>
    <w:footnote w:id="-1"/>
    <w:footnote w:id="0"/>
  </w:footnotePr>
  <w:endnotePr>
    <w:endnote w:id="-1"/>
    <w:endnote w:id="0"/>
  </w:endnotePr>
  <w:compat/>
  <w:rsids>
    <w:rsidRoot w:val="004318D2"/>
    <w:rsid w:val="00001BDD"/>
    <w:rsid w:val="00002A50"/>
    <w:rsid w:val="00002A80"/>
    <w:rsid w:val="00006E55"/>
    <w:rsid w:val="00007EE4"/>
    <w:rsid w:val="000136A3"/>
    <w:rsid w:val="00017214"/>
    <w:rsid w:val="00021D2D"/>
    <w:rsid w:val="00025EBB"/>
    <w:rsid w:val="00031278"/>
    <w:rsid w:val="0003138C"/>
    <w:rsid w:val="00032E2E"/>
    <w:rsid w:val="0003416D"/>
    <w:rsid w:val="00035C4C"/>
    <w:rsid w:val="000403B9"/>
    <w:rsid w:val="0004084F"/>
    <w:rsid w:val="000415E6"/>
    <w:rsid w:val="000421DB"/>
    <w:rsid w:val="0004367C"/>
    <w:rsid w:val="00050315"/>
    <w:rsid w:val="0005678C"/>
    <w:rsid w:val="00061C7D"/>
    <w:rsid w:val="0006402F"/>
    <w:rsid w:val="00064B18"/>
    <w:rsid w:val="00064BAA"/>
    <w:rsid w:val="000656DF"/>
    <w:rsid w:val="00071503"/>
    <w:rsid w:val="00073C9E"/>
    <w:rsid w:val="00074F00"/>
    <w:rsid w:val="00085F8B"/>
    <w:rsid w:val="00087CE8"/>
    <w:rsid w:val="000A2DCC"/>
    <w:rsid w:val="000A37B3"/>
    <w:rsid w:val="000A7C95"/>
    <w:rsid w:val="000B40BA"/>
    <w:rsid w:val="000B68C6"/>
    <w:rsid w:val="000C77C5"/>
    <w:rsid w:val="000C79F7"/>
    <w:rsid w:val="000D2EB4"/>
    <w:rsid w:val="000D3DC0"/>
    <w:rsid w:val="000D42B1"/>
    <w:rsid w:val="000E1D59"/>
    <w:rsid w:val="000E1ECE"/>
    <w:rsid w:val="000E5935"/>
    <w:rsid w:val="000F0FB7"/>
    <w:rsid w:val="000F44B8"/>
    <w:rsid w:val="000F68F4"/>
    <w:rsid w:val="00102536"/>
    <w:rsid w:val="001128A9"/>
    <w:rsid w:val="00112C17"/>
    <w:rsid w:val="00112D7A"/>
    <w:rsid w:val="00114EEB"/>
    <w:rsid w:val="001161A5"/>
    <w:rsid w:val="00117A16"/>
    <w:rsid w:val="00117C6B"/>
    <w:rsid w:val="00120122"/>
    <w:rsid w:val="00120960"/>
    <w:rsid w:val="0012271E"/>
    <w:rsid w:val="0012282A"/>
    <w:rsid w:val="00124798"/>
    <w:rsid w:val="00127A2B"/>
    <w:rsid w:val="00127DB9"/>
    <w:rsid w:val="001302D9"/>
    <w:rsid w:val="00134E36"/>
    <w:rsid w:val="00135B3F"/>
    <w:rsid w:val="00141605"/>
    <w:rsid w:val="0014245E"/>
    <w:rsid w:val="0014309B"/>
    <w:rsid w:val="00143895"/>
    <w:rsid w:val="00144743"/>
    <w:rsid w:val="00145150"/>
    <w:rsid w:val="00146911"/>
    <w:rsid w:val="00151359"/>
    <w:rsid w:val="001516A9"/>
    <w:rsid w:val="0015202B"/>
    <w:rsid w:val="00153866"/>
    <w:rsid w:val="00153C92"/>
    <w:rsid w:val="00154C85"/>
    <w:rsid w:val="00155A9C"/>
    <w:rsid w:val="00155F6A"/>
    <w:rsid w:val="001565DE"/>
    <w:rsid w:val="00156B23"/>
    <w:rsid w:val="00157DD6"/>
    <w:rsid w:val="00161F1A"/>
    <w:rsid w:val="00164B0F"/>
    <w:rsid w:val="00166953"/>
    <w:rsid w:val="00167A5B"/>
    <w:rsid w:val="00170E91"/>
    <w:rsid w:val="001738E1"/>
    <w:rsid w:val="00175CEA"/>
    <w:rsid w:val="0018002A"/>
    <w:rsid w:val="00184F04"/>
    <w:rsid w:val="00186D37"/>
    <w:rsid w:val="00187E59"/>
    <w:rsid w:val="001900D2"/>
    <w:rsid w:val="001936D8"/>
    <w:rsid w:val="001A3DF1"/>
    <w:rsid w:val="001A7AB3"/>
    <w:rsid w:val="001B0B8A"/>
    <w:rsid w:val="001B2781"/>
    <w:rsid w:val="001B51C5"/>
    <w:rsid w:val="001B59CD"/>
    <w:rsid w:val="001B614A"/>
    <w:rsid w:val="001B620E"/>
    <w:rsid w:val="001B657A"/>
    <w:rsid w:val="001C00CF"/>
    <w:rsid w:val="001C0702"/>
    <w:rsid w:val="001C1D85"/>
    <w:rsid w:val="001C3BD6"/>
    <w:rsid w:val="001D18B2"/>
    <w:rsid w:val="001D1EE7"/>
    <w:rsid w:val="001D2E59"/>
    <w:rsid w:val="001D3C0A"/>
    <w:rsid w:val="001D4832"/>
    <w:rsid w:val="001D784F"/>
    <w:rsid w:val="001E6BAE"/>
    <w:rsid w:val="001F1213"/>
    <w:rsid w:val="001F267D"/>
    <w:rsid w:val="001F3E66"/>
    <w:rsid w:val="001F60F1"/>
    <w:rsid w:val="001F621E"/>
    <w:rsid w:val="001F770A"/>
    <w:rsid w:val="00202CD7"/>
    <w:rsid w:val="00203663"/>
    <w:rsid w:val="00203761"/>
    <w:rsid w:val="00204FA3"/>
    <w:rsid w:val="00210A7D"/>
    <w:rsid w:val="00211C9C"/>
    <w:rsid w:val="00215BEF"/>
    <w:rsid w:val="00216F80"/>
    <w:rsid w:val="00221677"/>
    <w:rsid w:val="00223977"/>
    <w:rsid w:val="00224CC0"/>
    <w:rsid w:val="00225DEA"/>
    <w:rsid w:val="00226E4A"/>
    <w:rsid w:val="00234A56"/>
    <w:rsid w:val="00247493"/>
    <w:rsid w:val="00251009"/>
    <w:rsid w:val="00252B11"/>
    <w:rsid w:val="00260794"/>
    <w:rsid w:val="00260CA0"/>
    <w:rsid w:val="00261598"/>
    <w:rsid w:val="002630E3"/>
    <w:rsid w:val="00263A05"/>
    <w:rsid w:val="00264841"/>
    <w:rsid w:val="00264E92"/>
    <w:rsid w:val="0027005A"/>
    <w:rsid w:val="002749A8"/>
    <w:rsid w:val="0027641E"/>
    <w:rsid w:val="002774FA"/>
    <w:rsid w:val="00277E25"/>
    <w:rsid w:val="002800DD"/>
    <w:rsid w:val="00281978"/>
    <w:rsid w:val="00284231"/>
    <w:rsid w:val="0028613C"/>
    <w:rsid w:val="002862F6"/>
    <w:rsid w:val="0028738F"/>
    <w:rsid w:val="00290D97"/>
    <w:rsid w:val="00290F7A"/>
    <w:rsid w:val="002958F7"/>
    <w:rsid w:val="002A3481"/>
    <w:rsid w:val="002B0B10"/>
    <w:rsid w:val="002B240B"/>
    <w:rsid w:val="002B27E0"/>
    <w:rsid w:val="002B398A"/>
    <w:rsid w:val="002B667C"/>
    <w:rsid w:val="002C07A4"/>
    <w:rsid w:val="002C0A7C"/>
    <w:rsid w:val="002C1229"/>
    <w:rsid w:val="002C2879"/>
    <w:rsid w:val="002C28A0"/>
    <w:rsid w:val="002C6E5A"/>
    <w:rsid w:val="002D0630"/>
    <w:rsid w:val="002D0E65"/>
    <w:rsid w:val="002D101A"/>
    <w:rsid w:val="002D6388"/>
    <w:rsid w:val="002D6AE1"/>
    <w:rsid w:val="002E01DC"/>
    <w:rsid w:val="002E0618"/>
    <w:rsid w:val="002E148C"/>
    <w:rsid w:val="002E1AB2"/>
    <w:rsid w:val="002F0372"/>
    <w:rsid w:val="002F27A4"/>
    <w:rsid w:val="002F531A"/>
    <w:rsid w:val="002F5A56"/>
    <w:rsid w:val="00304FEA"/>
    <w:rsid w:val="00305201"/>
    <w:rsid w:val="00305BFD"/>
    <w:rsid w:val="003106D4"/>
    <w:rsid w:val="003107DA"/>
    <w:rsid w:val="003117BB"/>
    <w:rsid w:val="0031315A"/>
    <w:rsid w:val="00315420"/>
    <w:rsid w:val="00315728"/>
    <w:rsid w:val="00316099"/>
    <w:rsid w:val="00316D8E"/>
    <w:rsid w:val="0032015C"/>
    <w:rsid w:val="00321028"/>
    <w:rsid w:val="00322489"/>
    <w:rsid w:val="00323784"/>
    <w:rsid w:val="00323AEC"/>
    <w:rsid w:val="00327665"/>
    <w:rsid w:val="00327E99"/>
    <w:rsid w:val="00330725"/>
    <w:rsid w:val="003366C4"/>
    <w:rsid w:val="0034140A"/>
    <w:rsid w:val="00344165"/>
    <w:rsid w:val="0034774D"/>
    <w:rsid w:val="00353F28"/>
    <w:rsid w:val="003542C3"/>
    <w:rsid w:val="00356A63"/>
    <w:rsid w:val="003613F2"/>
    <w:rsid w:val="003618C4"/>
    <w:rsid w:val="00361986"/>
    <w:rsid w:val="00362221"/>
    <w:rsid w:val="00363D44"/>
    <w:rsid w:val="003655B2"/>
    <w:rsid w:val="0036785B"/>
    <w:rsid w:val="003702DD"/>
    <w:rsid w:val="00370652"/>
    <w:rsid w:val="00371E85"/>
    <w:rsid w:val="00372E2F"/>
    <w:rsid w:val="0037317F"/>
    <w:rsid w:val="00373A9D"/>
    <w:rsid w:val="00376AA8"/>
    <w:rsid w:val="0037727B"/>
    <w:rsid w:val="003801F0"/>
    <w:rsid w:val="003836F8"/>
    <w:rsid w:val="00386013"/>
    <w:rsid w:val="00395742"/>
    <w:rsid w:val="003A2FF6"/>
    <w:rsid w:val="003A4B1A"/>
    <w:rsid w:val="003A6CF1"/>
    <w:rsid w:val="003B4D24"/>
    <w:rsid w:val="003B550C"/>
    <w:rsid w:val="003B5E1C"/>
    <w:rsid w:val="003B6170"/>
    <w:rsid w:val="003C4632"/>
    <w:rsid w:val="003D0748"/>
    <w:rsid w:val="003D3D98"/>
    <w:rsid w:val="003D6014"/>
    <w:rsid w:val="003E0979"/>
    <w:rsid w:val="003E3DDC"/>
    <w:rsid w:val="003E4D57"/>
    <w:rsid w:val="003E7EB3"/>
    <w:rsid w:val="00402703"/>
    <w:rsid w:val="00404C7A"/>
    <w:rsid w:val="00406C71"/>
    <w:rsid w:val="00412B75"/>
    <w:rsid w:val="00413393"/>
    <w:rsid w:val="004159C8"/>
    <w:rsid w:val="00415C30"/>
    <w:rsid w:val="004163D9"/>
    <w:rsid w:val="00416D69"/>
    <w:rsid w:val="00417A93"/>
    <w:rsid w:val="004206E2"/>
    <w:rsid w:val="0042140F"/>
    <w:rsid w:val="00424EED"/>
    <w:rsid w:val="004252A5"/>
    <w:rsid w:val="004264C8"/>
    <w:rsid w:val="004318D2"/>
    <w:rsid w:val="004322C0"/>
    <w:rsid w:val="00434C09"/>
    <w:rsid w:val="00435E8A"/>
    <w:rsid w:val="004368B3"/>
    <w:rsid w:val="00442049"/>
    <w:rsid w:val="00442E95"/>
    <w:rsid w:val="00446D25"/>
    <w:rsid w:val="00452F9F"/>
    <w:rsid w:val="00453469"/>
    <w:rsid w:val="004551F5"/>
    <w:rsid w:val="00455811"/>
    <w:rsid w:val="0046025B"/>
    <w:rsid w:val="00462BBB"/>
    <w:rsid w:val="004630E6"/>
    <w:rsid w:val="004635FE"/>
    <w:rsid w:val="00463910"/>
    <w:rsid w:val="00465BB2"/>
    <w:rsid w:val="0046783A"/>
    <w:rsid w:val="004721E1"/>
    <w:rsid w:val="00475A85"/>
    <w:rsid w:val="00477371"/>
    <w:rsid w:val="00477D33"/>
    <w:rsid w:val="00480DDC"/>
    <w:rsid w:val="00482364"/>
    <w:rsid w:val="00483019"/>
    <w:rsid w:val="00486092"/>
    <w:rsid w:val="004911F8"/>
    <w:rsid w:val="0049142F"/>
    <w:rsid w:val="00491F17"/>
    <w:rsid w:val="004927D7"/>
    <w:rsid w:val="004A3313"/>
    <w:rsid w:val="004A654F"/>
    <w:rsid w:val="004B263A"/>
    <w:rsid w:val="004B2D1F"/>
    <w:rsid w:val="004B3A37"/>
    <w:rsid w:val="004C1AFC"/>
    <w:rsid w:val="004C241E"/>
    <w:rsid w:val="004C2709"/>
    <w:rsid w:val="004C2C42"/>
    <w:rsid w:val="004C49B2"/>
    <w:rsid w:val="004C4F66"/>
    <w:rsid w:val="004C7387"/>
    <w:rsid w:val="004D0A03"/>
    <w:rsid w:val="004D1325"/>
    <w:rsid w:val="004D24D9"/>
    <w:rsid w:val="004D4B94"/>
    <w:rsid w:val="004D7110"/>
    <w:rsid w:val="004E0507"/>
    <w:rsid w:val="004E1D60"/>
    <w:rsid w:val="004E4A32"/>
    <w:rsid w:val="004E5C6E"/>
    <w:rsid w:val="004E6363"/>
    <w:rsid w:val="004E76A8"/>
    <w:rsid w:val="004F0039"/>
    <w:rsid w:val="004F3E26"/>
    <w:rsid w:val="004F449A"/>
    <w:rsid w:val="004F79E9"/>
    <w:rsid w:val="00504A7F"/>
    <w:rsid w:val="00507EA6"/>
    <w:rsid w:val="00512F26"/>
    <w:rsid w:val="00516813"/>
    <w:rsid w:val="00516BF9"/>
    <w:rsid w:val="005217E2"/>
    <w:rsid w:val="0052328A"/>
    <w:rsid w:val="00525DAC"/>
    <w:rsid w:val="00526AC5"/>
    <w:rsid w:val="00532A93"/>
    <w:rsid w:val="00534534"/>
    <w:rsid w:val="0054330C"/>
    <w:rsid w:val="00546E1E"/>
    <w:rsid w:val="00550416"/>
    <w:rsid w:val="0055331C"/>
    <w:rsid w:val="005541AB"/>
    <w:rsid w:val="005545D6"/>
    <w:rsid w:val="00561886"/>
    <w:rsid w:val="005652C9"/>
    <w:rsid w:val="00566AB6"/>
    <w:rsid w:val="005722D2"/>
    <w:rsid w:val="00580E62"/>
    <w:rsid w:val="00582A11"/>
    <w:rsid w:val="005867D0"/>
    <w:rsid w:val="0059367F"/>
    <w:rsid w:val="00593D3A"/>
    <w:rsid w:val="0059691C"/>
    <w:rsid w:val="005A2484"/>
    <w:rsid w:val="005A522C"/>
    <w:rsid w:val="005B4BBF"/>
    <w:rsid w:val="005B64D6"/>
    <w:rsid w:val="005C54E8"/>
    <w:rsid w:val="005C5E4D"/>
    <w:rsid w:val="005D0702"/>
    <w:rsid w:val="005D08C1"/>
    <w:rsid w:val="005D39B0"/>
    <w:rsid w:val="005D50E4"/>
    <w:rsid w:val="005D55C4"/>
    <w:rsid w:val="005E31F3"/>
    <w:rsid w:val="005E6E4F"/>
    <w:rsid w:val="005E7D3C"/>
    <w:rsid w:val="005F5F36"/>
    <w:rsid w:val="005F64BA"/>
    <w:rsid w:val="00600C50"/>
    <w:rsid w:val="00604175"/>
    <w:rsid w:val="006041AC"/>
    <w:rsid w:val="00604713"/>
    <w:rsid w:val="00604DF3"/>
    <w:rsid w:val="00606A57"/>
    <w:rsid w:val="00611BA9"/>
    <w:rsid w:val="006123F8"/>
    <w:rsid w:val="00612D09"/>
    <w:rsid w:val="006173AE"/>
    <w:rsid w:val="006210DE"/>
    <w:rsid w:val="00621666"/>
    <w:rsid w:val="00622D2B"/>
    <w:rsid w:val="00624847"/>
    <w:rsid w:val="006329D0"/>
    <w:rsid w:val="00635007"/>
    <w:rsid w:val="00640371"/>
    <w:rsid w:val="0064418E"/>
    <w:rsid w:val="006445F1"/>
    <w:rsid w:val="00644ACA"/>
    <w:rsid w:val="00645912"/>
    <w:rsid w:val="00645D3B"/>
    <w:rsid w:val="00651C88"/>
    <w:rsid w:val="00651F2A"/>
    <w:rsid w:val="00652C7A"/>
    <w:rsid w:val="006541E2"/>
    <w:rsid w:val="00654E65"/>
    <w:rsid w:val="00656725"/>
    <w:rsid w:val="00657BB0"/>
    <w:rsid w:val="00660EED"/>
    <w:rsid w:val="00661041"/>
    <w:rsid w:val="00661618"/>
    <w:rsid w:val="00662CA7"/>
    <w:rsid w:val="00663932"/>
    <w:rsid w:val="00670C6F"/>
    <w:rsid w:val="0067211F"/>
    <w:rsid w:val="0067445B"/>
    <w:rsid w:val="00681316"/>
    <w:rsid w:val="006828D1"/>
    <w:rsid w:val="00682F75"/>
    <w:rsid w:val="00684B50"/>
    <w:rsid w:val="006872F0"/>
    <w:rsid w:val="006931CE"/>
    <w:rsid w:val="006939B4"/>
    <w:rsid w:val="006946AB"/>
    <w:rsid w:val="006957A8"/>
    <w:rsid w:val="00695BBE"/>
    <w:rsid w:val="00697B78"/>
    <w:rsid w:val="006A24D3"/>
    <w:rsid w:val="006A7455"/>
    <w:rsid w:val="006B0248"/>
    <w:rsid w:val="006B3602"/>
    <w:rsid w:val="006B381A"/>
    <w:rsid w:val="006B5645"/>
    <w:rsid w:val="006B736B"/>
    <w:rsid w:val="006C00D0"/>
    <w:rsid w:val="006C025E"/>
    <w:rsid w:val="006C5E8D"/>
    <w:rsid w:val="006C5F91"/>
    <w:rsid w:val="006C78FE"/>
    <w:rsid w:val="006D0154"/>
    <w:rsid w:val="006D2519"/>
    <w:rsid w:val="006D49AD"/>
    <w:rsid w:val="006D526C"/>
    <w:rsid w:val="006E24FF"/>
    <w:rsid w:val="006E35A8"/>
    <w:rsid w:val="006E3896"/>
    <w:rsid w:val="006E645B"/>
    <w:rsid w:val="006F02B0"/>
    <w:rsid w:val="006F218F"/>
    <w:rsid w:val="006F3A24"/>
    <w:rsid w:val="006F3E6C"/>
    <w:rsid w:val="006F4827"/>
    <w:rsid w:val="006F4997"/>
    <w:rsid w:val="00702266"/>
    <w:rsid w:val="007024A6"/>
    <w:rsid w:val="007062F6"/>
    <w:rsid w:val="00706839"/>
    <w:rsid w:val="00710FEC"/>
    <w:rsid w:val="00716981"/>
    <w:rsid w:val="0072456E"/>
    <w:rsid w:val="00725B92"/>
    <w:rsid w:val="00726873"/>
    <w:rsid w:val="007279AB"/>
    <w:rsid w:val="00731FCA"/>
    <w:rsid w:val="00733589"/>
    <w:rsid w:val="00735156"/>
    <w:rsid w:val="0074228B"/>
    <w:rsid w:val="007422F4"/>
    <w:rsid w:val="00742354"/>
    <w:rsid w:val="00743EE3"/>
    <w:rsid w:val="00747A72"/>
    <w:rsid w:val="00751AAA"/>
    <w:rsid w:val="00752862"/>
    <w:rsid w:val="007541EF"/>
    <w:rsid w:val="00754DEC"/>
    <w:rsid w:val="007570DC"/>
    <w:rsid w:val="0075718E"/>
    <w:rsid w:val="00760923"/>
    <w:rsid w:val="00764310"/>
    <w:rsid w:val="007652B1"/>
    <w:rsid w:val="00765D97"/>
    <w:rsid w:val="00771FE8"/>
    <w:rsid w:val="00774713"/>
    <w:rsid w:val="007836C9"/>
    <w:rsid w:val="0078552F"/>
    <w:rsid w:val="00785672"/>
    <w:rsid w:val="00787D8E"/>
    <w:rsid w:val="007920FB"/>
    <w:rsid w:val="00793F63"/>
    <w:rsid w:val="0079553D"/>
    <w:rsid w:val="007958BC"/>
    <w:rsid w:val="007960EA"/>
    <w:rsid w:val="0079670C"/>
    <w:rsid w:val="00796B24"/>
    <w:rsid w:val="00796D93"/>
    <w:rsid w:val="007A4AFE"/>
    <w:rsid w:val="007A78F7"/>
    <w:rsid w:val="007B1DA4"/>
    <w:rsid w:val="007B2406"/>
    <w:rsid w:val="007B6274"/>
    <w:rsid w:val="007C02D2"/>
    <w:rsid w:val="007C645F"/>
    <w:rsid w:val="007C65ED"/>
    <w:rsid w:val="007D133F"/>
    <w:rsid w:val="007D223A"/>
    <w:rsid w:val="007D634A"/>
    <w:rsid w:val="007D793F"/>
    <w:rsid w:val="007E0F33"/>
    <w:rsid w:val="007F19D8"/>
    <w:rsid w:val="007F22E4"/>
    <w:rsid w:val="007F502C"/>
    <w:rsid w:val="00800972"/>
    <w:rsid w:val="00802A28"/>
    <w:rsid w:val="0080484C"/>
    <w:rsid w:val="00807760"/>
    <w:rsid w:val="00807F9E"/>
    <w:rsid w:val="00810244"/>
    <w:rsid w:val="00812075"/>
    <w:rsid w:val="00816F9A"/>
    <w:rsid w:val="00817701"/>
    <w:rsid w:val="008301B5"/>
    <w:rsid w:val="00830459"/>
    <w:rsid w:val="00831B1C"/>
    <w:rsid w:val="00832BB6"/>
    <w:rsid w:val="008330E3"/>
    <w:rsid w:val="00833D99"/>
    <w:rsid w:val="0083631B"/>
    <w:rsid w:val="00840F8E"/>
    <w:rsid w:val="00843FA2"/>
    <w:rsid w:val="008443E5"/>
    <w:rsid w:val="00850FD0"/>
    <w:rsid w:val="00853969"/>
    <w:rsid w:val="00855CDB"/>
    <w:rsid w:val="0085612D"/>
    <w:rsid w:val="0086008F"/>
    <w:rsid w:val="00866A7A"/>
    <w:rsid w:val="00876095"/>
    <w:rsid w:val="008779CB"/>
    <w:rsid w:val="00880CF1"/>
    <w:rsid w:val="0088433D"/>
    <w:rsid w:val="00887CBA"/>
    <w:rsid w:val="00887CFE"/>
    <w:rsid w:val="00887E0D"/>
    <w:rsid w:val="00890CA8"/>
    <w:rsid w:val="0089365C"/>
    <w:rsid w:val="0089405D"/>
    <w:rsid w:val="008958DB"/>
    <w:rsid w:val="008A0AC6"/>
    <w:rsid w:val="008B0CF3"/>
    <w:rsid w:val="008B252C"/>
    <w:rsid w:val="008B5423"/>
    <w:rsid w:val="008B60FA"/>
    <w:rsid w:val="008C0ABF"/>
    <w:rsid w:val="008C64F0"/>
    <w:rsid w:val="008C707E"/>
    <w:rsid w:val="008D4A3D"/>
    <w:rsid w:val="008E2908"/>
    <w:rsid w:val="008E3434"/>
    <w:rsid w:val="008E4858"/>
    <w:rsid w:val="008F6365"/>
    <w:rsid w:val="008F7183"/>
    <w:rsid w:val="00900742"/>
    <w:rsid w:val="00901D63"/>
    <w:rsid w:val="00903BD9"/>
    <w:rsid w:val="00905CF4"/>
    <w:rsid w:val="00910AFB"/>
    <w:rsid w:val="00911150"/>
    <w:rsid w:val="00913C27"/>
    <w:rsid w:val="00914018"/>
    <w:rsid w:val="00916C1D"/>
    <w:rsid w:val="00917D00"/>
    <w:rsid w:val="00921F74"/>
    <w:rsid w:val="00935624"/>
    <w:rsid w:val="00936F62"/>
    <w:rsid w:val="00942626"/>
    <w:rsid w:val="009437AB"/>
    <w:rsid w:val="00944342"/>
    <w:rsid w:val="00944A64"/>
    <w:rsid w:val="00944D0D"/>
    <w:rsid w:val="009454FD"/>
    <w:rsid w:val="00945F69"/>
    <w:rsid w:val="00950AED"/>
    <w:rsid w:val="00950B8D"/>
    <w:rsid w:val="00950D96"/>
    <w:rsid w:val="009511FA"/>
    <w:rsid w:val="009535CC"/>
    <w:rsid w:val="0095638B"/>
    <w:rsid w:val="009605E6"/>
    <w:rsid w:val="00961635"/>
    <w:rsid w:val="00966D6B"/>
    <w:rsid w:val="00971877"/>
    <w:rsid w:val="00975450"/>
    <w:rsid w:val="0097670E"/>
    <w:rsid w:val="00977664"/>
    <w:rsid w:val="009776D2"/>
    <w:rsid w:val="00977704"/>
    <w:rsid w:val="00985FF9"/>
    <w:rsid w:val="0099243F"/>
    <w:rsid w:val="00996CDC"/>
    <w:rsid w:val="009A149D"/>
    <w:rsid w:val="009A4F3E"/>
    <w:rsid w:val="009B2464"/>
    <w:rsid w:val="009B71F2"/>
    <w:rsid w:val="009B7567"/>
    <w:rsid w:val="009C501B"/>
    <w:rsid w:val="009C50CE"/>
    <w:rsid w:val="009C6A7D"/>
    <w:rsid w:val="009D3CA5"/>
    <w:rsid w:val="009E2E9D"/>
    <w:rsid w:val="009E3B65"/>
    <w:rsid w:val="009E5404"/>
    <w:rsid w:val="009F1589"/>
    <w:rsid w:val="009F36C8"/>
    <w:rsid w:val="00A01350"/>
    <w:rsid w:val="00A051EF"/>
    <w:rsid w:val="00A12E58"/>
    <w:rsid w:val="00A20364"/>
    <w:rsid w:val="00A2079B"/>
    <w:rsid w:val="00A20FBB"/>
    <w:rsid w:val="00A2163D"/>
    <w:rsid w:val="00A23FE3"/>
    <w:rsid w:val="00A247D4"/>
    <w:rsid w:val="00A32DE6"/>
    <w:rsid w:val="00A33F12"/>
    <w:rsid w:val="00A35DAE"/>
    <w:rsid w:val="00A441CD"/>
    <w:rsid w:val="00A443A9"/>
    <w:rsid w:val="00A44557"/>
    <w:rsid w:val="00A4779C"/>
    <w:rsid w:val="00A52D9F"/>
    <w:rsid w:val="00A56645"/>
    <w:rsid w:val="00A56E84"/>
    <w:rsid w:val="00A60C24"/>
    <w:rsid w:val="00A62440"/>
    <w:rsid w:val="00A627DE"/>
    <w:rsid w:val="00A62E43"/>
    <w:rsid w:val="00A6755A"/>
    <w:rsid w:val="00A72C31"/>
    <w:rsid w:val="00A731E7"/>
    <w:rsid w:val="00A74E12"/>
    <w:rsid w:val="00A74E8C"/>
    <w:rsid w:val="00A75808"/>
    <w:rsid w:val="00A90E22"/>
    <w:rsid w:val="00A96576"/>
    <w:rsid w:val="00A97235"/>
    <w:rsid w:val="00AA23C9"/>
    <w:rsid w:val="00AA4461"/>
    <w:rsid w:val="00AA5841"/>
    <w:rsid w:val="00AA7540"/>
    <w:rsid w:val="00AB0664"/>
    <w:rsid w:val="00AB091B"/>
    <w:rsid w:val="00AB1C41"/>
    <w:rsid w:val="00AB1DD7"/>
    <w:rsid w:val="00AB4835"/>
    <w:rsid w:val="00AB7CDB"/>
    <w:rsid w:val="00AC288E"/>
    <w:rsid w:val="00AC4A76"/>
    <w:rsid w:val="00AC6F08"/>
    <w:rsid w:val="00AC7C0A"/>
    <w:rsid w:val="00AD2334"/>
    <w:rsid w:val="00AD234A"/>
    <w:rsid w:val="00AD7603"/>
    <w:rsid w:val="00AE0893"/>
    <w:rsid w:val="00AE404B"/>
    <w:rsid w:val="00AE6206"/>
    <w:rsid w:val="00AE625B"/>
    <w:rsid w:val="00AE63C6"/>
    <w:rsid w:val="00AF11F9"/>
    <w:rsid w:val="00AF345F"/>
    <w:rsid w:val="00AF3AB1"/>
    <w:rsid w:val="00AF52F8"/>
    <w:rsid w:val="00AF6AAA"/>
    <w:rsid w:val="00B01693"/>
    <w:rsid w:val="00B030DD"/>
    <w:rsid w:val="00B04E66"/>
    <w:rsid w:val="00B061B4"/>
    <w:rsid w:val="00B06F09"/>
    <w:rsid w:val="00B12D4C"/>
    <w:rsid w:val="00B16ECE"/>
    <w:rsid w:val="00B2201C"/>
    <w:rsid w:val="00B252FD"/>
    <w:rsid w:val="00B25AF5"/>
    <w:rsid w:val="00B25C3B"/>
    <w:rsid w:val="00B27531"/>
    <w:rsid w:val="00B40341"/>
    <w:rsid w:val="00B41F65"/>
    <w:rsid w:val="00B66CBD"/>
    <w:rsid w:val="00B736E3"/>
    <w:rsid w:val="00B75CCB"/>
    <w:rsid w:val="00B76AFD"/>
    <w:rsid w:val="00B80C71"/>
    <w:rsid w:val="00B815C3"/>
    <w:rsid w:val="00B82474"/>
    <w:rsid w:val="00B83DFE"/>
    <w:rsid w:val="00B86425"/>
    <w:rsid w:val="00B87E4B"/>
    <w:rsid w:val="00B92203"/>
    <w:rsid w:val="00B963F7"/>
    <w:rsid w:val="00BA1F3A"/>
    <w:rsid w:val="00BA65B3"/>
    <w:rsid w:val="00BB0156"/>
    <w:rsid w:val="00BB4D6B"/>
    <w:rsid w:val="00BC7194"/>
    <w:rsid w:val="00BC7B88"/>
    <w:rsid w:val="00BD0DB0"/>
    <w:rsid w:val="00BD5691"/>
    <w:rsid w:val="00BD7C06"/>
    <w:rsid w:val="00BD7F66"/>
    <w:rsid w:val="00BE2ACE"/>
    <w:rsid w:val="00BE5321"/>
    <w:rsid w:val="00BF485A"/>
    <w:rsid w:val="00BF6998"/>
    <w:rsid w:val="00BF787D"/>
    <w:rsid w:val="00C02F3F"/>
    <w:rsid w:val="00C05342"/>
    <w:rsid w:val="00C07AFE"/>
    <w:rsid w:val="00C07B59"/>
    <w:rsid w:val="00C1020A"/>
    <w:rsid w:val="00C14A9D"/>
    <w:rsid w:val="00C153A7"/>
    <w:rsid w:val="00C17DA8"/>
    <w:rsid w:val="00C20904"/>
    <w:rsid w:val="00C2240C"/>
    <w:rsid w:val="00C24E61"/>
    <w:rsid w:val="00C308C1"/>
    <w:rsid w:val="00C3406A"/>
    <w:rsid w:val="00C34CEB"/>
    <w:rsid w:val="00C369F3"/>
    <w:rsid w:val="00C401B3"/>
    <w:rsid w:val="00C4105F"/>
    <w:rsid w:val="00C41646"/>
    <w:rsid w:val="00C43BF6"/>
    <w:rsid w:val="00C46AB8"/>
    <w:rsid w:val="00C47671"/>
    <w:rsid w:val="00C47DB3"/>
    <w:rsid w:val="00C5486C"/>
    <w:rsid w:val="00C5566B"/>
    <w:rsid w:val="00C56104"/>
    <w:rsid w:val="00C70FE0"/>
    <w:rsid w:val="00C71266"/>
    <w:rsid w:val="00C751D8"/>
    <w:rsid w:val="00C75471"/>
    <w:rsid w:val="00C766A2"/>
    <w:rsid w:val="00C80193"/>
    <w:rsid w:val="00C86C4B"/>
    <w:rsid w:val="00C86EC5"/>
    <w:rsid w:val="00C8763C"/>
    <w:rsid w:val="00C911C9"/>
    <w:rsid w:val="00C96D0E"/>
    <w:rsid w:val="00CA1E00"/>
    <w:rsid w:val="00CA3106"/>
    <w:rsid w:val="00CA6219"/>
    <w:rsid w:val="00CA7C21"/>
    <w:rsid w:val="00CB329B"/>
    <w:rsid w:val="00CB41B6"/>
    <w:rsid w:val="00CB7107"/>
    <w:rsid w:val="00CB7409"/>
    <w:rsid w:val="00CC2946"/>
    <w:rsid w:val="00CC3FCD"/>
    <w:rsid w:val="00CC4107"/>
    <w:rsid w:val="00CD2E0B"/>
    <w:rsid w:val="00CD46A6"/>
    <w:rsid w:val="00CE1CAF"/>
    <w:rsid w:val="00CE2F97"/>
    <w:rsid w:val="00CF698A"/>
    <w:rsid w:val="00CF7F93"/>
    <w:rsid w:val="00D002DE"/>
    <w:rsid w:val="00D0565E"/>
    <w:rsid w:val="00D07B27"/>
    <w:rsid w:val="00D12DA5"/>
    <w:rsid w:val="00D17DB4"/>
    <w:rsid w:val="00D23139"/>
    <w:rsid w:val="00D25D10"/>
    <w:rsid w:val="00D3042D"/>
    <w:rsid w:val="00D3101C"/>
    <w:rsid w:val="00D33788"/>
    <w:rsid w:val="00D3575A"/>
    <w:rsid w:val="00D41164"/>
    <w:rsid w:val="00D41826"/>
    <w:rsid w:val="00D42B2D"/>
    <w:rsid w:val="00D46327"/>
    <w:rsid w:val="00D51151"/>
    <w:rsid w:val="00D526AB"/>
    <w:rsid w:val="00D535BF"/>
    <w:rsid w:val="00D54180"/>
    <w:rsid w:val="00D56756"/>
    <w:rsid w:val="00D57DD3"/>
    <w:rsid w:val="00D60F1F"/>
    <w:rsid w:val="00D679D3"/>
    <w:rsid w:val="00D73561"/>
    <w:rsid w:val="00D74802"/>
    <w:rsid w:val="00D75835"/>
    <w:rsid w:val="00D824C0"/>
    <w:rsid w:val="00D8308F"/>
    <w:rsid w:val="00D8403A"/>
    <w:rsid w:val="00D8489C"/>
    <w:rsid w:val="00D84C8C"/>
    <w:rsid w:val="00D86175"/>
    <w:rsid w:val="00D8692F"/>
    <w:rsid w:val="00D91757"/>
    <w:rsid w:val="00D9241B"/>
    <w:rsid w:val="00D93480"/>
    <w:rsid w:val="00D94291"/>
    <w:rsid w:val="00D969B0"/>
    <w:rsid w:val="00DA0433"/>
    <w:rsid w:val="00DA045F"/>
    <w:rsid w:val="00DA3C27"/>
    <w:rsid w:val="00DA5592"/>
    <w:rsid w:val="00DB0FAA"/>
    <w:rsid w:val="00DB2286"/>
    <w:rsid w:val="00DB425B"/>
    <w:rsid w:val="00DC2188"/>
    <w:rsid w:val="00DD293E"/>
    <w:rsid w:val="00DD7484"/>
    <w:rsid w:val="00DE24A0"/>
    <w:rsid w:val="00DE29B4"/>
    <w:rsid w:val="00DE4383"/>
    <w:rsid w:val="00DF1037"/>
    <w:rsid w:val="00DF1315"/>
    <w:rsid w:val="00DF1479"/>
    <w:rsid w:val="00DF2C73"/>
    <w:rsid w:val="00DF47AB"/>
    <w:rsid w:val="00E022CA"/>
    <w:rsid w:val="00E026C5"/>
    <w:rsid w:val="00E04125"/>
    <w:rsid w:val="00E04C3E"/>
    <w:rsid w:val="00E04D58"/>
    <w:rsid w:val="00E0755A"/>
    <w:rsid w:val="00E07783"/>
    <w:rsid w:val="00E10927"/>
    <w:rsid w:val="00E12D19"/>
    <w:rsid w:val="00E15C1D"/>
    <w:rsid w:val="00E2234C"/>
    <w:rsid w:val="00E23515"/>
    <w:rsid w:val="00E24E32"/>
    <w:rsid w:val="00E26DBE"/>
    <w:rsid w:val="00E31A5A"/>
    <w:rsid w:val="00E33C77"/>
    <w:rsid w:val="00E45D6E"/>
    <w:rsid w:val="00E4625C"/>
    <w:rsid w:val="00E46D59"/>
    <w:rsid w:val="00E4782B"/>
    <w:rsid w:val="00E51B84"/>
    <w:rsid w:val="00E51D22"/>
    <w:rsid w:val="00E57497"/>
    <w:rsid w:val="00E61493"/>
    <w:rsid w:val="00E62F4B"/>
    <w:rsid w:val="00E63E43"/>
    <w:rsid w:val="00E651E0"/>
    <w:rsid w:val="00E66AE7"/>
    <w:rsid w:val="00E67C7C"/>
    <w:rsid w:val="00E72DD4"/>
    <w:rsid w:val="00E73606"/>
    <w:rsid w:val="00E73AFC"/>
    <w:rsid w:val="00E74322"/>
    <w:rsid w:val="00E815E4"/>
    <w:rsid w:val="00E8162B"/>
    <w:rsid w:val="00E83F42"/>
    <w:rsid w:val="00E844A7"/>
    <w:rsid w:val="00E86B67"/>
    <w:rsid w:val="00E86C43"/>
    <w:rsid w:val="00EA0670"/>
    <w:rsid w:val="00EA1966"/>
    <w:rsid w:val="00EA2EC4"/>
    <w:rsid w:val="00EA4357"/>
    <w:rsid w:val="00EB5C45"/>
    <w:rsid w:val="00EB5F92"/>
    <w:rsid w:val="00EB7041"/>
    <w:rsid w:val="00EC0466"/>
    <w:rsid w:val="00EC2529"/>
    <w:rsid w:val="00ED2A55"/>
    <w:rsid w:val="00ED4155"/>
    <w:rsid w:val="00ED4C50"/>
    <w:rsid w:val="00EE00A8"/>
    <w:rsid w:val="00EE1EE2"/>
    <w:rsid w:val="00EE270C"/>
    <w:rsid w:val="00EE44F5"/>
    <w:rsid w:val="00EE493E"/>
    <w:rsid w:val="00EF5D49"/>
    <w:rsid w:val="00EF6479"/>
    <w:rsid w:val="00F01EE3"/>
    <w:rsid w:val="00F03697"/>
    <w:rsid w:val="00F06FEB"/>
    <w:rsid w:val="00F07FC2"/>
    <w:rsid w:val="00F1231E"/>
    <w:rsid w:val="00F139A5"/>
    <w:rsid w:val="00F14E5C"/>
    <w:rsid w:val="00F174D6"/>
    <w:rsid w:val="00F27CAB"/>
    <w:rsid w:val="00F35467"/>
    <w:rsid w:val="00F45333"/>
    <w:rsid w:val="00F47D31"/>
    <w:rsid w:val="00F55A4D"/>
    <w:rsid w:val="00F631D7"/>
    <w:rsid w:val="00F7268F"/>
    <w:rsid w:val="00F73A4C"/>
    <w:rsid w:val="00F7491A"/>
    <w:rsid w:val="00F762EC"/>
    <w:rsid w:val="00F76E81"/>
    <w:rsid w:val="00F80CBF"/>
    <w:rsid w:val="00F80DCF"/>
    <w:rsid w:val="00F82B25"/>
    <w:rsid w:val="00F8359B"/>
    <w:rsid w:val="00F85420"/>
    <w:rsid w:val="00FA1D05"/>
    <w:rsid w:val="00FA2A2A"/>
    <w:rsid w:val="00FA3F87"/>
    <w:rsid w:val="00FA5E15"/>
    <w:rsid w:val="00FB406F"/>
    <w:rsid w:val="00FB6A54"/>
    <w:rsid w:val="00FC142F"/>
    <w:rsid w:val="00FD2332"/>
    <w:rsid w:val="00FD584E"/>
    <w:rsid w:val="00FE635C"/>
    <w:rsid w:val="00FE6B6C"/>
    <w:rsid w:val="00FF0D11"/>
    <w:rsid w:val="00FF403A"/>
    <w:rsid w:val="00FF6F8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318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06A"/>
  </w:style>
  <w:style w:type="paragraph" w:styleId="Heading1">
    <w:name w:val="heading 1"/>
    <w:basedOn w:val="Normal"/>
    <w:next w:val="Normal"/>
    <w:link w:val="Heading1Char"/>
    <w:uiPriority w:val="9"/>
    <w:qFormat/>
    <w:rsid w:val="004318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770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8D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15420"/>
    <w:pPr>
      <w:spacing w:line="276" w:lineRule="auto"/>
      <w:outlineLvl w:val="9"/>
    </w:pPr>
  </w:style>
  <w:style w:type="paragraph" w:styleId="TOC1">
    <w:name w:val="toc 1"/>
    <w:basedOn w:val="Normal"/>
    <w:next w:val="Normal"/>
    <w:autoRedefine/>
    <w:uiPriority w:val="39"/>
    <w:unhideWhenUsed/>
    <w:rsid w:val="00315420"/>
    <w:pPr>
      <w:spacing w:after="100"/>
    </w:pPr>
  </w:style>
  <w:style w:type="character" w:styleId="Hyperlink">
    <w:name w:val="Hyperlink"/>
    <w:basedOn w:val="DefaultParagraphFont"/>
    <w:uiPriority w:val="99"/>
    <w:unhideWhenUsed/>
    <w:rsid w:val="00315420"/>
    <w:rPr>
      <w:color w:val="0000FF" w:themeColor="hyperlink"/>
      <w:u w:val="single"/>
    </w:rPr>
  </w:style>
  <w:style w:type="paragraph" w:styleId="BalloonText">
    <w:name w:val="Balloon Text"/>
    <w:basedOn w:val="Normal"/>
    <w:link w:val="BalloonTextChar"/>
    <w:uiPriority w:val="99"/>
    <w:semiHidden/>
    <w:unhideWhenUsed/>
    <w:rsid w:val="00315420"/>
    <w:rPr>
      <w:rFonts w:ascii="Tahoma" w:hAnsi="Tahoma" w:cs="Tahoma"/>
      <w:sz w:val="16"/>
      <w:szCs w:val="16"/>
    </w:rPr>
  </w:style>
  <w:style w:type="character" w:customStyle="1" w:styleId="BalloonTextChar">
    <w:name w:val="Balloon Text Char"/>
    <w:basedOn w:val="DefaultParagraphFont"/>
    <w:link w:val="BalloonText"/>
    <w:uiPriority w:val="99"/>
    <w:semiHidden/>
    <w:rsid w:val="00315420"/>
    <w:rPr>
      <w:rFonts w:ascii="Tahoma" w:hAnsi="Tahoma" w:cs="Tahoma"/>
      <w:sz w:val="16"/>
      <w:szCs w:val="16"/>
    </w:rPr>
  </w:style>
  <w:style w:type="character" w:customStyle="1" w:styleId="Heading2Char">
    <w:name w:val="Heading 2 Char"/>
    <w:basedOn w:val="DefaultParagraphFont"/>
    <w:link w:val="Heading2"/>
    <w:uiPriority w:val="9"/>
    <w:rsid w:val="00977704"/>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8B252C"/>
    <w:rPr>
      <w:sz w:val="20"/>
      <w:szCs w:val="20"/>
    </w:rPr>
  </w:style>
  <w:style w:type="character" w:customStyle="1" w:styleId="FootnoteTextChar">
    <w:name w:val="Footnote Text Char"/>
    <w:basedOn w:val="DefaultParagraphFont"/>
    <w:link w:val="FootnoteText"/>
    <w:uiPriority w:val="99"/>
    <w:semiHidden/>
    <w:rsid w:val="008B252C"/>
    <w:rPr>
      <w:sz w:val="20"/>
      <w:szCs w:val="20"/>
    </w:rPr>
  </w:style>
  <w:style w:type="character" w:styleId="FootnoteReference">
    <w:name w:val="footnote reference"/>
    <w:basedOn w:val="DefaultParagraphFont"/>
    <w:uiPriority w:val="99"/>
    <w:semiHidden/>
    <w:unhideWhenUsed/>
    <w:rsid w:val="008B252C"/>
    <w:rPr>
      <w:vertAlign w:val="superscript"/>
    </w:rPr>
  </w:style>
  <w:style w:type="paragraph" w:styleId="TOC2">
    <w:name w:val="toc 2"/>
    <w:basedOn w:val="Normal"/>
    <w:next w:val="Normal"/>
    <w:autoRedefine/>
    <w:uiPriority w:val="39"/>
    <w:unhideWhenUsed/>
    <w:rsid w:val="00DE29B4"/>
    <w:pPr>
      <w:spacing w:after="100"/>
      <w:ind w:left="220"/>
    </w:pPr>
  </w:style>
  <w:style w:type="table" w:styleId="TableGrid">
    <w:name w:val="Table Grid"/>
    <w:basedOn w:val="TableNormal"/>
    <w:uiPriority w:val="59"/>
    <w:rsid w:val="006F3E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lijst-accent11">
    <w:name w:val="Lichte lijst - accent 11"/>
    <w:basedOn w:val="TableNormal"/>
    <w:uiPriority w:val="61"/>
    <w:rsid w:val="006F3E6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arcering-accent11">
    <w:name w:val="Lichte arcering - accent 11"/>
    <w:basedOn w:val="TableNormal"/>
    <w:uiPriority w:val="60"/>
    <w:rsid w:val="006F3E6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032E2E"/>
    <w:pPr>
      <w:ind w:left="720"/>
      <w:contextualSpacing/>
    </w:pPr>
  </w:style>
  <w:style w:type="paragraph" w:styleId="Header">
    <w:name w:val="header"/>
    <w:basedOn w:val="Normal"/>
    <w:link w:val="HeaderChar"/>
    <w:uiPriority w:val="99"/>
    <w:unhideWhenUsed/>
    <w:rsid w:val="000F68F4"/>
    <w:pPr>
      <w:tabs>
        <w:tab w:val="center" w:pos="4513"/>
        <w:tab w:val="right" w:pos="9026"/>
      </w:tabs>
    </w:pPr>
  </w:style>
  <w:style w:type="character" w:customStyle="1" w:styleId="HeaderChar">
    <w:name w:val="Header Char"/>
    <w:basedOn w:val="DefaultParagraphFont"/>
    <w:link w:val="Header"/>
    <w:uiPriority w:val="99"/>
    <w:rsid w:val="000F68F4"/>
  </w:style>
  <w:style w:type="paragraph" w:styleId="Footer">
    <w:name w:val="footer"/>
    <w:basedOn w:val="Normal"/>
    <w:link w:val="FooterChar"/>
    <w:uiPriority w:val="99"/>
    <w:unhideWhenUsed/>
    <w:rsid w:val="000F68F4"/>
    <w:pPr>
      <w:tabs>
        <w:tab w:val="center" w:pos="4513"/>
        <w:tab w:val="right" w:pos="9026"/>
      </w:tabs>
    </w:pPr>
  </w:style>
  <w:style w:type="character" w:customStyle="1" w:styleId="FooterChar">
    <w:name w:val="Footer Char"/>
    <w:basedOn w:val="DefaultParagraphFont"/>
    <w:link w:val="Footer"/>
    <w:uiPriority w:val="99"/>
    <w:rsid w:val="000F68F4"/>
  </w:style>
  <w:style w:type="table" w:customStyle="1" w:styleId="Lichtearcering-accent12">
    <w:name w:val="Lichte arcering - accent 12"/>
    <w:basedOn w:val="TableNormal"/>
    <w:uiPriority w:val="60"/>
    <w:rsid w:val="00417A9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chtelijst-accent12">
    <w:name w:val="Lichte lijst - accent 12"/>
    <w:basedOn w:val="TableNormal"/>
    <w:uiPriority w:val="61"/>
    <w:rsid w:val="00417A9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emiddeldearcering1-accent11">
    <w:name w:val="Gemiddelde arcering 1 - accent 11"/>
    <w:basedOn w:val="TableNormal"/>
    <w:uiPriority w:val="63"/>
    <w:rsid w:val="00417A9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ody">
    <w:name w:val="body"/>
    <w:basedOn w:val="DefaultParagraphFont"/>
    <w:rsid w:val="00370652"/>
  </w:style>
</w:styles>
</file>

<file path=word/webSettings.xml><?xml version="1.0" encoding="utf-8"?>
<w:webSettings xmlns:r="http://schemas.openxmlformats.org/officeDocument/2006/relationships" xmlns:w="http://schemas.openxmlformats.org/wordprocessingml/2006/main">
  <w:divs>
    <w:div w:id="65227577">
      <w:bodyDiv w:val="1"/>
      <w:marLeft w:val="0"/>
      <w:marRight w:val="0"/>
      <w:marTop w:val="0"/>
      <w:marBottom w:val="0"/>
      <w:divBdr>
        <w:top w:val="none" w:sz="0" w:space="0" w:color="auto"/>
        <w:left w:val="none" w:sz="0" w:space="0" w:color="auto"/>
        <w:bottom w:val="none" w:sz="0" w:space="0" w:color="auto"/>
        <w:right w:val="none" w:sz="0" w:space="0" w:color="auto"/>
      </w:divBdr>
    </w:div>
    <w:div w:id="248120718">
      <w:bodyDiv w:val="1"/>
      <w:marLeft w:val="0"/>
      <w:marRight w:val="0"/>
      <w:marTop w:val="0"/>
      <w:marBottom w:val="0"/>
      <w:divBdr>
        <w:top w:val="none" w:sz="0" w:space="0" w:color="auto"/>
        <w:left w:val="none" w:sz="0" w:space="0" w:color="auto"/>
        <w:bottom w:val="none" w:sz="0" w:space="0" w:color="auto"/>
        <w:right w:val="none" w:sz="0" w:space="0" w:color="auto"/>
      </w:divBdr>
    </w:div>
    <w:div w:id="376853445">
      <w:bodyDiv w:val="1"/>
      <w:marLeft w:val="0"/>
      <w:marRight w:val="0"/>
      <w:marTop w:val="0"/>
      <w:marBottom w:val="0"/>
      <w:divBdr>
        <w:top w:val="none" w:sz="0" w:space="0" w:color="auto"/>
        <w:left w:val="none" w:sz="0" w:space="0" w:color="auto"/>
        <w:bottom w:val="none" w:sz="0" w:space="0" w:color="auto"/>
        <w:right w:val="none" w:sz="0" w:space="0" w:color="auto"/>
      </w:divBdr>
    </w:div>
    <w:div w:id="554120758">
      <w:bodyDiv w:val="1"/>
      <w:marLeft w:val="0"/>
      <w:marRight w:val="0"/>
      <w:marTop w:val="0"/>
      <w:marBottom w:val="0"/>
      <w:divBdr>
        <w:top w:val="none" w:sz="0" w:space="0" w:color="auto"/>
        <w:left w:val="none" w:sz="0" w:space="0" w:color="auto"/>
        <w:bottom w:val="none" w:sz="0" w:space="0" w:color="auto"/>
        <w:right w:val="none" w:sz="0" w:space="0" w:color="auto"/>
      </w:divBdr>
    </w:div>
    <w:div w:id="732503667">
      <w:bodyDiv w:val="1"/>
      <w:marLeft w:val="0"/>
      <w:marRight w:val="0"/>
      <w:marTop w:val="0"/>
      <w:marBottom w:val="0"/>
      <w:divBdr>
        <w:top w:val="none" w:sz="0" w:space="0" w:color="auto"/>
        <w:left w:val="none" w:sz="0" w:space="0" w:color="auto"/>
        <w:bottom w:val="none" w:sz="0" w:space="0" w:color="auto"/>
        <w:right w:val="none" w:sz="0" w:space="0" w:color="auto"/>
      </w:divBdr>
    </w:div>
    <w:div w:id="918442460">
      <w:bodyDiv w:val="1"/>
      <w:marLeft w:val="0"/>
      <w:marRight w:val="0"/>
      <w:marTop w:val="0"/>
      <w:marBottom w:val="0"/>
      <w:divBdr>
        <w:top w:val="none" w:sz="0" w:space="0" w:color="auto"/>
        <w:left w:val="none" w:sz="0" w:space="0" w:color="auto"/>
        <w:bottom w:val="none" w:sz="0" w:space="0" w:color="auto"/>
        <w:right w:val="none" w:sz="0" w:space="0" w:color="auto"/>
      </w:divBdr>
    </w:div>
    <w:div w:id="1201743743">
      <w:bodyDiv w:val="1"/>
      <w:marLeft w:val="0"/>
      <w:marRight w:val="0"/>
      <w:marTop w:val="0"/>
      <w:marBottom w:val="0"/>
      <w:divBdr>
        <w:top w:val="none" w:sz="0" w:space="0" w:color="auto"/>
        <w:left w:val="none" w:sz="0" w:space="0" w:color="auto"/>
        <w:bottom w:val="none" w:sz="0" w:space="0" w:color="auto"/>
        <w:right w:val="none" w:sz="0" w:space="0" w:color="auto"/>
      </w:divBdr>
    </w:div>
    <w:div w:id="1255364241">
      <w:bodyDiv w:val="1"/>
      <w:marLeft w:val="0"/>
      <w:marRight w:val="0"/>
      <w:marTop w:val="0"/>
      <w:marBottom w:val="0"/>
      <w:divBdr>
        <w:top w:val="none" w:sz="0" w:space="0" w:color="auto"/>
        <w:left w:val="none" w:sz="0" w:space="0" w:color="auto"/>
        <w:bottom w:val="none" w:sz="0" w:space="0" w:color="auto"/>
        <w:right w:val="none" w:sz="0" w:space="0" w:color="auto"/>
      </w:divBdr>
    </w:div>
    <w:div w:id="1392265498">
      <w:bodyDiv w:val="1"/>
      <w:marLeft w:val="0"/>
      <w:marRight w:val="0"/>
      <w:marTop w:val="0"/>
      <w:marBottom w:val="0"/>
      <w:divBdr>
        <w:top w:val="none" w:sz="0" w:space="0" w:color="auto"/>
        <w:left w:val="none" w:sz="0" w:space="0" w:color="auto"/>
        <w:bottom w:val="none" w:sz="0" w:space="0" w:color="auto"/>
        <w:right w:val="none" w:sz="0" w:space="0" w:color="auto"/>
      </w:divBdr>
    </w:div>
    <w:div w:id="1443453264">
      <w:bodyDiv w:val="1"/>
      <w:marLeft w:val="0"/>
      <w:marRight w:val="0"/>
      <w:marTop w:val="0"/>
      <w:marBottom w:val="0"/>
      <w:divBdr>
        <w:top w:val="none" w:sz="0" w:space="0" w:color="auto"/>
        <w:left w:val="none" w:sz="0" w:space="0" w:color="auto"/>
        <w:bottom w:val="none" w:sz="0" w:space="0" w:color="auto"/>
        <w:right w:val="none" w:sz="0" w:space="0" w:color="auto"/>
      </w:divBdr>
    </w:div>
    <w:div w:id="1496871019">
      <w:bodyDiv w:val="1"/>
      <w:marLeft w:val="0"/>
      <w:marRight w:val="0"/>
      <w:marTop w:val="0"/>
      <w:marBottom w:val="0"/>
      <w:divBdr>
        <w:top w:val="none" w:sz="0" w:space="0" w:color="auto"/>
        <w:left w:val="none" w:sz="0" w:space="0" w:color="auto"/>
        <w:bottom w:val="none" w:sz="0" w:space="0" w:color="auto"/>
        <w:right w:val="none" w:sz="0" w:space="0" w:color="auto"/>
      </w:divBdr>
    </w:div>
    <w:div w:id="1632859740">
      <w:bodyDiv w:val="1"/>
      <w:marLeft w:val="0"/>
      <w:marRight w:val="0"/>
      <w:marTop w:val="0"/>
      <w:marBottom w:val="0"/>
      <w:divBdr>
        <w:top w:val="none" w:sz="0" w:space="0" w:color="auto"/>
        <w:left w:val="none" w:sz="0" w:space="0" w:color="auto"/>
        <w:bottom w:val="none" w:sz="0" w:space="0" w:color="auto"/>
        <w:right w:val="none" w:sz="0" w:space="0" w:color="auto"/>
      </w:divBdr>
    </w:div>
    <w:div w:id="1659572692">
      <w:bodyDiv w:val="1"/>
      <w:marLeft w:val="0"/>
      <w:marRight w:val="0"/>
      <w:marTop w:val="0"/>
      <w:marBottom w:val="0"/>
      <w:divBdr>
        <w:top w:val="none" w:sz="0" w:space="0" w:color="auto"/>
        <w:left w:val="none" w:sz="0" w:space="0" w:color="auto"/>
        <w:bottom w:val="none" w:sz="0" w:space="0" w:color="auto"/>
        <w:right w:val="none" w:sz="0" w:space="0" w:color="auto"/>
      </w:divBdr>
    </w:div>
    <w:div w:id="1776166234">
      <w:bodyDiv w:val="1"/>
      <w:marLeft w:val="0"/>
      <w:marRight w:val="0"/>
      <w:marTop w:val="0"/>
      <w:marBottom w:val="0"/>
      <w:divBdr>
        <w:top w:val="none" w:sz="0" w:space="0" w:color="auto"/>
        <w:left w:val="none" w:sz="0" w:space="0" w:color="auto"/>
        <w:bottom w:val="none" w:sz="0" w:space="0" w:color="auto"/>
        <w:right w:val="none" w:sz="0" w:space="0" w:color="auto"/>
      </w:divBdr>
    </w:div>
    <w:div w:id="183972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6.emf"/><Relationship Id="rId42" Type="http://schemas.openxmlformats.org/officeDocument/2006/relationships/image" Target="media/image22.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emf"/><Relationship Id="rId25" Type="http://schemas.openxmlformats.org/officeDocument/2006/relationships/image" Target="media/image10.w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emf"/><Relationship Id="rId29" Type="http://schemas.openxmlformats.org/officeDocument/2006/relationships/hyperlink" Target="http://www.cbf.nl" TargetMode="External"/><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9.w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chart" Target="charts/chart5.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18.emf"/><Relationship Id="rId10" Type="http://schemas.openxmlformats.org/officeDocument/2006/relationships/chart" Target="charts/chart2.xml"/><Relationship Id="rId19" Type="http://schemas.openxmlformats.org/officeDocument/2006/relationships/image" Target="media/image4.emf"/><Relationship Id="rId31" Type="http://schemas.openxmlformats.org/officeDocument/2006/relationships/hyperlink" Target="http://www.belastingdienst.nl/variabel/niet_commerciele_organisaties/niet_commerciele_organisaties.htm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QuickStyle" Target="diagrams/quickStyle1.xml"/><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hyperlink" Target="http://www.vfi.nl" TargetMode="External"/><Relationship Id="rId35" Type="http://schemas.openxmlformats.org/officeDocument/2006/relationships/image" Target="media/image17.emf"/><Relationship Id="rId43" Type="http://schemas.openxmlformats.org/officeDocument/2006/relationships/image" Target="media/image23.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MadBoy\My%20Documents\Erasmus\Master\Thesis\H1%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adBoy\My%20Documents\Erasmus\Master\Thesis\H1%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MadBoy\My%20Documents\Erasmus\Master\Thesis\H1%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MadBoy\My%20Documents\Erasmus\Master\Thesis\Dataset%20v0.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MadBoy\My%20Documents\Erasmus\Master\Thesis\Dataset%20v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Number of charities per category</a:t>
            </a:r>
          </a:p>
        </c:rich>
      </c:tx>
    </c:title>
    <c:plotArea>
      <c:layout>
        <c:manualLayout>
          <c:layoutTarget val="inner"/>
          <c:xMode val="edge"/>
          <c:yMode val="edge"/>
          <c:x val="0.13692388451444024"/>
          <c:y val="0.17294091047608218"/>
          <c:w val="0.36762593564693302"/>
          <c:h val="0.74351312827469596"/>
        </c:manualLayout>
      </c:layout>
      <c:pieChart>
        <c:varyColors val="1"/>
        <c:ser>
          <c:idx val="0"/>
          <c:order val="0"/>
          <c:explosion val="2"/>
          <c:dLbls>
            <c:dLbl>
              <c:idx val="0"/>
              <c:layout>
                <c:manualLayout>
                  <c:x val="-7.4248663361524303E-2"/>
                  <c:y val="0.17843561689620738"/>
                </c:manualLayout>
              </c:layout>
              <c:showVal val="1"/>
            </c:dLbl>
            <c:dLbl>
              <c:idx val="1"/>
              <c:layout>
                <c:manualLayout>
                  <c:x val="-6.5104500826285924E-2"/>
                  <c:y val="-0.19089759847434959"/>
                </c:manualLayout>
              </c:layout>
              <c:showVal val="1"/>
            </c:dLbl>
            <c:dLbl>
              <c:idx val="2"/>
              <c:layout>
                <c:manualLayout>
                  <c:x val="8.0835909400214068E-2"/>
                  <c:y val="-8.3282904243711112E-2"/>
                </c:manualLayout>
              </c:layout>
              <c:showVal val="1"/>
            </c:dLbl>
            <c:dLbl>
              <c:idx val="3"/>
              <c:layout>
                <c:manualLayout>
                  <c:x val="8.1658306600564265E-2"/>
                  <c:y val="9.6106245146324265E-2"/>
                </c:manualLayout>
              </c:layout>
              <c:showVal val="1"/>
            </c:dLbl>
            <c:showVal val="1"/>
            <c:showLeaderLines val="1"/>
          </c:dLbls>
          <c:cat>
            <c:strRef>
              <c:f>('uitsplitsing aantallen'!$A$6,'uitsplitsing aantallen'!$A$12,'uitsplitsing aantallen'!$A$18,'uitsplitsing aantallen'!$A$27)</c:f>
              <c:strCache>
                <c:ptCount val="4"/>
                <c:pt idx="0">
                  <c:v>Health care</c:v>
                </c:pt>
                <c:pt idx="1">
                  <c:v>Intenational aid</c:v>
                </c:pt>
                <c:pt idx="2">
                  <c:v>Nature and environment</c:v>
                </c:pt>
                <c:pt idx="3">
                  <c:v>General welfare</c:v>
                </c:pt>
              </c:strCache>
            </c:strRef>
          </c:cat>
          <c:val>
            <c:numRef>
              <c:f>('uitsplitsing aantallen'!$B$6,'uitsplitsing aantallen'!$B$12,'uitsplitsing aantallen'!$B$18,'uitsplitsing aantallen'!$B$27)</c:f>
              <c:numCache>
                <c:formatCode>Standaard</c:formatCode>
                <c:ptCount val="4"/>
                <c:pt idx="0">
                  <c:v>242</c:v>
                </c:pt>
                <c:pt idx="1">
                  <c:v>539</c:v>
                </c:pt>
                <c:pt idx="2">
                  <c:v>112</c:v>
                </c:pt>
                <c:pt idx="3">
                  <c:v>360</c:v>
                </c:pt>
              </c:numCache>
            </c:numRef>
          </c:val>
        </c:ser>
        <c:firstSliceAng val="0"/>
      </c:pieChart>
    </c:plotArea>
    <c:legend>
      <c:legendPos val="r"/>
      <c:layout>
        <c:manualLayout>
          <c:xMode val="edge"/>
          <c:yMode val="edge"/>
          <c:x val="0.55045136136506356"/>
          <c:y val="0.21314304461942693"/>
          <c:w val="0.34088604696226332"/>
          <c:h val="0.73074967191602513"/>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Income per category</a:t>
            </a:r>
          </a:p>
        </c:rich>
      </c:tx>
    </c:title>
    <c:plotArea>
      <c:layout>
        <c:manualLayout>
          <c:layoutTarget val="inner"/>
          <c:xMode val="edge"/>
          <c:yMode val="edge"/>
          <c:x val="0.21994685039370487"/>
          <c:y val="0.19480351414406533"/>
          <c:w val="0.40577668416448887"/>
          <c:h val="0.6214654418197727"/>
        </c:manualLayout>
      </c:layout>
      <c:barChart>
        <c:barDir val="col"/>
        <c:grouping val="stacked"/>
        <c:ser>
          <c:idx val="0"/>
          <c:order val="0"/>
          <c:tx>
            <c:strRef>
              <c:f>'totale baten per sector'!$A$40</c:f>
              <c:strCache>
                <c:ptCount val="1"/>
                <c:pt idx="0">
                  <c:v>Health care</c:v>
                </c:pt>
              </c:strCache>
            </c:strRef>
          </c:tx>
          <c:cat>
            <c:numRef>
              <c:f>'totale baten per sector'!$B$39:$F$39</c:f>
              <c:numCache>
                <c:formatCode>Standaard</c:formatCode>
                <c:ptCount val="5"/>
                <c:pt idx="0">
                  <c:v>2005</c:v>
                </c:pt>
                <c:pt idx="1">
                  <c:v>2006</c:v>
                </c:pt>
                <c:pt idx="2">
                  <c:v>2007</c:v>
                </c:pt>
                <c:pt idx="3">
                  <c:v>2008</c:v>
                </c:pt>
                <c:pt idx="4">
                  <c:v>2009</c:v>
                </c:pt>
              </c:numCache>
            </c:numRef>
          </c:cat>
          <c:val>
            <c:numRef>
              <c:f>'totale baten per sector'!$B$40:$F$40</c:f>
              <c:numCache>
                <c:formatCode>#,##0.00_-</c:formatCode>
                <c:ptCount val="5"/>
                <c:pt idx="0">
                  <c:v>410.71131299999121</c:v>
                </c:pt>
                <c:pt idx="1">
                  <c:v>416.72516299999899</c:v>
                </c:pt>
                <c:pt idx="2">
                  <c:v>453.76367199999999</c:v>
                </c:pt>
                <c:pt idx="3">
                  <c:v>455.71463399999999</c:v>
                </c:pt>
                <c:pt idx="4">
                  <c:v>511.36080399999997</c:v>
                </c:pt>
              </c:numCache>
            </c:numRef>
          </c:val>
        </c:ser>
        <c:ser>
          <c:idx val="1"/>
          <c:order val="1"/>
          <c:tx>
            <c:strRef>
              <c:f>'totale baten per sector'!$A$41</c:f>
              <c:strCache>
                <c:ptCount val="1"/>
                <c:pt idx="0">
                  <c:v>Intenational aid</c:v>
                </c:pt>
              </c:strCache>
            </c:strRef>
          </c:tx>
          <c:cat>
            <c:numRef>
              <c:f>'totale baten per sector'!$B$39:$F$39</c:f>
              <c:numCache>
                <c:formatCode>Standaard</c:formatCode>
                <c:ptCount val="5"/>
                <c:pt idx="0">
                  <c:v>2005</c:v>
                </c:pt>
                <c:pt idx="1">
                  <c:v>2006</c:v>
                </c:pt>
                <c:pt idx="2">
                  <c:v>2007</c:v>
                </c:pt>
                <c:pt idx="3">
                  <c:v>2008</c:v>
                </c:pt>
                <c:pt idx="4">
                  <c:v>2009</c:v>
                </c:pt>
              </c:numCache>
            </c:numRef>
          </c:cat>
          <c:val>
            <c:numRef>
              <c:f>'totale baten per sector'!$B$41:$F$41</c:f>
              <c:numCache>
                <c:formatCode>#,##0.00_-</c:formatCode>
                <c:ptCount val="5"/>
                <c:pt idx="0">
                  <c:v>1330.889966</c:v>
                </c:pt>
                <c:pt idx="1">
                  <c:v>1198.064519</c:v>
                </c:pt>
                <c:pt idx="2">
                  <c:v>1276.811976</c:v>
                </c:pt>
                <c:pt idx="3">
                  <c:v>1310.2838850000001</c:v>
                </c:pt>
                <c:pt idx="4">
                  <c:v>1321.7255340000011</c:v>
                </c:pt>
              </c:numCache>
            </c:numRef>
          </c:val>
        </c:ser>
        <c:ser>
          <c:idx val="2"/>
          <c:order val="2"/>
          <c:tx>
            <c:strRef>
              <c:f>'totale baten per sector'!$A$42</c:f>
              <c:strCache>
                <c:ptCount val="1"/>
                <c:pt idx="0">
                  <c:v>Nature and environment</c:v>
                </c:pt>
              </c:strCache>
            </c:strRef>
          </c:tx>
          <c:cat>
            <c:numRef>
              <c:f>'totale baten per sector'!$B$39:$F$39</c:f>
              <c:numCache>
                <c:formatCode>Standaard</c:formatCode>
                <c:ptCount val="5"/>
                <c:pt idx="0">
                  <c:v>2005</c:v>
                </c:pt>
                <c:pt idx="1">
                  <c:v>2006</c:v>
                </c:pt>
                <c:pt idx="2">
                  <c:v>2007</c:v>
                </c:pt>
                <c:pt idx="3">
                  <c:v>2008</c:v>
                </c:pt>
                <c:pt idx="4">
                  <c:v>2009</c:v>
                </c:pt>
              </c:numCache>
            </c:numRef>
          </c:cat>
          <c:val>
            <c:numRef>
              <c:f>'totale baten per sector'!$B$42:$F$42</c:f>
              <c:numCache>
                <c:formatCode>#,##0.00_-</c:formatCode>
                <c:ptCount val="5"/>
                <c:pt idx="0">
                  <c:v>450.41678699999869</c:v>
                </c:pt>
                <c:pt idx="1">
                  <c:v>467.66664200000002</c:v>
                </c:pt>
                <c:pt idx="2">
                  <c:v>508.41203999999863</c:v>
                </c:pt>
                <c:pt idx="3">
                  <c:v>474.30654199999969</c:v>
                </c:pt>
                <c:pt idx="4">
                  <c:v>577.58147200000053</c:v>
                </c:pt>
              </c:numCache>
            </c:numRef>
          </c:val>
        </c:ser>
        <c:ser>
          <c:idx val="3"/>
          <c:order val="3"/>
          <c:tx>
            <c:strRef>
              <c:f>'totale baten per sector'!$A$43</c:f>
              <c:strCache>
                <c:ptCount val="1"/>
                <c:pt idx="0">
                  <c:v>General welfare</c:v>
                </c:pt>
              </c:strCache>
            </c:strRef>
          </c:tx>
          <c:cat>
            <c:numRef>
              <c:f>'totale baten per sector'!$B$39:$F$39</c:f>
              <c:numCache>
                <c:formatCode>Standaard</c:formatCode>
                <c:ptCount val="5"/>
                <c:pt idx="0">
                  <c:v>2005</c:v>
                </c:pt>
                <c:pt idx="1">
                  <c:v>2006</c:v>
                </c:pt>
                <c:pt idx="2">
                  <c:v>2007</c:v>
                </c:pt>
                <c:pt idx="3">
                  <c:v>2008</c:v>
                </c:pt>
                <c:pt idx="4">
                  <c:v>2009</c:v>
                </c:pt>
              </c:numCache>
            </c:numRef>
          </c:cat>
          <c:val>
            <c:numRef>
              <c:f>'totale baten per sector'!$B$43:$F$43</c:f>
              <c:numCache>
                <c:formatCode>#,##0.00_-</c:formatCode>
                <c:ptCount val="5"/>
                <c:pt idx="0">
                  <c:v>824.92799299999797</c:v>
                </c:pt>
                <c:pt idx="1">
                  <c:v>1071.3940959999998</c:v>
                </c:pt>
                <c:pt idx="2">
                  <c:v>1102.2371800000001</c:v>
                </c:pt>
                <c:pt idx="3">
                  <c:v>1069.0555350000011</c:v>
                </c:pt>
                <c:pt idx="4">
                  <c:v>1236.2305910000011</c:v>
                </c:pt>
              </c:numCache>
            </c:numRef>
          </c:val>
        </c:ser>
        <c:overlap val="100"/>
        <c:axId val="90244992"/>
        <c:axId val="90271744"/>
      </c:barChart>
      <c:catAx>
        <c:axId val="90244992"/>
        <c:scaling>
          <c:orientation val="minMax"/>
        </c:scaling>
        <c:axPos val="b"/>
        <c:title>
          <c:tx>
            <c:rich>
              <a:bodyPr/>
              <a:lstStyle/>
              <a:p>
                <a:pPr>
                  <a:defRPr/>
                </a:pPr>
                <a:r>
                  <a:rPr lang="en-US"/>
                  <a:t>Year</a:t>
                </a:r>
              </a:p>
            </c:rich>
          </c:tx>
          <c:layout>
            <c:manualLayout>
              <c:xMode val="edge"/>
              <c:yMode val="edge"/>
              <c:x val="0.39405730533684202"/>
              <c:y val="0.91108778069407992"/>
            </c:manualLayout>
          </c:layout>
        </c:title>
        <c:numFmt formatCode="Standaard" sourceLinked="1"/>
        <c:tickLblPos val="nextTo"/>
        <c:crossAx val="90271744"/>
        <c:crosses val="autoZero"/>
        <c:auto val="1"/>
        <c:lblAlgn val="ctr"/>
        <c:lblOffset val="100"/>
      </c:catAx>
      <c:valAx>
        <c:axId val="90271744"/>
        <c:scaling>
          <c:orientation val="minMax"/>
        </c:scaling>
        <c:axPos val="l"/>
        <c:majorGridlines/>
        <c:title>
          <c:tx>
            <c:rich>
              <a:bodyPr rot="-5400000" vert="horz"/>
              <a:lstStyle/>
              <a:p>
                <a:pPr>
                  <a:defRPr/>
                </a:pPr>
                <a:r>
                  <a:rPr lang="nl-NL" b="1"/>
                  <a:t>Income</a:t>
                </a:r>
                <a:r>
                  <a:rPr lang="nl-NL" b="1" baseline="0"/>
                  <a:t> (million €)</a:t>
                </a:r>
                <a:endParaRPr lang="nl-NL" b="1"/>
              </a:p>
            </c:rich>
          </c:tx>
          <c:layout>
            <c:manualLayout>
              <c:xMode val="edge"/>
              <c:yMode val="edge"/>
              <c:x val="3.0555555555555582E-2"/>
              <c:y val="0.30711030912803167"/>
            </c:manualLayout>
          </c:layout>
        </c:title>
        <c:numFmt formatCode="#,##0.00_-" sourceLinked="1"/>
        <c:tickLblPos val="nextTo"/>
        <c:crossAx val="90244992"/>
        <c:crosses val="autoZero"/>
        <c:crossBetween val="between"/>
      </c:valAx>
    </c:plotArea>
    <c:legend>
      <c:legendPos val="r"/>
      <c:layout>
        <c:manualLayout>
          <c:xMode val="edge"/>
          <c:yMode val="edge"/>
          <c:x val="0.65627909011375474"/>
          <c:y val="0.32093358121902477"/>
          <c:w val="0.32705424321960919"/>
          <c:h val="0.41820209973753281"/>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Sources of income (in</a:t>
            </a:r>
            <a:r>
              <a:rPr lang="nl-NL" baseline="0"/>
              <a:t> million of €)</a:t>
            </a:r>
            <a:endParaRPr lang="nl-NL"/>
          </a:p>
        </c:rich>
      </c:tx>
    </c:title>
    <c:plotArea>
      <c:layout/>
      <c:pieChart>
        <c:varyColors val="1"/>
        <c:ser>
          <c:idx val="0"/>
          <c:order val="0"/>
          <c:dLbls>
            <c:dLbl>
              <c:idx val="0"/>
              <c:layout>
                <c:manualLayout>
                  <c:x val="-0.11113823437476635"/>
                  <c:y val="7.0646683183293729E-2"/>
                </c:manualLayout>
              </c:layout>
              <c:showVal val="1"/>
            </c:dLbl>
            <c:dLbl>
              <c:idx val="1"/>
              <c:layout>
                <c:manualLayout>
                  <c:x val="2.4055192533825816E-2"/>
                  <c:y val="-0.14013098829935977"/>
                </c:manualLayout>
              </c:layout>
              <c:showVal val="1"/>
            </c:dLbl>
            <c:dLbl>
              <c:idx val="2"/>
              <c:layout>
                <c:manualLayout>
                  <c:x val="9.2933033654347089E-2"/>
                  <c:y val="-4.1075706658163055E-2"/>
                </c:manualLayout>
              </c:layout>
              <c:showVal val="1"/>
            </c:dLbl>
            <c:dLbl>
              <c:idx val="3"/>
              <c:layout>
                <c:manualLayout>
                  <c:x val="-9.48801532133625E-3"/>
                  <c:y val="2.9536962085347012E-3"/>
                </c:manualLayout>
              </c:layout>
              <c:showVal val="1"/>
            </c:dLbl>
            <c:dLbl>
              <c:idx val="5"/>
              <c:layout>
                <c:manualLayout>
                  <c:x val="7.942812913981219E-2"/>
                  <c:y val="4.8298542121487147E-2"/>
                </c:manualLayout>
              </c:layout>
              <c:showVal val="1"/>
            </c:dLbl>
            <c:dLbl>
              <c:idx val="6"/>
              <c:layout>
                <c:manualLayout>
                  <c:x val="-3.1664756461208012E-3"/>
                  <c:y val="-4.2652145117374266E-3"/>
                </c:manualLayout>
              </c:layout>
              <c:showVal val="1"/>
            </c:dLbl>
            <c:dLbl>
              <c:idx val="8"/>
              <c:layout>
                <c:manualLayout>
                  <c:x val="-5.2858610065047405E-3"/>
                  <c:y val="-1.2048961169573429E-3"/>
                </c:manualLayout>
              </c:layout>
              <c:showVal val="1"/>
            </c:dLbl>
            <c:dLbl>
              <c:idx val="9"/>
              <c:layout>
                <c:manualLayout>
                  <c:x val="3.1668924182208791E-2"/>
                  <c:y val="9.1748718326097128E-2"/>
                </c:manualLayout>
              </c:layout>
              <c:showVal val="1"/>
            </c:dLbl>
            <c:showVal val="1"/>
            <c:showLeaderLines val="1"/>
          </c:dLbls>
          <c:cat>
            <c:strRef>
              <c:f>'uitsplitsing baten'!$A$2:$A$11</c:f>
              <c:strCache>
                <c:ptCount val="10"/>
                <c:pt idx="0">
                  <c:v>Government subsidies</c:v>
                </c:pt>
                <c:pt idx="1">
                  <c:v>Donations and contributions</c:v>
                </c:pt>
                <c:pt idx="2">
                  <c:v>Income from third parties</c:v>
                </c:pt>
                <c:pt idx="3">
                  <c:v>Income from collective activities</c:v>
                </c:pt>
                <c:pt idx="4">
                  <c:v>Door-to-door collects</c:v>
                </c:pt>
                <c:pt idx="5">
                  <c:v>Legacies / Inheritances</c:v>
                </c:pt>
                <c:pt idx="6">
                  <c:v>Direct mailing </c:v>
                </c:pt>
                <c:pt idx="7">
                  <c:v>Return on investments (including interest)</c:v>
                </c:pt>
                <c:pt idx="8">
                  <c:v>Income from sales and other activities</c:v>
                </c:pt>
                <c:pt idx="9">
                  <c:v>Other</c:v>
                </c:pt>
              </c:strCache>
            </c:strRef>
          </c:cat>
          <c:val>
            <c:numRef>
              <c:f>'uitsplitsing baten'!$G$2:$G$11</c:f>
              <c:numCache>
                <c:formatCode>#,##0.0</c:formatCode>
                <c:ptCount val="10"/>
                <c:pt idx="0">
                  <c:v>1450.2433359999998</c:v>
                </c:pt>
                <c:pt idx="1">
                  <c:v>889.046876</c:v>
                </c:pt>
                <c:pt idx="2">
                  <c:v>437.55029200000001</c:v>
                </c:pt>
                <c:pt idx="3">
                  <c:v>18.171047999999999</c:v>
                </c:pt>
                <c:pt idx="4">
                  <c:v>63.092902000000514</c:v>
                </c:pt>
                <c:pt idx="5">
                  <c:v>232.92245500000001</c:v>
                </c:pt>
                <c:pt idx="6">
                  <c:v>60.251818</c:v>
                </c:pt>
                <c:pt idx="7">
                  <c:v>175.15857299999999</c:v>
                </c:pt>
                <c:pt idx="8">
                  <c:v>80.255385999999959</c:v>
                </c:pt>
                <c:pt idx="9">
                  <c:v>240.20571499999932</c:v>
                </c:pt>
              </c:numCache>
            </c:numRef>
          </c:val>
        </c:ser>
        <c:firstSliceAng val="0"/>
      </c:pieChart>
    </c:plotArea>
    <c:legend>
      <c:legendPos val="r"/>
      <c:layout>
        <c:manualLayout>
          <c:xMode val="edge"/>
          <c:yMode val="edge"/>
          <c:x val="0.57744409548051157"/>
          <c:y val="0.14748922739797982"/>
          <c:w val="0.40588918823710796"/>
          <c:h val="0.81314723510028564"/>
        </c:manualLayout>
      </c:layout>
      <c:txPr>
        <a:bodyPr/>
        <a:lstStyle/>
        <a:p>
          <a:pPr>
            <a:defRPr sz="900"/>
          </a:pPr>
          <a:endParaRPr lang="nl-NL"/>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en-US"/>
              <a:t>Scatterplot:
Program expenses / total income</a:t>
            </a:r>
          </a:p>
        </c:rich>
      </c:tx>
    </c:title>
    <c:plotArea>
      <c:layout>
        <c:manualLayout>
          <c:layoutTarget val="inner"/>
          <c:xMode val="edge"/>
          <c:yMode val="edge"/>
          <c:x val="9.1193373555578328E-2"/>
          <c:y val="0.22835122882366968"/>
          <c:w val="0.69486518730613223"/>
          <c:h val="0.62910934127503393"/>
        </c:manualLayout>
      </c:layout>
      <c:scatterChart>
        <c:scatterStyle val="lineMarker"/>
        <c:ser>
          <c:idx val="0"/>
          <c:order val="0"/>
          <c:tx>
            <c:strRef>
              <c:f>dataset!$AJ$1</c:f>
              <c:strCache>
                <c:ptCount val="1"/>
                <c:pt idx="0">
                  <c:v>Program expenses / total income</c:v>
                </c:pt>
              </c:strCache>
            </c:strRef>
          </c:tx>
          <c:spPr>
            <a:ln w="28575">
              <a:noFill/>
            </a:ln>
          </c:spPr>
          <c:yVal>
            <c:numRef>
              <c:f>dataset!$AJ$2:$AJ$775</c:f>
              <c:numCache>
                <c:formatCode>Standaard</c:formatCode>
                <c:ptCount val="774"/>
                <c:pt idx="0">
                  <c:v>0.87505656644124552</c:v>
                </c:pt>
                <c:pt idx="1">
                  <c:v>0.71200540047483818</c:v>
                </c:pt>
                <c:pt idx="2">
                  <c:v>0.75629453681710634</c:v>
                </c:pt>
                <c:pt idx="3">
                  <c:v>0.47369003987272945</c:v>
                </c:pt>
                <c:pt idx="4">
                  <c:v>0.8319717192523417</c:v>
                </c:pt>
                <c:pt idx="5">
                  <c:v>0.93834932608575072</c:v>
                </c:pt>
                <c:pt idx="6">
                  <c:v>0.83019592832845479</c:v>
                </c:pt>
                <c:pt idx="7">
                  <c:v>1.4211131758251478</c:v>
                </c:pt>
                <c:pt idx="8">
                  <c:v>1.0972423802612481</c:v>
                </c:pt>
                <c:pt idx="9">
                  <c:v>0.89337352475348697</c:v>
                </c:pt>
                <c:pt idx="10">
                  <c:v>0.82250188052965267</c:v>
                </c:pt>
                <c:pt idx="11">
                  <c:v>0.84913146855264954</c:v>
                </c:pt>
                <c:pt idx="12">
                  <c:v>0.48946245347062262</c:v>
                </c:pt>
                <c:pt idx="13">
                  <c:v>0.7545531071431536</c:v>
                </c:pt>
                <c:pt idx="14">
                  <c:v>0.96985569214324496</c:v>
                </c:pt>
                <c:pt idx="15">
                  <c:v>0.74169389138877806</c:v>
                </c:pt>
                <c:pt idx="16">
                  <c:v>1.8571428571428572</c:v>
                </c:pt>
                <c:pt idx="17">
                  <c:v>1.1251672592422679</c:v>
                </c:pt>
                <c:pt idx="18">
                  <c:v>0.93077181641759132</c:v>
                </c:pt>
                <c:pt idx="19">
                  <c:v>1.4767316664672798</c:v>
                </c:pt>
                <c:pt idx="20">
                  <c:v>0.91869629071415415</c:v>
                </c:pt>
                <c:pt idx="21">
                  <c:v>0.89125215284142356</c:v>
                </c:pt>
                <c:pt idx="22">
                  <c:v>0.9930937137171989</c:v>
                </c:pt>
                <c:pt idx="23">
                  <c:v>0.66806998758913239</c:v>
                </c:pt>
                <c:pt idx="24">
                  <c:v>0.22800830327795393</c:v>
                </c:pt>
                <c:pt idx="25">
                  <c:v>1.1578118850846078</c:v>
                </c:pt>
                <c:pt idx="26">
                  <c:v>0.44915866093004347</c:v>
                </c:pt>
                <c:pt idx="27">
                  <c:v>0.59325691166554251</c:v>
                </c:pt>
                <c:pt idx="28">
                  <c:v>0.89703976876308178</c:v>
                </c:pt>
                <c:pt idx="29">
                  <c:v>0.32135143186382253</c:v>
                </c:pt>
                <c:pt idx="30">
                  <c:v>0.67381105978685962</c:v>
                </c:pt>
                <c:pt idx="31">
                  <c:v>1.0929986034757</c:v>
                </c:pt>
                <c:pt idx="32">
                  <c:v>0.63795446281044565</c:v>
                </c:pt>
                <c:pt idx="33">
                  <c:v>0.85539651145899764</c:v>
                </c:pt>
                <c:pt idx="34">
                  <c:v>0.73996175908221751</c:v>
                </c:pt>
                <c:pt idx="35">
                  <c:v>0.5413475657155995</c:v>
                </c:pt>
                <c:pt idx="36">
                  <c:v>0.65737668756665313</c:v>
                </c:pt>
                <c:pt idx="37">
                  <c:v>0.8559817626944205</c:v>
                </c:pt>
                <c:pt idx="38">
                  <c:v>0.78222211637313765</c:v>
                </c:pt>
                <c:pt idx="39">
                  <c:v>0.84924279804152281</c:v>
                </c:pt>
                <c:pt idx="40">
                  <c:v>0.92024801395078948</c:v>
                </c:pt>
                <c:pt idx="41">
                  <c:v>0.75910012692762208</c:v>
                </c:pt>
                <c:pt idx="42">
                  <c:v>0.77127383270768035</c:v>
                </c:pt>
                <c:pt idx="43">
                  <c:v>0.89541801138816368</c:v>
                </c:pt>
                <c:pt idx="44">
                  <c:v>0.92551369863013699</c:v>
                </c:pt>
                <c:pt idx="45">
                  <c:v>1.2107544073715657</c:v>
                </c:pt>
                <c:pt idx="46">
                  <c:v>0.69347763824346764</c:v>
                </c:pt>
                <c:pt idx="47">
                  <c:v>1.0646887667827325</c:v>
                </c:pt>
                <c:pt idx="48">
                  <c:v>0.27901785714286054</c:v>
                </c:pt>
                <c:pt idx="49">
                  <c:v>0.87197249901068064</c:v>
                </c:pt>
                <c:pt idx="50">
                  <c:v>0.95731259451285156</c:v>
                </c:pt>
                <c:pt idx="51">
                  <c:v>0.43752355890042438</c:v>
                </c:pt>
                <c:pt idx="52">
                  <c:v>1.4771849974928484</c:v>
                </c:pt>
                <c:pt idx="53">
                  <c:v>0.82321778187261607</c:v>
                </c:pt>
                <c:pt idx="54">
                  <c:v>0.84615793475271706</c:v>
                </c:pt>
                <c:pt idx="55">
                  <c:v>0.72973999318786664</c:v>
                </c:pt>
                <c:pt idx="56">
                  <c:v>0.66976245758171593</c:v>
                </c:pt>
                <c:pt idx="57">
                  <c:v>0.77892988335846536</c:v>
                </c:pt>
                <c:pt idx="58">
                  <c:v>0.80923929602298772</c:v>
                </c:pt>
                <c:pt idx="59">
                  <c:v>0.81261713221869025</c:v>
                </c:pt>
                <c:pt idx="60">
                  <c:v>1.3349109896485487</c:v>
                </c:pt>
                <c:pt idx="61">
                  <c:v>1.0690559673102886</c:v>
                </c:pt>
                <c:pt idx="62">
                  <c:v>2.4737562756732077</c:v>
                </c:pt>
                <c:pt idx="63">
                  <c:v>0.94141690052387361</c:v>
                </c:pt>
                <c:pt idx="64">
                  <c:v>0.94118343986195341</c:v>
                </c:pt>
                <c:pt idx="65">
                  <c:v>0.58479779800973952</c:v>
                </c:pt>
                <c:pt idx="66">
                  <c:v>0.33458909892213917</c:v>
                </c:pt>
                <c:pt idx="67">
                  <c:v>0.54992761251104638</c:v>
                </c:pt>
                <c:pt idx="68">
                  <c:v>0.86925006969612495</c:v>
                </c:pt>
                <c:pt idx="69">
                  <c:v>0.75566016254280477</c:v>
                </c:pt>
                <c:pt idx="70">
                  <c:v>0.55952401815600861</c:v>
                </c:pt>
                <c:pt idx="71">
                  <c:v>0.59281753366781098</c:v>
                </c:pt>
                <c:pt idx="72">
                  <c:v>0.50821534183262951</c:v>
                </c:pt>
                <c:pt idx="73">
                  <c:v>0.49130721216655332</c:v>
                </c:pt>
                <c:pt idx="74">
                  <c:v>0.9271011533579826</c:v>
                </c:pt>
                <c:pt idx="75">
                  <c:v>0.78566829369613045</c:v>
                </c:pt>
                <c:pt idx="76">
                  <c:v>0.90834216502649456</c:v>
                </c:pt>
                <c:pt idx="77">
                  <c:v>0.6379945022295227</c:v>
                </c:pt>
                <c:pt idx="78">
                  <c:v>0.78929091520107564</c:v>
                </c:pt>
                <c:pt idx="79">
                  <c:v>0.35623227526815932</c:v>
                </c:pt>
                <c:pt idx="80">
                  <c:v>0.6854352202415136</c:v>
                </c:pt>
                <c:pt idx="81">
                  <c:v>0.79616541820812536</c:v>
                </c:pt>
                <c:pt idx="82">
                  <c:v>0.95148475518919462</c:v>
                </c:pt>
                <c:pt idx="83">
                  <c:v>1.1391520687069827</c:v>
                </c:pt>
                <c:pt idx="84">
                  <c:v>0.90527977102723056</c:v>
                </c:pt>
                <c:pt idx="85">
                  <c:v>1.0971132411541178</c:v>
                </c:pt>
                <c:pt idx="86">
                  <c:v>0.94685761720417461</c:v>
                </c:pt>
                <c:pt idx="87">
                  <c:v>0.95175431454226278</c:v>
                </c:pt>
                <c:pt idx="88">
                  <c:v>0.75854381554529848</c:v>
                </c:pt>
                <c:pt idx="89">
                  <c:v>0.83706375687618362</c:v>
                </c:pt>
                <c:pt idx="90">
                  <c:v>0.87061106309064595</c:v>
                </c:pt>
                <c:pt idx="91">
                  <c:v>0.472120676023705</c:v>
                </c:pt>
                <c:pt idx="92">
                  <c:v>0.90293113387432933</c:v>
                </c:pt>
                <c:pt idx="93">
                  <c:v>0.99188724741248124</c:v>
                </c:pt>
                <c:pt idx="94">
                  <c:v>0.49124703621376625</c:v>
                </c:pt>
                <c:pt idx="95">
                  <c:v>0.85954952566482279</c:v>
                </c:pt>
                <c:pt idx="96">
                  <c:v>0.70215115074812062</c:v>
                </c:pt>
                <c:pt idx="97">
                  <c:v>0.96638926520869661</c:v>
                </c:pt>
                <c:pt idx="98">
                  <c:v>0.65503762337535465</c:v>
                </c:pt>
                <c:pt idx="99">
                  <c:v>0.69629697024838877</c:v>
                </c:pt>
                <c:pt idx="100">
                  <c:v>1.0524607060036073</c:v>
                </c:pt>
                <c:pt idx="101">
                  <c:v>0.47476277003836082</c:v>
                </c:pt>
                <c:pt idx="102">
                  <c:v>1.3855550912383341</c:v>
                </c:pt>
                <c:pt idx="103">
                  <c:v>0.93689918659108284</c:v>
                </c:pt>
                <c:pt idx="104">
                  <c:v>0.96445432539614417</c:v>
                </c:pt>
                <c:pt idx="105">
                  <c:v>7.9722642460917799</c:v>
                </c:pt>
                <c:pt idx="106">
                  <c:v>0.98758138133962958</c:v>
                </c:pt>
                <c:pt idx="107">
                  <c:v>0.90924105924105925</c:v>
                </c:pt>
                <c:pt idx="108">
                  <c:v>0.87823830303758965</c:v>
                </c:pt>
                <c:pt idx="109">
                  <c:v>0.79368717238875464</c:v>
                </c:pt>
                <c:pt idx="110">
                  <c:v>1.2701043937134318</c:v>
                </c:pt>
                <c:pt idx="111">
                  <c:v>0.75636110072458662</c:v>
                </c:pt>
                <c:pt idx="112">
                  <c:v>0.94733823452734767</c:v>
                </c:pt>
                <c:pt idx="113">
                  <c:v>0.7049696632856286</c:v>
                </c:pt>
                <c:pt idx="114">
                  <c:v>0.63603169552899774</c:v>
                </c:pt>
                <c:pt idx="115">
                  <c:v>0.95868308722913265</c:v>
                </c:pt>
                <c:pt idx="116">
                  <c:v>0.74313449538190879</c:v>
                </c:pt>
                <c:pt idx="117">
                  <c:v>1.114359694062544</c:v>
                </c:pt>
                <c:pt idx="118">
                  <c:v>0.72464773859364207</c:v>
                </c:pt>
                <c:pt idx="119">
                  <c:v>0.97523744911804611</c:v>
                </c:pt>
                <c:pt idx="120">
                  <c:v>0.62011577424023168</c:v>
                </c:pt>
                <c:pt idx="121">
                  <c:v>0.69546588532173637</c:v>
                </c:pt>
                <c:pt idx="122">
                  <c:v>0.67900175524263262</c:v>
                </c:pt>
                <c:pt idx="123">
                  <c:v>0.859725944283111</c:v>
                </c:pt>
                <c:pt idx="124">
                  <c:v>0.73992061976209023</c:v>
                </c:pt>
                <c:pt idx="125">
                  <c:v>7.5690630548788648E-2</c:v>
                </c:pt>
                <c:pt idx="126">
                  <c:v>0.68968821360875898</c:v>
                </c:pt>
                <c:pt idx="127">
                  <c:v>0.86825938566552963</c:v>
                </c:pt>
                <c:pt idx="128">
                  <c:v>0.97311130138195057</c:v>
                </c:pt>
                <c:pt idx="129">
                  <c:v>0.6939730836746637</c:v>
                </c:pt>
                <c:pt idx="130">
                  <c:v>0.93153406957697049</c:v>
                </c:pt>
                <c:pt idx="131">
                  <c:v>0.89624682842173453</c:v>
                </c:pt>
                <c:pt idx="132">
                  <c:v>0.97146725603807504</c:v>
                </c:pt>
                <c:pt idx="133">
                  <c:v>0.30697206210872025</c:v>
                </c:pt>
                <c:pt idx="134">
                  <c:v>0.57059347511412983</c:v>
                </c:pt>
                <c:pt idx="135">
                  <c:v>0.65089768622142463</c:v>
                </c:pt>
                <c:pt idx="136">
                  <c:v>1.0399486622377558</c:v>
                </c:pt>
                <c:pt idx="137">
                  <c:v>0.99015412703458283</c:v>
                </c:pt>
                <c:pt idx="138">
                  <c:v>0.85964001825171998</c:v>
                </c:pt>
                <c:pt idx="139">
                  <c:v>1.9974460322286409</c:v>
                </c:pt>
                <c:pt idx="140">
                  <c:v>0.77099102612861015</c:v>
                </c:pt>
                <c:pt idx="141">
                  <c:v>1.3061269719010982</c:v>
                </c:pt>
                <c:pt idx="142">
                  <c:v>0.8103087602289385</c:v>
                </c:pt>
                <c:pt idx="143">
                  <c:v>0.99927892437167187</c:v>
                </c:pt>
                <c:pt idx="144">
                  <c:v>0.47251824242742402</c:v>
                </c:pt>
                <c:pt idx="145">
                  <c:v>0.99337810813870131</c:v>
                </c:pt>
                <c:pt idx="146">
                  <c:v>0.52764029278494262</c:v>
                </c:pt>
                <c:pt idx="147">
                  <c:v>0.738002196873903</c:v>
                </c:pt>
                <c:pt idx="148">
                  <c:v>0.31562257769008922</c:v>
                </c:pt>
                <c:pt idx="149">
                  <c:v>0.86733318630694156</c:v>
                </c:pt>
                <c:pt idx="150">
                  <c:v>0.67614097363084014</c:v>
                </c:pt>
                <c:pt idx="151">
                  <c:v>0.76383873335153196</c:v>
                </c:pt>
                <c:pt idx="152">
                  <c:v>0.78497016672102526</c:v>
                </c:pt>
                <c:pt idx="153">
                  <c:v>0.72300819061802368</c:v>
                </c:pt>
                <c:pt idx="154">
                  <c:v>1.6141682479443378</c:v>
                </c:pt>
                <c:pt idx="155">
                  <c:v>0.7260189048169291</c:v>
                </c:pt>
                <c:pt idx="156">
                  <c:v>0.81062140069408106</c:v>
                </c:pt>
                <c:pt idx="157">
                  <c:v>0.89742571728306564</c:v>
                </c:pt>
                <c:pt idx="158">
                  <c:v>0.88629462934899472</c:v>
                </c:pt>
                <c:pt idx="159">
                  <c:v>0.89724619744702649</c:v>
                </c:pt>
                <c:pt idx="160">
                  <c:v>3.1174255494711582</c:v>
                </c:pt>
                <c:pt idx="161">
                  <c:v>0.90959393389349263</c:v>
                </c:pt>
                <c:pt idx="162">
                  <c:v>0.98340513697503851</c:v>
                </c:pt>
                <c:pt idx="163">
                  <c:v>0.75517503542178588</c:v>
                </c:pt>
                <c:pt idx="164">
                  <c:v>0.72608277610244309</c:v>
                </c:pt>
                <c:pt idx="165">
                  <c:v>1.1299888308167259</c:v>
                </c:pt>
                <c:pt idx="166">
                  <c:v>0.90427401637707694</c:v>
                </c:pt>
                <c:pt idx="167">
                  <c:v>0.68817138171381709</c:v>
                </c:pt>
                <c:pt idx="168">
                  <c:v>0.56510883434608405</c:v>
                </c:pt>
                <c:pt idx="169">
                  <c:v>0.90035661660170463</c:v>
                </c:pt>
                <c:pt idx="170">
                  <c:v>0.33209333784241024</c:v>
                </c:pt>
                <c:pt idx="171">
                  <c:v>2.5706462212486167</c:v>
                </c:pt>
                <c:pt idx="172">
                  <c:v>0.93623562847177744</c:v>
                </c:pt>
                <c:pt idx="173">
                  <c:v>1.1502858851227702</c:v>
                </c:pt>
                <c:pt idx="174">
                  <c:v>0.94984387746491306</c:v>
                </c:pt>
                <c:pt idx="175">
                  <c:v>0.64705882352942024</c:v>
                </c:pt>
                <c:pt idx="176">
                  <c:v>1.917063152208702</c:v>
                </c:pt>
                <c:pt idx="177">
                  <c:v>0.476528709178211</c:v>
                </c:pt>
                <c:pt idx="178">
                  <c:v>0.91529993259942344</c:v>
                </c:pt>
                <c:pt idx="179">
                  <c:v>0.69641679532967338</c:v>
                </c:pt>
                <c:pt idx="180">
                  <c:v>1.4715093006828266</c:v>
                </c:pt>
                <c:pt idx="181">
                  <c:v>1</c:v>
                </c:pt>
                <c:pt idx="182">
                  <c:v>1.3148215669294918</c:v>
                </c:pt>
                <c:pt idx="183">
                  <c:v>0.57280943860489053</c:v>
                </c:pt>
                <c:pt idx="184">
                  <c:v>0.74495208140960389</c:v>
                </c:pt>
                <c:pt idx="185">
                  <c:v>0.77489528115423856</c:v>
                </c:pt>
                <c:pt idx="186">
                  <c:v>0.76896694954703337</c:v>
                </c:pt>
                <c:pt idx="187">
                  <c:v>0.80985161889020463</c:v>
                </c:pt>
                <c:pt idx="188">
                  <c:v>1.0615578278500661</c:v>
                </c:pt>
                <c:pt idx="189">
                  <c:v>0.76612585104742881</c:v>
                </c:pt>
                <c:pt idx="190">
                  <c:v>0.46139952382255739</c:v>
                </c:pt>
                <c:pt idx="191">
                  <c:v>0.74087575669949801</c:v>
                </c:pt>
                <c:pt idx="192">
                  <c:v>0.29535357396242551</c:v>
                </c:pt>
                <c:pt idx="193">
                  <c:v>1.2306227246424357</c:v>
                </c:pt>
                <c:pt idx="194">
                  <c:v>0.92115786332438165</c:v>
                </c:pt>
                <c:pt idx="195">
                  <c:v>0.44861842969536847</c:v>
                </c:pt>
                <c:pt idx="196">
                  <c:v>0.58672899095620357</c:v>
                </c:pt>
                <c:pt idx="197">
                  <c:v>1.3164369695554001</c:v>
                </c:pt>
                <c:pt idx="198">
                  <c:v>0.88261632321751149</c:v>
                </c:pt>
                <c:pt idx="199">
                  <c:v>0.87166700590270707</c:v>
                </c:pt>
                <c:pt idx="200">
                  <c:v>0.82023241861435725</c:v>
                </c:pt>
                <c:pt idx="201">
                  <c:v>1.4470104763558489</c:v>
                </c:pt>
                <c:pt idx="202">
                  <c:v>1.1814057643674833</c:v>
                </c:pt>
                <c:pt idx="203">
                  <c:v>0.96202970386071163</c:v>
                </c:pt>
                <c:pt idx="204">
                  <c:v>3.9372235328811582</c:v>
                </c:pt>
                <c:pt idx="205">
                  <c:v>0.80494725409658219</c:v>
                </c:pt>
                <c:pt idx="206">
                  <c:v>0.59441330039090945</c:v>
                </c:pt>
                <c:pt idx="207">
                  <c:v>0.7140169152895417</c:v>
                </c:pt>
                <c:pt idx="208">
                  <c:v>0.74602475259747048</c:v>
                </c:pt>
                <c:pt idx="209">
                  <c:v>0.70211617761556178</c:v>
                </c:pt>
                <c:pt idx="210">
                  <c:v>0.72485457994648061</c:v>
                </c:pt>
                <c:pt idx="211">
                  <c:v>0.92928436122672919</c:v>
                </c:pt>
                <c:pt idx="212">
                  <c:v>1.8463851305179741</c:v>
                </c:pt>
                <c:pt idx="213">
                  <c:v>0.5971508982516941</c:v>
                </c:pt>
                <c:pt idx="214">
                  <c:v>0.98599240488744933</c:v>
                </c:pt>
                <c:pt idx="215">
                  <c:v>0.99957510091353308</c:v>
                </c:pt>
                <c:pt idx="216">
                  <c:v>1.0050251256281406</c:v>
                </c:pt>
                <c:pt idx="217">
                  <c:v>0.92626039645907265</c:v>
                </c:pt>
                <c:pt idx="218">
                  <c:v>0.99475262368815665</c:v>
                </c:pt>
                <c:pt idx="219">
                  <c:v>1.0068043742405832</c:v>
                </c:pt>
                <c:pt idx="220">
                  <c:v>0.65632952339875483</c:v>
                </c:pt>
                <c:pt idx="221">
                  <c:v>1.1113819064109731</c:v>
                </c:pt>
                <c:pt idx="222">
                  <c:v>0.76967871736876514</c:v>
                </c:pt>
                <c:pt idx="223">
                  <c:v>0.96702892629515114</c:v>
                </c:pt>
                <c:pt idx="224">
                  <c:v>0.92259599910267542</c:v>
                </c:pt>
                <c:pt idx="225">
                  <c:v>0.98211221041076158</c:v>
                </c:pt>
                <c:pt idx="226">
                  <c:v>0.98698560636356436</c:v>
                </c:pt>
                <c:pt idx="227">
                  <c:v>0.92839354547288877</c:v>
                </c:pt>
                <c:pt idx="228">
                  <c:v>0.81491884590151253</c:v>
                </c:pt>
                <c:pt idx="229">
                  <c:v>0.95475718979251956</c:v>
                </c:pt>
                <c:pt idx="230">
                  <c:v>0.7625349851380967</c:v>
                </c:pt>
                <c:pt idx="231">
                  <c:v>1.4822684897303762</c:v>
                </c:pt>
                <c:pt idx="232">
                  <c:v>0.83020992359348866</c:v>
                </c:pt>
                <c:pt idx="233">
                  <c:v>0.93560287832852973</c:v>
                </c:pt>
                <c:pt idx="234">
                  <c:v>0.89020034166795525</c:v>
                </c:pt>
                <c:pt idx="235">
                  <c:v>1.5753012048192772</c:v>
                </c:pt>
                <c:pt idx="236">
                  <c:v>1.0714927647956971</c:v>
                </c:pt>
                <c:pt idx="237">
                  <c:v>1.2786903882225811</c:v>
                </c:pt>
                <c:pt idx="238">
                  <c:v>0.80512309724358255</c:v>
                </c:pt>
                <c:pt idx="239">
                  <c:v>0.81383672460383083</c:v>
                </c:pt>
                <c:pt idx="240">
                  <c:v>0.64545685925171803</c:v>
                </c:pt>
                <c:pt idx="241">
                  <c:v>0.92846325385873996</c:v>
                </c:pt>
                <c:pt idx="242">
                  <c:v>0.74658264745262659</c:v>
                </c:pt>
                <c:pt idx="243">
                  <c:v>0.90632057342119265</c:v>
                </c:pt>
                <c:pt idx="244">
                  <c:v>1.0491496706159038</c:v>
                </c:pt>
                <c:pt idx="245">
                  <c:v>0.93488219024663211</c:v>
                </c:pt>
                <c:pt idx="246">
                  <c:v>0.80033339913579438</c:v>
                </c:pt>
                <c:pt idx="247">
                  <c:v>0.87184761430262325</c:v>
                </c:pt>
                <c:pt idx="248">
                  <c:v>1.1521145187978605</c:v>
                </c:pt>
                <c:pt idx="249">
                  <c:v>0.52555010001818514</c:v>
                </c:pt>
                <c:pt idx="250">
                  <c:v>0.46050943333073002</c:v>
                </c:pt>
                <c:pt idx="251">
                  <c:v>1.4364977745259435</c:v>
                </c:pt>
                <c:pt idx="252">
                  <c:v>0.95129247607526268</c:v>
                </c:pt>
                <c:pt idx="253">
                  <c:v>1.0083112680200059</c:v>
                </c:pt>
                <c:pt idx="254">
                  <c:v>0.24117095152357815</c:v>
                </c:pt>
                <c:pt idx="255">
                  <c:v>1.0273114272731758</c:v>
                </c:pt>
                <c:pt idx="256">
                  <c:v>0.82986246144310361</c:v>
                </c:pt>
                <c:pt idx="257">
                  <c:v>1.9146672618383453</c:v>
                </c:pt>
                <c:pt idx="258">
                  <c:v>1.0009066341941144</c:v>
                </c:pt>
                <c:pt idx="259">
                  <c:v>0.90846537692840268</c:v>
                </c:pt>
                <c:pt idx="260">
                  <c:v>3.8126642279355002E-3</c:v>
                </c:pt>
                <c:pt idx="261">
                  <c:v>0.98509983904638965</c:v>
                </c:pt>
                <c:pt idx="262">
                  <c:v>0</c:v>
                </c:pt>
                <c:pt idx="263">
                  <c:v>1.0467846504292888</c:v>
                </c:pt>
                <c:pt idx="264">
                  <c:v>0.82168355530605253</c:v>
                </c:pt>
                <c:pt idx="265">
                  <c:v>1.4097581451622858</c:v>
                </c:pt>
                <c:pt idx="266">
                  <c:v>0.57594534723405955</c:v>
                </c:pt>
                <c:pt idx="267">
                  <c:v>0.62306307077181577</c:v>
                </c:pt>
                <c:pt idx="268">
                  <c:v>0.38069719042663874</c:v>
                </c:pt>
                <c:pt idx="269">
                  <c:v>0.70331817494562332</c:v>
                </c:pt>
                <c:pt idx="270">
                  <c:v>0.99232149086829025</c:v>
                </c:pt>
                <c:pt idx="271">
                  <c:v>0.6875201071878706</c:v>
                </c:pt>
                <c:pt idx="272">
                  <c:v>1.1895860240636345</c:v>
                </c:pt>
                <c:pt idx="273">
                  <c:v>0.54434516348529882</c:v>
                </c:pt>
                <c:pt idx="274">
                  <c:v>0.59793404214681367</c:v>
                </c:pt>
                <c:pt idx="275">
                  <c:v>0.79889016026863502</c:v>
                </c:pt>
                <c:pt idx="276">
                  <c:v>0.80195658230289524</c:v>
                </c:pt>
                <c:pt idx="277">
                  <c:v>0.56884122590737485</c:v>
                </c:pt>
                <c:pt idx="278">
                  <c:v>0.85268938231181579</c:v>
                </c:pt>
                <c:pt idx="279">
                  <c:v>0.89227750464878164</c:v>
                </c:pt>
                <c:pt idx="280">
                  <c:v>0.68268867451068338</c:v>
                </c:pt>
                <c:pt idx="281">
                  <c:v>0.44990406907982355</c:v>
                </c:pt>
                <c:pt idx="282">
                  <c:v>0.57037329175519869</c:v>
                </c:pt>
                <c:pt idx="283">
                  <c:v>0.62351342538662957</c:v>
                </c:pt>
                <c:pt idx="284">
                  <c:v>1.2069487499496758</c:v>
                </c:pt>
                <c:pt idx="285">
                  <c:v>1.008340064876583</c:v>
                </c:pt>
                <c:pt idx="286">
                  <c:v>0.98135301138496556</c:v>
                </c:pt>
                <c:pt idx="287">
                  <c:v>0.72548680889451911</c:v>
                </c:pt>
                <c:pt idx="288">
                  <c:v>0.566218337948731</c:v>
                </c:pt>
                <c:pt idx="289">
                  <c:v>0.92029415962645533</c:v>
                </c:pt>
                <c:pt idx="290">
                  <c:v>0.9204525134856858</c:v>
                </c:pt>
                <c:pt idx="291">
                  <c:v>1.5361419748783733</c:v>
                </c:pt>
                <c:pt idx="292">
                  <c:v>0.99478293657286054</c:v>
                </c:pt>
                <c:pt idx="293">
                  <c:v>0.35153823398905804</c:v>
                </c:pt>
                <c:pt idx="294">
                  <c:v>0.6306583457853564</c:v>
                </c:pt>
                <c:pt idx="295">
                  <c:v>0.83867567191687908</c:v>
                </c:pt>
                <c:pt idx="296">
                  <c:v>0.91841253050873151</c:v>
                </c:pt>
                <c:pt idx="297">
                  <c:v>0.87369577908410212</c:v>
                </c:pt>
                <c:pt idx="298">
                  <c:v>1.1767072579812381</c:v>
                </c:pt>
                <c:pt idx="299">
                  <c:v>0.85590923545045805</c:v>
                </c:pt>
                <c:pt idx="300">
                  <c:v>1.0993893724827855</c:v>
                </c:pt>
                <c:pt idx="301">
                  <c:v>0.95766812301036253</c:v>
                </c:pt>
                <c:pt idx="302">
                  <c:v>0.97547257261477638</c:v>
                </c:pt>
                <c:pt idx="303">
                  <c:v>0.86787740819713188</c:v>
                </c:pt>
                <c:pt idx="304">
                  <c:v>1.1015425224779345</c:v>
                </c:pt>
                <c:pt idx="305">
                  <c:v>0.58549142127606557</c:v>
                </c:pt>
                <c:pt idx="306">
                  <c:v>0.77712758599821907</c:v>
                </c:pt>
                <c:pt idx="307">
                  <c:v>0.9262640449438202</c:v>
                </c:pt>
                <c:pt idx="308">
                  <c:v>0.79622021364010542</c:v>
                </c:pt>
                <c:pt idx="309">
                  <c:v>1.534908869714106</c:v>
                </c:pt>
                <c:pt idx="310">
                  <c:v>0.8510591415574541</c:v>
                </c:pt>
                <c:pt idx="311">
                  <c:v>0.41970951732643758</c:v>
                </c:pt>
                <c:pt idx="312">
                  <c:v>0.79061566180348064</c:v>
                </c:pt>
                <c:pt idx="313">
                  <c:v>0.76428845206155005</c:v>
                </c:pt>
                <c:pt idx="314">
                  <c:v>0.82025821774173169</c:v>
                </c:pt>
                <c:pt idx="315">
                  <c:v>0.9367845993756504</c:v>
                </c:pt>
                <c:pt idx="316">
                  <c:v>1.0009496182668658</c:v>
                </c:pt>
                <c:pt idx="317">
                  <c:v>0.64213666067078456</c:v>
                </c:pt>
                <c:pt idx="318">
                  <c:v>0.8300468875266227</c:v>
                </c:pt>
                <c:pt idx="319">
                  <c:v>0.63494552010660865</c:v>
                </c:pt>
                <c:pt idx="320">
                  <c:v>0.85180792382390569</c:v>
                </c:pt>
                <c:pt idx="321">
                  <c:v>0.63140014855041582</c:v>
                </c:pt>
                <c:pt idx="322">
                  <c:v>0.60854565778823189</c:v>
                </c:pt>
                <c:pt idx="323">
                  <c:v>0.88745626045945536</c:v>
                </c:pt>
                <c:pt idx="324">
                  <c:v>1.8079444658696415</c:v>
                </c:pt>
                <c:pt idx="325">
                  <c:v>0.98824553765781464</c:v>
                </c:pt>
                <c:pt idx="326">
                  <c:v>0.78563989462721362</c:v>
                </c:pt>
                <c:pt idx="327">
                  <c:v>0.54360631150292749</c:v>
                </c:pt>
                <c:pt idx="328">
                  <c:v>0.97662994938970416</c:v>
                </c:pt>
                <c:pt idx="329">
                  <c:v>0.45797531344933134</c:v>
                </c:pt>
                <c:pt idx="330">
                  <c:v>0.93217495506291159</c:v>
                </c:pt>
                <c:pt idx="331">
                  <c:v>0.99764885222099886</c:v>
                </c:pt>
                <c:pt idx="332">
                  <c:v>0.71994205697730562</c:v>
                </c:pt>
                <c:pt idx="333">
                  <c:v>0.27074358194555148</c:v>
                </c:pt>
                <c:pt idx="334">
                  <c:v>0.86612101756618343</c:v>
                </c:pt>
                <c:pt idx="335">
                  <c:v>0.70423787414797989</c:v>
                </c:pt>
                <c:pt idx="336">
                  <c:v>0.96128627919012111</c:v>
                </c:pt>
                <c:pt idx="337">
                  <c:v>1.5040477245097161</c:v>
                </c:pt>
                <c:pt idx="338">
                  <c:v>0.66077794353071884</c:v>
                </c:pt>
                <c:pt idx="339">
                  <c:v>0.80088115390943493</c:v>
                </c:pt>
                <c:pt idx="340">
                  <c:v>0.49770290964778191</c:v>
                </c:pt>
                <c:pt idx="341">
                  <c:v>0.91759408334883485</c:v>
                </c:pt>
                <c:pt idx="342">
                  <c:v>0.1402471789360559</c:v>
                </c:pt>
                <c:pt idx="343">
                  <c:v>1.0078476126068998</c:v>
                </c:pt>
                <c:pt idx="344">
                  <c:v>0.93633742916333251</c:v>
                </c:pt>
                <c:pt idx="345">
                  <c:v>0.61349486624789062</c:v>
                </c:pt>
                <c:pt idx="346">
                  <c:v>0.55324629883956045</c:v>
                </c:pt>
                <c:pt idx="347">
                  <c:v>1.1354906187576115</c:v>
                </c:pt>
                <c:pt idx="348">
                  <c:v>0.91191011235955433</c:v>
                </c:pt>
                <c:pt idx="349">
                  <c:v>0.90528596435848163</c:v>
                </c:pt>
                <c:pt idx="350">
                  <c:v>1.2394634494801176</c:v>
                </c:pt>
                <c:pt idx="351">
                  <c:v>0.91798298906439857</c:v>
                </c:pt>
                <c:pt idx="352">
                  <c:v>0.7275688641922573</c:v>
                </c:pt>
                <c:pt idx="353">
                  <c:v>0.76632888194015891</c:v>
                </c:pt>
                <c:pt idx="354">
                  <c:v>0.99689922480620152</c:v>
                </c:pt>
                <c:pt idx="355">
                  <c:v>0.803085834444492</c:v>
                </c:pt>
                <c:pt idx="356">
                  <c:v>0.76164427727029327</c:v>
                </c:pt>
                <c:pt idx="357">
                  <c:v>9.6181590843512511E-3</c:v>
                </c:pt>
                <c:pt idx="358">
                  <c:v>0.68272248944290137</c:v>
                </c:pt>
                <c:pt idx="359">
                  <c:v>0.8639273800624766</c:v>
                </c:pt>
                <c:pt idx="360">
                  <c:v>1.3627528960068978</c:v>
                </c:pt>
                <c:pt idx="361">
                  <c:v>0.76811583420976648</c:v>
                </c:pt>
                <c:pt idx="362">
                  <c:v>0.74205466076722049</c:v>
                </c:pt>
                <c:pt idx="363">
                  <c:v>9.3340741921980594E-2</c:v>
                </c:pt>
                <c:pt idx="364">
                  <c:v>0.47282895431043853</c:v>
                </c:pt>
                <c:pt idx="365">
                  <c:v>0.54248687664041995</c:v>
                </c:pt>
                <c:pt idx="366">
                  <c:v>0.93946917808219177</c:v>
                </c:pt>
                <c:pt idx="367">
                  <c:v>0.54579194411090493</c:v>
                </c:pt>
                <c:pt idx="368">
                  <c:v>0.45717795178873022</c:v>
                </c:pt>
                <c:pt idx="369">
                  <c:v>0.35823877352282935</c:v>
                </c:pt>
                <c:pt idx="370">
                  <c:v>0.94102001051558104</c:v>
                </c:pt>
                <c:pt idx="371">
                  <c:v>0.90210562540515882</c:v>
                </c:pt>
                <c:pt idx="372">
                  <c:v>0.45318192858877826</c:v>
                </c:pt>
                <c:pt idx="373">
                  <c:v>1.0238192246215565</c:v>
                </c:pt>
                <c:pt idx="374">
                  <c:v>0.64446512364622721</c:v>
                </c:pt>
                <c:pt idx="375">
                  <c:v>0.70875923474230162</c:v>
                </c:pt>
                <c:pt idx="376">
                  <c:v>0.78948529411764656</c:v>
                </c:pt>
                <c:pt idx="377">
                  <c:v>0.85518954382413725</c:v>
                </c:pt>
                <c:pt idx="378">
                  <c:v>0.89690720068616425</c:v>
                </c:pt>
                <c:pt idx="379">
                  <c:v>0.79875058399519461</c:v>
                </c:pt>
                <c:pt idx="380">
                  <c:v>1.0296973514538184</c:v>
                </c:pt>
                <c:pt idx="381">
                  <c:v>0.88184477211734069</c:v>
                </c:pt>
                <c:pt idx="382">
                  <c:v>0.89945505032121642</c:v>
                </c:pt>
                <c:pt idx="383">
                  <c:v>1.0016818950374486</c:v>
                </c:pt>
                <c:pt idx="384">
                  <c:v>0.86184390613773565</c:v>
                </c:pt>
                <c:pt idx="385">
                  <c:v>1.0236164794268261</c:v>
                </c:pt>
                <c:pt idx="386">
                  <c:v>1.4586191129400998</c:v>
                </c:pt>
                <c:pt idx="387">
                  <c:v>1.0196714662340296</c:v>
                </c:pt>
                <c:pt idx="388">
                  <c:v>2.3990157678015471</c:v>
                </c:pt>
                <c:pt idx="389">
                  <c:v>0.35408965530182435</c:v>
                </c:pt>
                <c:pt idx="390">
                  <c:v>0.50420372703016558</c:v>
                </c:pt>
                <c:pt idx="391">
                  <c:v>0.96196627197703244</c:v>
                </c:pt>
                <c:pt idx="392">
                  <c:v>0.66355741395947943</c:v>
                </c:pt>
                <c:pt idx="393">
                  <c:v>0.9963942307692305</c:v>
                </c:pt>
                <c:pt idx="394">
                  <c:v>0.79828338908064622</c:v>
                </c:pt>
                <c:pt idx="395">
                  <c:v>0.67534920894411576</c:v>
                </c:pt>
                <c:pt idx="396">
                  <c:v>0.94266146904119863</c:v>
                </c:pt>
                <c:pt idx="397">
                  <c:v>0.77559457906465035</c:v>
                </c:pt>
                <c:pt idx="398">
                  <c:v>1.937405159332322</c:v>
                </c:pt>
                <c:pt idx="399">
                  <c:v>0.64623309723116562</c:v>
                </c:pt>
                <c:pt idx="400">
                  <c:v>0.92073354984809752</c:v>
                </c:pt>
                <c:pt idx="401">
                  <c:v>0.87265486184844465</c:v>
                </c:pt>
                <c:pt idx="402">
                  <c:v>1.034770587848068</c:v>
                </c:pt>
                <c:pt idx="403">
                  <c:v>0.51502857392138901</c:v>
                </c:pt>
                <c:pt idx="404">
                  <c:v>1.1937403512475755</c:v>
                </c:pt>
                <c:pt idx="405">
                  <c:v>0.36265801161598932</c:v>
                </c:pt>
                <c:pt idx="406">
                  <c:v>0.93369411676855318</c:v>
                </c:pt>
                <c:pt idx="407">
                  <c:v>0.92544394191859081</c:v>
                </c:pt>
                <c:pt idx="408">
                  <c:v>0.58261411867879365</c:v>
                </c:pt>
                <c:pt idx="409">
                  <c:v>1.1095640066138717</c:v>
                </c:pt>
                <c:pt idx="410">
                  <c:v>0.27595341906286486</c:v>
                </c:pt>
                <c:pt idx="411">
                  <c:v>0.78433197062042204</c:v>
                </c:pt>
                <c:pt idx="412">
                  <c:v>0.89275093510029468</c:v>
                </c:pt>
                <c:pt idx="413">
                  <c:v>1.4481887410148744</c:v>
                </c:pt>
                <c:pt idx="414">
                  <c:v>1.0216558855980789</c:v>
                </c:pt>
                <c:pt idx="415">
                  <c:v>0.81463379724348695</c:v>
                </c:pt>
                <c:pt idx="416">
                  <c:v>0.58698965969221806</c:v>
                </c:pt>
                <c:pt idx="417">
                  <c:v>1.0081476991222251</c:v>
                </c:pt>
                <c:pt idx="418">
                  <c:v>0.78019657634161399</c:v>
                </c:pt>
                <c:pt idx="419">
                  <c:v>2.2102186620480624</c:v>
                </c:pt>
                <c:pt idx="420">
                  <c:v>0.59771239166462475</c:v>
                </c:pt>
                <c:pt idx="421">
                  <c:v>0</c:v>
                </c:pt>
                <c:pt idx="422">
                  <c:v>0.83654349723596155</c:v>
                </c:pt>
                <c:pt idx="423">
                  <c:v>0.91481408616958981</c:v>
                </c:pt>
                <c:pt idx="424">
                  <c:v>1.5581500793470944</c:v>
                </c:pt>
                <c:pt idx="425">
                  <c:v>0.52666273876920056</c:v>
                </c:pt>
                <c:pt idx="426">
                  <c:v>1.0257463201961097</c:v>
                </c:pt>
                <c:pt idx="427">
                  <c:v>0.69376340862461472</c:v>
                </c:pt>
                <c:pt idx="428">
                  <c:v>13.888888888888889</c:v>
                </c:pt>
                <c:pt idx="429">
                  <c:v>0.63458912362439179</c:v>
                </c:pt>
                <c:pt idx="430">
                  <c:v>0.48690997594357655</c:v>
                </c:pt>
                <c:pt idx="431">
                  <c:v>0.87897096166802424</c:v>
                </c:pt>
                <c:pt idx="432">
                  <c:v>0.98414250027153249</c:v>
                </c:pt>
                <c:pt idx="433">
                  <c:v>0.5851583425240271</c:v>
                </c:pt>
                <c:pt idx="434">
                  <c:v>0</c:v>
                </c:pt>
                <c:pt idx="435">
                  <c:v>0.96750748817247068</c:v>
                </c:pt>
                <c:pt idx="436">
                  <c:v>0.52548713775487133</c:v>
                </c:pt>
                <c:pt idx="437">
                  <c:v>0.7333501580003684</c:v>
                </c:pt>
                <c:pt idx="438">
                  <c:v>0.9372260482488296</c:v>
                </c:pt>
                <c:pt idx="439">
                  <c:v>0.62654097552668675</c:v>
                </c:pt>
                <c:pt idx="440">
                  <c:v>0.74532586309748006</c:v>
                </c:pt>
                <c:pt idx="441">
                  <c:v>0.7271008495732596</c:v>
                </c:pt>
                <c:pt idx="442">
                  <c:v>9.4334522179688698E-2</c:v>
                </c:pt>
                <c:pt idx="443">
                  <c:v>0.93207993341434403</c:v>
                </c:pt>
                <c:pt idx="444">
                  <c:v>0.97496947699494385</c:v>
                </c:pt>
                <c:pt idx="445">
                  <c:v>0.98976988139677735</c:v>
                </c:pt>
                <c:pt idx="446">
                  <c:v>0.99945917180148658</c:v>
                </c:pt>
                <c:pt idx="447">
                  <c:v>0.85409732841593955</c:v>
                </c:pt>
                <c:pt idx="448">
                  <c:v>1.3787411001197161</c:v>
                </c:pt>
                <c:pt idx="449">
                  <c:v>0.90372549019608395</c:v>
                </c:pt>
                <c:pt idx="450">
                  <c:v>1.1245954029581677</c:v>
                </c:pt>
                <c:pt idx="451">
                  <c:v>0.89316680179172581</c:v>
                </c:pt>
                <c:pt idx="452">
                  <c:v>0.88977565319081953</c:v>
                </c:pt>
                <c:pt idx="453">
                  <c:v>0.54901221227751862</c:v>
                </c:pt>
                <c:pt idx="454">
                  <c:v>0.59097698863158843</c:v>
                </c:pt>
                <c:pt idx="455">
                  <c:v>0.68626141406754071</c:v>
                </c:pt>
                <c:pt idx="456">
                  <c:v>1.2997957099080695</c:v>
                </c:pt>
                <c:pt idx="457">
                  <c:v>0.39134825786905048</c:v>
                </c:pt>
                <c:pt idx="458">
                  <c:v>0.77163458476120106</c:v>
                </c:pt>
                <c:pt idx="459">
                  <c:v>0.82917082917082963</c:v>
                </c:pt>
                <c:pt idx="460">
                  <c:v>0.63913027142788625</c:v>
                </c:pt>
                <c:pt idx="461">
                  <c:v>1.0837195196532641</c:v>
                </c:pt>
                <c:pt idx="462">
                  <c:v>1.0552062091968195</c:v>
                </c:pt>
                <c:pt idx="463">
                  <c:v>0.91616329446109412</c:v>
                </c:pt>
                <c:pt idx="464">
                  <c:v>0.88675903018259561</c:v>
                </c:pt>
                <c:pt idx="465">
                  <c:v>0.97855242429063716</c:v>
                </c:pt>
                <c:pt idx="466">
                  <c:v>0.89619186817159935</c:v>
                </c:pt>
                <c:pt idx="467">
                  <c:v>1.0401480207840001</c:v>
                </c:pt>
                <c:pt idx="468">
                  <c:v>0.9615479395998846</c:v>
                </c:pt>
                <c:pt idx="469">
                  <c:v>0.98273844477618277</c:v>
                </c:pt>
                <c:pt idx="470">
                  <c:v>0.94465516815340556</c:v>
                </c:pt>
                <c:pt idx="471">
                  <c:v>0.97298122330594761</c:v>
                </c:pt>
                <c:pt idx="472">
                  <c:v>0.81014516909938061</c:v>
                </c:pt>
                <c:pt idx="473">
                  <c:v>2.2106426654034377</c:v>
                </c:pt>
                <c:pt idx="474">
                  <c:v>1.4193498096146504</c:v>
                </c:pt>
                <c:pt idx="475">
                  <c:v>0.71317672660315401</c:v>
                </c:pt>
                <c:pt idx="476">
                  <c:v>0.61052465306634363</c:v>
                </c:pt>
                <c:pt idx="477">
                  <c:v>0.93218958225164417</c:v>
                </c:pt>
                <c:pt idx="478">
                  <c:v>0.89446685551488192</c:v>
                </c:pt>
                <c:pt idx="479">
                  <c:v>1.0620424236999921</c:v>
                </c:pt>
                <c:pt idx="480">
                  <c:v>0.39163798111522724</c:v>
                </c:pt>
                <c:pt idx="481">
                  <c:v>1</c:v>
                </c:pt>
                <c:pt idx="482">
                  <c:v>0.84486975817636234</c:v>
                </c:pt>
                <c:pt idx="483">
                  <c:v>0.65676459580838364</c:v>
                </c:pt>
                <c:pt idx="484">
                  <c:v>0.84647840531561469</c:v>
                </c:pt>
                <c:pt idx="485">
                  <c:v>0.94931499713496859</c:v>
                </c:pt>
                <c:pt idx="486">
                  <c:v>0.98052384150436456</c:v>
                </c:pt>
                <c:pt idx="487">
                  <c:v>1.1147716742451996</c:v>
                </c:pt>
                <c:pt idx="488">
                  <c:v>0.68621397739813095</c:v>
                </c:pt>
                <c:pt idx="489">
                  <c:v>0.25561567985906025</c:v>
                </c:pt>
                <c:pt idx="490">
                  <c:v>0.9160812912220494</c:v>
                </c:pt>
                <c:pt idx="491">
                  <c:v>0.83214839414674568</c:v>
                </c:pt>
                <c:pt idx="492">
                  <c:v>1.2719792801756014</c:v>
                </c:pt>
                <c:pt idx="493">
                  <c:v>0.94165310310664496</c:v>
                </c:pt>
                <c:pt idx="494">
                  <c:v>1.2291086061311918</c:v>
                </c:pt>
                <c:pt idx="495">
                  <c:v>0.31216664717892656</c:v>
                </c:pt>
                <c:pt idx="496">
                  <c:v>0.99280157482820319</c:v>
                </c:pt>
                <c:pt idx="497">
                  <c:v>0.73759589988680674</c:v>
                </c:pt>
                <c:pt idx="498">
                  <c:v>0.31920355210212276</c:v>
                </c:pt>
                <c:pt idx="499">
                  <c:v>0.87039239001189062</c:v>
                </c:pt>
                <c:pt idx="500">
                  <c:v>0.35344015080113073</c:v>
                </c:pt>
                <c:pt idx="501">
                  <c:v>0.99766008022582087</c:v>
                </c:pt>
                <c:pt idx="502">
                  <c:v>0.84155529926611261</c:v>
                </c:pt>
                <c:pt idx="503">
                  <c:v>0.87725459230322089</c:v>
                </c:pt>
                <c:pt idx="504">
                  <c:v>1.0699599641568314</c:v>
                </c:pt>
                <c:pt idx="505">
                  <c:v>0.84184377587634551</c:v>
                </c:pt>
                <c:pt idx="506">
                  <c:v>0.950549094910354</c:v>
                </c:pt>
                <c:pt idx="507">
                  <c:v>1.0610876390557848</c:v>
                </c:pt>
                <c:pt idx="508">
                  <c:v>0.66514439805150105</c:v>
                </c:pt>
                <c:pt idx="509">
                  <c:v>0.60865501238895292</c:v>
                </c:pt>
                <c:pt idx="510">
                  <c:v>1.0158299412030756</c:v>
                </c:pt>
                <c:pt idx="511">
                  <c:v>0.88503346027285756</c:v>
                </c:pt>
                <c:pt idx="512">
                  <c:v>1.6906170752324601</c:v>
                </c:pt>
                <c:pt idx="513">
                  <c:v>0.67484444475588612</c:v>
                </c:pt>
                <c:pt idx="514">
                  <c:v>0.83371877081809165</c:v>
                </c:pt>
                <c:pt idx="515">
                  <c:v>0.71175914582386979</c:v>
                </c:pt>
                <c:pt idx="516">
                  <c:v>0.45621060109021638</c:v>
                </c:pt>
                <c:pt idx="517">
                  <c:v>0.61790225828878365</c:v>
                </c:pt>
                <c:pt idx="518">
                  <c:v>1.2311356173441201</c:v>
                </c:pt>
                <c:pt idx="519">
                  <c:v>0.68027952289462901</c:v>
                </c:pt>
                <c:pt idx="520">
                  <c:v>0.72237984789832344</c:v>
                </c:pt>
                <c:pt idx="521">
                  <c:v>1.0045543973303965</c:v>
                </c:pt>
                <c:pt idx="522">
                  <c:v>0.9129525059283593</c:v>
                </c:pt>
                <c:pt idx="523">
                  <c:v>0.83050635658710792</c:v>
                </c:pt>
                <c:pt idx="524">
                  <c:v>0.62534091665004399</c:v>
                </c:pt>
                <c:pt idx="525">
                  <c:v>0.88676686421312723</c:v>
                </c:pt>
                <c:pt idx="526">
                  <c:v>0.37412670261576642</c:v>
                </c:pt>
                <c:pt idx="527">
                  <c:v>0.59500711421549601</c:v>
                </c:pt>
                <c:pt idx="528">
                  <c:v>0.99157102138491249</c:v>
                </c:pt>
                <c:pt idx="529">
                  <c:v>0.47693482111440794</c:v>
                </c:pt>
                <c:pt idx="530">
                  <c:v>0.6898876890315746</c:v>
                </c:pt>
                <c:pt idx="531">
                  <c:v>0.48433940505782291</c:v>
                </c:pt>
                <c:pt idx="532">
                  <c:v>0.9338243963237689</c:v>
                </c:pt>
                <c:pt idx="533">
                  <c:v>0.87841112888371853</c:v>
                </c:pt>
                <c:pt idx="534">
                  <c:v>0.99818629550107452</c:v>
                </c:pt>
                <c:pt idx="535">
                  <c:v>0.91667604999437002</c:v>
                </c:pt>
                <c:pt idx="536">
                  <c:v>0.23771977259108892</c:v>
                </c:pt>
                <c:pt idx="537">
                  <c:v>0.72647360412808104</c:v>
                </c:pt>
                <c:pt idx="538">
                  <c:v>1.0148963099990258</c:v>
                </c:pt>
                <c:pt idx="539">
                  <c:v>0.20486974255283763</c:v>
                </c:pt>
                <c:pt idx="540">
                  <c:v>0.82480150173764866</c:v>
                </c:pt>
                <c:pt idx="541">
                  <c:v>0.87229282131523922</c:v>
                </c:pt>
                <c:pt idx="542">
                  <c:v>0.48181409272098641</c:v>
                </c:pt>
                <c:pt idx="543">
                  <c:v>0.40879559043230929</c:v>
                </c:pt>
                <c:pt idx="544">
                  <c:v>1.0026278669835649</c:v>
                </c:pt>
                <c:pt idx="545">
                  <c:v>0.6164895145073257</c:v>
                </c:pt>
                <c:pt idx="546">
                  <c:v>0</c:v>
                </c:pt>
                <c:pt idx="547">
                  <c:v>0.9553182898208995</c:v>
                </c:pt>
                <c:pt idx="548">
                  <c:v>0.61614899438538429</c:v>
                </c:pt>
                <c:pt idx="549">
                  <c:v>0.90739726400163856</c:v>
                </c:pt>
                <c:pt idx="550">
                  <c:v>0.75484762883708223</c:v>
                </c:pt>
                <c:pt idx="551">
                  <c:v>0.82917564572189073</c:v>
                </c:pt>
                <c:pt idx="552">
                  <c:v>1.0585794617022461</c:v>
                </c:pt>
                <c:pt idx="553">
                  <c:v>0.99181546761345962</c:v>
                </c:pt>
                <c:pt idx="554">
                  <c:v>0.86831890755610763</c:v>
                </c:pt>
                <c:pt idx="555">
                  <c:v>0.66894398963425405</c:v>
                </c:pt>
                <c:pt idx="556">
                  <c:v>0.9181209499920715</c:v>
                </c:pt>
                <c:pt idx="557">
                  <c:v>0.70427620691762749</c:v>
                </c:pt>
                <c:pt idx="558">
                  <c:v>0.87724246331084865</c:v>
                </c:pt>
                <c:pt idx="559">
                  <c:v>1.036711234573098</c:v>
                </c:pt>
                <c:pt idx="560">
                  <c:v>0.40235143478474988</c:v>
                </c:pt>
                <c:pt idx="561">
                  <c:v>0.67575130794501026</c:v>
                </c:pt>
                <c:pt idx="562">
                  <c:v>0.65769725105089627</c:v>
                </c:pt>
                <c:pt idx="563">
                  <c:v>0.69688796379565021</c:v>
                </c:pt>
                <c:pt idx="564">
                  <c:v>0.72508134885302167</c:v>
                </c:pt>
                <c:pt idx="565">
                  <c:v>0.75719040297386087</c:v>
                </c:pt>
                <c:pt idx="566">
                  <c:v>0.92811733018378761</c:v>
                </c:pt>
                <c:pt idx="567">
                  <c:v>0.824390574214522</c:v>
                </c:pt>
                <c:pt idx="568">
                  <c:v>1.0074023687580025</c:v>
                </c:pt>
                <c:pt idx="569">
                  <c:v>2.4387765470988731</c:v>
                </c:pt>
                <c:pt idx="570">
                  <c:v>1.0335324232017689</c:v>
                </c:pt>
                <c:pt idx="571">
                  <c:v>0.13816100598045492</c:v>
                </c:pt>
                <c:pt idx="572">
                  <c:v>0.31852057433453207</c:v>
                </c:pt>
                <c:pt idx="573">
                  <c:v>0.71574830828720004</c:v>
                </c:pt>
                <c:pt idx="574">
                  <c:v>0.97462037442140181</c:v>
                </c:pt>
                <c:pt idx="575">
                  <c:v>0.93799765789382383</c:v>
                </c:pt>
                <c:pt idx="576">
                  <c:v>0.82609270227456821</c:v>
                </c:pt>
                <c:pt idx="577">
                  <c:v>0.83588381059320116</c:v>
                </c:pt>
                <c:pt idx="578">
                  <c:v>0.88125698253630858</c:v>
                </c:pt>
                <c:pt idx="579">
                  <c:v>1.0615244734050537</c:v>
                </c:pt>
                <c:pt idx="580">
                  <c:v>0.8203205178811086</c:v>
                </c:pt>
                <c:pt idx="581">
                  <c:v>0.80995654400845252</c:v>
                </c:pt>
                <c:pt idx="582">
                  <c:v>0.56489276625024776</c:v>
                </c:pt>
                <c:pt idx="583">
                  <c:v>0.88845106861289114</c:v>
                </c:pt>
                <c:pt idx="584">
                  <c:v>0.94297426641770288</c:v>
                </c:pt>
                <c:pt idx="585">
                  <c:v>0.88760815118397085</c:v>
                </c:pt>
                <c:pt idx="586">
                  <c:v>1.1165285881607083</c:v>
                </c:pt>
                <c:pt idx="587">
                  <c:v>0.22575428118625226</c:v>
                </c:pt>
                <c:pt idx="588">
                  <c:v>1.5844396859386152</c:v>
                </c:pt>
                <c:pt idx="589">
                  <c:v>1.1698301056620739</c:v>
                </c:pt>
                <c:pt idx="590">
                  <c:v>1.1411294073867337</c:v>
                </c:pt>
                <c:pt idx="591">
                  <c:v>0.63836387660136762</c:v>
                </c:pt>
                <c:pt idx="592">
                  <c:v>0.9158641995551936</c:v>
                </c:pt>
                <c:pt idx="593">
                  <c:v>0.63170696316626951</c:v>
                </c:pt>
                <c:pt idx="594">
                  <c:v>1.2569066862600953</c:v>
                </c:pt>
                <c:pt idx="595">
                  <c:v>0.92087247315262477</c:v>
                </c:pt>
                <c:pt idx="596">
                  <c:v>0.91382386136090576</c:v>
                </c:pt>
                <c:pt idx="597">
                  <c:v>1.0326393818854174</c:v>
                </c:pt>
                <c:pt idx="598">
                  <c:v>0</c:v>
                </c:pt>
                <c:pt idx="599">
                  <c:v>0.85801146737039602</c:v>
                </c:pt>
                <c:pt idx="600">
                  <c:v>0.97211226518627558</c:v>
                </c:pt>
                <c:pt idx="601">
                  <c:v>1.1561072156683443</c:v>
                </c:pt>
                <c:pt idx="602">
                  <c:v>4.616112986720684</c:v>
                </c:pt>
                <c:pt idx="603">
                  <c:v>1.0507912244437121</c:v>
                </c:pt>
                <c:pt idx="604">
                  <c:v>1.3191221503912895</c:v>
                </c:pt>
                <c:pt idx="605">
                  <c:v>1.202337047245623</c:v>
                </c:pt>
                <c:pt idx="606">
                  <c:v>0.89059205148364318</c:v>
                </c:pt>
                <c:pt idx="607">
                  <c:v>0.81311299207308885</c:v>
                </c:pt>
                <c:pt idx="608">
                  <c:v>0.54133633262923031</c:v>
                </c:pt>
                <c:pt idx="609">
                  <c:v>1.0038671362474958</c:v>
                </c:pt>
                <c:pt idx="610">
                  <c:v>1.546953814360104</c:v>
                </c:pt>
                <c:pt idx="611">
                  <c:v>1.2102315160567587</c:v>
                </c:pt>
                <c:pt idx="612">
                  <c:v>1.0477246836536895</c:v>
                </c:pt>
                <c:pt idx="613">
                  <c:v>2.1089848805669238E-2</c:v>
                </c:pt>
                <c:pt idx="614">
                  <c:v>1.3125403718683861</c:v>
                </c:pt>
                <c:pt idx="615">
                  <c:v>0.86712318227283214</c:v>
                </c:pt>
                <c:pt idx="616">
                  <c:v>0.79654950903918564</c:v>
                </c:pt>
                <c:pt idx="617">
                  <c:v>0.9221163302605716</c:v>
                </c:pt>
                <c:pt idx="618">
                  <c:v>1.1203057494184121</c:v>
                </c:pt>
                <c:pt idx="619">
                  <c:v>0.94888514934791757</c:v>
                </c:pt>
                <c:pt idx="620">
                  <c:v>1.0593220338983051</c:v>
                </c:pt>
                <c:pt idx="621">
                  <c:v>0.49796018135077308</c:v>
                </c:pt>
                <c:pt idx="622">
                  <c:v>0.45354590434304581</c:v>
                </c:pt>
                <c:pt idx="623">
                  <c:v>0.78156910487426068</c:v>
                </c:pt>
                <c:pt idx="624">
                  <c:v>0.70550200483283787</c:v>
                </c:pt>
                <c:pt idx="625">
                  <c:v>0.99434656718358561</c:v>
                </c:pt>
                <c:pt idx="626">
                  <c:v>0.85246246604191456</c:v>
                </c:pt>
                <c:pt idx="627">
                  <c:v>0.83523795458854577</c:v>
                </c:pt>
                <c:pt idx="628">
                  <c:v>1.7542847299974162</c:v>
                </c:pt>
                <c:pt idx="629">
                  <c:v>1.0915402417073798</c:v>
                </c:pt>
                <c:pt idx="630">
                  <c:v>1.3297167359667361</c:v>
                </c:pt>
                <c:pt idx="631">
                  <c:v>1.1219060753429553</c:v>
                </c:pt>
                <c:pt idx="632">
                  <c:v>1.1203004816332494</c:v>
                </c:pt>
                <c:pt idx="633">
                  <c:v>0.31737447341455644</c:v>
                </c:pt>
                <c:pt idx="634">
                  <c:v>0.94161916005260748</c:v>
                </c:pt>
                <c:pt idx="635">
                  <c:v>0.60428969359332119</c:v>
                </c:pt>
                <c:pt idx="636">
                  <c:v>0.9216227453269995</c:v>
                </c:pt>
                <c:pt idx="637">
                  <c:v>0.32256042523317857</c:v>
                </c:pt>
                <c:pt idx="638">
                  <c:v>0.78376153015922467</c:v>
                </c:pt>
                <c:pt idx="639">
                  <c:v>0.69771573908078943</c:v>
                </c:pt>
                <c:pt idx="640">
                  <c:v>0.97178564665783573</c:v>
                </c:pt>
                <c:pt idx="641">
                  <c:v>0.77827439390469466</c:v>
                </c:pt>
                <c:pt idx="642">
                  <c:v>0.87980807880573064</c:v>
                </c:pt>
                <c:pt idx="643">
                  <c:v>1.4358974358974275</c:v>
                </c:pt>
                <c:pt idx="644">
                  <c:v>1.1371444318564561</c:v>
                </c:pt>
                <c:pt idx="645">
                  <c:v>0.97633430128732657</c:v>
                </c:pt>
                <c:pt idx="646">
                  <c:v>0.88299204149154953</c:v>
                </c:pt>
                <c:pt idx="647">
                  <c:v>0.94314754830782976</c:v>
                </c:pt>
                <c:pt idx="648">
                  <c:v>0.91252770173380249</c:v>
                </c:pt>
                <c:pt idx="649">
                  <c:v>0.63849922267617087</c:v>
                </c:pt>
                <c:pt idx="650">
                  <c:v>0.1219402215923731</c:v>
                </c:pt>
                <c:pt idx="651">
                  <c:v>1.1126952754701458</c:v>
                </c:pt>
                <c:pt idx="652">
                  <c:v>0.81983909619993589</c:v>
                </c:pt>
                <c:pt idx="653">
                  <c:v>0.76154774887054055</c:v>
                </c:pt>
                <c:pt idx="654">
                  <c:v>0.96741828073840541</c:v>
                </c:pt>
                <c:pt idx="655">
                  <c:v>0.24992755425444771</c:v>
                </c:pt>
                <c:pt idx="656">
                  <c:v>1.0920968361726655</c:v>
                </c:pt>
                <c:pt idx="657">
                  <c:v>0.12820252135014235</c:v>
                </c:pt>
                <c:pt idx="658">
                  <c:v>0.35575102123863334</c:v>
                </c:pt>
                <c:pt idx="659">
                  <c:v>1.2495450643776824</c:v>
                </c:pt>
                <c:pt idx="660">
                  <c:v>1.3104946328729143</c:v>
                </c:pt>
                <c:pt idx="661">
                  <c:v>0.74933410121661459</c:v>
                </c:pt>
                <c:pt idx="662">
                  <c:v>0.46305319116073612</c:v>
                </c:pt>
                <c:pt idx="663">
                  <c:v>0.60380658436213996</c:v>
                </c:pt>
                <c:pt idx="664">
                  <c:v>1.0568069291417672</c:v>
                </c:pt>
                <c:pt idx="665">
                  <c:v>0.98973080757726817</c:v>
                </c:pt>
                <c:pt idx="666">
                  <c:v>1.2488144144144138</c:v>
                </c:pt>
                <c:pt idx="667">
                  <c:v>1.1333009182204099</c:v>
                </c:pt>
                <c:pt idx="668">
                  <c:v>0.84706382160352778</c:v>
                </c:pt>
                <c:pt idx="669">
                  <c:v>0.70754715284518033</c:v>
                </c:pt>
                <c:pt idx="670">
                  <c:v>0.10350018818216036</c:v>
                </c:pt>
                <c:pt idx="671">
                  <c:v>1.0305310822999787</c:v>
                </c:pt>
                <c:pt idx="672">
                  <c:v>0.8819692849324603</c:v>
                </c:pt>
                <c:pt idx="673">
                  <c:v>0.86249182472204067</c:v>
                </c:pt>
                <c:pt idx="674">
                  <c:v>0.96127717391304368</c:v>
                </c:pt>
                <c:pt idx="675">
                  <c:v>0.77874040377016596</c:v>
                </c:pt>
                <c:pt idx="676">
                  <c:v>0.7090799459948357</c:v>
                </c:pt>
                <c:pt idx="677">
                  <c:v>0.8172064460054429</c:v>
                </c:pt>
                <c:pt idx="678">
                  <c:v>0.85807573552898431</c:v>
                </c:pt>
                <c:pt idx="679">
                  <c:v>0.92272989860730048</c:v>
                </c:pt>
                <c:pt idx="680">
                  <c:v>0.79994095962050515</c:v>
                </c:pt>
                <c:pt idx="681">
                  <c:v>0.63309090909090904</c:v>
                </c:pt>
                <c:pt idx="682">
                  <c:v>0.8809420686301328</c:v>
                </c:pt>
                <c:pt idx="683">
                  <c:v>1.0071451087527583</c:v>
                </c:pt>
                <c:pt idx="684">
                  <c:v>1.0257866319121198</c:v>
                </c:pt>
                <c:pt idx="685">
                  <c:v>0.96823479249573663</c:v>
                </c:pt>
                <c:pt idx="686">
                  <c:v>0.49171003847737449</c:v>
                </c:pt>
                <c:pt idx="687">
                  <c:v>0.94742689961368465</c:v>
                </c:pt>
                <c:pt idx="688">
                  <c:v>0.82172854257864358</c:v>
                </c:pt>
                <c:pt idx="689">
                  <c:v>0.99581694246670349</c:v>
                </c:pt>
                <c:pt idx="690">
                  <c:v>0.92263447828904765</c:v>
                </c:pt>
                <c:pt idx="691">
                  <c:v>0.61828541458065556</c:v>
                </c:pt>
                <c:pt idx="692">
                  <c:v>0.61537820737268223</c:v>
                </c:pt>
                <c:pt idx="693">
                  <c:v>0.79408294763590159</c:v>
                </c:pt>
                <c:pt idx="694">
                  <c:v>0.82607458401603406</c:v>
                </c:pt>
                <c:pt idx="695">
                  <c:v>0.80029663739367696</c:v>
                </c:pt>
                <c:pt idx="696">
                  <c:v>0.98940446496670431</c:v>
                </c:pt>
                <c:pt idx="697">
                  <c:v>0.94922444161640762</c:v>
                </c:pt>
                <c:pt idx="698">
                  <c:v>0.66025293338680735</c:v>
                </c:pt>
                <c:pt idx="699">
                  <c:v>1.0764427654891431</c:v>
                </c:pt>
                <c:pt idx="700">
                  <c:v>1.0948569862719941</c:v>
                </c:pt>
                <c:pt idx="701">
                  <c:v>0.62444712505026057</c:v>
                </c:pt>
                <c:pt idx="702">
                  <c:v>0.67223769730733562</c:v>
                </c:pt>
                <c:pt idx="703">
                  <c:v>1.0989311308150127</c:v>
                </c:pt>
                <c:pt idx="704">
                  <c:v>1.1592584574365061</c:v>
                </c:pt>
                <c:pt idx="705">
                  <c:v>0.70853437282033049</c:v>
                </c:pt>
                <c:pt idx="706">
                  <c:v>0.98717067932029889</c:v>
                </c:pt>
                <c:pt idx="707">
                  <c:v>0.26349072697531434</c:v>
                </c:pt>
                <c:pt idx="708">
                  <c:v>0.73676024576217869</c:v>
                </c:pt>
                <c:pt idx="709">
                  <c:v>0.76639484164612648</c:v>
                </c:pt>
                <c:pt idx="710">
                  <c:v>0.59618268032931176</c:v>
                </c:pt>
                <c:pt idx="711">
                  <c:v>0.74693448063423662</c:v>
                </c:pt>
                <c:pt idx="712">
                  <c:v>0.42085677679887207</c:v>
                </c:pt>
                <c:pt idx="713">
                  <c:v>1.1984999890669761</c:v>
                </c:pt>
                <c:pt idx="714">
                  <c:v>0.81546071442200019</c:v>
                </c:pt>
                <c:pt idx="715">
                  <c:v>1.0644324772754898</c:v>
                </c:pt>
                <c:pt idx="716">
                  <c:v>1.1535574229251881</c:v>
                </c:pt>
                <c:pt idx="717">
                  <c:v>0.51802566365673164</c:v>
                </c:pt>
                <c:pt idx="718">
                  <c:v>0.98524041080688463</c:v>
                </c:pt>
                <c:pt idx="719">
                  <c:v>0.84474823280291855</c:v>
                </c:pt>
                <c:pt idx="720">
                  <c:v>0.97237076084824159</c:v>
                </c:pt>
                <c:pt idx="721">
                  <c:v>0.87552948398315433</c:v>
                </c:pt>
                <c:pt idx="722">
                  <c:v>0.7818656615618147</c:v>
                </c:pt>
                <c:pt idx="723">
                  <c:v>0.67553056947974588</c:v>
                </c:pt>
                <c:pt idx="724">
                  <c:v>0.82670477097721651</c:v>
                </c:pt>
                <c:pt idx="725">
                  <c:v>0.92238471243971365</c:v>
                </c:pt>
                <c:pt idx="726">
                  <c:v>0.73000857597054891</c:v>
                </c:pt>
                <c:pt idx="727">
                  <c:v>0.87212226736313125</c:v>
                </c:pt>
                <c:pt idx="728">
                  <c:v>0.7043522683253175</c:v>
                </c:pt>
                <c:pt idx="729">
                  <c:v>0</c:v>
                </c:pt>
                <c:pt idx="730">
                  <c:v>1.1345286349372385</c:v>
                </c:pt>
                <c:pt idx="731">
                  <c:v>1.1217730150998464</c:v>
                </c:pt>
                <c:pt idx="732">
                  <c:v>0.78729537940489136</c:v>
                </c:pt>
                <c:pt idx="733">
                  <c:v>0.6631432545201762</c:v>
                </c:pt>
                <c:pt idx="734">
                  <c:v>0.80457715000893959</c:v>
                </c:pt>
                <c:pt idx="735">
                  <c:v>0.70724477503852134</c:v>
                </c:pt>
                <c:pt idx="736">
                  <c:v>1.0432279909706546</c:v>
                </c:pt>
                <c:pt idx="737">
                  <c:v>0.78430625508167251</c:v>
                </c:pt>
                <c:pt idx="738">
                  <c:v>0.17008009428516471</c:v>
                </c:pt>
                <c:pt idx="739">
                  <c:v>0.74234757338466362</c:v>
                </c:pt>
                <c:pt idx="740">
                  <c:v>0.2408788618570587</c:v>
                </c:pt>
                <c:pt idx="741">
                  <c:v>1.4828731212862731</c:v>
                </c:pt>
                <c:pt idx="742">
                  <c:v>2.3047541649735868</c:v>
                </c:pt>
                <c:pt idx="743">
                  <c:v>1.5155968846515375</c:v>
                </c:pt>
                <c:pt idx="744">
                  <c:v>1.127926456643128</c:v>
                </c:pt>
                <c:pt idx="745">
                  <c:v>0.44633270947418685</c:v>
                </c:pt>
                <c:pt idx="746">
                  <c:v>0.96696004863268625</c:v>
                </c:pt>
                <c:pt idx="747">
                  <c:v>0.84643116558691756</c:v>
                </c:pt>
                <c:pt idx="748">
                  <c:v>0.7904678121996217</c:v>
                </c:pt>
                <c:pt idx="749">
                  <c:v>0.84428625859610762</c:v>
                </c:pt>
                <c:pt idx="750">
                  <c:v>0.90649679958443019</c:v>
                </c:pt>
                <c:pt idx="751">
                  <c:v>0.76448090185573558</c:v>
                </c:pt>
                <c:pt idx="752">
                  <c:v>0.83155195234944179</c:v>
                </c:pt>
                <c:pt idx="753">
                  <c:v>0.24189503671307641</c:v>
                </c:pt>
                <c:pt idx="754">
                  <c:v>0.86906769456286714</c:v>
                </c:pt>
                <c:pt idx="755">
                  <c:v>0.5368911632510448</c:v>
                </c:pt>
                <c:pt idx="756">
                  <c:v>0.97083942284696945</c:v>
                </c:pt>
                <c:pt idx="757">
                  <c:v>0.90056588520614356</c:v>
                </c:pt>
                <c:pt idx="758">
                  <c:v>0.76151310759212254</c:v>
                </c:pt>
                <c:pt idx="759">
                  <c:v>1.4501298821909689</c:v>
                </c:pt>
                <c:pt idx="760">
                  <c:v>0.95237973116174268</c:v>
                </c:pt>
                <c:pt idx="761">
                  <c:v>0.88338337926138089</c:v>
                </c:pt>
                <c:pt idx="762">
                  <c:v>0.78241435068523957</c:v>
                </c:pt>
                <c:pt idx="763">
                  <c:v>0.76963906581740982</c:v>
                </c:pt>
                <c:pt idx="764">
                  <c:v>1.0347222542433059</c:v>
                </c:pt>
                <c:pt idx="765">
                  <c:v>0.84245806157752434</c:v>
                </c:pt>
                <c:pt idx="766">
                  <c:v>0.84315934066402265</c:v>
                </c:pt>
                <c:pt idx="767">
                  <c:v>0.54536678640713199</c:v>
                </c:pt>
                <c:pt idx="768">
                  <c:v>0.83931320684250366</c:v>
                </c:pt>
                <c:pt idx="769">
                  <c:v>0.87453558629664219</c:v>
                </c:pt>
                <c:pt idx="770">
                  <c:v>0.66681314462930974</c:v>
                </c:pt>
                <c:pt idx="771">
                  <c:v>0.7616609783845335</c:v>
                </c:pt>
                <c:pt idx="772">
                  <c:v>0.67518951561094764</c:v>
                </c:pt>
                <c:pt idx="773">
                  <c:v>0.70560962609794065</c:v>
                </c:pt>
              </c:numCache>
            </c:numRef>
          </c:yVal>
        </c:ser>
        <c:axId val="102941824"/>
        <c:axId val="102943744"/>
      </c:scatterChart>
      <c:valAx>
        <c:axId val="102941824"/>
        <c:scaling>
          <c:orientation val="minMax"/>
          <c:max val="800"/>
        </c:scaling>
        <c:axPos val="b"/>
        <c:title>
          <c:tx>
            <c:rich>
              <a:bodyPr/>
              <a:lstStyle/>
              <a:p>
                <a:pPr>
                  <a:defRPr/>
                </a:pPr>
                <a:r>
                  <a:rPr lang="en-US"/>
                  <a:t>Number of observations </a:t>
                </a:r>
              </a:p>
            </c:rich>
          </c:tx>
        </c:title>
        <c:tickLblPos val="nextTo"/>
        <c:crossAx val="102943744"/>
        <c:crosses val="autoZero"/>
        <c:crossBetween val="midCat"/>
      </c:valAx>
      <c:valAx>
        <c:axId val="102943744"/>
        <c:scaling>
          <c:orientation val="minMax"/>
        </c:scaling>
        <c:axPos val="l"/>
        <c:majorGridlines/>
        <c:title>
          <c:tx>
            <c:rich>
              <a:bodyPr rot="-5400000" vert="horz"/>
              <a:lstStyle/>
              <a:p>
                <a:pPr>
                  <a:defRPr/>
                </a:pPr>
                <a:r>
                  <a:rPr lang="nl-NL"/>
                  <a:t>Ratio</a:t>
                </a:r>
              </a:p>
            </c:rich>
          </c:tx>
        </c:title>
        <c:numFmt formatCode="Standaard" sourceLinked="1"/>
        <c:tickLblPos val="nextTo"/>
        <c:crossAx val="102941824"/>
        <c:crosses val="autoZero"/>
        <c:crossBetween val="midCat"/>
      </c:valAx>
    </c:plotArea>
    <c:legend>
      <c:legendPos val="r"/>
      <c:layout>
        <c:manualLayout>
          <c:xMode val="edge"/>
          <c:yMode val="edge"/>
          <c:x val="0.7946174092255206"/>
          <c:y val="0.39102867489157872"/>
          <c:w val="0.19422498965871937"/>
          <c:h val="0.23558970904038071"/>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en-US"/>
              <a:t>Scatterplot:
</a:t>
            </a:r>
            <a:r>
              <a:rPr lang="en-US" sz="1800" b="1" i="0" u="none" strike="noStrike" baseline="0"/>
              <a:t>Program expenses / total costs</a:t>
            </a:r>
            <a:endParaRPr lang="en-US"/>
          </a:p>
        </c:rich>
      </c:tx>
    </c:title>
    <c:plotArea>
      <c:layout>
        <c:manualLayout>
          <c:layoutTarget val="inner"/>
          <c:xMode val="edge"/>
          <c:yMode val="edge"/>
          <c:x val="8.8355519491834567E-2"/>
          <c:y val="0.22625486469363737"/>
          <c:w val="0.70394140716664289"/>
          <c:h val="0.63014028418861923"/>
        </c:manualLayout>
      </c:layout>
      <c:scatterChart>
        <c:scatterStyle val="lineMarker"/>
        <c:ser>
          <c:idx val="0"/>
          <c:order val="0"/>
          <c:tx>
            <c:strRef>
              <c:f>dataset!$AK$1</c:f>
              <c:strCache>
                <c:ptCount val="1"/>
                <c:pt idx="0">
                  <c:v>Program expenses / total costs</c:v>
                </c:pt>
              </c:strCache>
            </c:strRef>
          </c:tx>
          <c:spPr>
            <a:ln w="28575">
              <a:noFill/>
            </a:ln>
          </c:spPr>
          <c:yVal>
            <c:numRef>
              <c:f>dataset!$AK$2:$AK$775</c:f>
              <c:numCache>
                <c:formatCode>Standaard</c:formatCode>
                <c:ptCount val="774"/>
                <c:pt idx="0">
                  <c:v>0.83987234666752564</c:v>
                </c:pt>
                <c:pt idx="1">
                  <c:v>0.84268079013837804</c:v>
                </c:pt>
                <c:pt idx="2">
                  <c:v>0.8843461837573513</c:v>
                </c:pt>
                <c:pt idx="3">
                  <c:v>0.93269230769230771</c:v>
                </c:pt>
                <c:pt idx="4">
                  <c:v>0.84722989923041458</c:v>
                </c:pt>
                <c:pt idx="5">
                  <c:v>0.94680434295948512</c:v>
                </c:pt>
                <c:pt idx="6">
                  <c:v>0.94937067125656771</c:v>
                </c:pt>
                <c:pt idx="7">
                  <c:v>0.97585280785543282</c:v>
                </c:pt>
                <c:pt idx="8">
                  <c:v>0.92307692307692257</c:v>
                </c:pt>
                <c:pt idx="9">
                  <c:v>0.89902313624678665</c:v>
                </c:pt>
                <c:pt idx="10">
                  <c:v>0.83315594688082062</c:v>
                </c:pt>
                <c:pt idx="11">
                  <c:v>0.81408669517303467</c:v>
                </c:pt>
                <c:pt idx="12">
                  <c:v>0.74891132529908677</c:v>
                </c:pt>
                <c:pt idx="13">
                  <c:v>0.7546052595201711</c:v>
                </c:pt>
                <c:pt idx="14">
                  <c:v>0.95990266610241215</c:v>
                </c:pt>
                <c:pt idx="15">
                  <c:v>0.82040705008011461</c:v>
                </c:pt>
                <c:pt idx="16">
                  <c:v>0.9452635831145223</c:v>
                </c:pt>
                <c:pt idx="17">
                  <c:v>0.94577687322586279</c:v>
                </c:pt>
                <c:pt idx="18">
                  <c:v>0.93409125517606395</c:v>
                </c:pt>
                <c:pt idx="19">
                  <c:v>0.97442374486895722</c:v>
                </c:pt>
                <c:pt idx="20">
                  <c:v>0.90213950598394566</c:v>
                </c:pt>
                <c:pt idx="21">
                  <c:v>0.88657059092281931</c:v>
                </c:pt>
                <c:pt idx="22">
                  <c:v>0.9995227897828981</c:v>
                </c:pt>
                <c:pt idx="23">
                  <c:v>0.96299284411393293</c:v>
                </c:pt>
                <c:pt idx="24">
                  <c:v>0.24288124922594229</c:v>
                </c:pt>
                <c:pt idx="25">
                  <c:v>1</c:v>
                </c:pt>
                <c:pt idx="26">
                  <c:v>0.76880816470647573</c:v>
                </c:pt>
                <c:pt idx="27">
                  <c:v>0.98868071021392234</c:v>
                </c:pt>
                <c:pt idx="28">
                  <c:v>0.90056195065720956</c:v>
                </c:pt>
                <c:pt idx="29">
                  <c:v>0.70406264537137542</c:v>
                </c:pt>
                <c:pt idx="30">
                  <c:v>0.78131354903284878</c:v>
                </c:pt>
                <c:pt idx="31">
                  <c:v>0.9320140615591207</c:v>
                </c:pt>
                <c:pt idx="32">
                  <c:v>0.8310065150910787</c:v>
                </c:pt>
                <c:pt idx="33">
                  <c:v>0.92701534288378462</c:v>
                </c:pt>
                <c:pt idx="34">
                  <c:v>0.88992794726352964</c:v>
                </c:pt>
                <c:pt idx="35">
                  <c:v>0.77600598431696244</c:v>
                </c:pt>
                <c:pt idx="36">
                  <c:v>0.77798875309272564</c:v>
                </c:pt>
                <c:pt idx="37">
                  <c:v>0.86545547227868069</c:v>
                </c:pt>
                <c:pt idx="38">
                  <c:v>0.94746002288527553</c:v>
                </c:pt>
                <c:pt idx="39">
                  <c:v>0.94143139647410723</c:v>
                </c:pt>
                <c:pt idx="40">
                  <c:v>0.98637590861890001</c:v>
                </c:pt>
                <c:pt idx="41">
                  <c:v>0.95597773164055044</c:v>
                </c:pt>
                <c:pt idx="42">
                  <c:v>0.80168562336665905</c:v>
                </c:pt>
                <c:pt idx="43">
                  <c:v>0.91376583274246803</c:v>
                </c:pt>
                <c:pt idx="44">
                  <c:v>0.97768331562167965</c:v>
                </c:pt>
                <c:pt idx="45">
                  <c:v>0.89211309523809523</c:v>
                </c:pt>
                <c:pt idx="46">
                  <c:v>0.89417046773994957</c:v>
                </c:pt>
                <c:pt idx="47">
                  <c:v>0.96702319516813162</c:v>
                </c:pt>
                <c:pt idx="48">
                  <c:v>0.54369987766753647</c:v>
                </c:pt>
                <c:pt idx="49">
                  <c:v>0.87197249901068064</c:v>
                </c:pt>
                <c:pt idx="50">
                  <c:v>0.92305449091818548</c:v>
                </c:pt>
                <c:pt idx="51">
                  <c:v>0.88422008375185457</c:v>
                </c:pt>
                <c:pt idx="52">
                  <c:v>0.8737925079329415</c:v>
                </c:pt>
                <c:pt idx="53">
                  <c:v>0.90672852146494387</c:v>
                </c:pt>
                <c:pt idx="54">
                  <c:v>0.88812133589794695</c:v>
                </c:pt>
                <c:pt idx="55">
                  <c:v>0.7432446275153014</c:v>
                </c:pt>
                <c:pt idx="56">
                  <c:v>0.70488721804511723</c:v>
                </c:pt>
                <c:pt idx="57">
                  <c:v>0.75872793366438807</c:v>
                </c:pt>
                <c:pt idx="58">
                  <c:v>0.85652049228511473</c:v>
                </c:pt>
                <c:pt idx="59">
                  <c:v>0.81921170158794809</c:v>
                </c:pt>
                <c:pt idx="60">
                  <c:v>0.99338756589710064</c:v>
                </c:pt>
                <c:pt idx="61">
                  <c:v>0.92124013094550361</c:v>
                </c:pt>
                <c:pt idx="62">
                  <c:v>0.89787128302824482</c:v>
                </c:pt>
                <c:pt idx="63">
                  <c:v>0.96194846668263001</c:v>
                </c:pt>
                <c:pt idx="64">
                  <c:v>0.92340959488781327</c:v>
                </c:pt>
                <c:pt idx="65">
                  <c:v>0.97489521288330927</c:v>
                </c:pt>
                <c:pt idx="66">
                  <c:v>0.66511697542770454</c:v>
                </c:pt>
                <c:pt idx="67">
                  <c:v>0.66862821124291538</c:v>
                </c:pt>
                <c:pt idx="68">
                  <c:v>0.86925006969612495</c:v>
                </c:pt>
                <c:pt idx="69">
                  <c:v>0.86216399301702751</c:v>
                </c:pt>
                <c:pt idx="70">
                  <c:v>0.86895106417723589</c:v>
                </c:pt>
                <c:pt idx="71">
                  <c:v>0.95694799658994489</c:v>
                </c:pt>
                <c:pt idx="72">
                  <c:v>0.5715072233967583</c:v>
                </c:pt>
                <c:pt idx="73">
                  <c:v>0.7459017782976487</c:v>
                </c:pt>
                <c:pt idx="74">
                  <c:v>0.9086483855265296</c:v>
                </c:pt>
                <c:pt idx="75">
                  <c:v>0.77884090302782338</c:v>
                </c:pt>
                <c:pt idx="76">
                  <c:v>0.88976553115128509</c:v>
                </c:pt>
                <c:pt idx="77">
                  <c:v>0.75149214521668151</c:v>
                </c:pt>
                <c:pt idx="78">
                  <c:v>0.8251551703946598</c:v>
                </c:pt>
                <c:pt idx="79">
                  <c:v>0.64710261449586604</c:v>
                </c:pt>
                <c:pt idx="80">
                  <c:v>0.8485503760264147</c:v>
                </c:pt>
                <c:pt idx="81">
                  <c:v>0.66616259882681406</c:v>
                </c:pt>
                <c:pt idx="82">
                  <c:v>0.88490180457899448</c:v>
                </c:pt>
                <c:pt idx="83">
                  <c:v>0.92336804884112456</c:v>
                </c:pt>
                <c:pt idx="84">
                  <c:v>0.92489915696258262</c:v>
                </c:pt>
                <c:pt idx="85">
                  <c:v>0.94605572586402387</c:v>
                </c:pt>
                <c:pt idx="86">
                  <c:v>0.9761264935937477</c:v>
                </c:pt>
                <c:pt idx="87">
                  <c:v>0.85712127833685325</c:v>
                </c:pt>
                <c:pt idx="88">
                  <c:v>0.75425715381541292</c:v>
                </c:pt>
                <c:pt idx="89">
                  <c:v>0.88589395546129379</c:v>
                </c:pt>
                <c:pt idx="90">
                  <c:v>0.83430405437793698</c:v>
                </c:pt>
                <c:pt idx="91">
                  <c:v>0.94058201553289045</c:v>
                </c:pt>
                <c:pt idx="92">
                  <c:v>0.94172601979465353</c:v>
                </c:pt>
                <c:pt idx="93">
                  <c:v>0.9992288948050978</c:v>
                </c:pt>
                <c:pt idx="94">
                  <c:v>0.64351872670883525</c:v>
                </c:pt>
                <c:pt idx="95">
                  <c:v>0.8792444264957836</c:v>
                </c:pt>
                <c:pt idx="96">
                  <c:v>0.90746835572489959</c:v>
                </c:pt>
                <c:pt idx="97">
                  <c:v>0.89363479090854869</c:v>
                </c:pt>
                <c:pt idx="98">
                  <c:v>0.97498181818182406</c:v>
                </c:pt>
                <c:pt idx="99">
                  <c:v>0.97020791075050705</c:v>
                </c:pt>
                <c:pt idx="100">
                  <c:v>0.99113833132740559</c:v>
                </c:pt>
                <c:pt idx="101">
                  <c:v>0.90791505791505789</c:v>
                </c:pt>
                <c:pt idx="102">
                  <c:v>0.99527970322416071</c:v>
                </c:pt>
                <c:pt idx="103">
                  <c:v>0.87364247543526974</c:v>
                </c:pt>
                <c:pt idx="104">
                  <c:v>0.96414811000987466</c:v>
                </c:pt>
                <c:pt idx="105">
                  <c:v>0.90892887943425515</c:v>
                </c:pt>
                <c:pt idx="106">
                  <c:v>0.99298793272142749</c:v>
                </c:pt>
                <c:pt idx="107">
                  <c:v>0.90924105924105925</c:v>
                </c:pt>
                <c:pt idx="108">
                  <c:v>0.887406598783826</c:v>
                </c:pt>
                <c:pt idx="109">
                  <c:v>0.95250674001252456</c:v>
                </c:pt>
                <c:pt idx="110">
                  <c:v>0.963535094208259</c:v>
                </c:pt>
                <c:pt idx="111">
                  <c:v>0.84917832651820568</c:v>
                </c:pt>
                <c:pt idx="112">
                  <c:v>0.99832412978378526</c:v>
                </c:pt>
                <c:pt idx="113">
                  <c:v>0.68739556518990197</c:v>
                </c:pt>
                <c:pt idx="114">
                  <c:v>0.91461687618466669</c:v>
                </c:pt>
                <c:pt idx="115">
                  <c:v>0.92825502293940865</c:v>
                </c:pt>
                <c:pt idx="116">
                  <c:v>0.88680281461990385</c:v>
                </c:pt>
                <c:pt idx="117">
                  <c:v>0.98842207222205358</c:v>
                </c:pt>
                <c:pt idx="118">
                  <c:v>0.79700505743492989</c:v>
                </c:pt>
                <c:pt idx="119">
                  <c:v>0.91367735271918848</c:v>
                </c:pt>
                <c:pt idx="120">
                  <c:v>0.49767711962833916</c:v>
                </c:pt>
                <c:pt idx="121">
                  <c:v>0.79022236136923363</c:v>
                </c:pt>
                <c:pt idx="122">
                  <c:v>0.96859821529425061</c:v>
                </c:pt>
                <c:pt idx="123">
                  <c:v>0.83960972371488884</c:v>
                </c:pt>
                <c:pt idx="124">
                  <c:v>0.8875640282338817</c:v>
                </c:pt>
                <c:pt idx="125">
                  <c:v>0.73261390887290156</c:v>
                </c:pt>
                <c:pt idx="126">
                  <c:v>0.73785276093211549</c:v>
                </c:pt>
                <c:pt idx="127">
                  <c:v>0.86315313277539063</c:v>
                </c:pt>
                <c:pt idx="128">
                  <c:v>0.96306754099669556</c:v>
                </c:pt>
                <c:pt idx="129">
                  <c:v>0.97811618941674539</c:v>
                </c:pt>
                <c:pt idx="130">
                  <c:v>0.88972428081918875</c:v>
                </c:pt>
                <c:pt idx="131">
                  <c:v>0.9409410910013436</c:v>
                </c:pt>
                <c:pt idx="132">
                  <c:v>0.9968128141216851</c:v>
                </c:pt>
                <c:pt idx="133">
                  <c:v>0.97381832498523557</c:v>
                </c:pt>
                <c:pt idx="134">
                  <c:v>0.84702479338843573</c:v>
                </c:pt>
                <c:pt idx="135">
                  <c:v>0.80304515695820478</c:v>
                </c:pt>
                <c:pt idx="136">
                  <c:v>0.90130466563137213</c:v>
                </c:pt>
                <c:pt idx="137">
                  <c:v>0.99284885336472251</c:v>
                </c:pt>
                <c:pt idx="138">
                  <c:v>0.89066992393176758</c:v>
                </c:pt>
                <c:pt idx="139">
                  <c:v>0.9334735286595246</c:v>
                </c:pt>
                <c:pt idx="140">
                  <c:v>0.75658269093220565</c:v>
                </c:pt>
                <c:pt idx="141">
                  <c:v>0.78974932393691688</c:v>
                </c:pt>
                <c:pt idx="142">
                  <c:v>0.82846185606397726</c:v>
                </c:pt>
                <c:pt idx="143">
                  <c:v>1</c:v>
                </c:pt>
                <c:pt idx="144">
                  <c:v>0.8911881188118812</c:v>
                </c:pt>
                <c:pt idx="145">
                  <c:v>0.9891049121818356</c:v>
                </c:pt>
                <c:pt idx="146">
                  <c:v>0.97075798383993839</c:v>
                </c:pt>
                <c:pt idx="147">
                  <c:v>0.75071332815648895</c:v>
                </c:pt>
                <c:pt idx="148">
                  <c:v>0.76485655737704961</c:v>
                </c:pt>
                <c:pt idx="149">
                  <c:v>0.81629279992619996</c:v>
                </c:pt>
                <c:pt idx="150">
                  <c:v>0.7038190503840217</c:v>
                </c:pt>
                <c:pt idx="151">
                  <c:v>0.74179347182841804</c:v>
                </c:pt>
                <c:pt idx="152">
                  <c:v>0.96208210101685265</c:v>
                </c:pt>
                <c:pt idx="153">
                  <c:v>0.82920580700256263</c:v>
                </c:pt>
                <c:pt idx="154">
                  <c:v>0.92833757730083666</c:v>
                </c:pt>
                <c:pt idx="155">
                  <c:v>0.78593710219269153</c:v>
                </c:pt>
                <c:pt idx="156">
                  <c:v>0.97938957301706109</c:v>
                </c:pt>
                <c:pt idx="157">
                  <c:v>0.91857314870559859</c:v>
                </c:pt>
                <c:pt idx="158">
                  <c:v>0.88173177854137563</c:v>
                </c:pt>
                <c:pt idx="159">
                  <c:v>0.94301981537571367</c:v>
                </c:pt>
                <c:pt idx="160">
                  <c:v>1</c:v>
                </c:pt>
                <c:pt idx="161">
                  <c:v>0.8900252091211186</c:v>
                </c:pt>
                <c:pt idx="162">
                  <c:v>0.73891469803301812</c:v>
                </c:pt>
                <c:pt idx="163">
                  <c:v>0.75517503542178632</c:v>
                </c:pt>
                <c:pt idx="164">
                  <c:v>0.82304129201655263</c:v>
                </c:pt>
                <c:pt idx="165">
                  <c:v>0.89344375570903156</c:v>
                </c:pt>
                <c:pt idx="166">
                  <c:v>0.94609861697741549</c:v>
                </c:pt>
                <c:pt idx="167">
                  <c:v>0.94605867598568361</c:v>
                </c:pt>
                <c:pt idx="168">
                  <c:v>0.84257147645095365</c:v>
                </c:pt>
                <c:pt idx="169">
                  <c:v>0.91587757858412722</c:v>
                </c:pt>
                <c:pt idx="170">
                  <c:v>0.73174366616990294</c:v>
                </c:pt>
                <c:pt idx="171">
                  <c:v>1</c:v>
                </c:pt>
                <c:pt idx="172">
                  <c:v>0.99637053534603648</c:v>
                </c:pt>
                <c:pt idx="173">
                  <c:v>0.99842680592948196</c:v>
                </c:pt>
                <c:pt idx="174">
                  <c:v>0.82977416263239823</c:v>
                </c:pt>
                <c:pt idx="175">
                  <c:v>0.83037626185377789</c:v>
                </c:pt>
                <c:pt idx="176">
                  <c:v>0.97978064720937963</c:v>
                </c:pt>
                <c:pt idx="177">
                  <c:v>0.72280237142255255</c:v>
                </c:pt>
                <c:pt idx="178">
                  <c:v>0.96084905660378794</c:v>
                </c:pt>
                <c:pt idx="179">
                  <c:v>0.73180743790576475</c:v>
                </c:pt>
                <c:pt idx="180">
                  <c:v>0.9816225555642818</c:v>
                </c:pt>
                <c:pt idx="181">
                  <c:v>1</c:v>
                </c:pt>
                <c:pt idx="182">
                  <c:v>0.99325173440754699</c:v>
                </c:pt>
                <c:pt idx="183">
                  <c:v>0.87408480078411765</c:v>
                </c:pt>
                <c:pt idx="184">
                  <c:v>0.9528377942599161</c:v>
                </c:pt>
                <c:pt idx="185">
                  <c:v>0.98272954451378003</c:v>
                </c:pt>
                <c:pt idx="186">
                  <c:v>0.81346318476934187</c:v>
                </c:pt>
                <c:pt idx="187">
                  <c:v>0.87593627138199393</c:v>
                </c:pt>
                <c:pt idx="188">
                  <c:v>0.8770605113376323</c:v>
                </c:pt>
                <c:pt idx="189">
                  <c:v>0.80826300253342664</c:v>
                </c:pt>
                <c:pt idx="190">
                  <c:v>0.78113417346182368</c:v>
                </c:pt>
                <c:pt idx="191">
                  <c:v>0.76126774856103718</c:v>
                </c:pt>
                <c:pt idx="192">
                  <c:v>0.65653970378560833</c:v>
                </c:pt>
                <c:pt idx="193">
                  <c:v>0.95320545624592379</c:v>
                </c:pt>
                <c:pt idx="194">
                  <c:v>0.91588285909265799</c:v>
                </c:pt>
                <c:pt idx="195">
                  <c:v>0.44861842969536847</c:v>
                </c:pt>
                <c:pt idx="196">
                  <c:v>0.99321323575404508</c:v>
                </c:pt>
                <c:pt idx="197">
                  <c:v>0.69837663678797168</c:v>
                </c:pt>
                <c:pt idx="198">
                  <c:v>1</c:v>
                </c:pt>
                <c:pt idx="199">
                  <c:v>0.97757376396701157</c:v>
                </c:pt>
                <c:pt idx="200">
                  <c:v>0.8214941458500491</c:v>
                </c:pt>
                <c:pt idx="201">
                  <c:v>0.95479977848645659</c:v>
                </c:pt>
                <c:pt idx="202">
                  <c:v>0.96554226752074723</c:v>
                </c:pt>
                <c:pt idx="203">
                  <c:v>0.96491405753971693</c:v>
                </c:pt>
                <c:pt idx="204">
                  <c:v>1</c:v>
                </c:pt>
                <c:pt idx="205">
                  <c:v>0.81001597254508029</c:v>
                </c:pt>
                <c:pt idx="206">
                  <c:v>0.76162067648029796</c:v>
                </c:pt>
                <c:pt idx="207">
                  <c:v>0.75848979432563635</c:v>
                </c:pt>
                <c:pt idx="208">
                  <c:v>0.70780698482710858</c:v>
                </c:pt>
                <c:pt idx="209">
                  <c:v>0.87457025276834588</c:v>
                </c:pt>
                <c:pt idx="210">
                  <c:v>0.99103373942019901</c:v>
                </c:pt>
                <c:pt idx="211">
                  <c:v>0.9153094847343155</c:v>
                </c:pt>
                <c:pt idx="212">
                  <c:v>0.99477210809218752</c:v>
                </c:pt>
                <c:pt idx="213">
                  <c:v>0.8537833925570496</c:v>
                </c:pt>
                <c:pt idx="214">
                  <c:v>1</c:v>
                </c:pt>
                <c:pt idx="215">
                  <c:v>0.95426427340026354</c:v>
                </c:pt>
                <c:pt idx="216">
                  <c:v>1</c:v>
                </c:pt>
                <c:pt idx="217">
                  <c:v>0.8655158403567077</c:v>
                </c:pt>
                <c:pt idx="218">
                  <c:v>0.82863514719000964</c:v>
                </c:pt>
                <c:pt idx="219">
                  <c:v>0.9538390698745256</c:v>
                </c:pt>
                <c:pt idx="220">
                  <c:v>0.86280942198030064</c:v>
                </c:pt>
                <c:pt idx="221">
                  <c:v>0.98173667050249325</c:v>
                </c:pt>
                <c:pt idx="222">
                  <c:v>0.81981658214537667</c:v>
                </c:pt>
                <c:pt idx="223">
                  <c:v>0.93502030066937858</c:v>
                </c:pt>
                <c:pt idx="224">
                  <c:v>1</c:v>
                </c:pt>
                <c:pt idx="225">
                  <c:v>1</c:v>
                </c:pt>
                <c:pt idx="226">
                  <c:v>0.89212841609332705</c:v>
                </c:pt>
                <c:pt idx="227">
                  <c:v>0.88881028877183887</c:v>
                </c:pt>
                <c:pt idx="228">
                  <c:v>0.78578822776015333</c:v>
                </c:pt>
                <c:pt idx="229">
                  <c:v>0.9439345903554146</c:v>
                </c:pt>
                <c:pt idx="230">
                  <c:v>0.99069793663322192</c:v>
                </c:pt>
                <c:pt idx="231">
                  <c:v>0.99130200632233656</c:v>
                </c:pt>
                <c:pt idx="232">
                  <c:v>0.79866324306313363</c:v>
                </c:pt>
                <c:pt idx="233">
                  <c:v>0.99000869649241474</c:v>
                </c:pt>
                <c:pt idx="234">
                  <c:v>0.90083294043689999</c:v>
                </c:pt>
                <c:pt idx="235">
                  <c:v>0.99792836504388593</c:v>
                </c:pt>
                <c:pt idx="236">
                  <c:v>0.77166036658773063</c:v>
                </c:pt>
                <c:pt idx="237">
                  <c:v>0.9924559932942163</c:v>
                </c:pt>
                <c:pt idx="238">
                  <c:v>0.60394367112252134</c:v>
                </c:pt>
                <c:pt idx="239">
                  <c:v>1</c:v>
                </c:pt>
                <c:pt idx="240">
                  <c:v>0.90099478919943154</c:v>
                </c:pt>
                <c:pt idx="241">
                  <c:v>0.94837442099452574</c:v>
                </c:pt>
                <c:pt idx="242">
                  <c:v>0.78979358609674899</c:v>
                </c:pt>
                <c:pt idx="243">
                  <c:v>0.92016667639334693</c:v>
                </c:pt>
                <c:pt idx="244">
                  <c:v>0.9364504671863515</c:v>
                </c:pt>
                <c:pt idx="245">
                  <c:v>0.90377835598642553</c:v>
                </c:pt>
                <c:pt idx="246">
                  <c:v>0.93463114754098364</c:v>
                </c:pt>
                <c:pt idx="247">
                  <c:v>0.77048720176435159</c:v>
                </c:pt>
                <c:pt idx="248">
                  <c:v>0.63275355580446779</c:v>
                </c:pt>
                <c:pt idx="249">
                  <c:v>0.90020636218510297</c:v>
                </c:pt>
                <c:pt idx="250">
                  <c:v>0.91959272792085867</c:v>
                </c:pt>
                <c:pt idx="251">
                  <c:v>0.93362393501090002</c:v>
                </c:pt>
                <c:pt idx="252">
                  <c:v>0.98320490670730321</c:v>
                </c:pt>
                <c:pt idx="253">
                  <c:v>0.96999929243615135</c:v>
                </c:pt>
                <c:pt idx="254">
                  <c:v>0.4661966951082635</c:v>
                </c:pt>
                <c:pt idx="255">
                  <c:v>0.96927555991416192</c:v>
                </c:pt>
                <c:pt idx="256">
                  <c:v>0.78097212863903931</c:v>
                </c:pt>
                <c:pt idx="257">
                  <c:v>1</c:v>
                </c:pt>
                <c:pt idx="258">
                  <c:v>0.81373415738657995</c:v>
                </c:pt>
                <c:pt idx="259">
                  <c:v>0.83078884966641064</c:v>
                </c:pt>
                <c:pt idx="260">
                  <c:v>0.16122004357298494</c:v>
                </c:pt>
                <c:pt idx="261">
                  <c:v>0.97783823971400163</c:v>
                </c:pt>
                <c:pt idx="262">
                  <c:v>0</c:v>
                </c:pt>
                <c:pt idx="263">
                  <c:v>0.94783270927206509</c:v>
                </c:pt>
                <c:pt idx="264">
                  <c:v>0.82346471503647833</c:v>
                </c:pt>
                <c:pt idx="265">
                  <c:v>0.95293292942442986</c:v>
                </c:pt>
                <c:pt idx="266">
                  <c:v>0.75590118938700823</c:v>
                </c:pt>
                <c:pt idx="267">
                  <c:v>0.82641470986147259</c:v>
                </c:pt>
                <c:pt idx="268">
                  <c:v>0.76241693102090857</c:v>
                </c:pt>
                <c:pt idx="269">
                  <c:v>0.8200315960050768</c:v>
                </c:pt>
                <c:pt idx="270">
                  <c:v>0.89361573410071693</c:v>
                </c:pt>
                <c:pt idx="271">
                  <c:v>0.9604198059587068</c:v>
                </c:pt>
                <c:pt idx="272">
                  <c:v>0.99161378059836758</c:v>
                </c:pt>
                <c:pt idx="273">
                  <c:v>0.81041021027025228</c:v>
                </c:pt>
                <c:pt idx="274">
                  <c:v>0.86605804919658391</c:v>
                </c:pt>
                <c:pt idx="275">
                  <c:v>0.93195565688760673</c:v>
                </c:pt>
                <c:pt idx="276">
                  <c:v>0.91722775480591257</c:v>
                </c:pt>
                <c:pt idx="277">
                  <c:v>0.86694692110892779</c:v>
                </c:pt>
                <c:pt idx="278">
                  <c:v>0.97778473091364204</c:v>
                </c:pt>
                <c:pt idx="279">
                  <c:v>0.86307696257818511</c:v>
                </c:pt>
                <c:pt idx="280">
                  <c:v>0.52373278174218196</c:v>
                </c:pt>
                <c:pt idx="281">
                  <c:v>0.44426223556100175</c:v>
                </c:pt>
                <c:pt idx="282">
                  <c:v>0.77121186774649064</c:v>
                </c:pt>
                <c:pt idx="283">
                  <c:v>0.60796605358002964</c:v>
                </c:pt>
                <c:pt idx="284">
                  <c:v>0.88469343490034968</c:v>
                </c:pt>
                <c:pt idx="285">
                  <c:v>0.79148104131671726</c:v>
                </c:pt>
                <c:pt idx="286">
                  <c:v>0.98332063369760725</c:v>
                </c:pt>
                <c:pt idx="287">
                  <c:v>0.91832891955586871</c:v>
                </c:pt>
                <c:pt idx="288">
                  <c:v>0.71519497131444065</c:v>
                </c:pt>
                <c:pt idx="289">
                  <c:v>0.90063734600132228</c:v>
                </c:pt>
                <c:pt idx="290">
                  <c:v>0.92225759952729258</c:v>
                </c:pt>
                <c:pt idx="291">
                  <c:v>0.9318545079367766</c:v>
                </c:pt>
                <c:pt idx="292">
                  <c:v>1</c:v>
                </c:pt>
                <c:pt idx="293">
                  <c:v>0.75148209627697415</c:v>
                </c:pt>
                <c:pt idx="294">
                  <c:v>0.86289386444684268</c:v>
                </c:pt>
                <c:pt idx="295">
                  <c:v>0.75490943289640433</c:v>
                </c:pt>
                <c:pt idx="296">
                  <c:v>0.92392039764668232</c:v>
                </c:pt>
                <c:pt idx="297">
                  <c:v>0.87105639982699257</c:v>
                </c:pt>
                <c:pt idx="298">
                  <c:v>0.88902658956761715</c:v>
                </c:pt>
                <c:pt idx="299">
                  <c:v>0.87249617484063657</c:v>
                </c:pt>
                <c:pt idx="300">
                  <c:v>0.92359746780178997</c:v>
                </c:pt>
                <c:pt idx="301">
                  <c:v>0.93152647834486002</c:v>
                </c:pt>
                <c:pt idx="302">
                  <c:v>1</c:v>
                </c:pt>
                <c:pt idx="303">
                  <c:v>0.80101600885529856</c:v>
                </c:pt>
                <c:pt idx="304">
                  <c:v>0.99046178036877153</c:v>
                </c:pt>
                <c:pt idx="305">
                  <c:v>0.26762314137417331</c:v>
                </c:pt>
                <c:pt idx="306">
                  <c:v>0.78765081382373625</c:v>
                </c:pt>
                <c:pt idx="307">
                  <c:v>0.98550508069336518</c:v>
                </c:pt>
                <c:pt idx="308">
                  <c:v>0.90501754138117751</c:v>
                </c:pt>
                <c:pt idx="309">
                  <c:v>0.97580188915704069</c:v>
                </c:pt>
                <c:pt idx="310">
                  <c:v>0.87592709231536581</c:v>
                </c:pt>
                <c:pt idx="311">
                  <c:v>0.70300431508588312</c:v>
                </c:pt>
                <c:pt idx="312">
                  <c:v>0.759916453012211</c:v>
                </c:pt>
                <c:pt idx="313">
                  <c:v>0.90690663374699498</c:v>
                </c:pt>
                <c:pt idx="314">
                  <c:v>0.89516640472054032</c:v>
                </c:pt>
                <c:pt idx="315">
                  <c:v>0.9870711316186217</c:v>
                </c:pt>
                <c:pt idx="316">
                  <c:v>0.9263550798721053</c:v>
                </c:pt>
                <c:pt idx="317">
                  <c:v>0.99762991262514589</c:v>
                </c:pt>
                <c:pt idx="318">
                  <c:v>0.99658729618574438</c:v>
                </c:pt>
                <c:pt idx="319">
                  <c:v>0.96953737506732385</c:v>
                </c:pt>
                <c:pt idx="320">
                  <c:v>0.83706073909190148</c:v>
                </c:pt>
                <c:pt idx="321">
                  <c:v>0.81057633689212638</c:v>
                </c:pt>
                <c:pt idx="322">
                  <c:v>0.9991772412265435</c:v>
                </c:pt>
                <c:pt idx="323">
                  <c:v>0.95901192959381865</c:v>
                </c:pt>
                <c:pt idx="324">
                  <c:v>0.91295034079844206</c:v>
                </c:pt>
                <c:pt idx="325">
                  <c:v>0.99071575940326928</c:v>
                </c:pt>
                <c:pt idx="326">
                  <c:v>0.6469252888059327</c:v>
                </c:pt>
                <c:pt idx="327">
                  <c:v>0.78145408962707619</c:v>
                </c:pt>
                <c:pt idx="328">
                  <c:v>0.97760701590072163</c:v>
                </c:pt>
                <c:pt idx="329">
                  <c:v>0.66948959817174492</c:v>
                </c:pt>
                <c:pt idx="330">
                  <c:v>0.89987853548499064</c:v>
                </c:pt>
                <c:pt idx="331">
                  <c:v>1</c:v>
                </c:pt>
                <c:pt idx="332">
                  <c:v>0.98426669600616057</c:v>
                </c:pt>
                <c:pt idx="333">
                  <c:v>0.27103549168375268</c:v>
                </c:pt>
                <c:pt idx="334">
                  <c:v>0.84674333326085682</c:v>
                </c:pt>
                <c:pt idx="335">
                  <c:v>0.92428367690911462</c:v>
                </c:pt>
                <c:pt idx="336">
                  <c:v>0.90542485107243542</c:v>
                </c:pt>
                <c:pt idx="337">
                  <c:v>0.89538263016157993</c:v>
                </c:pt>
                <c:pt idx="338">
                  <c:v>0.70958907614859446</c:v>
                </c:pt>
                <c:pt idx="339">
                  <c:v>0.87289790388140664</c:v>
                </c:pt>
                <c:pt idx="340">
                  <c:v>0.6770833333333387</c:v>
                </c:pt>
                <c:pt idx="341">
                  <c:v>0.96002899173198752</c:v>
                </c:pt>
                <c:pt idx="342">
                  <c:v>0.36503496503496957</c:v>
                </c:pt>
                <c:pt idx="343">
                  <c:v>0.95913223029685468</c:v>
                </c:pt>
                <c:pt idx="344">
                  <c:v>0.99636087945413188</c:v>
                </c:pt>
                <c:pt idx="345">
                  <c:v>0.7304718883846697</c:v>
                </c:pt>
                <c:pt idx="346">
                  <c:v>0.93730894429848877</c:v>
                </c:pt>
                <c:pt idx="347">
                  <c:v>0.98834252082070251</c:v>
                </c:pt>
                <c:pt idx="348">
                  <c:v>0.98611400402693294</c:v>
                </c:pt>
                <c:pt idx="349">
                  <c:v>0.93428203343649585</c:v>
                </c:pt>
                <c:pt idx="350">
                  <c:v>0.98941899512132703</c:v>
                </c:pt>
                <c:pt idx="351">
                  <c:v>0.91789004758530368</c:v>
                </c:pt>
                <c:pt idx="352">
                  <c:v>0.73425851529108122</c:v>
                </c:pt>
                <c:pt idx="353">
                  <c:v>0.77569357049696663</c:v>
                </c:pt>
                <c:pt idx="354">
                  <c:v>0.91976592977893357</c:v>
                </c:pt>
                <c:pt idx="355">
                  <c:v>0.82960784505922269</c:v>
                </c:pt>
                <c:pt idx="356">
                  <c:v>0.98585299354551525</c:v>
                </c:pt>
                <c:pt idx="357">
                  <c:v>1.2330760314681003E-2</c:v>
                </c:pt>
                <c:pt idx="358">
                  <c:v>1</c:v>
                </c:pt>
                <c:pt idx="359">
                  <c:v>0.91631034596530081</c:v>
                </c:pt>
                <c:pt idx="360">
                  <c:v>0.90460141087173163</c:v>
                </c:pt>
                <c:pt idx="361">
                  <c:v>0.8825226230348947</c:v>
                </c:pt>
                <c:pt idx="362">
                  <c:v>0.8640312513443088</c:v>
                </c:pt>
                <c:pt idx="363">
                  <c:v>0.36891457383757609</c:v>
                </c:pt>
                <c:pt idx="364">
                  <c:v>0.73278822567457957</c:v>
                </c:pt>
                <c:pt idx="365">
                  <c:v>0.80697901415325002</c:v>
                </c:pt>
                <c:pt idx="366">
                  <c:v>0.78127447490210045</c:v>
                </c:pt>
                <c:pt idx="367">
                  <c:v>0.5661872947571055</c:v>
                </c:pt>
                <c:pt idx="368">
                  <c:v>0.97262690272424379</c:v>
                </c:pt>
                <c:pt idx="369">
                  <c:v>1</c:v>
                </c:pt>
                <c:pt idx="370">
                  <c:v>0.99376163569259368</c:v>
                </c:pt>
                <c:pt idx="371">
                  <c:v>0.99627014079775766</c:v>
                </c:pt>
                <c:pt idx="372">
                  <c:v>0.91874923057984414</c:v>
                </c:pt>
                <c:pt idx="373">
                  <c:v>0.85835530291750262</c:v>
                </c:pt>
                <c:pt idx="374">
                  <c:v>0.90881170426624958</c:v>
                </c:pt>
                <c:pt idx="375">
                  <c:v>0.83203508411825144</c:v>
                </c:pt>
                <c:pt idx="376">
                  <c:v>0.87009724473258065</c:v>
                </c:pt>
                <c:pt idx="377">
                  <c:v>0.88605417476919368</c:v>
                </c:pt>
                <c:pt idx="378">
                  <c:v>1</c:v>
                </c:pt>
                <c:pt idx="379">
                  <c:v>1</c:v>
                </c:pt>
                <c:pt idx="380">
                  <c:v>1</c:v>
                </c:pt>
                <c:pt idx="381">
                  <c:v>0.96269565662178758</c:v>
                </c:pt>
                <c:pt idx="382">
                  <c:v>0.91363518608816863</c:v>
                </c:pt>
                <c:pt idx="383">
                  <c:v>1</c:v>
                </c:pt>
                <c:pt idx="384">
                  <c:v>0.90194725021239963</c:v>
                </c:pt>
                <c:pt idx="385">
                  <c:v>1</c:v>
                </c:pt>
                <c:pt idx="386">
                  <c:v>0.97140595024209064</c:v>
                </c:pt>
                <c:pt idx="387">
                  <c:v>0.9882075471698113</c:v>
                </c:pt>
                <c:pt idx="388">
                  <c:v>0.67935421485722969</c:v>
                </c:pt>
                <c:pt idx="389">
                  <c:v>0.89705742536603916</c:v>
                </c:pt>
                <c:pt idx="390">
                  <c:v>0.80684554764661565</c:v>
                </c:pt>
                <c:pt idx="391">
                  <c:v>0.98277126099706746</c:v>
                </c:pt>
                <c:pt idx="392">
                  <c:v>1</c:v>
                </c:pt>
                <c:pt idx="393">
                  <c:v>0.83686654552795681</c:v>
                </c:pt>
                <c:pt idx="394">
                  <c:v>0.80304705928820064</c:v>
                </c:pt>
                <c:pt idx="395">
                  <c:v>0.99419739551300912</c:v>
                </c:pt>
                <c:pt idx="396">
                  <c:v>0.95464132168834837</c:v>
                </c:pt>
                <c:pt idx="397">
                  <c:v>0.93028846153846168</c:v>
                </c:pt>
                <c:pt idx="398">
                  <c:v>0.97168842041173564</c:v>
                </c:pt>
                <c:pt idx="399">
                  <c:v>0.6494111556878478</c:v>
                </c:pt>
                <c:pt idx="400">
                  <c:v>0.87834267771394114</c:v>
                </c:pt>
                <c:pt idx="401">
                  <c:v>0.94117514439459271</c:v>
                </c:pt>
                <c:pt idx="402">
                  <c:v>0.9453906851424172</c:v>
                </c:pt>
                <c:pt idx="403">
                  <c:v>0.5529224428624957</c:v>
                </c:pt>
                <c:pt idx="404">
                  <c:v>0.95372127345562518</c:v>
                </c:pt>
                <c:pt idx="405">
                  <c:v>0.32826535907565152</c:v>
                </c:pt>
                <c:pt idx="406">
                  <c:v>0.94468112790980763</c:v>
                </c:pt>
                <c:pt idx="407">
                  <c:v>0.93539011579927489</c:v>
                </c:pt>
                <c:pt idx="408">
                  <c:v>0.66656872192987104</c:v>
                </c:pt>
                <c:pt idx="409">
                  <c:v>0.9337239106554428</c:v>
                </c:pt>
                <c:pt idx="410">
                  <c:v>0.98188423584859363</c:v>
                </c:pt>
                <c:pt idx="411">
                  <c:v>0.8539453813239366</c:v>
                </c:pt>
                <c:pt idx="412">
                  <c:v>0.85188875366011663</c:v>
                </c:pt>
                <c:pt idx="413">
                  <c:v>0.99613266430057523</c:v>
                </c:pt>
                <c:pt idx="414">
                  <c:v>0.98852884534873986</c:v>
                </c:pt>
                <c:pt idx="415">
                  <c:v>0.95233712930244863</c:v>
                </c:pt>
                <c:pt idx="416">
                  <c:v>0.94081854964207901</c:v>
                </c:pt>
                <c:pt idx="417">
                  <c:v>0.85800753956647935</c:v>
                </c:pt>
                <c:pt idx="418">
                  <c:v>0.83268464245570384</c:v>
                </c:pt>
                <c:pt idx="419">
                  <c:v>0.97191546077684687</c:v>
                </c:pt>
                <c:pt idx="420">
                  <c:v>0.98504522253067672</c:v>
                </c:pt>
                <c:pt idx="421">
                  <c:v>0</c:v>
                </c:pt>
                <c:pt idx="422">
                  <c:v>0.88351702380464026</c:v>
                </c:pt>
                <c:pt idx="423">
                  <c:v>0.99066150623158489</c:v>
                </c:pt>
                <c:pt idx="424">
                  <c:v>0.93370465969298078</c:v>
                </c:pt>
                <c:pt idx="425">
                  <c:v>1</c:v>
                </c:pt>
                <c:pt idx="426">
                  <c:v>0.99798419253542081</c:v>
                </c:pt>
                <c:pt idx="427">
                  <c:v>0.99816011699768836</c:v>
                </c:pt>
                <c:pt idx="428">
                  <c:v>0.86058519793459565</c:v>
                </c:pt>
                <c:pt idx="429">
                  <c:v>0.81670629587511634</c:v>
                </c:pt>
                <c:pt idx="430">
                  <c:v>0.90686094273618301</c:v>
                </c:pt>
                <c:pt idx="431">
                  <c:v>0.90506894818991546</c:v>
                </c:pt>
                <c:pt idx="432">
                  <c:v>0.98414250027153249</c:v>
                </c:pt>
                <c:pt idx="433">
                  <c:v>0.8585077693591886</c:v>
                </c:pt>
                <c:pt idx="434">
                  <c:v>0</c:v>
                </c:pt>
                <c:pt idx="435">
                  <c:v>0.90710770148780406</c:v>
                </c:pt>
                <c:pt idx="436">
                  <c:v>0.84084784692457104</c:v>
                </c:pt>
                <c:pt idx="437">
                  <c:v>0.73259397063339804</c:v>
                </c:pt>
                <c:pt idx="438">
                  <c:v>0.86664017345468591</c:v>
                </c:pt>
                <c:pt idx="439">
                  <c:v>0.73178619650904164</c:v>
                </c:pt>
                <c:pt idx="440">
                  <c:v>0.824834055660568</c:v>
                </c:pt>
                <c:pt idx="441">
                  <c:v>0.75946195571748598</c:v>
                </c:pt>
                <c:pt idx="442">
                  <c:v>0.97222971151254156</c:v>
                </c:pt>
                <c:pt idx="443">
                  <c:v>0.86548088692164449</c:v>
                </c:pt>
                <c:pt idx="444">
                  <c:v>1</c:v>
                </c:pt>
                <c:pt idx="445">
                  <c:v>1</c:v>
                </c:pt>
                <c:pt idx="446">
                  <c:v>1</c:v>
                </c:pt>
                <c:pt idx="447">
                  <c:v>0.98601970481716039</c:v>
                </c:pt>
                <c:pt idx="448">
                  <c:v>0.96108573436402411</c:v>
                </c:pt>
                <c:pt idx="449">
                  <c:v>0.9862851139989105</c:v>
                </c:pt>
                <c:pt idx="450">
                  <c:v>0.97818959372772629</c:v>
                </c:pt>
                <c:pt idx="451">
                  <c:v>0.87459492155149265</c:v>
                </c:pt>
                <c:pt idx="452">
                  <c:v>0.79847289086064077</c:v>
                </c:pt>
                <c:pt idx="453">
                  <c:v>0.63399216000188363</c:v>
                </c:pt>
                <c:pt idx="454">
                  <c:v>0.7431253936650114</c:v>
                </c:pt>
                <c:pt idx="455">
                  <c:v>0.8683153780904046</c:v>
                </c:pt>
                <c:pt idx="456">
                  <c:v>0.91890525707683879</c:v>
                </c:pt>
                <c:pt idx="457">
                  <c:v>0.99721209521766296</c:v>
                </c:pt>
                <c:pt idx="458">
                  <c:v>0.8972683909578355</c:v>
                </c:pt>
                <c:pt idx="459">
                  <c:v>0.74977416440831524</c:v>
                </c:pt>
                <c:pt idx="460">
                  <c:v>0.94631731197151758</c:v>
                </c:pt>
                <c:pt idx="461">
                  <c:v>0.9404664758384883</c:v>
                </c:pt>
                <c:pt idx="462">
                  <c:v>0.91370418024035649</c:v>
                </c:pt>
                <c:pt idx="463">
                  <c:v>0.74082444971811445</c:v>
                </c:pt>
                <c:pt idx="464">
                  <c:v>0.93795412063951467</c:v>
                </c:pt>
                <c:pt idx="465">
                  <c:v>1</c:v>
                </c:pt>
                <c:pt idx="466">
                  <c:v>0.91749629143270039</c:v>
                </c:pt>
                <c:pt idx="467">
                  <c:v>1</c:v>
                </c:pt>
                <c:pt idx="468">
                  <c:v>1</c:v>
                </c:pt>
                <c:pt idx="469">
                  <c:v>1</c:v>
                </c:pt>
                <c:pt idx="470">
                  <c:v>0.96624886893839901</c:v>
                </c:pt>
                <c:pt idx="471">
                  <c:v>0.99028254133488258</c:v>
                </c:pt>
                <c:pt idx="472">
                  <c:v>0.90101072516219949</c:v>
                </c:pt>
                <c:pt idx="473">
                  <c:v>0.92117383866298264</c:v>
                </c:pt>
                <c:pt idx="474">
                  <c:v>0.98859825743828411</c:v>
                </c:pt>
                <c:pt idx="475">
                  <c:v>0.63139727313145688</c:v>
                </c:pt>
                <c:pt idx="476">
                  <c:v>0.74848726657000264</c:v>
                </c:pt>
                <c:pt idx="477">
                  <c:v>0.90866046775224041</c:v>
                </c:pt>
                <c:pt idx="478">
                  <c:v>0.77616597210032534</c:v>
                </c:pt>
                <c:pt idx="479">
                  <c:v>0.98510659493922492</c:v>
                </c:pt>
                <c:pt idx="480">
                  <c:v>0.85187280751386818</c:v>
                </c:pt>
                <c:pt idx="481">
                  <c:v>1</c:v>
                </c:pt>
                <c:pt idx="482">
                  <c:v>0.91396382880056737</c:v>
                </c:pt>
                <c:pt idx="483">
                  <c:v>0.7153995108031036</c:v>
                </c:pt>
                <c:pt idx="484">
                  <c:v>0.87256849315068563</c:v>
                </c:pt>
                <c:pt idx="485">
                  <c:v>0.8774193548387097</c:v>
                </c:pt>
                <c:pt idx="486">
                  <c:v>1</c:v>
                </c:pt>
                <c:pt idx="487">
                  <c:v>0.97596351132724246</c:v>
                </c:pt>
                <c:pt idx="488">
                  <c:v>0.97344641724793912</c:v>
                </c:pt>
                <c:pt idx="489">
                  <c:v>0.95977792215462765</c:v>
                </c:pt>
                <c:pt idx="490">
                  <c:v>0.98309013933988265</c:v>
                </c:pt>
                <c:pt idx="491">
                  <c:v>0.88938457858910724</c:v>
                </c:pt>
                <c:pt idx="492">
                  <c:v>0.97043266624094848</c:v>
                </c:pt>
                <c:pt idx="493">
                  <c:v>0.93459836583709466</c:v>
                </c:pt>
                <c:pt idx="494">
                  <c:v>0.96780427092886612</c:v>
                </c:pt>
                <c:pt idx="495">
                  <c:v>0.96952343706352906</c:v>
                </c:pt>
                <c:pt idx="496">
                  <c:v>0.91304140247556198</c:v>
                </c:pt>
                <c:pt idx="497">
                  <c:v>0.79659405402652084</c:v>
                </c:pt>
                <c:pt idx="498">
                  <c:v>0.89548462436745757</c:v>
                </c:pt>
                <c:pt idx="499">
                  <c:v>0.96679245283019666</c:v>
                </c:pt>
                <c:pt idx="500">
                  <c:v>0.40556982560497723</c:v>
                </c:pt>
                <c:pt idx="501">
                  <c:v>0.95743647551026756</c:v>
                </c:pt>
                <c:pt idx="502">
                  <c:v>0.92107623417388518</c:v>
                </c:pt>
                <c:pt idx="503">
                  <c:v>0.98254474364046829</c:v>
                </c:pt>
                <c:pt idx="504">
                  <c:v>0.8949145316775996</c:v>
                </c:pt>
                <c:pt idx="505">
                  <c:v>0.83653318705430557</c:v>
                </c:pt>
                <c:pt idx="506">
                  <c:v>0.93722345132743368</c:v>
                </c:pt>
                <c:pt idx="507">
                  <c:v>0.99663238372621299</c:v>
                </c:pt>
                <c:pt idx="508">
                  <c:v>0.99120684440219509</c:v>
                </c:pt>
                <c:pt idx="509">
                  <c:v>0.73276950947456165</c:v>
                </c:pt>
                <c:pt idx="510">
                  <c:v>0.97126657697482222</c:v>
                </c:pt>
                <c:pt idx="511">
                  <c:v>0.98154792414146141</c:v>
                </c:pt>
                <c:pt idx="512">
                  <c:v>0.98425196850393659</c:v>
                </c:pt>
                <c:pt idx="513">
                  <c:v>0.68362472910091332</c:v>
                </c:pt>
                <c:pt idx="514">
                  <c:v>0.83669438553918074</c:v>
                </c:pt>
                <c:pt idx="515">
                  <c:v>0.68376910409129055</c:v>
                </c:pt>
                <c:pt idx="516">
                  <c:v>0.55226832012640348</c:v>
                </c:pt>
                <c:pt idx="517">
                  <c:v>0.93178121689682503</c:v>
                </c:pt>
                <c:pt idx="518">
                  <c:v>0.99546908557084957</c:v>
                </c:pt>
                <c:pt idx="519">
                  <c:v>0.98607838709539952</c:v>
                </c:pt>
                <c:pt idx="520">
                  <c:v>0.78945076243835899</c:v>
                </c:pt>
                <c:pt idx="521">
                  <c:v>0.97133848336749173</c:v>
                </c:pt>
                <c:pt idx="522">
                  <c:v>0.94180599154723899</c:v>
                </c:pt>
                <c:pt idx="523">
                  <c:v>0.86167577637209436</c:v>
                </c:pt>
                <c:pt idx="524">
                  <c:v>0.71635677817572196</c:v>
                </c:pt>
                <c:pt idx="525">
                  <c:v>0.98824016563146599</c:v>
                </c:pt>
                <c:pt idx="526">
                  <c:v>0.42719170950471835</c:v>
                </c:pt>
                <c:pt idx="527">
                  <c:v>0.83092485549133344</c:v>
                </c:pt>
                <c:pt idx="528">
                  <c:v>0.86388505258685611</c:v>
                </c:pt>
                <c:pt idx="529">
                  <c:v>0.93133567028078756</c:v>
                </c:pt>
                <c:pt idx="530">
                  <c:v>0.94003263930620851</c:v>
                </c:pt>
                <c:pt idx="531">
                  <c:v>0.92550856825480976</c:v>
                </c:pt>
                <c:pt idx="532">
                  <c:v>0.91425273456824052</c:v>
                </c:pt>
                <c:pt idx="533">
                  <c:v>0.9967901874813383</c:v>
                </c:pt>
                <c:pt idx="534">
                  <c:v>0.98952195204974525</c:v>
                </c:pt>
                <c:pt idx="535">
                  <c:v>0.97600679711852656</c:v>
                </c:pt>
                <c:pt idx="536">
                  <c:v>0.83795270722786053</c:v>
                </c:pt>
                <c:pt idx="537">
                  <c:v>0.85707456512619384</c:v>
                </c:pt>
                <c:pt idx="538">
                  <c:v>0.89254216970630151</c:v>
                </c:pt>
                <c:pt idx="539">
                  <c:v>0.80833860131430002</c:v>
                </c:pt>
                <c:pt idx="540">
                  <c:v>0.84648377753913262</c:v>
                </c:pt>
                <c:pt idx="541">
                  <c:v>0.93696495609694797</c:v>
                </c:pt>
                <c:pt idx="542">
                  <c:v>0.89044315771369609</c:v>
                </c:pt>
                <c:pt idx="543">
                  <c:v>0.85770047628945933</c:v>
                </c:pt>
                <c:pt idx="544">
                  <c:v>0.9092645486883838</c:v>
                </c:pt>
                <c:pt idx="545">
                  <c:v>0.79540400296515934</c:v>
                </c:pt>
                <c:pt idx="546">
                  <c:v>0</c:v>
                </c:pt>
                <c:pt idx="547">
                  <c:v>0.95541473515903252</c:v>
                </c:pt>
                <c:pt idx="548">
                  <c:v>0.89549062374582622</c:v>
                </c:pt>
                <c:pt idx="549">
                  <c:v>0.91915941022395764</c:v>
                </c:pt>
                <c:pt idx="550">
                  <c:v>0.84939922142120017</c:v>
                </c:pt>
                <c:pt idx="551">
                  <c:v>0.82591258516410759</c:v>
                </c:pt>
                <c:pt idx="552">
                  <c:v>0.99141016463851106</c:v>
                </c:pt>
                <c:pt idx="553">
                  <c:v>0.99222723236423604</c:v>
                </c:pt>
                <c:pt idx="554">
                  <c:v>0.85032001530741674</c:v>
                </c:pt>
                <c:pt idx="555">
                  <c:v>0.98554641015470068</c:v>
                </c:pt>
                <c:pt idx="556">
                  <c:v>0.92779195038222795</c:v>
                </c:pt>
                <c:pt idx="557">
                  <c:v>0.88401413644433535</c:v>
                </c:pt>
                <c:pt idx="558">
                  <c:v>0.88061500631427581</c:v>
                </c:pt>
                <c:pt idx="559">
                  <c:v>0.72656805645232669</c:v>
                </c:pt>
                <c:pt idx="560">
                  <c:v>0.85689878597264957</c:v>
                </c:pt>
                <c:pt idx="561">
                  <c:v>0.76369886558955857</c:v>
                </c:pt>
                <c:pt idx="562">
                  <c:v>0.66625366678012365</c:v>
                </c:pt>
                <c:pt idx="563">
                  <c:v>0.71212951029734062</c:v>
                </c:pt>
                <c:pt idx="564">
                  <c:v>0.94583350931283527</c:v>
                </c:pt>
                <c:pt idx="565">
                  <c:v>0.82389317162961273</c:v>
                </c:pt>
                <c:pt idx="566">
                  <c:v>0.9669853268452796</c:v>
                </c:pt>
                <c:pt idx="567">
                  <c:v>0.79013771887695561</c:v>
                </c:pt>
                <c:pt idx="568">
                  <c:v>0.95658203440382261</c:v>
                </c:pt>
                <c:pt idx="569">
                  <c:v>0.96424266773804745</c:v>
                </c:pt>
                <c:pt idx="570">
                  <c:v>0.84625162704314982</c:v>
                </c:pt>
                <c:pt idx="571">
                  <c:v>0.54085931281412236</c:v>
                </c:pt>
                <c:pt idx="572">
                  <c:v>0.70980504508929265</c:v>
                </c:pt>
                <c:pt idx="573">
                  <c:v>0.76141728602814063</c:v>
                </c:pt>
                <c:pt idx="574">
                  <c:v>0.98402699617164258</c:v>
                </c:pt>
                <c:pt idx="575">
                  <c:v>1</c:v>
                </c:pt>
                <c:pt idx="576">
                  <c:v>0.93166381811600862</c:v>
                </c:pt>
                <c:pt idx="577">
                  <c:v>0.91531157970691268</c:v>
                </c:pt>
                <c:pt idx="578">
                  <c:v>0.93484401593256283</c:v>
                </c:pt>
                <c:pt idx="579">
                  <c:v>0.99691650853889968</c:v>
                </c:pt>
                <c:pt idx="580">
                  <c:v>0.90419422206752564</c:v>
                </c:pt>
                <c:pt idx="581">
                  <c:v>0.98665023779999683</c:v>
                </c:pt>
                <c:pt idx="582">
                  <c:v>0.77853419581737049</c:v>
                </c:pt>
                <c:pt idx="583">
                  <c:v>0.83876515500477922</c:v>
                </c:pt>
                <c:pt idx="584">
                  <c:v>0.88433870532096293</c:v>
                </c:pt>
                <c:pt idx="585">
                  <c:v>0.9322074428336572</c:v>
                </c:pt>
                <c:pt idx="586">
                  <c:v>0.98987806039820903</c:v>
                </c:pt>
                <c:pt idx="587">
                  <c:v>0.22575428118625232</c:v>
                </c:pt>
                <c:pt idx="588">
                  <c:v>0.94343151005142589</c:v>
                </c:pt>
                <c:pt idx="589">
                  <c:v>0.97739317099349365</c:v>
                </c:pt>
                <c:pt idx="590">
                  <c:v>0.95691519918298451</c:v>
                </c:pt>
                <c:pt idx="591">
                  <c:v>0.96182809659829527</c:v>
                </c:pt>
                <c:pt idx="592">
                  <c:v>0.92104417636013758</c:v>
                </c:pt>
                <c:pt idx="593">
                  <c:v>0.69392469080436792</c:v>
                </c:pt>
                <c:pt idx="594">
                  <c:v>0.99663544867966869</c:v>
                </c:pt>
                <c:pt idx="595">
                  <c:v>0.94653784891870896</c:v>
                </c:pt>
                <c:pt idx="596">
                  <c:v>0.98396644321611959</c:v>
                </c:pt>
                <c:pt idx="597">
                  <c:v>1</c:v>
                </c:pt>
                <c:pt idx="598">
                  <c:v>0</c:v>
                </c:pt>
                <c:pt idx="599">
                  <c:v>0.89629397343064032</c:v>
                </c:pt>
                <c:pt idx="600">
                  <c:v>1</c:v>
                </c:pt>
                <c:pt idx="601">
                  <c:v>1</c:v>
                </c:pt>
                <c:pt idx="602">
                  <c:v>0.95334512770835234</c:v>
                </c:pt>
                <c:pt idx="603">
                  <c:v>0.95071429694007958</c:v>
                </c:pt>
                <c:pt idx="604">
                  <c:v>0.93294509752019406</c:v>
                </c:pt>
                <c:pt idx="605">
                  <c:v>0.9641378451576752</c:v>
                </c:pt>
                <c:pt idx="606">
                  <c:v>0.94701524764973988</c:v>
                </c:pt>
                <c:pt idx="607">
                  <c:v>0.82858707557502742</c:v>
                </c:pt>
                <c:pt idx="608">
                  <c:v>0.91210230336645859</c:v>
                </c:pt>
                <c:pt idx="609">
                  <c:v>0.9949523467309983</c:v>
                </c:pt>
                <c:pt idx="610">
                  <c:v>0.9456763855181356</c:v>
                </c:pt>
                <c:pt idx="611">
                  <c:v>0.88226487001497211</c:v>
                </c:pt>
                <c:pt idx="612">
                  <c:v>0.99451454475740197</c:v>
                </c:pt>
                <c:pt idx="613">
                  <c:v>0.2614334890582739</c:v>
                </c:pt>
                <c:pt idx="614">
                  <c:v>0.95298807655537576</c:v>
                </c:pt>
                <c:pt idx="615">
                  <c:v>0.94985250737463123</c:v>
                </c:pt>
                <c:pt idx="616">
                  <c:v>0.98151184485780008</c:v>
                </c:pt>
                <c:pt idx="617">
                  <c:v>0.95360563477771665</c:v>
                </c:pt>
                <c:pt idx="618">
                  <c:v>0.98289435319273011</c:v>
                </c:pt>
                <c:pt idx="619">
                  <c:v>0.94144990229002301</c:v>
                </c:pt>
                <c:pt idx="620">
                  <c:v>0.72379849449914047</c:v>
                </c:pt>
                <c:pt idx="621">
                  <c:v>0.91116292467010018</c:v>
                </c:pt>
                <c:pt idx="622">
                  <c:v>0.88412592096450104</c:v>
                </c:pt>
                <c:pt idx="623">
                  <c:v>0.8346246725625982</c:v>
                </c:pt>
                <c:pt idx="624">
                  <c:v>0.65999677062761664</c:v>
                </c:pt>
                <c:pt idx="625">
                  <c:v>0.87158531025897734</c:v>
                </c:pt>
                <c:pt idx="626">
                  <c:v>0.9358582457028175</c:v>
                </c:pt>
                <c:pt idx="627">
                  <c:v>0.80967749286169011</c:v>
                </c:pt>
                <c:pt idx="628">
                  <c:v>0.9626181474480191</c:v>
                </c:pt>
                <c:pt idx="629">
                  <c:v>0.94461614538261329</c:v>
                </c:pt>
                <c:pt idx="630">
                  <c:v>0.8855860241224448</c:v>
                </c:pt>
                <c:pt idx="631">
                  <c:v>0.90656617496113545</c:v>
                </c:pt>
                <c:pt idx="632">
                  <c:v>0.97327088212334556</c:v>
                </c:pt>
                <c:pt idx="633">
                  <c:v>0.91079888907041362</c:v>
                </c:pt>
                <c:pt idx="634">
                  <c:v>0.95820253530017685</c:v>
                </c:pt>
                <c:pt idx="635">
                  <c:v>0.96336427017185489</c:v>
                </c:pt>
                <c:pt idx="636">
                  <c:v>0.99135986906585716</c:v>
                </c:pt>
                <c:pt idx="637">
                  <c:v>0.98026516306003808</c:v>
                </c:pt>
                <c:pt idx="638">
                  <c:v>0.79660499411924368</c:v>
                </c:pt>
                <c:pt idx="639">
                  <c:v>0.74821878157809163</c:v>
                </c:pt>
                <c:pt idx="640">
                  <c:v>0.99505574406204556</c:v>
                </c:pt>
                <c:pt idx="641">
                  <c:v>0.83182006488058513</c:v>
                </c:pt>
                <c:pt idx="642">
                  <c:v>0.87833533975888445</c:v>
                </c:pt>
                <c:pt idx="643">
                  <c:v>0.98939929328621912</c:v>
                </c:pt>
                <c:pt idx="644">
                  <c:v>0.97590329785836294</c:v>
                </c:pt>
                <c:pt idx="645">
                  <c:v>0.9897674857925417</c:v>
                </c:pt>
                <c:pt idx="646">
                  <c:v>0.92666103603604022</c:v>
                </c:pt>
                <c:pt idx="647">
                  <c:v>0.95763147185771769</c:v>
                </c:pt>
                <c:pt idx="648">
                  <c:v>0.9340805978115827</c:v>
                </c:pt>
                <c:pt idx="649">
                  <c:v>0.97114379983502852</c:v>
                </c:pt>
                <c:pt idx="650">
                  <c:v>1</c:v>
                </c:pt>
                <c:pt idx="651">
                  <c:v>0.92544339965240197</c:v>
                </c:pt>
                <c:pt idx="652">
                  <c:v>0.84792422767106757</c:v>
                </c:pt>
                <c:pt idx="653">
                  <c:v>0.9750180757436</c:v>
                </c:pt>
                <c:pt idx="654">
                  <c:v>0.86232506096966077</c:v>
                </c:pt>
                <c:pt idx="655">
                  <c:v>0.6412300883401536</c:v>
                </c:pt>
                <c:pt idx="656">
                  <c:v>0.96546257501981658</c:v>
                </c:pt>
                <c:pt idx="657">
                  <c:v>0.87447988904299578</c:v>
                </c:pt>
                <c:pt idx="658">
                  <c:v>0.89389649205600163</c:v>
                </c:pt>
                <c:pt idx="659">
                  <c:v>0.94446318739781043</c:v>
                </c:pt>
                <c:pt idx="660">
                  <c:v>1</c:v>
                </c:pt>
                <c:pt idx="661">
                  <c:v>0.99604796034563559</c:v>
                </c:pt>
                <c:pt idx="662">
                  <c:v>0.96957615956345844</c:v>
                </c:pt>
                <c:pt idx="663">
                  <c:v>0.89722912287406842</c:v>
                </c:pt>
                <c:pt idx="664">
                  <c:v>1</c:v>
                </c:pt>
                <c:pt idx="665">
                  <c:v>0.95919221850039171</c:v>
                </c:pt>
                <c:pt idx="666">
                  <c:v>0.86467024631722278</c:v>
                </c:pt>
                <c:pt idx="667">
                  <c:v>0.90961762167435922</c:v>
                </c:pt>
                <c:pt idx="668">
                  <c:v>0.7772427884867027</c:v>
                </c:pt>
                <c:pt idx="669">
                  <c:v>0.79697425993950266</c:v>
                </c:pt>
                <c:pt idx="670">
                  <c:v>0.46140939597315633</c:v>
                </c:pt>
                <c:pt idx="671">
                  <c:v>0.9908282598221716</c:v>
                </c:pt>
                <c:pt idx="672">
                  <c:v>0.88196928493246007</c:v>
                </c:pt>
                <c:pt idx="673">
                  <c:v>0.9260884831460674</c:v>
                </c:pt>
                <c:pt idx="674">
                  <c:v>0.96271601578446042</c:v>
                </c:pt>
                <c:pt idx="675">
                  <c:v>0.84494662055131065</c:v>
                </c:pt>
                <c:pt idx="676">
                  <c:v>0.9435393846368515</c:v>
                </c:pt>
                <c:pt idx="677">
                  <c:v>0.82167877251042976</c:v>
                </c:pt>
                <c:pt idx="678">
                  <c:v>0.99213163860934162</c:v>
                </c:pt>
                <c:pt idx="679">
                  <c:v>0.94199667438062262</c:v>
                </c:pt>
                <c:pt idx="680">
                  <c:v>0.82755403746321365</c:v>
                </c:pt>
                <c:pt idx="681">
                  <c:v>0.72623546154979113</c:v>
                </c:pt>
                <c:pt idx="682">
                  <c:v>0.92897221348600911</c:v>
                </c:pt>
                <c:pt idx="683">
                  <c:v>0.91407591073813099</c:v>
                </c:pt>
                <c:pt idx="684">
                  <c:v>0.90641481230786591</c:v>
                </c:pt>
                <c:pt idx="685">
                  <c:v>0.94414801469060383</c:v>
                </c:pt>
                <c:pt idx="686">
                  <c:v>0.6611257853671656</c:v>
                </c:pt>
                <c:pt idx="687">
                  <c:v>0.89858093780381121</c:v>
                </c:pt>
                <c:pt idx="688">
                  <c:v>0.83572793327711992</c:v>
                </c:pt>
                <c:pt idx="689">
                  <c:v>1</c:v>
                </c:pt>
                <c:pt idx="690">
                  <c:v>0.92737691736134442</c:v>
                </c:pt>
                <c:pt idx="691">
                  <c:v>0.8024468276019977</c:v>
                </c:pt>
                <c:pt idx="692">
                  <c:v>0.73338286918037821</c:v>
                </c:pt>
                <c:pt idx="693">
                  <c:v>0.76732510468506865</c:v>
                </c:pt>
                <c:pt idx="694">
                  <c:v>0.96185481285366936</c:v>
                </c:pt>
                <c:pt idx="695">
                  <c:v>0.8500839246012144</c:v>
                </c:pt>
                <c:pt idx="696">
                  <c:v>0.95326713008937469</c:v>
                </c:pt>
                <c:pt idx="697">
                  <c:v>1</c:v>
                </c:pt>
                <c:pt idx="698">
                  <c:v>0.7614830139341161</c:v>
                </c:pt>
                <c:pt idx="699">
                  <c:v>1</c:v>
                </c:pt>
                <c:pt idx="700">
                  <c:v>1</c:v>
                </c:pt>
                <c:pt idx="701">
                  <c:v>0.66824440619621905</c:v>
                </c:pt>
                <c:pt idx="702">
                  <c:v>0.83602771362587203</c:v>
                </c:pt>
                <c:pt idx="703">
                  <c:v>0.98115765216212569</c:v>
                </c:pt>
                <c:pt idx="704">
                  <c:v>0.76351001478390734</c:v>
                </c:pt>
                <c:pt idx="705">
                  <c:v>0.89067676568128418</c:v>
                </c:pt>
                <c:pt idx="706">
                  <c:v>1</c:v>
                </c:pt>
                <c:pt idx="707">
                  <c:v>0.97981115767845206</c:v>
                </c:pt>
                <c:pt idx="708">
                  <c:v>0.71549010283038261</c:v>
                </c:pt>
                <c:pt idx="709">
                  <c:v>0.7507968587690057</c:v>
                </c:pt>
                <c:pt idx="710">
                  <c:v>0.98928258290782656</c:v>
                </c:pt>
                <c:pt idx="711">
                  <c:v>0.78207299753925719</c:v>
                </c:pt>
                <c:pt idx="712">
                  <c:v>0.67452622430976361</c:v>
                </c:pt>
                <c:pt idx="713">
                  <c:v>0.83934642124284098</c:v>
                </c:pt>
                <c:pt idx="714">
                  <c:v>0.82051395622809065</c:v>
                </c:pt>
                <c:pt idx="715">
                  <c:v>0.78085075128011461</c:v>
                </c:pt>
                <c:pt idx="716">
                  <c:v>1</c:v>
                </c:pt>
                <c:pt idx="717">
                  <c:v>0.86790843167923171</c:v>
                </c:pt>
                <c:pt idx="718">
                  <c:v>0.97559099482130296</c:v>
                </c:pt>
                <c:pt idx="719">
                  <c:v>0.94855692236682909</c:v>
                </c:pt>
                <c:pt idx="720">
                  <c:v>0.93850015880384052</c:v>
                </c:pt>
                <c:pt idx="721">
                  <c:v>0.87680550671408253</c:v>
                </c:pt>
                <c:pt idx="722">
                  <c:v>0.87622720392128595</c:v>
                </c:pt>
                <c:pt idx="723">
                  <c:v>0.78947561898788565</c:v>
                </c:pt>
                <c:pt idx="724">
                  <c:v>0.82472757222504245</c:v>
                </c:pt>
                <c:pt idx="725">
                  <c:v>0.92517593478603177</c:v>
                </c:pt>
                <c:pt idx="726">
                  <c:v>0.76071449979020567</c:v>
                </c:pt>
                <c:pt idx="727">
                  <c:v>0.83791821561339008</c:v>
                </c:pt>
                <c:pt idx="728">
                  <c:v>0.67925491696241413</c:v>
                </c:pt>
                <c:pt idx="729">
                  <c:v>0</c:v>
                </c:pt>
                <c:pt idx="730">
                  <c:v>0.96360203784166454</c:v>
                </c:pt>
                <c:pt idx="731">
                  <c:v>0.99023949778561249</c:v>
                </c:pt>
                <c:pt idx="732">
                  <c:v>0.7872953794048918</c:v>
                </c:pt>
                <c:pt idx="733">
                  <c:v>0.26893789835862147</c:v>
                </c:pt>
                <c:pt idx="734">
                  <c:v>0.78118218904608383</c:v>
                </c:pt>
                <c:pt idx="735">
                  <c:v>0.99732845190379094</c:v>
                </c:pt>
                <c:pt idx="736">
                  <c:v>1</c:v>
                </c:pt>
                <c:pt idx="737">
                  <c:v>0.8419621607263863</c:v>
                </c:pt>
                <c:pt idx="738">
                  <c:v>0.88183943881527671</c:v>
                </c:pt>
                <c:pt idx="739">
                  <c:v>0.8621956770805117</c:v>
                </c:pt>
                <c:pt idx="740">
                  <c:v>0.62698667757392068</c:v>
                </c:pt>
                <c:pt idx="741">
                  <c:v>0.98411041521688702</c:v>
                </c:pt>
                <c:pt idx="742">
                  <c:v>0.97717288310793349</c:v>
                </c:pt>
                <c:pt idx="743">
                  <c:v>0.86569001553182989</c:v>
                </c:pt>
                <c:pt idx="744">
                  <c:v>0.97141599705993109</c:v>
                </c:pt>
                <c:pt idx="745">
                  <c:v>0.76819221209611399</c:v>
                </c:pt>
                <c:pt idx="746">
                  <c:v>0.94471126743323164</c:v>
                </c:pt>
                <c:pt idx="747">
                  <c:v>0.88186581300213573</c:v>
                </c:pt>
                <c:pt idx="748">
                  <c:v>0.86859193935909473</c:v>
                </c:pt>
                <c:pt idx="749">
                  <c:v>0.82165742985162049</c:v>
                </c:pt>
                <c:pt idx="750">
                  <c:v>0.98096129614676453</c:v>
                </c:pt>
                <c:pt idx="751">
                  <c:v>0.79521475591395585</c:v>
                </c:pt>
                <c:pt idx="752">
                  <c:v>0.92061253274229249</c:v>
                </c:pt>
                <c:pt idx="753">
                  <c:v>0.47159479808350446</c:v>
                </c:pt>
                <c:pt idx="754">
                  <c:v>0.91227401295905164</c:v>
                </c:pt>
                <c:pt idx="755">
                  <c:v>0.55436763182350368</c:v>
                </c:pt>
                <c:pt idx="756">
                  <c:v>0.99520045326025952</c:v>
                </c:pt>
                <c:pt idx="757">
                  <c:v>0.95499357051007794</c:v>
                </c:pt>
                <c:pt idx="758">
                  <c:v>0.79078096485205696</c:v>
                </c:pt>
                <c:pt idx="759">
                  <c:v>0.97327630616476402</c:v>
                </c:pt>
                <c:pt idx="760">
                  <c:v>0.91500479911096411</c:v>
                </c:pt>
                <c:pt idx="761">
                  <c:v>0.87407834777336668</c:v>
                </c:pt>
                <c:pt idx="762">
                  <c:v>0.74937994842716715</c:v>
                </c:pt>
                <c:pt idx="763">
                  <c:v>0.838635049161365</c:v>
                </c:pt>
                <c:pt idx="764">
                  <c:v>0.99519479698737945</c:v>
                </c:pt>
                <c:pt idx="765">
                  <c:v>0.80558479800960159</c:v>
                </c:pt>
                <c:pt idx="766">
                  <c:v>0.82445742377705733</c:v>
                </c:pt>
                <c:pt idx="767">
                  <c:v>0.63149861885876268</c:v>
                </c:pt>
                <c:pt idx="768">
                  <c:v>0.78681930174479997</c:v>
                </c:pt>
                <c:pt idx="769">
                  <c:v>0.90856665344476151</c:v>
                </c:pt>
                <c:pt idx="770">
                  <c:v>0.94977625577346469</c:v>
                </c:pt>
                <c:pt idx="771">
                  <c:v>0.78884026258205764</c:v>
                </c:pt>
                <c:pt idx="772">
                  <c:v>0.85073660352922165</c:v>
                </c:pt>
                <c:pt idx="773">
                  <c:v>0.76314604967031263</c:v>
                </c:pt>
              </c:numCache>
            </c:numRef>
          </c:yVal>
        </c:ser>
        <c:axId val="105360384"/>
        <c:axId val="105378944"/>
      </c:scatterChart>
      <c:valAx>
        <c:axId val="105360384"/>
        <c:scaling>
          <c:orientation val="minMax"/>
          <c:max val="800"/>
        </c:scaling>
        <c:axPos val="b"/>
        <c:title>
          <c:tx>
            <c:rich>
              <a:bodyPr/>
              <a:lstStyle/>
              <a:p>
                <a:pPr>
                  <a:defRPr/>
                </a:pPr>
                <a:r>
                  <a:rPr lang="nl-NL"/>
                  <a:t>Number of observations</a:t>
                </a:r>
              </a:p>
            </c:rich>
          </c:tx>
        </c:title>
        <c:tickLblPos val="nextTo"/>
        <c:crossAx val="105378944"/>
        <c:crosses val="autoZero"/>
        <c:crossBetween val="midCat"/>
      </c:valAx>
      <c:valAx>
        <c:axId val="105378944"/>
        <c:scaling>
          <c:orientation val="minMax"/>
        </c:scaling>
        <c:axPos val="l"/>
        <c:majorGridlines/>
        <c:title>
          <c:tx>
            <c:rich>
              <a:bodyPr rot="-5400000" vert="horz"/>
              <a:lstStyle/>
              <a:p>
                <a:pPr>
                  <a:defRPr/>
                </a:pPr>
                <a:r>
                  <a:rPr lang="nl-NL"/>
                  <a:t>Ratio</a:t>
                </a:r>
              </a:p>
            </c:rich>
          </c:tx>
        </c:title>
        <c:numFmt formatCode="Standaard" sourceLinked="1"/>
        <c:tickLblPos val="nextTo"/>
        <c:crossAx val="105360384"/>
        <c:crosses val="autoZero"/>
        <c:crossBetween val="midCat"/>
      </c:valAx>
    </c:plotArea>
    <c:legend>
      <c:legendPos val="r"/>
      <c:layout>
        <c:manualLayout>
          <c:xMode val="edge"/>
          <c:yMode val="edge"/>
          <c:x val="0.8063172467711095"/>
          <c:y val="0.4210423266057261"/>
          <c:w val="0.1826177479200114"/>
          <c:h val="0.2381832443358374"/>
        </c:manualLayout>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2335E7-4984-425F-A87D-01B2D5A93404}"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nl-NL"/>
        </a:p>
      </dgm:t>
    </dgm:pt>
    <dgm:pt modelId="{20B298A7-9E4A-4619-A5D5-6175B24B1F4F}">
      <dgm:prSet phldrT="[Tekst]" custT="1"/>
      <dgm:spPr/>
      <dgm:t>
        <a:bodyPr/>
        <a:lstStyle/>
        <a:p>
          <a:r>
            <a:rPr lang="nl-NL" sz="1800"/>
            <a:t>Tasks</a:t>
          </a:r>
        </a:p>
      </dgm:t>
    </dgm:pt>
    <dgm:pt modelId="{8DCD16D7-8E3C-4E42-9826-D195A249D889}" type="parTrans" cxnId="{9A6E214C-D74E-4BE5-9406-791F3661B990}">
      <dgm:prSet/>
      <dgm:spPr/>
      <dgm:t>
        <a:bodyPr/>
        <a:lstStyle/>
        <a:p>
          <a:endParaRPr lang="nl-NL"/>
        </a:p>
      </dgm:t>
    </dgm:pt>
    <dgm:pt modelId="{E7F03A3C-3F40-4CF4-A9C9-6CA2101304E8}" type="sibTrans" cxnId="{9A6E214C-D74E-4BE5-9406-791F3661B990}">
      <dgm:prSet/>
      <dgm:spPr/>
      <dgm:t>
        <a:bodyPr/>
        <a:lstStyle/>
        <a:p>
          <a:endParaRPr lang="nl-NL"/>
        </a:p>
      </dgm:t>
    </dgm:pt>
    <dgm:pt modelId="{0791EA19-DD19-4238-AC40-E4DDB81317E9}">
      <dgm:prSet phldrT="[Tekst]" custT="1"/>
      <dgm:spPr/>
      <dgm:t>
        <a:bodyPr/>
        <a:lstStyle/>
        <a:p>
          <a:r>
            <a:rPr lang="nl-NL" sz="1000"/>
            <a:t>General assembly</a:t>
          </a:r>
        </a:p>
      </dgm:t>
    </dgm:pt>
    <dgm:pt modelId="{6FB98BA2-3D6F-49C3-B9E1-4A33D4BDA9FD}" type="parTrans" cxnId="{F3625322-3CF4-4F49-8D65-3F12D0F1D48C}">
      <dgm:prSet/>
      <dgm:spPr/>
      <dgm:t>
        <a:bodyPr/>
        <a:lstStyle/>
        <a:p>
          <a:endParaRPr lang="nl-NL"/>
        </a:p>
      </dgm:t>
    </dgm:pt>
    <dgm:pt modelId="{5B1C5AEB-8E0B-4FEE-B5CD-0146B19DDB61}" type="sibTrans" cxnId="{F3625322-3CF4-4F49-8D65-3F12D0F1D48C}">
      <dgm:prSet/>
      <dgm:spPr/>
      <dgm:t>
        <a:bodyPr/>
        <a:lstStyle/>
        <a:p>
          <a:endParaRPr lang="nl-NL"/>
        </a:p>
      </dgm:t>
    </dgm:pt>
    <dgm:pt modelId="{FABCFF4D-B2A5-490E-8D4B-22B5FE9F311D}">
      <dgm:prSet phldrT="[Tekst]" custT="1"/>
      <dgm:spPr/>
      <dgm:t>
        <a:bodyPr/>
        <a:lstStyle/>
        <a:p>
          <a:r>
            <a:rPr lang="nl-NL" sz="1000"/>
            <a:t>Statutory </a:t>
          </a:r>
        </a:p>
        <a:p>
          <a:r>
            <a:rPr lang="nl-NL" sz="1000"/>
            <a:t>board</a:t>
          </a:r>
        </a:p>
      </dgm:t>
    </dgm:pt>
    <dgm:pt modelId="{DC9A366D-8DB0-452F-9FB9-96CBAA9545D5}" type="parTrans" cxnId="{9E594FCD-7D5D-4AC6-9241-62E052134DFC}">
      <dgm:prSet/>
      <dgm:spPr/>
      <dgm:t>
        <a:bodyPr/>
        <a:lstStyle/>
        <a:p>
          <a:endParaRPr lang="nl-NL"/>
        </a:p>
      </dgm:t>
    </dgm:pt>
    <dgm:pt modelId="{6F9B807E-9B5C-4A3F-B27A-A74BC9DD64D3}" type="sibTrans" cxnId="{9E594FCD-7D5D-4AC6-9241-62E052134DFC}">
      <dgm:prSet/>
      <dgm:spPr/>
      <dgm:t>
        <a:bodyPr/>
        <a:lstStyle/>
        <a:p>
          <a:endParaRPr lang="nl-NL"/>
        </a:p>
      </dgm:t>
    </dgm:pt>
    <dgm:pt modelId="{BC95582D-5003-4788-B25B-534FE29E3794}">
      <dgm:prSet phldrT="[Tekst]" custT="1"/>
      <dgm:spPr/>
      <dgm:t>
        <a:bodyPr/>
        <a:lstStyle/>
        <a:p>
          <a:r>
            <a:rPr lang="nl-NL" sz="1800"/>
            <a:t>Model 3 </a:t>
          </a:r>
        </a:p>
      </dgm:t>
    </dgm:pt>
    <dgm:pt modelId="{43A1B42A-B6FD-4E58-A2A0-D771D01D0C2C}" type="parTrans" cxnId="{FD5E6677-B9F4-4537-8A73-BC7390D01DF5}">
      <dgm:prSet/>
      <dgm:spPr/>
      <dgm:t>
        <a:bodyPr/>
        <a:lstStyle/>
        <a:p>
          <a:endParaRPr lang="nl-NL"/>
        </a:p>
      </dgm:t>
    </dgm:pt>
    <dgm:pt modelId="{F1CEEC4D-87E8-411E-8DED-66DF860AE174}" type="sibTrans" cxnId="{FD5E6677-B9F4-4537-8A73-BC7390D01DF5}">
      <dgm:prSet/>
      <dgm:spPr/>
      <dgm:t>
        <a:bodyPr/>
        <a:lstStyle/>
        <a:p>
          <a:endParaRPr lang="nl-NL"/>
        </a:p>
      </dgm:t>
    </dgm:pt>
    <dgm:pt modelId="{4BE4C590-B769-44AA-A5A1-E98EA3B98D3F}">
      <dgm:prSet phldrT="[Tekst]" custT="1"/>
      <dgm:spPr/>
      <dgm:t>
        <a:bodyPr/>
        <a:lstStyle/>
        <a:p>
          <a:pPr>
            <a:spcAft>
              <a:spcPts val="0"/>
            </a:spcAft>
          </a:pPr>
          <a:r>
            <a:rPr lang="nl-NL" sz="1000"/>
            <a:t>Statutory </a:t>
          </a:r>
        </a:p>
        <a:p>
          <a:pPr>
            <a:spcAft>
              <a:spcPts val="0"/>
            </a:spcAft>
          </a:pPr>
          <a:r>
            <a:rPr lang="nl-NL" sz="1000"/>
            <a:t>board</a:t>
          </a:r>
        </a:p>
      </dgm:t>
    </dgm:pt>
    <dgm:pt modelId="{0B2CE41D-2586-4DB0-8159-21E0B86A6F0E}" type="parTrans" cxnId="{90D4DA46-6AE3-48E3-99F0-80E55490DED6}">
      <dgm:prSet/>
      <dgm:spPr/>
      <dgm:t>
        <a:bodyPr/>
        <a:lstStyle/>
        <a:p>
          <a:endParaRPr lang="nl-NL"/>
        </a:p>
      </dgm:t>
    </dgm:pt>
    <dgm:pt modelId="{F2E88E1C-C6D9-4275-BA75-BE14FC3BD2CF}" type="sibTrans" cxnId="{90D4DA46-6AE3-48E3-99F0-80E55490DED6}">
      <dgm:prSet/>
      <dgm:spPr/>
      <dgm:t>
        <a:bodyPr/>
        <a:lstStyle/>
        <a:p>
          <a:endParaRPr lang="nl-NL"/>
        </a:p>
      </dgm:t>
    </dgm:pt>
    <dgm:pt modelId="{44971FBC-AFA8-441E-975D-BA942552B71A}">
      <dgm:prSet phldrT="[Tekst]" custT="1"/>
      <dgm:spPr/>
      <dgm:t>
        <a:bodyPr/>
        <a:lstStyle/>
        <a:p>
          <a:r>
            <a:rPr lang="nl-NL" sz="1800"/>
            <a:t>Model 4</a:t>
          </a:r>
        </a:p>
      </dgm:t>
    </dgm:pt>
    <dgm:pt modelId="{E486BBD6-6826-4A06-921A-9FF2CFAA2302}" type="parTrans" cxnId="{7A9B77C7-D237-466E-AA22-B89B07F4F760}">
      <dgm:prSet/>
      <dgm:spPr/>
      <dgm:t>
        <a:bodyPr/>
        <a:lstStyle/>
        <a:p>
          <a:endParaRPr lang="nl-NL"/>
        </a:p>
      </dgm:t>
    </dgm:pt>
    <dgm:pt modelId="{86F2B3EC-0CB9-4556-8C20-4158D5DB94E3}" type="sibTrans" cxnId="{7A9B77C7-D237-466E-AA22-B89B07F4F760}">
      <dgm:prSet/>
      <dgm:spPr/>
      <dgm:t>
        <a:bodyPr/>
        <a:lstStyle/>
        <a:p>
          <a:endParaRPr lang="nl-NL"/>
        </a:p>
      </dgm:t>
    </dgm:pt>
    <dgm:pt modelId="{41A1409F-4AD3-4E31-81CF-FD78BBF15350}">
      <dgm:prSet phldrT="[Tekst]" custT="1"/>
      <dgm:spPr/>
      <dgm:t>
        <a:bodyPr/>
        <a:lstStyle/>
        <a:p>
          <a:r>
            <a:rPr lang="nl-NL" sz="1000"/>
            <a:t>GA</a:t>
          </a:r>
        </a:p>
      </dgm:t>
    </dgm:pt>
    <dgm:pt modelId="{047403CD-74F1-495F-A1EF-CC6A9B31E95A}" type="parTrans" cxnId="{3C567428-EB7D-4DD8-8E76-6868F2575CB5}">
      <dgm:prSet/>
      <dgm:spPr/>
      <dgm:t>
        <a:bodyPr/>
        <a:lstStyle/>
        <a:p>
          <a:endParaRPr lang="nl-NL"/>
        </a:p>
      </dgm:t>
    </dgm:pt>
    <dgm:pt modelId="{A630BF34-D8C9-4619-A92E-9ED1893E0AE8}" type="sibTrans" cxnId="{3C567428-EB7D-4DD8-8E76-6868F2575CB5}">
      <dgm:prSet/>
      <dgm:spPr/>
      <dgm:t>
        <a:bodyPr/>
        <a:lstStyle/>
        <a:p>
          <a:endParaRPr lang="nl-NL"/>
        </a:p>
      </dgm:t>
    </dgm:pt>
    <dgm:pt modelId="{4397B984-2142-474A-9925-C81D831EDB7C}">
      <dgm:prSet phldrT="[Tekst]" custT="1"/>
      <dgm:spPr/>
      <dgm:t>
        <a:bodyPr/>
        <a:lstStyle/>
        <a:p>
          <a:r>
            <a:rPr lang="nl-NL" sz="1000"/>
            <a:t>Supervisory board</a:t>
          </a:r>
        </a:p>
      </dgm:t>
    </dgm:pt>
    <dgm:pt modelId="{ADB2A675-1825-40AA-9BE2-AD0ED8A88AAB}" type="parTrans" cxnId="{874CA567-D770-4119-82B2-793C8C69798E}">
      <dgm:prSet/>
      <dgm:spPr/>
      <dgm:t>
        <a:bodyPr/>
        <a:lstStyle/>
        <a:p>
          <a:endParaRPr lang="nl-NL"/>
        </a:p>
      </dgm:t>
    </dgm:pt>
    <dgm:pt modelId="{7FEF8C84-C6DD-47EF-8A25-CE6E40881F0B}" type="sibTrans" cxnId="{874CA567-D770-4119-82B2-793C8C69798E}">
      <dgm:prSet/>
      <dgm:spPr/>
      <dgm:t>
        <a:bodyPr/>
        <a:lstStyle/>
        <a:p>
          <a:endParaRPr lang="nl-NL"/>
        </a:p>
      </dgm:t>
    </dgm:pt>
    <dgm:pt modelId="{F8D868DB-078B-4240-9BE2-4CA300C5F1B8}">
      <dgm:prSet phldrT="[Tekst]" custT="1"/>
      <dgm:spPr/>
      <dgm:t>
        <a:bodyPr/>
        <a:lstStyle/>
        <a:p>
          <a:r>
            <a:rPr lang="nl-NL" sz="1800"/>
            <a:t>Model 2</a:t>
          </a:r>
        </a:p>
      </dgm:t>
    </dgm:pt>
    <dgm:pt modelId="{44E164DE-96A2-479F-A255-C431F50D18B1}" type="parTrans" cxnId="{524BFC45-2C63-4EF6-8016-8F67CF1024A1}">
      <dgm:prSet/>
      <dgm:spPr/>
      <dgm:t>
        <a:bodyPr/>
        <a:lstStyle/>
        <a:p>
          <a:endParaRPr lang="nl-NL"/>
        </a:p>
      </dgm:t>
    </dgm:pt>
    <dgm:pt modelId="{B67FAB2D-7543-4F58-9A02-7C1B4CDCDA1F}" type="sibTrans" cxnId="{524BFC45-2C63-4EF6-8016-8F67CF1024A1}">
      <dgm:prSet/>
      <dgm:spPr/>
      <dgm:t>
        <a:bodyPr/>
        <a:lstStyle/>
        <a:p>
          <a:endParaRPr lang="nl-NL"/>
        </a:p>
      </dgm:t>
    </dgm:pt>
    <dgm:pt modelId="{682B77D7-40C2-4C8E-81BA-EFB6E793393C}">
      <dgm:prSet phldrT="[Tekst]" custT="1"/>
      <dgm:spPr/>
      <dgm:t>
        <a:bodyPr/>
        <a:lstStyle/>
        <a:p>
          <a:r>
            <a:rPr lang="nl-NL" sz="1800"/>
            <a:t>Model 1</a:t>
          </a:r>
        </a:p>
      </dgm:t>
    </dgm:pt>
    <dgm:pt modelId="{AD91D75E-74BB-4643-9A82-7CBB92629B3E}" type="parTrans" cxnId="{3524C489-9E06-4A21-95EF-F1F5DDF20F47}">
      <dgm:prSet/>
      <dgm:spPr/>
      <dgm:t>
        <a:bodyPr/>
        <a:lstStyle/>
        <a:p>
          <a:endParaRPr lang="nl-NL"/>
        </a:p>
      </dgm:t>
    </dgm:pt>
    <dgm:pt modelId="{2ECA8EC8-8C23-4DD3-95A6-6EDC2ECDA83F}" type="sibTrans" cxnId="{3524C489-9E06-4A21-95EF-F1F5DDF20F47}">
      <dgm:prSet/>
      <dgm:spPr/>
      <dgm:t>
        <a:bodyPr/>
        <a:lstStyle/>
        <a:p>
          <a:endParaRPr lang="nl-NL"/>
        </a:p>
      </dgm:t>
    </dgm:pt>
    <dgm:pt modelId="{90D19A00-9CA7-415B-9BD6-CE626257BF0E}">
      <dgm:prSet custT="1"/>
      <dgm:spPr/>
      <dgm:t>
        <a:bodyPr/>
        <a:lstStyle/>
        <a:p>
          <a:r>
            <a:rPr lang="nl-NL" sz="1000"/>
            <a:t>Monitoring</a:t>
          </a:r>
        </a:p>
      </dgm:t>
    </dgm:pt>
    <dgm:pt modelId="{6F16FC4F-9280-4C25-9F84-BC38010C88DD}" type="parTrans" cxnId="{0B66D687-32F2-4AD3-B592-C37B14CC5DD2}">
      <dgm:prSet/>
      <dgm:spPr/>
      <dgm:t>
        <a:bodyPr/>
        <a:lstStyle/>
        <a:p>
          <a:endParaRPr lang="nl-NL"/>
        </a:p>
      </dgm:t>
    </dgm:pt>
    <dgm:pt modelId="{50CDD729-38A1-4504-87DD-025108957738}" type="sibTrans" cxnId="{0B66D687-32F2-4AD3-B592-C37B14CC5DD2}">
      <dgm:prSet/>
      <dgm:spPr/>
      <dgm:t>
        <a:bodyPr/>
        <a:lstStyle/>
        <a:p>
          <a:endParaRPr lang="nl-NL"/>
        </a:p>
      </dgm:t>
    </dgm:pt>
    <dgm:pt modelId="{A1719080-807E-4994-A8D7-5E671920A01F}">
      <dgm:prSet custT="1"/>
      <dgm:spPr/>
      <dgm:t>
        <a:bodyPr/>
        <a:lstStyle/>
        <a:p>
          <a:r>
            <a:rPr lang="nl-NL" sz="1000"/>
            <a:t>Governing</a:t>
          </a:r>
        </a:p>
      </dgm:t>
    </dgm:pt>
    <dgm:pt modelId="{A7F46FC9-8921-4459-B919-EF7118183E67}" type="parTrans" cxnId="{D16FD366-D941-410D-A710-58133D11C820}">
      <dgm:prSet/>
      <dgm:spPr/>
      <dgm:t>
        <a:bodyPr/>
        <a:lstStyle/>
        <a:p>
          <a:endParaRPr lang="nl-NL"/>
        </a:p>
      </dgm:t>
    </dgm:pt>
    <dgm:pt modelId="{711CA15F-4E8B-4486-9E9F-3BD8C5FBCED4}" type="sibTrans" cxnId="{D16FD366-D941-410D-A710-58133D11C820}">
      <dgm:prSet/>
      <dgm:spPr/>
      <dgm:t>
        <a:bodyPr/>
        <a:lstStyle/>
        <a:p>
          <a:endParaRPr lang="nl-NL"/>
        </a:p>
      </dgm:t>
    </dgm:pt>
    <dgm:pt modelId="{798775DA-9A09-4224-B764-234782D9C01E}">
      <dgm:prSet custT="1"/>
      <dgm:spPr/>
      <dgm:t>
        <a:bodyPr/>
        <a:lstStyle/>
        <a:p>
          <a:r>
            <a:rPr lang="nl-NL" sz="1000"/>
            <a:t>Daily</a:t>
          </a:r>
        </a:p>
        <a:p>
          <a:r>
            <a:rPr lang="nl-NL" sz="1000"/>
            <a:t>management</a:t>
          </a:r>
        </a:p>
      </dgm:t>
    </dgm:pt>
    <dgm:pt modelId="{D228D6C3-7890-41F4-BE91-002A143E27BE}" type="parTrans" cxnId="{CD1B6B86-71C8-4EBB-BD5C-189D6AB1E849}">
      <dgm:prSet/>
      <dgm:spPr/>
      <dgm:t>
        <a:bodyPr/>
        <a:lstStyle/>
        <a:p>
          <a:endParaRPr lang="nl-NL"/>
        </a:p>
      </dgm:t>
    </dgm:pt>
    <dgm:pt modelId="{778EE3BF-741D-4D8A-AC69-8ABB80D5F90B}" type="sibTrans" cxnId="{CD1B6B86-71C8-4EBB-BD5C-189D6AB1E849}">
      <dgm:prSet/>
      <dgm:spPr/>
      <dgm:t>
        <a:bodyPr/>
        <a:lstStyle/>
        <a:p>
          <a:endParaRPr lang="nl-NL"/>
        </a:p>
      </dgm:t>
    </dgm:pt>
    <dgm:pt modelId="{B639BAC9-FB16-4CAA-8CD2-FDBEC658E95F}">
      <dgm:prSet custT="1"/>
      <dgm:spPr/>
      <dgm:t>
        <a:bodyPr/>
        <a:lstStyle/>
        <a:p>
          <a:r>
            <a:rPr lang="nl-NL" sz="1000"/>
            <a:t>General assembly</a:t>
          </a:r>
        </a:p>
      </dgm:t>
    </dgm:pt>
    <dgm:pt modelId="{EBF7D29D-47CF-42D1-93E9-F0CEDAB850F2}" type="parTrans" cxnId="{A6E691D5-A698-4F31-AEB3-C790C2E1792C}">
      <dgm:prSet/>
      <dgm:spPr/>
      <dgm:t>
        <a:bodyPr/>
        <a:lstStyle/>
        <a:p>
          <a:endParaRPr lang="nl-NL"/>
        </a:p>
      </dgm:t>
    </dgm:pt>
    <dgm:pt modelId="{3AD49AC6-231D-4429-9305-3E0A278EF918}" type="sibTrans" cxnId="{A6E691D5-A698-4F31-AEB3-C790C2E1792C}">
      <dgm:prSet/>
      <dgm:spPr/>
      <dgm:t>
        <a:bodyPr/>
        <a:lstStyle/>
        <a:p>
          <a:endParaRPr lang="nl-NL"/>
        </a:p>
      </dgm:t>
    </dgm:pt>
    <dgm:pt modelId="{54120659-11B2-4570-94EE-AF614522E7CC}">
      <dgm:prSet custT="1"/>
      <dgm:spPr/>
      <dgm:t>
        <a:bodyPr/>
        <a:lstStyle/>
        <a:p>
          <a:r>
            <a:rPr lang="nl-NL" sz="1000"/>
            <a:t>Statutory </a:t>
          </a:r>
        </a:p>
        <a:p>
          <a:r>
            <a:rPr lang="nl-NL" sz="1000"/>
            <a:t>board</a:t>
          </a:r>
        </a:p>
      </dgm:t>
    </dgm:pt>
    <dgm:pt modelId="{AA67795F-AAB2-4AE0-BF33-D4DDD35BE8B8}" type="parTrans" cxnId="{A092E906-9FAF-4671-808A-E0D707E02AA8}">
      <dgm:prSet/>
      <dgm:spPr/>
      <dgm:t>
        <a:bodyPr/>
        <a:lstStyle/>
        <a:p>
          <a:endParaRPr lang="nl-NL"/>
        </a:p>
      </dgm:t>
    </dgm:pt>
    <dgm:pt modelId="{BB6A25AF-7EF9-4C26-8146-FB0CA2D0FCB1}" type="sibTrans" cxnId="{A092E906-9FAF-4671-808A-E0D707E02AA8}">
      <dgm:prSet/>
      <dgm:spPr/>
      <dgm:t>
        <a:bodyPr/>
        <a:lstStyle/>
        <a:p>
          <a:endParaRPr lang="nl-NL"/>
        </a:p>
      </dgm:t>
    </dgm:pt>
    <dgm:pt modelId="{6865AAD4-BB5E-49BF-B295-766FC3AAD188}">
      <dgm:prSet custT="1"/>
      <dgm:spPr/>
      <dgm:t>
        <a:bodyPr/>
        <a:lstStyle/>
        <a:p>
          <a:r>
            <a:rPr lang="nl-NL" sz="1000"/>
            <a:t>Titulaire management</a:t>
          </a:r>
        </a:p>
      </dgm:t>
    </dgm:pt>
    <dgm:pt modelId="{2336EC43-68F5-4300-BB9B-A9499889D5D0}" type="parTrans" cxnId="{58CDD142-C3C8-4DE3-913E-A3A84D19C1A5}">
      <dgm:prSet/>
      <dgm:spPr/>
      <dgm:t>
        <a:bodyPr/>
        <a:lstStyle/>
        <a:p>
          <a:endParaRPr lang="nl-NL"/>
        </a:p>
      </dgm:t>
    </dgm:pt>
    <dgm:pt modelId="{F1E04F7E-1973-4B11-B36E-B6984135167F}" type="sibTrans" cxnId="{58CDD142-C3C8-4DE3-913E-A3A84D19C1A5}">
      <dgm:prSet/>
      <dgm:spPr/>
      <dgm:t>
        <a:bodyPr/>
        <a:lstStyle/>
        <a:p>
          <a:endParaRPr lang="nl-NL"/>
        </a:p>
      </dgm:t>
    </dgm:pt>
    <dgm:pt modelId="{30F35C07-F128-48F7-BAAE-FF55E23A05D2}">
      <dgm:prSet custT="1"/>
      <dgm:spPr/>
      <dgm:t>
        <a:bodyPr/>
        <a:lstStyle/>
        <a:p>
          <a:r>
            <a:rPr lang="nl-NL" sz="1000"/>
            <a:t>Titulaire management</a:t>
          </a:r>
        </a:p>
      </dgm:t>
    </dgm:pt>
    <dgm:pt modelId="{729B1F3A-573B-4584-B8F7-85D52E4454E1}" type="parTrans" cxnId="{BC2B70F2-8447-4F7F-8FD2-53C999E469F2}">
      <dgm:prSet/>
      <dgm:spPr/>
      <dgm:t>
        <a:bodyPr/>
        <a:lstStyle/>
        <a:p>
          <a:endParaRPr lang="nl-NL"/>
        </a:p>
      </dgm:t>
    </dgm:pt>
    <dgm:pt modelId="{1D78D73C-31E8-4C9F-9376-71513EAE4777}" type="sibTrans" cxnId="{BC2B70F2-8447-4F7F-8FD2-53C999E469F2}">
      <dgm:prSet/>
      <dgm:spPr/>
      <dgm:t>
        <a:bodyPr/>
        <a:lstStyle/>
        <a:p>
          <a:endParaRPr lang="nl-NL"/>
        </a:p>
      </dgm:t>
    </dgm:pt>
    <dgm:pt modelId="{93E66D38-8122-4CF8-BDCF-74D523DA7857}">
      <dgm:prSet custT="1"/>
      <dgm:spPr/>
      <dgm:t>
        <a:bodyPr/>
        <a:lstStyle/>
        <a:p>
          <a:r>
            <a:rPr lang="nl-NL" sz="1000"/>
            <a:t>Managerial staff</a:t>
          </a:r>
        </a:p>
      </dgm:t>
    </dgm:pt>
    <dgm:pt modelId="{F0C9B669-B612-429A-8CFD-030A667C39BB}" type="parTrans" cxnId="{83A5CEB5-A812-4493-9C09-973775BEEA9A}">
      <dgm:prSet/>
      <dgm:spPr/>
      <dgm:t>
        <a:bodyPr/>
        <a:lstStyle/>
        <a:p>
          <a:endParaRPr lang="nl-NL"/>
        </a:p>
      </dgm:t>
    </dgm:pt>
    <dgm:pt modelId="{6AD49B59-66BA-499C-98AD-38D0E8DDA4CD}" type="sibTrans" cxnId="{83A5CEB5-A812-4493-9C09-973775BEEA9A}">
      <dgm:prSet/>
      <dgm:spPr/>
      <dgm:t>
        <a:bodyPr/>
        <a:lstStyle/>
        <a:p>
          <a:endParaRPr lang="nl-NL"/>
        </a:p>
      </dgm:t>
    </dgm:pt>
    <dgm:pt modelId="{BE7DEB8A-E145-49FA-A3F7-D3B24F9DF4C8}">
      <dgm:prSet custT="1"/>
      <dgm:spPr/>
      <dgm:t>
        <a:bodyPr/>
        <a:lstStyle/>
        <a:p>
          <a:r>
            <a:rPr lang="nl-NL" sz="1000"/>
            <a:t>Statutory </a:t>
          </a:r>
        </a:p>
        <a:p>
          <a:r>
            <a:rPr lang="nl-NL" sz="1000"/>
            <a:t>board</a:t>
          </a:r>
        </a:p>
      </dgm:t>
    </dgm:pt>
    <dgm:pt modelId="{0922A468-7514-454A-A3A8-698C75E6F1CC}" type="parTrans" cxnId="{32532216-4891-4240-AD03-CDD266F55536}">
      <dgm:prSet/>
      <dgm:spPr/>
      <dgm:t>
        <a:bodyPr/>
        <a:lstStyle/>
        <a:p>
          <a:endParaRPr lang="nl-NL"/>
        </a:p>
      </dgm:t>
    </dgm:pt>
    <dgm:pt modelId="{0D8580E0-0A1C-4330-96A7-0BF29336284E}" type="sibTrans" cxnId="{32532216-4891-4240-AD03-CDD266F55536}">
      <dgm:prSet/>
      <dgm:spPr/>
      <dgm:t>
        <a:bodyPr/>
        <a:lstStyle/>
        <a:p>
          <a:endParaRPr lang="nl-NL"/>
        </a:p>
      </dgm:t>
    </dgm:pt>
    <dgm:pt modelId="{D60B95CF-8D7E-4578-80D2-28E29748720E}">
      <dgm:prSet custT="1"/>
      <dgm:spPr/>
      <dgm:t>
        <a:bodyPr/>
        <a:lstStyle/>
        <a:p>
          <a:r>
            <a:rPr lang="nl-NL" sz="1000"/>
            <a:t>Managerial staff</a:t>
          </a:r>
        </a:p>
      </dgm:t>
    </dgm:pt>
    <dgm:pt modelId="{F17B3AAC-618A-478F-A077-4B497A3979B2}" type="parTrans" cxnId="{3D3F669E-09F8-464B-9123-82F732712346}">
      <dgm:prSet/>
      <dgm:spPr/>
      <dgm:t>
        <a:bodyPr/>
        <a:lstStyle/>
        <a:p>
          <a:endParaRPr lang="nl-NL"/>
        </a:p>
      </dgm:t>
    </dgm:pt>
    <dgm:pt modelId="{79781012-DEF4-43B4-AF70-9C6354C5DE77}" type="sibTrans" cxnId="{3D3F669E-09F8-464B-9123-82F732712346}">
      <dgm:prSet/>
      <dgm:spPr/>
      <dgm:t>
        <a:bodyPr/>
        <a:lstStyle/>
        <a:p>
          <a:endParaRPr lang="nl-NL"/>
        </a:p>
      </dgm:t>
    </dgm:pt>
    <dgm:pt modelId="{A9E9EFA0-B5DC-4CF1-92EE-49DFB257F545}">
      <dgm:prSet phldrT="[Tekst]" custT="1"/>
      <dgm:spPr/>
      <dgm:t>
        <a:bodyPr/>
        <a:lstStyle/>
        <a:p>
          <a:r>
            <a:rPr lang="nl-NL" sz="1000"/>
            <a:t>GA</a:t>
          </a:r>
        </a:p>
      </dgm:t>
    </dgm:pt>
    <dgm:pt modelId="{63307F0C-A057-4CD9-9682-3381BFCED820}" type="sibTrans" cxnId="{AA56EECC-EABD-4DC6-B3B3-463AE34F0E90}">
      <dgm:prSet/>
      <dgm:spPr/>
      <dgm:t>
        <a:bodyPr/>
        <a:lstStyle/>
        <a:p>
          <a:endParaRPr lang="nl-NL"/>
        </a:p>
      </dgm:t>
    </dgm:pt>
    <dgm:pt modelId="{13AE87EE-B92E-4DCD-BADC-9B77678D9AE2}" type="parTrans" cxnId="{AA56EECC-EABD-4DC6-B3B3-463AE34F0E90}">
      <dgm:prSet/>
      <dgm:spPr/>
      <dgm:t>
        <a:bodyPr/>
        <a:lstStyle/>
        <a:p>
          <a:endParaRPr lang="nl-NL"/>
        </a:p>
      </dgm:t>
    </dgm:pt>
    <dgm:pt modelId="{0D4814F9-EB07-40C4-BD30-BCBD3638F4F3}" type="pres">
      <dgm:prSet presAssocID="{4D2335E7-4984-425F-A87D-01B2D5A93404}" presName="theList" presStyleCnt="0">
        <dgm:presLayoutVars>
          <dgm:dir/>
          <dgm:animLvl val="lvl"/>
          <dgm:resizeHandles val="exact"/>
        </dgm:presLayoutVars>
      </dgm:prSet>
      <dgm:spPr/>
      <dgm:t>
        <a:bodyPr/>
        <a:lstStyle/>
        <a:p>
          <a:endParaRPr lang="nl-NL"/>
        </a:p>
      </dgm:t>
    </dgm:pt>
    <dgm:pt modelId="{C43E2FA4-51BC-40C7-8DAA-CA2C79D09830}" type="pres">
      <dgm:prSet presAssocID="{20B298A7-9E4A-4619-A5D5-6175B24B1F4F}" presName="compNode" presStyleCnt="0"/>
      <dgm:spPr/>
    </dgm:pt>
    <dgm:pt modelId="{315BA243-6636-4322-B5FC-3774D46F134A}" type="pres">
      <dgm:prSet presAssocID="{20B298A7-9E4A-4619-A5D5-6175B24B1F4F}" presName="aNode" presStyleLbl="bgShp" presStyleIdx="0" presStyleCnt="5"/>
      <dgm:spPr/>
      <dgm:t>
        <a:bodyPr/>
        <a:lstStyle/>
        <a:p>
          <a:endParaRPr lang="nl-NL"/>
        </a:p>
      </dgm:t>
    </dgm:pt>
    <dgm:pt modelId="{E4352E7F-C6AF-468E-956C-8708E9990955}" type="pres">
      <dgm:prSet presAssocID="{20B298A7-9E4A-4619-A5D5-6175B24B1F4F}" presName="textNode" presStyleLbl="bgShp" presStyleIdx="0" presStyleCnt="5"/>
      <dgm:spPr/>
      <dgm:t>
        <a:bodyPr/>
        <a:lstStyle/>
        <a:p>
          <a:endParaRPr lang="nl-NL"/>
        </a:p>
      </dgm:t>
    </dgm:pt>
    <dgm:pt modelId="{BCCB2786-A196-435C-973B-60D681A7124C}" type="pres">
      <dgm:prSet presAssocID="{20B298A7-9E4A-4619-A5D5-6175B24B1F4F}" presName="compChildNode" presStyleCnt="0"/>
      <dgm:spPr/>
    </dgm:pt>
    <dgm:pt modelId="{0339D13A-CEEE-4EBC-B13A-A5109685BF8C}" type="pres">
      <dgm:prSet presAssocID="{20B298A7-9E4A-4619-A5D5-6175B24B1F4F}" presName="theInnerList" presStyleCnt="0"/>
      <dgm:spPr/>
    </dgm:pt>
    <dgm:pt modelId="{E65BF1FE-71C4-4568-9633-D80E81905E12}" type="pres">
      <dgm:prSet presAssocID="{90D19A00-9CA7-415B-9BD6-CE626257BF0E}" presName="childNode" presStyleLbl="node1" presStyleIdx="0" presStyleCnt="16">
        <dgm:presLayoutVars>
          <dgm:bulletEnabled val="1"/>
        </dgm:presLayoutVars>
      </dgm:prSet>
      <dgm:spPr/>
      <dgm:t>
        <a:bodyPr/>
        <a:lstStyle/>
        <a:p>
          <a:endParaRPr lang="nl-NL"/>
        </a:p>
      </dgm:t>
    </dgm:pt>
    <dgm:pt modelId="{F24136B4-0A2C-4B39-8D15-7C7533CDD0C8}" type="pres">
      <dgm:prSet presAssocID="{90D19A00-9CA7-415B-9BD6-CE626257BF0E}" presName="aSpace2" presStyleCnt="0"/>
      <dgm:spPr/>
    </dgm:pt>
    <dgm:pt modelId="{50A87134-32A6-47D0-9AC9-07EA12EB70FF}" type="pres">
      <dgm:prSet presAssocID="{A1719080-807E-4994-A8D7-5E671920A01F}" presName="childNode" presStyleLbl="node1" presStyleIdx="1" presStyleCnt="16">
        <dgm:presLayoutVars>
          <dgm:bulletEnabled val="1"/>
        </dgm:presLayoutVars>
      </dgm:prSet>
      <dgm:spPr/>
      <dgm:t>
        <a:bodyPr/>
        <a:lstStyle/>
        <a:p>
          <a:endParaRPr lang="nl-NL"/>
        </a:p>
      </dgm:t>
    </dgm:pt>
    <dgm:pt modelId="{9D088D6E-9A0E-4172-BFE1-E3BEDE66F06A}" type="pres">
      <dgm:prSet presAssocID="{A1719080-807E-4994-A8D7-5E671920A01F}" presName="aSpace2" presStyleCnt="0"/>
      <dgm:spPr/>
    </dgm:pt>
    <dgm:pt modelId="{B3BE07F6-65B5-48F5-BD47-8091CB8DFFE4}" type="pres">
      <dgm:prSet presAssocID="{798775DA-9A09-4224-B764-234782D9C01E}" presName="childNode" presStyleLbl="node1" presStyleIdx="2" presStyleCnt="16">
        <dgm:presLayoutVars>
          <dgm:bulletEnabled val="1"/>
        </dgm:presLayoutVars>
      </dgm:prSet>
      <dgm:spPr/>
      <dgm:t>
        <a:bodyPr/>
        <a:lstStyle/>
        <a:p>
          <a:endParaRPr lang="nl-NL"/>
        </a:p>
      </dgm:t>
    </dgm:pt>
    <dgm:pt modelId="{C288E6AF-DF90-49F7-B9B6-FA134AD666C4}" type="pres">
      <dgm:prSet presAssocID="{20B298A7-9E4A-4619-A5D5-6175B24B1F4F}" presName="aSpace" presStyleCnt="0"/>
      <dgm:spPr/>
    </dgm:pt>
    <dgm:pt modelId="{DCE6F3B5-52A3-411B-87E4-3B83F0135D2E}" type="pres">
      <dgm:prSet presAssocID="{682B77D7-40C2-4C8E-81BA-EFB6E793393C}" presName="compNode" presStyleCnt="0"/>
      <dgm:spPr/>
    </dgm:pt>
    <dgm:pt modelId="{D361CE48-14ED-4663-BDBB-C55B81D1939A}" type="pres">
      <dgm:prSet presAssocID="{682B77D7-40C2-4C8E-81BA-EFB6E793393C}" presName="aNode" presStyleLbl="bgShp" presStyleIdx="1" presStyleCnt="5" custLinFactNeighborX="-2635"/>
      <dgm:spPr/>
      <dgm:t>
        <a:bodyPr/>
        <a:lstStyle/>
        <a:p>
          <a:endParaRPr lang="nl-NL"/>
        </a:p>
      </dgm:t>
    </dgm:pt>
    <dgm:pt modelId="{BF6F2E25-0603-4B65-95BB-302D7EB7581B}" type="pres">
      <dgm:prSet presAssocID="{682B77D7-40C2-4C8E-81BA-EFB6E793393C}" presName="textNode" presStyleLbl="bgShp" presStyleIdx="1" presStyleCnt="5"/>
      <dgm:spPr/>
      <dgm:t>
        <a:bodyPr/>
        <a:lstStyle/>
        <a:p>
          <a:endParaRPr lang="nl-NL"/>
        </a:p>
      </dgm:t>
    </dgm:pt>
    <dgm:pt modelId="{39BBA05E-DE84-4FD4-B8C6-6D8B789DCD67}" type="pres">
      <dgm:prSet presAssocID="{682B77D7-40C2-4C8E-81BA-EFB6E793393C}" presName="compChildNode" presStyleCnt="0"/>
      <dgm:spPr/>
    </dgm:pt>
    <dgm:pt modelId="{AB325A86-B7F4-45DA-B33F-D6B6A6E80A18}" type="pres">
      <dgm:prSet presAssocID="{682B77D7-40C2-4C8E-81BA-EFB6E793393C}" presName="theInnerList" presStyleCnt="0"/>
      <dgm:spPr/>
    </dgm:pt>
    <dgm:pt modelId="{33628A07-A5B6-4076-BB33-17ADE1A6CBAE}" type="pres">
      <dgm:prSet presAssocID="{B639BAC9-FB16-4CAA-8CD2-FDBEC658E95F}" presName="childNode" presStyleLbl="node1" presStyleIdx="3" presStyleCnt="16" custScaleY="51062">
        <dgm:presLayoutVars>
          <dgm:bulletEnabled val="1"/>
        </dgm:presLayoutVars>
      </dgm:prSet>
      <dgm:spPr/>
      <dgm:t>
        <a:bodyPr/>
        <a:lstStyle/>
        <a:p>
          <a:endParaRPr lang="nl-NL"/>
        </a:p>
      </dgm:t>
    </dgm:pt>
    <dgm:pt modelId="{6E44475D-FCFB-420C-93B4-B2E9176D8124}" type="pres">
      <dgm:prSet presAssocID="{B639BAC9-FB16-4CAA-8CD2-FDBEC658E95F}" presName="aSpace2" presStyleCnt="0"/>
      <dgm:spPr/>
    </dgm:pt>
    <dgm:pt modelId="{A2EAD9A4-C605-48C6-B15B-567D191EEA79}" type="pres">
      <dgm:prSet presAssocID="{54120659-11B2-4570-94EE-AF614522E7CC}" presName="childNode" presStyleLbl="node1" presStyleIdx="4" presStyleCnt="16" custScaleY="112230">
        <dgm:presLayoutVars>
          <dgm:bulletEnabled val="1"/>
        </dgm:presLayoutVars>
      </dgm:prSet>
      <dgm:spPr/>
      <dgm:t>
        <a:bodyPr/>
        <a:lstStyle/>
        <a:p>
          <a:endParaRPr lang="nl-NL"/>
        </a:p>
      </dgm:t>
    </dgm:pt>
    <dgm:pt modelId="{C27A88D0-B744-4505-BF51-24D860925915}" type="pres">
      <dgm:prSet presAssocID="{682B77D7-40C2-4C8E-81BA-EFB6E793393C}" presName="aSpace" presStyleCnt="0"/>
      <dgm:spPr/>
    </dgm:pt>
    <dgm:pt modelId="{1AE51B16-F7BB-41E2-B526-9656E6F64D09}" type="pres">
      <dgm:prSet presAssocID="{F8D868DB-078B-4240-9BE2-4CA300C5F1B8}" presName="compNode" presStyleCnt="0"/>
      <dgm:spPr/>
    </dgm:pt>
    <dgm:pt modelId="{2EF0E132-5ACA-4D9E-8816-BA2B55A4D47C}" type="pres">
      <dgm:prSet presAssocID="{F8D868DB-078B-4240-9BE2-4CA300C5F1B8}" presName="aNode" presStyleLbl="bgShp" presStyleIdx="2" presStyleCnt="5"/>
      <dgm:spPr/>
      <dgm:t>
        <a:bodyPr/>
        <a:lstStyle/>
        <a:p>
          <a:endParaRPr lang="nl-NL"/>
        </a:p>
      </dgm:t>
    </dgm:pt>
    <dgm:pt modelId="{19163E46-2BB7-46D8-89F1-DD3EEDDD53A6}" type="pres">
      <dgm:prSet presAssocID="{F8D868DB-078B-4240-9BE2-4CA300C5F1B8}" presName="textNode" presStyleLbl="bgShp" presStyleIdx="2" presStyleCnt="5"/>
      <dgm:spPr/>
      <dgm:t>
        <a:bodyPr/>
        <a:lstStyle/>
        <a:p>
          <a:endParaRPr lang="nl-NL"/>
        </a:p>
      </dgm:t>
    </dgm:pt>
    <dgm:pt modelId="{4B6990E8-2827-4279-94C9-43B51A875236}" type="pres">
      <dgm:prSet presAssocID="{F8D868DB-078B-4240-9BE2-4CA300C5F1B8}" presName="compChildNode" presStyleCnt="0"/>
      <dgm:spPr/>
    </dgm:pt>
    <dgm:pt modelId="{A2DDE585-B06F-4888-BFF5-29D60CABCBA0}" type="pres">
      <dgm:prSet presAssocID="{F8D868DB-078B-4240-9BE2-4CA300C5F1B8}" presName="theInnerList" presStyleCnt="0"/>
      <dgm:spPr/>
    </dgm:pt>
    <dgm:pt modelId="{20DCCC40-56C8-4388-BF15-ACE9D2196FD5}" type="pres">
      <dgm:prSet presAssocID="{0791EA19-DD19-4238-AC40-E4DDB81317E9}" presName="childNode" presStyleLbl="node1" presStyleIdx="5" presStyleCnt="16" custScaleY="88169">
        <dgm:presLayoutVars>
          <dgm:bulletEnabled val="1"/>
        </dgm:presLayoutVars>
      </dgm:prSet>
      <dgm:spPr/>
      <dgm:t>
        <a:bodyPr/>
        <a:lstStyle/>
        <a:p>
          <a:endParaRPr lang="nl-NL"/>
        </a:p>
      </dgm:t>
    </dgm:pt>
    <dgm:pt modelId="{675063CC-2CB0-4947-883C-084D7CDEF09A}" type="pres">
      <dgm:prSet presAssocID="{0791EA19-DD19-4238-AC40-E4DDB81317E9}" presName="aSpace2" presStyleCnt="0"/>
      <dgm:spPr/>
    </dgm:pt>
    <dgm:pt modelId="{2D877579-8EF1-442C-8C53-0246CAF9E7AD}" type="pres">
      <dgm:prSet presAssocID="{FABCFF4D-B2A5-490E-8D4B-22B5FE9F311D}" presName="childNode" presStyleLbl="node1" presStyleIdx="6" presStyleCnt="16">
        <dgm:presLayoutVars>
          <dgm:bulletEnabled val="1"/>
        </dgm:presLayoutVars>
      </dgm:prSet>
      <dgm:spPr/>
      <dgm:t>
        <a:bodyPr/>
        <a:lstStyle/>
        <a:p>
          <a:endParaRPr lang="nl-NL"/>
        </a:p>
      </dgm:t>
    </dgm:pt>
    <dgm:pt modelId="{5A790171-1221-4573-8804-96F7837FD9AA}" type="pres">
      <dgm:prSet presAssocID="{FABCFF4D-B2A5-490E-8D4B-22B5FE9F311D}" presName="aSpace2" presStyleCnt="0"/>
      <dgm:spPr/>
    </dgm:pt>
    <dgm:pt modelId="{6C7CE3F8-7057-492E-801B-4FC0AE7356EB}" type="pres">
      <dgm:prSet presAssocID="{6865AAD4-BB5E-49BF-B295-766FC3AAD188}" presName="childNode" presStyleLbl="node1" presStyleIdx="7" presStyleCnt="16">
        <dgm:presLayoutVars>
          <dgm:bulletEnabled val="1"/>
        </dgm:presLayoutVars>
      </dgm:prSet>
      <dgm:spPr/>
      <dgm:t>
        <a:bodyPr/>
        <a:lstStyle/>
        <a:p>
          <a:endParaRPr lang="nl-NL"/>
        </a:p>
      </dgm:t>
    </dgm:pt>
    <dgm:pt modelId="{ABD75ACC-3CC0-4C04-AA3C-CC02DBB1C2AD}" type="pres">
      <dgm:prSet presAssocID="{F8D868DB-078B-4240-9BE2-4CA300C5F1B8}" presName="aSpace" presStyleCnt="0"/>
      <dgm:spPr/>
    </dgm:pt>
    <dgm:pt modelId="{50320C06-873E-4458-B45A-D990FC72794F}" type="pres">
      <dgm:prSet presAssocID="{BC95582D-5003-4788-B25B-534FE29E3794}" presName="compNode" presStyleCnt="0"/>
      <dgm:spPr/>
    </dgm:pt>
    <dgm:pt modelId="{67ED91EC-47EB-40B5-85E2-4ADD91959713}" type="pres">
      <dgm:prSet presAssocID="{BC95582D-5003-4788-B25B-534FE29E3794}" presName="aNode" presStyleLbl="bgShp" presStyleIdx="3" presStyleCnt="5"/>
      <dgm:spPr/>
      <dgm:t>
        <a:bodyPr/>
        <a:lstStyle/>
        <a:p>
          <a:endParaRPr lang="nl-NL"/>
        </a:p>
      </dgm:t>
    </dgm:pt>
    <dgm:pt modelId="{6A0470DF-5AD8-4338-A9B4-59EE91F844C2}" type="pres">
      <dgm:prSet presAssocID="{BC95582D-5003-4788-B25B-534FE29E3794}" presName="textNode" presStyleLbl="bgShp" presStyleIdx="3" presStyleCnt="5"/>
      <dgm:spPr/>
      <dgm:t>
        <a:bodyPr/>
        <a:lstStyle/>
        <a:p>
          <a:endParaRPr lang="nl-NL"/>
        </a:p>
      </dgm:t>
    </dgm:pt>
    <dgm:pt modelId="{DB589023-BFE7-4CCC-91A2-D0D2DAE99E53}" type="pres">
      <dgm:prSet presAssocID="{BC95582D-5003-4788-B25B-534FE29E3794}" presName="compChildNode" presStyleCnt="0"/>
      <dgm:spPr/>
    </dgm:pt>
    <dgm:pt modelId="{7BF9E65A-74BE-4DB6-906B-A66492FDE155}" type="pres">
      <dgm:prSet presAssocID="{BC95582D-5003-4788-B25B-534FE29E3794}" presName="theInnerList" presStyleCnt="0"/>
      <dgm:spPr/>
    </dgm:pt>
    <dgm:pt modelId="{409BB36F-D274-41AB-B28D-CFC2CBE7F3DC}" type="pres">
      <dgm:prSet presAssocID="{A9E9EFA0-B5DC-4CF1-92EE-49DFB257F545}" presName="childNode" presStyleLbl="node1" presStyleIdx="8" presStyleCnt="16" custScaleY="31821">
        <dgm:presLayoutVars>
          <dgm:bulletEnabled val="1"/>
        </dgm:presLayoutVars>
      </dgm:prSet>
      <dgm:spPr/>
      <dgm:t>
        <a:bodyPr/>
        <a:lstStyle/>
        <a:p>
          <a:endParaRPr lang="nl-NL"/>
        </a:p>
      </dgm:t>
    </dgm:pt>
    <dgm:pt modelId="{94DA2B2B-D3B2-474F-A7F8-5CCC8EBE3267}" type="pres">
      <dgm:prSet presAssocID="{A9E9EFA0-B5DC-4CF1-92EE-49DFB257F545}" presName="aSpace2" presStyleCnt="0"/>
      <dgm:spPr/>
    </dgm:pt>
    <dgm:pt modelId="{F273AC49-0C86-4820-9E5B-E45E85965899}" type="pres">
      <dgm:prSet presAssocID="{4BE4C590-B769-44AA-A5A1-E98EA3B98D3F}" presName="childNode" presStyleLbl="node1" presStyleIdx="9" presStyleCnt="16" custScaleY="45278">
        <dgm:presLayoutVars>
          <dgm:bulletEnabled val="1"/>
        </dgm:presLayoutVars>
      </dgm:prSet>
      <dgm:spPr/>
      <dgm:t>
        <a:bodyPr/>
        <a:lstStyle/>
        <a:p>
          <a:endParaRPr lang="nl-NL"/>
        </a:p>
      </dgm:t>
    </dgm:pt>
    <dgm:pt modelId="{4991E5D7-8F40-47E2-906A-816551D6A886}" type="pres">
      <dgm:prSet presAssocID="{4BE4C590-B769-44AA-A5A1-E98EA3B98D3F}" presName="aSpace2" presStyleCnt="0"/>
      <dgm:spPr/>
    </dgm:pt>
    <dgm:pt modelId="{754FDF7C-9A9E-4E8C-BACD-62EC8565A9CB}" type="pres">
      <dgm:prSet presAssocID="{30F35C07-F128-48F7-BAAE-FF55E23A05D2}" presName="childNode" presStyleLbl="node1" presStyleIdx="10" presStyleCnt="16">
        <dgm:presLayoutVars>
          <dgm:bulletEnabled val="1"/>
        </dgm:presLayoutVars>
      </dgm:prSet>
      <dgm:spPr/>
      <dgm:t>
        <a:bodyPr/>
        <a:lstStyle/>
        <a:p>
          <a:endParaRPr lang="nl-NL"/>
        </a:p>
      </dgm:t>
    </dgm:pt>
    <dgm:pt modelId="{60BF7EF1-EAD1-491C-88D6-F900ECB7F919}" type="pres">
      <dgm:prSet presAssocID="{30F35C07-F128-48F7-BAAE-FF55E23A05D2}" presName="aSpace2" presStyleCnt="0"/>
      <dgm:spPr/>
    </dgm:pt>
    <dgm:pt modelId="{BB066FE4-DF4D-4ED5-BA2B-5AD45FA82BB0}" type="pres">
      <dgm:prSet presAssocID="{93E66D38-8122-4CF8-BDCF-74D523DA7857}" presName="childNode" presStyleLbl="node1" presStyleIdx="11" presStyleCnt="16">
        <dgm:presLayoutVars>
          <dgm:bulletEnabled val="1"/>
        </dgm:presLayoutVars>
      </dgm:prSet>
      <dgm:spPr/>
      <dgm:t>
        <a:bodyPr/>
        <a:lstStyle/>
        <a:p>
          <a:endParaRPr lang="nl-NL"/>
        </a:p>
      </dgm:t>
    </dgm:pt>
    <dgm:pt modelId="{DE50856E-33C3-443A-93B2-EA2F7BDC87E1}" type="pres">
      <dgm:prSet presAssocID="{BC95582D-5003-4788-B25B-534FE29E3794}" presName="aSpace" presStyleCnt="0"/>
      <dgm:spPr/>
    </dgm:pt>
    <dgm:pt modelId="{FDA26003-B4E5-4DEC-A6A9-17CB31F7A0F4}" type="pres">
      <dgm:prSet presAssocID="{44971FBC-AFA8-441E-975D-BA942552B71A}" presName="compNode" presStyleCnt="0"/>
      <dgm:spPr/>
    </dgm:pt>
    <dgm:pt modelId="{A4CA4FB9-7F38-42DB-9433-7EB0651A815F}" type="pres">
      <dgm:prSet presAssocID="{44971FBC-AFA8-441E-975D-BA942552B71A}" presName="aNode" presStyleLbl="bgShp" presStyleIdx="4" presStyleCnt="5"/>
      <dgm:spPr/>
      <dgm:t>
        <a:bodyPr/>
        <a:lstStyle/>
        <a:p>
          <a:endParaRPr lang="nl-NL"/>
        </a:p>
      </dgm:t>
    </dgm:pt>
    <dgm:pt modelId="{C7A2E48F-7903-40C1-883E-92960BA8BC17}" type="pres">
      <dgm:prSet presAssocID="{44971FBC-AFA8-441E-975D-BA942552B71A}" presName="textNode" presStyleLbl="bgShp" presStyleIdx="4" presStyleCnt="5"/>
      <dgm:spPr/>
      <dgm:t>
        <a:bodyPr/>
        <a:lstStyle/>
        <a:p>
          <a:endParaRPr lang="nl-NL"/>
        </a:p>
      </dgm:t>
    </dgm:pt>
    <dgm:pt modelId="{800C7B8B-E3C3-4B9C-9824-B44E1E1E071C}" type="pres">
      <dgm:prSet presAssocID="{44971FBC-AFA8-441E-975D-BA942552B71A}" presName="compChildNode" presStyleCnt="0"/>
      <dgm:spPr/>
    </dgm:pt>
    <dgm:pt modelId="{66054DAF-B410-4062-8C78-6828B89DA697}" type="pres">
      <dgm:prSet presAssocID="{44971FBC-AFA8-441E-975D-BA942552B71A}" presName="theInnerList" presStyleCnt="0"/>
      <dgm:spPr/>
    </dgm:pt>
    <dgm:pt modelId="{7B5EB3C8-A862-478B-B357-F3C3D8575111}" type="pres">
      <dgm:prSet presAssocID="{41A1409F-4AD3-4E31-81CF-FD78BBF15350}" presName="childNode" presStyleLbl="node1" presStyleIdx="12" presStyleCnt="16" custScaleY="28196">
        <dgm:presLayoutVars>
          <dgm:bulletEnabled val="1"/>
        </dgm:presLayoutVars>
      </dgm:prSet>
      <dgm:spPr/>
      <dgm:t>
        <a:bodyPr/>
        <a:lstStyle/>
        <a:p>
          <a:endParaRPr lang="nl-NL"/>
        </a:p>
      </dgm:t>
    </dgm:pt>
    <dgm:pt modelId="{6F8298A3-921A-48C8-8AB9-CE484924B95D}" type="pres">
      <dgm:prSet presAssocID="{41A1409F-4AD3-4E31-81CF-FD78BBF15350}" presName="aSpace2" presStyleCnt="0"/>
      <dgm:spPr/>
    </dgm:pt>
    <dgm:pt modelId="{9482F8E2-6974-4572-AEC0-5D988CD34FD9}" type="pres">
      <dgm:prSet presAssocID="{4397B984-2142-474A-9925-C81D831EDB7C}" presName="childNode" presStyleLbl="node1" presStyleIdx="13" presStyleCnt="16" custScaleY="37615">
        <dgm:presLayoutVars>
          <dgm:bulletEnabled val="1"/>
        </dgm:presLayoutVars>
      </dgm:prSet>
      <dgm:spPr/>
      <dgm:t>
        <a:bodyPr/>
        <a:lstStyle/>
        <a:p>
          <a:endParaRPr lang="nl-NL"/>
        </a:p>
      </dgm:t>
    </dgm:pt>
    <dgm:pt modelId="{2A7FBB20-5AF4-4AFE-AE0F-5E0D3475DCD9}" type="pres">
      <dgm:prSet presAssocID="{4397B984-2142-474A-9925-C81D831EDB7C}" presName="aSpace2" presStyleCnt="0"/>
      <dgm:spPr/>
    </dgm:pt>
    <dgm:pt modelId="{85CC24D7-9307-473C-AF1D-48E33EEB79CA}" type="pres">
      <dgm:prSet presAssocID="{BE7DEB8A-E145-49FA-A3F7-D3B24F9DF4C8}" presName="childNode" presStyleLbl="node1" presStyleIdx="14" presStyleCnt="16">
        <dgm:presLayoutVars>
          <dgm:bulletEnabled val="1"/>
        </dgm:presLayoutVars>
      </dgm:prSet>
      <dgm:spPr/>
      <dgm:t>
        <a:bodyPr/>
        <a:lstStyle/>
        <a:p>
          <a:endParaRPr lang="nl-NL"/>
        </a:p>
      </dgm:t>
    </dgm:pt>
    <dgm:pt modelId="{A0310F72-2314-46CD-84BA-4634BD346CD1}" type="pres">
      <dgm:prSet presAssocID="{BE7DEB8A-E145-49FA-A3F7-D3B24F9DF4C8}" presName="aSpace2" presStyleCnt="0"/>
      <dgm:spPr/>
    </dgm:pt>
    <dgm:pt modelId="{6E19A995-EC1A-4EB1-B0AD-7DEC92B9998B}" type="pres">
      <dgm:prSet presAssocID="{D60B95CF-8D7E-4578-80D2-28E29748720E}" presName="childNode" presStyleLbl="node1" presStyleIdx="15" presStyleCnt="16">
        <dgm:presLayoutVars>
          <dgm:bulletEnabled val="1"/>
        </dgm:presLayoutVars>
      </dgm:prSet>
      <dgm:spPr/>
      <dgm:t>
        <a:bodyPr/>
        <a:lstStyle/>
        <a:p>
          <a:endParaRPr lang="nl-NL"/>
        </a:p>
      </dgm:t>
    </dgm:pt>
  </dgm:ptLst>
  <dgm:cxnLst>
    <dgm:cxn modelId="{6A0E0566-A0EC-472A-BB97-F879AC8DBB74}" type="presOf" srcId="{20B298A7-9E4A-4619-A5D5-6175B24B1F4F}" destId="{315BA243-6636-4322-B5FC-3774D46F134A}" srcOrd="0" destOrd="0" presId="urn:microsoft.com/office/officeart/2005/8/layout/lProcess2"/>
    <dgm:cxn modelId="{7A9B77C7-D237-466E-AA22-B89B07F4F760}" srcId="{4D2335E7-4984-425F-A87D-01B2D5A93404}" destId="{44971FBC-AFA8-441E-975D-BA942552B71A}" srcOrd="4" destOrd="0" parTransId="{E486BBD6-6826-4A06-921A-9FF2CFAA2302}" sibTransId="{86F2B3EC-0CB9-4556-8C20-4158D5DB94E3}"/>
    <dgm:cxn modelId="{524BFC45-2C63-4EF6-8016-8F67CF1024A1}" srcId="{4D2335E7-4984-425F-A87D-01B2D5A93404}" destId="{F8D868DB-078B-4240-9BE2-4CA300C5F1B8}" srcOrd="2" destOrd="0" parTransId="{44E164DE-96A2-479F-A255-C431F50D18B1}" sibTransId="{B67FAB2D-7543-4F58-9A02-7C1B4CDCDA1F}"/>
    <dgm:cxn modelId="{73CD31C8-6B33-43CD-B457-E630A26CC432}" type="presOf" srcId="{798775DA-9A09-4224-B764-234782D9C01E}" destId="{B3BE07F6-65B5-48F5-BD47-8091CB8DFFE4}" srcOrd="0" destOrd="0" presId="urn:microsoft.com/office/officeart/2005/8/layout/lProcess2"/>
    <dgm:cxn modelId="{A3374878-CCA8-4286-8CFD-F6FE9F1A7F00}" type="presOf" srcId="{90D19A00-9CA7-415B-9BD6-CE626257BF0E}" destId="{E65BF1FE-71C4-4568-9633-D80E81905E12}" srcOrd="0" destOrd="0" presId="urn:microsoft.com/office/officeart/2005/8/layout/lProcess2"/>
    <dgm:cxn modelId="{0FBE09FF-2D44-40E5-8AC4-9AAA7450D68F}" type="presOf" srcId="{41A1409F-4AD3-4E31-81CF-FD78BBF15350}" destId="{7B5EB3C8-A862-478B-B357-F3C3D8575111}" srcOrd="0" destOrd="0" presId="urn:microsoft.com/office/officeart/2005/8/layout/lProcess2"/>
    <dgm:cxn modelId="{83A5CEB5-A812-4493-9C09-973775BEEA9A}" srcId="{BC95582D-5003-4788-B25B-534FE29E3794}" destId="{93E66D38-8122-4CF8-BDCF-74D523DA7857}" srcOrd="3" destOrd="0" parTransId="{F0C9B669-B612-429A-8CFD-030A667C39BB}" sibTransId="{6AD49B59-66BA-499C-98AD-38D0E8DDA4CD}"/>
    <dgm:cxn modelId="{3D842D35-EA25-4628-9A80-CDE413163762}" type="presOf" srcId="{4D2335E7-4984-425F-A87D-01B2D5A93404}" destId="{0D4814F9-EB07-40C4-BD30-BCBD3638F4F3}" srcOrd="0" destOrd="0" presId="urn:microsoft.com/office/officeart/2005/8/layout/lProcess2"/>
    <dgm:cxn modelId="{36F4C7F4-331C-49D9-8D18-EE051C9C7CA2}" type="presOf" srcId="{D60B95CF-8D7E-4578-80D2-28E29748720E}" destId="{6E19A995-EC1A-4EB1-B0AD-7DEC92B9998B}" srcOrd="0" destOrd="0" presId="urn:microsoft.com/office/officeart/2005/8/layout/lProcess2"/>
    <dgm:cxn modelId="{2AD635FC-DA0A-4C8B-B59E-A61DE8E21EBD}" type="presOf" srcId="{44971FBC-AFA8-441E-975D-BA942552B71A}" destId="{A4CA4FB9-7F38-42DB-9433-7EB0651A815F}" srcOrd="0" destOrd="0" presId="urn:microsoft.com/office/officeart/2005/8/layout/lProcess2"/>
    <dgm:cxn modelId="{F48CFB3E-8043-4308-9D39-BE1F1DEBD6F9}" type="presOf" srcId="{4397B984-2142-474A-9925-C81D831EDB7C}" destId="{9482F8E2-6974-4572-AEC0-5D988CD34FD9}" srcOrd="0" destOrd="0" presId="urn:microsoft.com/office/officeart/2005/8/layout/lProcess2"/>
    <dgm:cxn modelId="{286ED7EC-45FC-46C6-B3F7-B29B6A30A311}" type="presOf" srcId="{54120659-11B2-4570-94EE-AF614522E7CC}" destId="{A2EAD9A4-C605-48C6-B15B-567D191EEA79}" srcOrd="0" destOrd="0" presId="urn:microsoft.com/office/officeart/2005/8/layout/lProcess2"/>
    <dgm:cxn modelId="{EE88A2B3-EF90-45B1-B9C9-F2A4836D77AF}" type="presOf" srcId="{4BE4C590-B769-44AA-A5A1-E98EA3B98D3F}" destId="{F273AC49-0C86-4820-9E5B-E45E85965899}" srcOrd="0" destOrd="0" presId="urn:microsoft.com/office/officeart/2005/8/layout/lProcess2"/>
    <dgm:cxn modelId="{FF2CE023-5FCA-4338-9D21-A2321ACE743A}" type="presOf" srcId="{682B77D7-40C2-4C8E-81BA-EFB6E793393C}" destId="{D361CE48-14ED-4663-BDBB-C55B81D1939A}" srcOrd="0" destOrd="0" presId="urn:microsoft.com/office/officeart/2005/8/layout/lProcess2"/>
    <dgm:cxn modelId="{EAE55301-0919-4340-A5FF-76E8C211D5C4}" type="presOf" srcId="{F8D868DB-078B-4240-9BE2-4CA300C5F1B8}" destId="{19163E46-2BB7-46D8-89F1-DD3EEDDD53A6}" srcOrd="1" destOrd="0" presId="urn:microsoft.com/office/officeart/2005/8/layout/lProcess2"/>
    <dgm:cxn modelId="{9A6E214C-D74E-4BE5-9406-791F3661B990}" srcId="{4D2335E7-4984-425F-A87D-01B2D5A93404}" destId="{20B298A7-9E4A-4619-A5D5-6175B24B1F4F}" srcOrd="0" destOrd="0" parTransId="{8DCD16D7-8E3C-4E42-9826-D195A249D889}" sibTransId="{E7F03A3C-3F40-4CF4-A9C9-6CA2101304E8}"/>
    <dgm:cxn modelId="{08094B2B-C1C2-4D86-9F0C-B998671D7F6D}" type="presOf" srcId="{A9E9EFA0-B5DC-4CF1-92EE-49DFB257F545}" destId="{409BB36F-D274-41AB-B28D-CFC2CBE7F3DC}" srcOrd="0" destOrd="0" presId="urn:microsoft.com/office/officeart/2005/8/layout/lProcess2"/>
    <dgm:cxn modelId="{874CA567-D770-4119-82B2-793C8C69798E}" srcId="{44971FBC-AFA8-441E-975D-BA942552B71A}" destId="{4397B984-2142-474A-9925-C81D831EDB7C}" srcOrd="1" destOrd="0" parTransId="{ADB2A675-1825-40AA-9BE2-AD0ED8A88AAB}" sibTransId="{7FEF8C84-C6DD-47EF-8A25-CE6E40881F0B}"/>
    <dgm:cxn modelId="{0B66D687-32F2-4AD3-B592-C37B14CC5DD2}" srcId="{20B298A7-9E4A-4619-A5D5-6175B24B1F4F}" destId="{90D19A00-9CA7-415B-9BD6-CE626257BF0E}" srcOrd="0" destOrd="0" parTransId="{6F16FC4F-9280-4C25-9F84-BC38010C88DD}" sibTransId="{50CDD729-38A1-4504-87DD-025108957738}"/>
    <dgm:cxn modelId="{9ACDDCDD-E4FF-468A-AB62-042262EB3ADA}" type="presOf" srcId="{0791EA19-DD19-4238-AC40-E4DDB81317E9}" destId="{20DCCC40-56C8-4388-BF15-ACE9D2196FD5}" srcOrd="0" destOrd="0" presId="urn:microsoft.com/office/officeart/2005/8/layout/lProcess2"/>
    <dgm:cxn modelId="{88E6AC6B-06BF-49E2-B832-484B5A7A527A}" type="presOf" srcId="{B639BAC9-FB16-4CAA-8CD2-FDBEC658E95F}" destId="{33628A07-A5B6-4076-BB33-17ADE1A6CBAE}" srcOrd="0" destOrd="0" presId="urn:microsoft.com/office/officeart/2005/8/layout/lProcess2"/>
    <dgm:cxn modelId="{A092E906-9FAF-4671-808A-E0D707E02AA8}" srcId="{682B77D7-40C2-4C8E-81BA-EFB6E793393C}" destId="{54120659-11B2-4570-94EE-AF614522E7CC}" srcOrd="1" destOrd="0" parTransId="{AA67795F-AAB2-4AE0-BF33-D4DDD35BE8B8}" sibTransId="{BB6A25AF-7EF9-4C26-8146-FB0CA2D0FCB1}"/>
    <dgm:cxn modelId="{FD5E6677-B9F4-4537-8A73-BC7390D01DF5}" srcId="{4D2335E7-4984-425F-A87D-01B2D5A93404}" destId="{BC95582D-5003-4788-B25B-534FE29E3794}" srcOrd="3" destOrd="0" parTransId="{43A1B42A-B6FD-4E58-A2A0-D771D01D0C2C}" sibTransId="{F1CEEC4D-87E8-411E-8DED-66DF860AE174}"/>
    <dgm:cxn modelId="{A6EE88AD-60BC-43FB-A277-08A9DEB9C610}" type="presOf" srcId="{BC95582D-5003-4788-B25B-534FE29E3794}" destId="{67ED91EC-47EB-40B5-85E2-4ADD91959713}" srcOrd="0" destOrd="0" presId="urn:microsoft.com/office/officeart/2005/8/layout/lProcess2"/>
    <dgm:cxn modelId="{32532216-4891-4240-AD03-CDD266F55536}" srcId="{44971FBC-AFA8-441E-975D-BA942552B71A}" destId="{BE7DEB8A-E145-49FA-A3F7-D3B24F9DF4C8}" srcOrd="2" destOrd="0" parTransId="{0922A468-7514-454A-A3A8-698C75E6F1CC}" sibTransId="{0D8580E0-0A1C-4330-96A7-0BF29336284E}"/>
    <dgm:cxn modelId="{CD1B6B86-71C8-4EBB-BD5C-189D6AB1E849}" srcId="{20B298A7-9E4A-4619-A5D5-6175B24B1F4F}" destId="{798775DA-9A09-4224-B764-234782D9C01E}" srcOrd="2" destOrd="0" parTransId="{D228D6C3-7890-41F4-BE91-002A143E27BE}" sibTransId="{778EE3BF-741D-4D8A-AC69-8ABB80D5F90B}"/>
    <dgm:cxn modelId="{1C9709EB-B495-4AAB-A061-799F89CC8CDA}" type="presOf" srcId="{20B298A7-9E4A-4619-A5D5-6175B24B1F4F}" destId="{E4352E7F-C6AF-468E-956C-8708E9990955}" srcOrd="1" destOrd="0" presId="urn:microsoft.com/office/officeart/2005/8/layout/lProcess2"/>
    <dgm:cxn modelId="{844E0D45-8942-402B-B62B-4A11BB7F6717}" type="presOf" srcId="{A1719080-807E-4994-A8D7-5E671920A01F}" destId="{50A87134-32A6-47D0-9AC9-07EA12EB70FF}" srcOrd="0" destOrd="0" presId="urn:microsoft.com/office/officeart/2005/8/layout/lProcess2"/>
    <dgm:cxn modelId="{8CA29D94-9DE9-40F9-96DF-49663F08FA22}" type="presOf" srcId="{BC95582D-5003-4788-B25B-534FE29E3794}" destId="{6A0470DF-5AD8-4338-A9B4-59EE91F844C2}" srcOrd="1" destOrd="0" presId="urn:microsoft.com/office/officeart/2005/8/layout/lProcess2"/>
    <dgm:cxn modelId="{9E594FCD-7D5D-4AC6-9241-62E052134DFC}" srcId="{F8D868DB-078B-4240-9BE2-4CA300C5F1B8}" destId="{FABCFF4D-B2A5-490E-8D4B-22B5FE9F311D}" srcOrd="1" destOrd="0" parTransId="{DC9A366D-8DB0-452F-9FB9-96CBAA9545D5}" sibTransId="{6F9B807E-9B5C-4A3F-B27A-A74BC9DD64D3}"/>
    <dgm:cxn modelId="{3C567428-EB7D-4DD8-8E76-6868F2575CB5}" srcId="{44971FBC-AFA8-441E-975D-BA942552B71A}" destId="{41A1409F-4AD3-4E31-81CF-FD78BBF15350}" srcOrd="0" destOrd="0" parTransId="{047403CD-74F1-495F-A1EF-CC6A9B31E95A}" sibTransId="{A630BF34-D8C9-4619-A92E-9ED1893E0AE8}"/>
    <dgm:cxn modelId="{3524C489-9E06-4A21-95EF-F1F5DDF20F47}" srcId="{4D2335E7-4984-425F-A87D-01B2D5A93404}" destId="{682B77D7-40C2-4C8E-81BA-EFB6E793393C}" srcOrd="1" destOrd="0" parTransId="{AD91D75E-74BB-4643-9A82-7CBB92629B3E}" sibTransId="{2ECA8EC8-8C23-4DD3-95A6-6EDC2ECDA83F}"/>
    <dgm:cxn modelId="{40F7F57B-ABA7-41D9-B32F-0F7D29A77406}" type="presOf" srcId="{682B77D7-40C2-4C8E-81BA-EFB6E793393C}" destId="{BF6F2E25-0603-4B65-95BB-302D7EB7581B}" srcOrd="1" destOrd="0" presId="urn:microsoft.com/office/officeart/2005/8/layout/lProcess2"/>
    <dgm:cxn modelId="{A6E691D5-A698-4F31-AEB3-C790C2E1792C}" srcId="{682B77D7-40C2-4C8E-81BA-EFB6E793393C}" destId="{B639BAC9-FB16-4CAA-8CD2-FDBEC658E95F}" srcOrd="0" destOrd="0" parTransId="{EBF7D29D-47CF-42D1-93E9-F0CEDAB850F2}" sibTransId="{3AD49AC6-231D-4429-9305-3E0A278EF918}"/>
    <dgm:cxn modelId="{3D3F669E-09F8-464B-9123-82F732712346}" srcId="{44971FBC-AFA8-441E-975D-BA942552B71A}" destId="{D60B95CF-8D7E-4578-80D2-28E29748720E}" srcOrd="3" destOrd="0" parTransId="{F17B3AAC-618A-478F-A077-4B497A3979B2}" sibTransId="{79781012-DEF4-43B4-AF70-9C6354C5DE77}"/>
    <dgm:cxn modelId="{FCD93397-7C30-4F5F-837F-B33E7B502518}" type="presOf" srcId="{44971FBC-AFA8-441E-975D-BA942552B71A}" destId="{C7A2E48F-7903-40C1-883E-92960BA8BC17}" srcOrd="1" destOrd="0" presId="urn:microsoft.com/office/officeart/2005/8/layout/lProcess2"/>
    <dgm:cxn modelId="{4214758A-94BA-40C8-AFD4-067884C19ADB}" type="presOf" srcId="{F8D868DB-078B-4240-9BE2-4CA300C5F1B8}" destId="{2EF0E132-5ACA-4D9E-8816-BA2B55A4D47C}" srcOrd="0" destOrd="0" presId="urn:microsoft.com/office/officeart/2005/8/layout/lProcess2"/>
    <dgm:cxn modelId="{90D4DA46-6AE3-48E3-99F0-80E55490DED6}" srcId="{BC95582D-5003-4788-B25B-534FE29E3794}" destId="{4BE4C590-B769-44AA-A5A1-E98EA3B98D3F}" srcOrd="1" destOrd="0" parTransId="{0B2CE41D-2586-4DB0-8159-21E0B86A6F0E}" sibTransId="{F2E88E1C-C6D9-4275-BA75-BE14FC3BD2CF}"/>
    <dgm:cxn modelId="{AA56EECC-EABD-4DC6-B3B3-463AE34F0E90}" srcId="{BC95582D-5003-4788-B25B-534FE29E3794}" destId="{A9E9EFA0-B5DC-4CF1-92EE-49DFB257F545}" srcOrd="0" destOrd="0" parTransId="{13AE87EE-B92E-4DCD-BADC-9B77678D9AE2}" sibTransId="{63307F0C-A057-4CD9-9682-3381BFCED820}"/>
    <dgm:cxn modelId="{D16FD366-D941-410D-A710-58133D11C820}" srcId="{20B298A7-9E4A-4619-A5D5-6175B24B1F4F}" destId="{A1719080-807E-4994-A8D7-5E671920A01F}" srcOrd="1" destOrd="0" parTransId="{A7F46FC9-8921-4459-B919-EF7118183E67}" sibTransId="{711CA15F-4E8B-4486-9E9F-3BD8C5FBCED4}"/>
    <dgm:cxn modelId="{58CDD142-C3C8-4DE3-913E-A3A84D19C1A5}" srcId="{F8D868DB-078B-4240-9BE2-4CA300C5F1B8}" destId="{6865AAD4-BB5E-49BF-B295-766FC3AAD188}" srcOrd="2" destOrd="0" parTransId="{2336EC43-68F5-4300-BB9B-A9499889D5D0}" sibTransId="{F1E04F7E-1973-4B11-B36E-B6984135167F}"/>
    <dgm:cxn modelId="{7A48806B-9AA3-4559-AC84-F78FDC1B218E}" type="presOf" srcId="{BE7DEB8A-E145-49FA-A3F7-D3B24F9DF4C8}" destId="{85CC24D7-9307-473C-AF1D-48E33EEB79CA}" srcOrd="0" destOrd="0" presId="urn:microsoft.com/office/officeart/2005/8/layout/lProcess2"/>
    <dgm:cxn modelId="{D8C72925-55F8-409E-A560-6BEC52674551}" type="presOf" srcId="{93E66D38-8122-4CF8-BDCF-74D523DA7857}" destId="{BB066FE4-DF4D-4ED5-BA2B-5AD45FA82BB0}" srcOrd="0" destOrd="0" presId="urn:microsoft.com/office/officeart/2005/8/layout/lProcess2"/>
    <dgm:cxn modelId="{C233DAC9-8530-4621-9F54-55C66456ABB2}" type="presOf" srcId="{30F35C07-F128-48F7-BAAE-FF55E23A05D2}" destId="{754FDF7C-9A9E-4E8C-BACD-62EC8565A9CB}" srcOrd="0" destOrd="0" presId="urn:microsoft.com/office/officeart/2005/8/layout/lProcess2"/>
    <dgm:cxn modelId="{BC2B70F2-8447-4F7F-8FD2-53C999E469F2}" srcId="{BC95582D-5003-4788-B25B-534FE29E3794}" destId="{30F35C07-F128-48F7-BAAE-FF55E23A05D2}" srcOrd="2" destOrd="0" parTransId="{729B1F3A-573B-4584-B8F7-85D52E4454E1}" sibTransId="{1D78D73C-31E8-4C9F-9376-71513EAE4777}"/>
    <dgm:cxn modelId="{58F00F49-D08F-42B5-BA53-11B3D622635C}" type="presOf" srcId="{FABCFF4D-B2A5-490E-8D4B-22B5FE9F311D}" destId="{2D877579-8EF1-442C-8C53-0246CAF9E7AD}" srcOrd="0" destOrd="0" presId="urn:microsoft.com/office/officeart/2005/8/layout/lProcess2"/>
    <dgm:cxn modelId="{81648747-73A7-4FA3-A7D8-0D0F62266C81}" type="presOf" srcId="{6865AAD4-BB5E-49BF-B295-766FC3AAD188}" destId="{6C7CE3F8-7057-492E-801B-4FC0AE7356EB}" srcOrd="0" destOrd="0" presId="urn:microsoft.com/office/officeart/2005/8/layout/lProcess2"/>
    <dgm:cxn modelId="{F3625322-3CF4-4F49-8D65-3F12D0F1D48C}" srcId="{F8D868DB-078B-4240-9BE2-4CA300C5F1B8}" destId="{0791EA19-DD19-4238-AC40-E4DDB81317E9}" srcOrd="0" destOrd="0" parTransId="{6FB98BA2-3D6F-49C3-B9E1-4A33D4BDA9FD}" sibTransId="{5B1C5AEB-8E0B-4FEE-B5CD-0146B19DDB61}"/>
    <dgm:cxn modelId="{8F27D6F9-A022-45CF-8E1A-229FAF3FB47B}" type="presParOf" srcId="{0D4814F9-EB07-40C4-BD30-BCBD3638F4F3}" destId="{C43E2FA4-51BC-40C7-8DAA-CA2C79D09830}" srcOrd="0" destOrd="0" presId="urn:microsoft.com/office/officeart/2005/8/layout/lProcess2"/>
    <dgm:cxn modelId="{71B1208C-207D-45C7-8644-D61D7F2765D1}" type="presParOf" srcId="{C43E2FA4-51BC-40C7-8DAA-CA2C79D09830}" destId="{315BA243-6636-4322-B5FC-3774D46F134A}" srcOrd="0" destOrd="0" presId="urn:microsoft.com/office/officeart/2005/8/layout/lProcess2"/>
    <dgm:cxn modelId="{52385126-35BB-43BB-BDD4-82102B70CDD9}" type="presParOf" srcId="{C43E2FA4-51BC-40C7-8DAA-CA2C79D09830}" destId="{E4352E7F-C6AF-468E-956C-8708E9990955}" srcOrd="1" destOrd="0" presId="urn:microsoft.com/office/officeart/2005/8/layout/lProcess2"/>
    <dgm:cxn modelId="{B7A959AF-127B-4281-9BA4-662C0DF665F9}" type="presParOf" srcId="{C43E2FA4-51BC-40C7-8DAA-CA2C79D09830}" destId="{BCCB2786-A196-435C-973B-60D681A7124C}" srcOrd="2" destOrd="0" presId="urn:microsoft.com/office/officeart/2005/8/layout/lProcess2"/>
    <dgm:cxn modelId="{69EB0267-CCEC-4FF7-BE2E-8BB4344493D6}" type="presParOf" srcId="{BCCB2786-A196-435C-973B-60D681A7124C}" destId="{0339D13A-CEEE-4EBC-B13A-A5109685BF8C}" srcOrd="0" destOrd="0" presId="urn:microsoft.com/office/officeart/2005/8/layout/lProcess2"/>
    <dgm:cxn modelId="{6933AE8F-F9E0-4AC4-BB02-A3CAFFFF8132}" type="presParOf" srcId="{0339D13A-CEEE-4EBC-B13A-A5109685BF8C}" destId="{E65BF1FE-71C4-4568-9633-D80E81905E12}" srcOrd="0" destOrd="0" presId="urn:microsoft.com/office/officeart/2005/8/layout/lProcess2"/>
    <dgm:cxn modelId="{B80412F7-EF7D-43ED-A9A6-277ACF00BA28}" type="presParOf" srcId="{0339D13A-CEEE-4EBC-B13A-A5109685BF8C}" destId="{F24136B4-0A2C-4B39-8D15-7C7533CDD0C8}" srcOrd="1" destOrd="0" presId="urn:microsoft.com/office/officeart/2005/8/layout/lProcess2"/>
    <dgm:cxn modelId="{517B5A98-5085-4C9B-B7F4-01BF942FB8B7}" type="presParOf" srcId="{0339D13A-CEEE-4EBC-B13A-A5109685BF8C}" destId="{50A87134-32A6-47D0-9AC9-07EA12EB70FF}" srcOrd="2" destOrd="0" presId="urn:microsoft.com/office/officeart/2005/8/layout/lProcess2"/>
    <dgm:cxn modelId="{78B400BD-D61A-40C7-A7F3-96AFB45D5F2E}" type="presParOf" srcId="{0339D13A-CEEE-4EBC-B13A-A5109685BF8C}" destId="{9D088D6E-9A0E-4172-BFE1-E3BEDE66F06A}" srcOrd="3" destOrd="0" presId="urn:microsoft.com/office/officeart/2005/8/layout/lProcess2"/>
    <dgm:cxn modelId="{97DBD1A4-5103-4173-9FD5-7E71117D3EF2}" type="presParOf" srcId="{0339D13A-CEEE-4EBC-B13A-A5109685BF8C}" destId="{B3BE07F6-65B5-48F5-BD47-8091CB8DFFE4}" srcOrd="4" destOrd="0" presId="urn:microsoft.com/office/officeart/2005/8/layout/lProcess2"/>
    <dgm:cxn modelId="{6213AAFE-A862-4D3B-8AFE-1BEE9AAAC49D}" type="presParOf" srcId="{0D4814F9-EB07-40C4-BD30-BCBD3638F4F3}" destId="{C288E6AF-DF90-49F7-B9B6-FA134AD666C4}" srcOrd="1" destOrd="0" presId="urn:microsoft.com/office/officeart/2005/8/layout/lProcess2"/>
    <dgm:cxn modelId="{FDCBE566-AAC2-4BB4-9727-3D4F3F6D935B}" type="presParOf" srcId="{0D4814F9-EB07-40C4-BD30-BCBD3638F4F3}" destId="{DCE6F3B5-52A3-411B-87E4-3B83F0135D2E}" srcOrd="2" destOrd="0" presId="urn:microsoft.com/office/officeart/2005/8/layout/lProcess2"/>
    <dgm:cxn modelId="{B9276C61-149F-44A5-9C24-373C937483CF}" type="presParOf" srcId="{DCE6F3B5-52A3-411B-87E4-3B83F0135D2E}" destId="{D361CE48-14ED-4663-BDBB-C55B81D1939A}" srcOrd="0" destOrd="0" presId="urn:microsoft.com/office/officeart/2005/8/layout/lProcess2"/>
    <dgm:cxn modelId="{9EF3E040-C812-47A7-B7E1-66B7BE7AD179}" type="presParOf" srcId="{DCE6F3B5-52A3-411B-87E4-3B83F0135D2E}" destId="{BF6F2E25-0603-4B65-95BB-302D7EB7581B}" srcOrd="1" destOrd="0" presId="urn:microsoft.com/office/officeart/2005/8/layout/lProcess2"/>
    <dgm:cxn modelId="{39672706-1F83-4AF7-8C4A-50096C86579E}" type="presParOf" srcId="{DCE6F3B5-52A3-411B-87E4-3B83F0135D2E}" destId="{39BBA05E-DE84-4FD4-B8C6-6D8B789DCD67}" srcOrd="2" destOrd="0" presId="urn:microsoft.com/office/officeart/2005/8/layout/lProcess2"/>
    <dgm:cxn modelId="{17A94609-C6F5-4E8B-A6A6-85B1E5FC5EBB}" type="presParOf" srcId="{39BBA05E-DE84-4FD4-B8C6-6D8B789DCD67}" destId="{AB325A86-B7F4-45DA-B33F-D6B6A6E80A18}" srcOrd="0" destOrd="0" presId="urn:microsoft.com/office/officeart/2005/8/layout/lProcess2"/>
    <dgm:cxn modelId="{C1D2D424-2E54-469F-BEC7-A2B87930378D}" type="presParOf" srcId="{AB325A86-B7F4-45DA-B33F-D6B6A6E80A18}" destId="{33628A07-A5B6-4076-BB33-17ADE1A6CBAE}" srcOrd="0" destOrd="0" presId="urn:microsoft.com/office/officeart/2005/8/layout/lProcess2"/>
    <dgm:cxn modelId="{15D2E47D-F6B3-43B2-9CC5-0C10D73C5EA3}" type="presParOf" srcId="{AB325A86-B7F4-45DA-B33F-D6B6A6E80A18}" destId="{6E44475D-FCFB-420C-93B4-B2E9176D8124}" srcOrd="1" destOrd="0" presId="urn:microsoft.com/office/officeart/2005/8/layout/lProcess2"/>
    <dgm:cxn modelId="{571B3210-4596-489D-AAE5-E23FCD0FA1BD}" type="presParOf" srcId="{AB325A86-B7F4-45DA-B33F-D6B6A6E80A18}" destId="{A2EAD9A4-C605-48C6-B15B-567D191EEA79}" srcOrd="2" destOrd="0" presId="urn:microsoft.com/office/officeart/2005/8/layout/lProcess2"/>
    <dgm:cxn modelId="{2AE2D71F-E711-4EE2-BF63-97517DADF23B}" type="presParOf" srcId="{0D4814F9-EB07-40C4-BD30-BCBD3638F4F3}" destId="{C27A88D0-B744-4505-BF51-24D860925915}" srcOrd="3" destOrd="0" presId="urn:microsoft.com/office/officeart/2005/8/layout/lProcess2"/>
    <dgm:cxn modelId="{2BD2DD79-869A-47F3-BADB-998D3946967A}" type="presParOf" srcId="{0D4814F9-EB07-40C4-BD30-BCBD3638F4F3}" destId="{1AE51B16-F7BB-41E2-B526-9656E6F64D09}" srcOrd="4" destOrd="0" presId="urn:microsoft.com/office/officeart/2005/8/layout/lProcess2"/>
    <dgm:cxn modelId="{BE50498B-A6B0-4312-94B9-CC2A3E940C80}" type="presParOf" srcId="{1AE51B16-F7BB-41E2-B526-9656E6F64D09}" destId="{2EF0E132-5ACA-4D9E-8816-BA2B55A4D47C}" srcOrd="0" destOrd="0" presId="urn:microsoft.com/office/officeart/2005/8/layout/lProcess2"/>
    <dgm:cxn modelId="{B69B4A3B-3E6F-4BE0-BD67-53A3B6775B8A}" type="presParOf" srcId="{1AE51B16-F7BB-41E2-B526-9656E6F64D09}" destId="{19163E46-2BB7-46D8-89F1-DD3EEDDD53A6}" srcOrd="1" destOrd="0" presId="urn:microsoft.com/office/officeart/2005/8/layout/lProcess2"/>
    <dgm:cxn modelId="{107BF574-A618-4B78-B29D-08316AD92817}" type="presParOf" srcId="{1AE51B16-F7BB-41E2-B526-9656E6F64D09}" destId="{4B6990E8-2827-4279-94C9-43B51A875236}" srcOrd="2" destOrd="0" presId="urn:microsoft.com/office/officeart/2005/8/layout/lProcess2"/>
    <dgm:cxn modelId="{D7930A03-5667-485F-ADE4-CC2EF022C6B1}" type="presParOf" srcId="{4B6990E8-2827-4279-94C9-43B51A875236}" destId="{A2DDE585-B06F-4888-BFF5-29D60CABCBA0}" srcOrd="0" destOrd="0" presId="urn:microsoft.com/office/officeart/2005/8/layout/lProcess2"/>
    <dgm:cxn modelId="{1D2C6FFA-3274-4C0E-904D-37AA41871A99}" type="presParOf" srcId="{A2DDE585-B06F-4888-BFF5-29D60CABCBA0}" destId="{20DCCC40-56C8-4388-BF15-ACE9D2196FD5}" srcOrd="0" destOrd="0" presId="urn:microsoft.com/office/officeart/2005/8/layout/lProcess2"/>
    <dgm:cxn modelId="{408F633C-FD94-4CDB-98A8-5C9805247454}" type="presParOf" srcId="{A2DDE585-B06F-4888-BFF5-29D60CABCBA0}" destId="{675063CC-2CB0-4947-883C-084D7CDEF09A}" srcOrd="1" destOrd="0" presId="urn:microsoft.com/office/officeart/2005/8/layout/lProcess2"/>
    <dgm:cxn modelId="{0578DED4-79DD-4871-AD57-8EA2708544A4}" type="presParOf" srcId="{A2DDE585-B06F-4888-BFF5-29D60CABCBA0}" destId="{2D877579-8EF1-442C-8C53-0246CAF9E7AD}" srcOrd="2" destOrd="0" presId="urn:microsoft.com/office/officeart/2005/8/layout/lProcess2"/>
    <dgm:cxn modelId="{4B9D46AC-ACD5-4E0E-BC8F-1779D77CAA07}" type="presParOf" srcId="{A2DDE585-B06F-4888-BFF5-29D60CABCBA0}" destId="{5A790171-1221-4573-8804-96F7837FD9AA}" srcOrd="3" destOrd="0" presId="urn:microsoft.com/office/officeart/2005/8/layout/lProcess2"/>
    <dgm:cxn modelId="{D0B63BE8-5E4E-45BF-AC02-A46DE14503EE}" type="presParOf" srcId="{A2DDE585-B06F-4888-BFF5-29D60CABCBA0}" destId="{6C7CE3F8-7057-492E-801B-4FC0AE7356EB}" srcOrd="4" destOrd="0" presId="urn:microsoft.com/office/officeart/2005/8/layout/lProcess2"/>
    <dgm:cxn modelId="{F2054368-B7A1-45F5-8C38-E0BFF8164CD0}" type="presParOf" srcId="{0D4814F9-EB07-40C4-BD30-BCBD3638F4F3}" destId="{ABD75ACC-3CC0-4C04-AA3C-CC02DBB1C2AD}" srcOrd="5" destOrd="0" presId="urn:microsoft.com/office/officeart/2005/8/layout/lProcess2"/>
    <dgm:cxn modelId="{26236C85-7E9E-4BA9-8FBA-0CC8C33EDB9C}" type="presParOf" srcId="{0D4814F9-EB07-40C4-BD30-BCBD3638F4F3}" destId="{50320C06-873E-4458-B45A-D990FC72794F}" srcOrd="6" destOrd="0" presId="urn:microsoft.com/office/officeart/2005/8/layout/lProcess2"/>
    <dgm:cxn modelId="{A7C54D78-258C-42A6-9850-2748ADA5A968}" type="presParOf" srcId="{50320C06-873E-4458-B45A-D990FC72794F}" destId="{67ED91EC-47EB-40B5-85E2-4ADD91959713}" srcOrd="0" destOrd="0" presId="urn:microsoft.com/office/officeart/2005/8/layout/lProcess2"/>
    <dgm:cxn modelId="{FE704E4D-A6FF-42E0-932C-89F2CD7C3D75}" type="presParOf" srcId="{50320C06-873E-4458-B45A-D990FC72794F}" destId="{6A0470DF-5AD8-4338-A9B4-59EE91F844C2}" srcOrd="1" destOrd="0" presId="urn:microsoft.com/office/officeart/2005/8/layout/lProcess2"/>
    <dgm:cxn modelId="{F94DC709-230B-4B23-A97B-3DB00C10A0A0}" type="presParOf" srcId="{50320C06-873E-4458-B45A-D990FC72794F}" destId="{DB589023-BFE7-4CCC-91A2-D0D2DAE99E53}" srcOrd="2" destOrd="0" presId="urn:microsoft.com/office/officeart/2005/8/layout/lProcess2"/>
    <dgm:cxn modelId="{8E4EC1BC-9C79-46AC-B1B0-024CE47E0839}" type="presParOf" srcId="{DB589023-BFE7-4CCC-91A2-D0D2DAE99E53}" destId="{7BF9E65A-74BE-4DB6-906B-A66492FDE155}" srcOrd="0" destOrd="0" presId="urn:microsoft.com/office/officeart/2005/8/layout/lProcess2"/>
    <dgm:cxn modelId="{354B71B3-7074-4453-83B2-F32C53939157}" type="presParOf" srcId="{7BF9E65A-74BE-4DB6-906B-A66492FDE155}" destId="{409BB36F-D274-41AB-B28D-CFC2CBE7F3DC}" srcOrd="0" destOrd="0" presId="urn:microsoft.com/office/officeart/2005/8/layout/lProcess2"/>
    <dgm:cxn modelId="{A3859444-C7F0-41ED-BE11-3D2A2EC52433}" type="presParOf" srcId="{7BF9E65A-74BE-4DB6-906B-A66492FDE155}" destId="{94DA2B2B-D3B2-474F-A7F8-5CCC8EBE3267}" srcOrd="1" destOrd="0" presId="urn:microsoft.com/office/officeart/2005/8/layout/lProcess2"/>
    <dgm:cxn modelId="{5E2EFA4B-A477-432D-B665-FA3827FBDD9E}" type="presParOf" srcId="{7BF9E65A-74BE-4DB6-906B-A66492FDE155}" destId="{F273AC49-0C86-4820-9E5B-E45E85965899}" srcOrd="2" destOrd="0" presId="urn:microsoft.com/office/officeart/2005/8/layout/lProcess2"/>
    <dgm:cxn modelId="{A9D2EF8F-9155-4EA4-B0B8-A68098A0B237}" type="presParOf" srcId="{7BF9E65A-74BE-4DB6-906B-A66492FDE155}" destId="{4991E5D7-8F40-47E2-906A-816551D6A886}" srcOrd="3" destOrd="0" presId="urn:microsoft.com/office/officeart/2005/8/layout/lProcess2"/>
    <dgm:cxn modelId="{0DBBED0E-5035-43BC-9BF3-3EE86775D61A}" type="presParOf" srcId="{7BF9E65A-74BE-4DB6-906B-A66492FDE155}" destId="{754FDF7C-9A9E-4E8C-BACD-62EC8565A9CB}" srcOrd="4" destOrd="0" presId="urn:microsoft.com/office/officeart/2005/8/layout/lProcess2"/>
    <dgm:cxn modelId="{42EF1A1B-DD5C-4E3A-AE47-A45BA223D018}" type="presParOf" srcId="{7BF9E65A-74BE-4DB6-906B-A66492FDE155}" destId="{60BF7EF1-EAD1-491C-88D6-F900ECB7F919}" srcOrd="5" destOrd="0" presId="urn:microsoft.com/office/officeart/2005/8/layout/lProcess2"/>
    <dgm:cxn modelId="{78BD8D45-3079-4F62-AC3B-5D9E89827FD4}" type="presParOf" srcId="{7BF9E65A-74BE-4DB6-906B-A66492FDE155}" destId="{BB066FE4-DF4D-4ED5-BA2B-5AD45FA82BB0}" srcOrd="6" destOrd="0" presId="urn:microsoft.com/office/officeart/2005/8/layout/lProcess2"/>
    <dgm:cxn modelId="{226CAC00-D6ED-4A2D-A48F-B0FC2766B4E1}" type="presParOf" srcId="{0D4814F9-EB07-40C4-BD30-BCBD3638F4F3}" destId="{DE50856E-33C3-443A-93B2-EA2F7BDC87E1}" srcOrd="7" destOrd="0" presId="urn:microsoft.com/office/officeart/2005/8/layout/lProcess2"/>
    <dgm:cxn modelId="{F5179F32-2EB2-4943-9BFF-B272081C33DD}" type="presParOf" srcId="{0D4814F9-EB07-40C4-BD30-BCBD3638F4F3}" destId="{FDA26003-B4E5-4DEC-A6A9-17CB31F7A0F4}" srcOrd="8" destOrd="0" presId="urn:microsoft.com/office/officeart/2005/8/layout/lProcess2"/>
    <dgm:cxn modelId="{9115870C-1006-4B8A-9090-3CEF36B66EF2}" type="presParOf" srcId="{FDA26003-B4E5-4DEC-A6A9-17CB31F7A0F4}" destId="{A4CA4FB9-7F38-42DB-9433-7EB0651A815F}" srcOrd="0" destOrd="0" presId="urn:microsoft.com/office/officeart/2005/8/layout/lProcess2"/>
    <dgm:cxn modelId="{32879EEE-7EC2-4F5B-AEDD-7519D2206166}" type="presParOf" srcId="{FDA26003-B4E5-4DEC-A6A9-17CB31F7A0F4}" destId="{C7A2E48F-7903-40C1-883E-92960BA8BC17}" srcOrd="1" destOrd="0" presId="urn:microsoft.com/office/officeart/2005/8/layout/lProcess2"/>
    <dgm:cxn modelId="{CBD1FE5F-DB6D-4955-8AFF-DC752D120E67}" type="presParOf" srcId="{FDA26003-B4E5-4DEC-A6A9-17CB31F7A0F4}" destId="{800C7B8B-E3C3-4B9C-9824-B44E1E1E071C}" srcOrd="2" destOrd="0" presId="urn:microsoft.com/office/officeart/2005/8/layout/lProcess2"/>
    <dgm:cxn modelId="{0143ECAF-53D1-434B-9CBB-ADE0B4ACA239}" type="presParOf" srcId="{800C7B8B-E3C3-4B9C-9824-B44E1E1E071C}" destId="{66054DAF-B410-4062-8C78-6828B89DA697}" srcOrd="0" destOrd="0" presId="urn:microsoft.com/office/officeart/2005/8/layout/lProcess2"/>
    <dgm:cxn modelId="{0A6DB658-83F7-4E1F-A1F7-F0ED57670F98}" type="presParOf" srcId="{66054DAF-B410-4062-8C78-6828B89DA697}" destId="{7B5EB3C8-A862-478B-B357-F3C3D8575111}" srcOrd="0" destOrd="0" presId="urn:microsoft.com/office/officeart/2005/8/layout/lProcess2"/>
    <dgm:cxn modelId="{80724E7A-4C94-45DB-A1A0-FEAB736DD8CF}" type="presParOf" srcId="{66054DAF-B410-4062-8C78-6828B89DA697}" destId="{6F8298A3-921A-48C8-8AB9-CE484924B95D}" srcOrd="1" destOrd="0" presId="urn:microsoft.com/office/officeart/2005/8/layout/lProcess2"/>
    <dgm:cxn modelId="{E95DAC6D-F4CD-490F-994A-6EA41EEF6EF7}" type="presParOf" srcId="{66054DAF-B410-4062-8C78-6828B89DA697}" destId="{9482F8E2-6974-4572-AEC0-5D988CD34FD9}" srcOrd="2" destOrd="0" presId="urn:microsoft.com/office/officeart/2005/8/layout/lProcess2"/>
    <dgm:cxn modelId="{3EA9818A-018C-4D8F-99F4-7844D326ACE7}" type="presParOf" srcId="{66054DAF-B410-4062-8C78-6828B89DA697}" destId="{2A7FBB20-5AF4-4AFE-AE0F-5E0D3475DCD9}" srcOrd="3" destOrd="0" presId="urn:microsoft.com/office/officeart/2005/8/layout/lProcess2"/>
    <dgm:cxn modelId="{51F0F2B8-41EB-4BBE-B863-8FE06609F746}" type="presParOf" srcId="{66054DAF-B410-4062-8C78-6828B89DA697}" destId="{85CC24D7-9307-473C-AF1D-48E33EEB79CA}" srcOrd="4" destOrd="0" presId="urn:microsoft.com/office/officeart/2005/8/layout/lProcess2"/>
    <dgm:cxn modelId="{DB584366-BF5B-445E-ACE3-3C87DD16748D}" type="presParOf" srcId="{66054DAF-B410-4062-8C78-6828B89DA697}" destId="{A0310F72-2314-46CD-84BA-4634BD346CD1}" srcOrd="5" destOrd="0" presId="urn:microsoft.com/office/officeart/2005/8/layout/lProcess2"/>
    <dgm:cxn modelId="{F2F3F296-3181-4DE2-BA9E-0C8EF25A0A73}" type="presParOf" srcId="{66054DAF-B410-4062-8C78-6828B89DA697}" destId="{6E19A995-EC1A-4EB1-B0AD-7DEC92B9998B}" srcOrd="6" destOrd="0" presId="urn:microsoft.com/office/officeart/2005/8/layout/lProcess2"/>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15BA243-6636-4322-B5FC-3774D46F134A}">
      <dsp:nvSpPr>
        <dsp:cNvPr id="0" name=""/>
        <dsp:cNvSpPr/>
      </dsp:nvSpPr>
      <dsp:spPr>
        <a:xfrm>
          <a:off x="3125" y="0"/>
          <a:ext cx="1096891"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nl-NL" sz="1800" kern="1200"/>
            <a:t>Tasks</a:t>
          </a:r>
        </a:p>
      </dsp:txBody>
      <dsp:txXfrm>
        <a:off x="3125" y="0"/>
        <a:ext cx="1096891" cy="960120"/>
      </dsp:txXfrm>
    </dsp:sp>
    <dsp:sp modelId="{E65BF1FE-71C4-4568-9633-D80E81905E12}">
      <dsp:nvSpPr>
        <dsp:cNvPr id="0" name=""/>
        <dsp:cNvSpPr/>
      </dsp:nvSpPr>
      <dsp:spPr>
        <a:xfrm>
          <a:off x="112814" y="960393"/>
          <a:ext cx="877512" cy="628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Monitoring</a:t>
          </a:r>
        </a:p>
      </dsp:txBody>
      <dsp:txXfrm>
        <a:off x="112814" y="960393"/>
        <a:ext cx="877512" cy="628750"/>
      </dsp:txXfrm>
    </dsp:sp>
    <dsp:sp modelId="{50A87134-32A6-47D0-9AC9-07EA12EB70FF}">
      <dsp:nvSpPr>
        <dsp:cNvPr id="0" name=""/>
        <dsp:cNvSpPr/>
      </dsp:nvSpPr>
      <dsp:spPr>
        <a:xfrm>
          <a:off x="112814" y="1685874"/>
          <a:ext cx="877512" cy="628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Governing</a:t>
          </a:r>
        </a:p>
      </dsp:txBody>
      <dsp:txXfrm>
        <a:off x="112814" y="1685874"/>
        <a:ext cx="877512" cy="628750"/>
      </dsp:txXfrm>
    </dsp:sp>
    <dsp:sp modelId="{B3BE07F6-65B5-48F5-BD47-8091CB8DFFE4}">
      <dsp:nvSpPr>
        <dsp:cNvPr id="0" name=""/>
        <dsp:cNvSpPr/>
      </dsp:nvSpPr>
      <dsp:spPr>
        <a:xfrm>
          <a:off x="112814" y="2411356"/>
          <a:ext cx="877512" cy="628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Daily</a:t>
          </a:r>
        </a:p>
        <a:p>
          <a:pPr lvl="0" algn="ctr" defTabSz="444500">
            <a:lnSpc>
              <a:spcPct val="90000"/>
            </a:lnSpc>
            <a:spcBef>
              <a:spcPct val="0"/>
            </a:spcBef>
            <a:spcAft>
              <a:spcPct val="35000"/>
            </a:spcAft>
          </a:pPr>
          <a:r>
            <a:rPr lang="nl-NL" sz="1000" kern="1200"/>
            <a:t>management</a:t>
          </a:r>
        </a:p>
      </dsp:txBody>
      <dsp:txXfrm>
        <a:off x="112814" y="2411356"/>
        <a:ext cx="877512" cy="628750"/>
      </dsp:txXfrm>
    </dsp:sp>
    <dsp:sp modelId="{D361CE48-14ED-4663-BDBB-C55B81D1939A}">
      <dsp:nvSpPr>
        <dsp:cNvPr id="0" name=""/>
        <dsp:cNvSpPr/>
      </dsp:nvSpPr>
      <dsp:spPr>
        <a:xfrm>
          <a:off x="1153380" y="0"/>
          <a:ext cx="1096891"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nl-NL" sz="1800" kern="1200"/>
            <a:t>Model 1</a:t>
          </a:r>
        </a:p>
      </dsp:txBody>
      <dsp:txXfrm>
        <a:off x="1153380" y="0"/>
        <a:ext cx="1096891" cy="960120"/>
      </dsp:txXfrm>
    </dsp:sp>
    <dsp:sp modelId="{33628A07-A5B6-4076-BB33-17ADE1A6CBAE}">
      <dsp:nvSpPr>
        <dsp:cNvPr id="0" name=""/>
        <dsp:cNvSpPr/>
      </dsp:nvSpPr>
      <dsp:spPr>
        <a:xfrm>
          <a:off x="1291972" y="960305"/>
          <a:ext cx="877512" cy="5943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General assembly</a:t>
          </a:r>
        </a:p>
      </dsp:txBody>
      <dsp:txXfrm>
        <a:off x="1291972" y="960305"/>
        <a:ext cx="877512" cy="594388"/>
      </dsp:txXfrm>
    </dsp:sp>
    <dsp:sp modelId="{A2EAD9A4-C605-48C6-B15B-567D191EEA79}">
      <dsp:nvSpPr>
        <dsp:cNvPr id="0" name=""/>
        <dsp:cNvSpPr/>
      </dsp:nvSpPr>
      <dsp:spPr>
        <a:xfrm>
          <a:off x="1291972" y="1733778"/>
          <a:ext cx="877512" cy="1306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Statutory </a:t>
          </a:r>
        </a:p>
        <a:p>
          <a:pPr lvl="0" algn="ctr" defTabSz="444500">
            <a:lnSpc>
              <a:spcPct val="90000"/>
            </a:lnSpc>
            <a:spcBef>
              <a:spcPct val="0"/>
            </a:spcBef>
            <a:spcAft>
              <a:spcPct val="35000"/>
            </a:spcAft>
          </a:pPr>
          <a:r>
            <a:rPr lang="nl-NL" sz="1000" kern="1200"/>
            <a:t>board</a:t>
          </a:r>
        </a:p>
      </dsp:txBody>
      <dsp:txXfrm>
        <a:off x="1291972" y="1733778"/>
        <a:ext cx="877512" cy="1306415"/>
      </dsp:txXfrm>
    </dsp:sp>
    <dsp:sp modelId="{2EF0E132-5ACA-4D9E-8816-BA2B55A4D47C}">
      <dsp:nvSpPr>
        <dsp:cNvPr id="0" name=""/>
        <dsp:cNvSpPr/>
      </dsp:nvSpPr>
      <dsp:spPr>
        <a:xfrm>
          <a:off x="2361441" y="0"/>
          <a:ext cx="1096891"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nl-NL" sz="1800" kern="1200"/>
            <a:t>Model 2</a:t>
          </a:r>
        </a:p>
      </dsp:txBody>
      <dsp:txXfrm>
        <a:off x="2361441" y="0"/>
        <a:ext cx="1096891" cy="960120"/>
      </dsp:txXfrm>
    </dsp:sp>
    <dsp:sp modelId="{20DCCC40-56C8-4388-BF15-ACE9D2196FD5}">
      <dsp:nvSpPr>
        <dsp:cNvPr id="0" name=""/>
        <dsp:cNvSpPr/>
      </dsp:nvSpPr>
      <dsp:spPr>
        <a:xfrm>
          <a:off x="2471131" y="960331"/>
          <a:ext cx="877512" cy="5749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General assembly</a:t>
          </a:r>
        </a:p>
      </dsp:txBody>
      <dsp:txXfrm>
        <a:off x="2471131" y="960331"/>
        <a:ext cx="877512" cy="574961"/>
      </dsp:txXfrm>
    </dsp:sp>
    <dsp:sp modelId="{2D877579-8EF1-442C-8C53-0246CAF9E7AD}">
      <dsp:nvSpPr>
        <dsp:cNvPr id="0" name=""/>
        <dsp:cNvSpPr/>
      </dsp:nvSpPr>
      <dsp:spPr>
        <a:xfrm>
          <a:off x="2471131" y="1635617"/>
          <a:ext cx="877512" cy="6521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Statutory </a:t>
          </a:r>
        </a:p>
        <a:p>
          <a:pPr lvl="0" algn="ctr" defTabSz="444500">
            <a:lnSpc>
              <a:spcPct val="90000"/>
            </a:lnSpc>
            <a:spcBef>
              <a:spcPct val="0"/>
            </a:spcBef>
            <a:spcAft>
              <a:spcPct val="35000"/>
            </a:spcAft>
          </a:pPr>
          <a:r>
            <a:rPr lang="nl-NL" sz="1000" kern="1200"/>
            <a:t>board</a:t>
          </a:r>
        </a:p>
      </dsp:txBody>
      <dsp:txXfrm>
        <a:off x="2471131" y="1635617"/>
        <a:ext cx="877512" cy="652112"/>
      </dsp:txXfrm>
    </dsp:sp>
    <dsp:sp modelId="{6C7CE3F8-7057-492E-801B-4FC0AE7356EB}">
      <dsp:nvSpPr>
        <dsp:cNvPr id="0" name=""/>
        <dsp:cNvSpPr/>
      </dsp:nvSpPr>
      <dsp:spPr>
        <a:xfrm>
          <a:off x="2471131" y="2388055"/>
          <a:ext cx="877512" cy="6521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Titulaire management</a:t>
          </a:r>
        </a:p>
      </dsp:txBody>
      <dsp:txXfrm>
        <a:off x="2471131" y="2388055"/>
        <a:ext cx="877512" cy="652112"/>
      </dsp:txXfrm>
    </dsp:sp>
    <dsp:sp modelId="{67ED91EC-47EB-40B5-85E2-4ADD91959713}">
      <dsp:nvSpPr>
        <dsp:cNvPr id="0" name=""/>
        <dsp:cNvSpPr/>
      </dsp:nvSpPr>
      <dsp:spPr>
        <a:xfrm>
          <a:off x="3540599" y="0"/>
          <a:ext cx="1096891"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nl-NL" sz="1800" kern="1200"/>
            <a:t>Model 3 </a:t>
          </a:r>
        </a:p>
      </dsp:txBody>
      <dsp:txXfrm>
        <a:off x="3540599" y="0"/>
        <a:ext cx="1096891" cy="960120"/>
      </dsp:txXfrm>
    </dsp:sp>
    <dsp:sp modelId="{409BB36F-D274-41AB-B28D-CFC2CBE7F3DC}">
      <dsp:nvSpPr>
        <dsp:cNvPr id="0" name=""/>
        <dsp:cNvSpPr/>
      </dsp:nvSpPr>
      <dsp:spPr>
        <a:xfrm>
          <a:off x="3650289" y="961038"/>
          <a:ext cx="877512" cy="2045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GA</a:t>
          </a:r>
        </a:p>
      </dsp:txBody>
      <dsp:txXfrm>
        <a:off x="3650289" y="961038"/>
        <a:ext cx="877512" cy="204599"/>
      </dsp:txXfrm>
    </dsp:sp>
    <dsp:sp modelId="{F273AC49-0C86-4820-9E5B-E45E85965899}">
      <dsp:nvSpPr>
        <dsp:cNvPr id="0" name=""/>
        <dsp:cNvSpPr/>
      </dsp:nvSpPr>
      <dsp:spPr>
        <a:xfrm>
          <a:off x="3650289" y="1264557"/>
          <a:ext cx="877512" cy="2911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ts val="0"/>
            </a:spcAft>
          </a:pPr>
          <a:r>
            <a:rPr lang="nl-NL" sz="1000" kern="1200"/>
            <a:t>Statutory </a:t>
          </a:r>
        </a:p>
        <a:p>
          <a:pPr lvl="0" algn="ctr" defTabSz="444500">
            <a:lnSpc>
              <a:spcPct val="90000"/>
            </a:lnSpc>
            <a:spcBef>
              <a:spcPct val="0"/>
            </a:spcBef>
            <a:spcAft>
              <a:spcPts val="0"/>
            </a:spcAft>
          </a:pPr>
          <a:r>
            <a:rPr lang="nl-NL" sz="1000" kern="1200"/>
            <a:t>board</a:t>
          </a:r>
        </a:p>
      </dsp:txBody>
      <dsp:txXfrm>
        <a:off x="3650289" y="1264557"/>
        <a:ext cx="877512" cy="291124"/>
      </dsp:txXfrm>
    </dsp:sp>
    <dsp:sp modelId="{754FDF7C-9A9E-4E8C-BACD-62EC8565A9CB}">
      <dsp:nvSpPr>
        <dsp:cNvPr id="0" name=""/>
        <dsp:cNvSpPr/>
      </dsp:nvSpPr>
      <dsp:spPr>
        <a:xfrm>
          <a:off x="3650289" y="1654600"/>
          <a:ext cx="877512" cy="6429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Titulaire management</a:t>
          </a:r>
        </a:p>
      </dsp:txBody>
      <dsp:txXfrm>
        <a:off x="3650289" y="1654600"/>
        <a:ext cx="877512" cy="642970"/>
      </dsp:txXfrm>
    </dsp:sp>
    <dsp:sp modelId="{BB066FE4-DF4D-4ED5-BA2B-5AD45FA82BB0}">
      <dsp:nvSpPr>
        <dsp:cNvPr id="0" name=""/>
        <dsp:cNvSpPr/>
      </dsp:nvSpPr>
      <dsp:spPr>
        <a:xfrm>
          <a:off x="3650289" y="2396490"/>
          <a:ext cx="877512" cy="6429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Managerial staff</a:t>
          </a:r>
        </a:p>
      </dsp:txBody>
      <dsp:txXfrm>
        <a:off x="3650289" y="2396490"/>
        <a:ext cx="877512" cy="642970"/>
      </dsp:txXfrm>
    </dsp:sp>
    <dsp:sp modelId="{A4CA4FB9-7F38-42DB-9433-7EB0651A815F}">
      <dsp:nvSpPr>
        <dsp:cNvPr id="0" name=""/>
        <dsp:cNvSpPr/>
      </dsp:nvSpPr>
      <dsp:spPr>
        <a:xfrm>
          <a:off x="4719757" y="0"/>
          <a:ext cx="1096891"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nl-NL" sz="1800" kern="1200"/>
            <a:t>Model 4</a:t>
          </a:r>
        </a:p>
      </dsp:txBody>
      <dsp:txXfrm>
        <a:off x="4719757" y="0"/>
        <a:ext cx="1096891" cy="960120"/>
      </dsp:txXfrm>
    </dsp:sp>
    <dsp:sp modelId="{7B5EB3C8-A862-478B-B357-F3C3D8575111}">
      <dsp:nvSpPr>
        <dsp:cNvPr id="0" name=""/>
        <dsp:cNvSpPr/>
      </dsp:nvSpPr>
      <dsp:spPr>
        <a:xfrm>
          <a:off x="4829447" y="960887"/>
          <a:ext cx="877512" cy="1878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GA</a:t>
          </a:r>
        </a:p>
      </dsp:txBody>
      <dsp:txXfrm>
        <a:off x="4829447" y="960887"/>
        <a:ext cx="877512" cy="187879"/>
      </dsp:txXfrm>
    </dsp:sp>
    <dsp:sp modelId="{9482F8E2-6974-4572-AEC0-5D988CD34FD9}">
      <dsp:nvSpPr>
        <dsp:cNvPr id="0" name=""/>
        <dsp:cNvSpPr/>
      </dsp:nvSpPr>
      <dsp:spPr>
        <a:xfrm>
          <a:off x="4829447" y="1251279"/>
          <a:ext cx="877512" cy="250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Supervisory board</a:t>
          </a:r>
        </a:p>
      </dsp:txBody>
      <dsp:txXfrm>
        <a:off x="4829447" y="1251279"/>
        <a:ext cx="877512" cy="250641"/>
      </dsp:txXfrm>
    </dsp:sp>
    <dsp:sp modelId="{85CC24D7-9307-473C-AF1D-48E33EEB79CA}">
      <dsp:nvSpPr>
        <dsp:cNvPr id="0" name=""/>
        <dsp:cNvSpPr/>
      </dsp:nvSpPr>
      <dsp:spPr>
        <a:xfrm>
          <a:off x="4829447" y="1604433"/>
          <a:ext cx="877512" cy="6663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Statutory </a:t>
          </a:r>
        </a:p>
        <a:p>
          <a:pPr lvl="0" algn="ctr" defTabSz="444500">
            <a:lnSpc>
              <a:spcPct val="90000"/>
            </a:lnSpc>
            <a:spcBef>
              <a:spcPct val="0"/>
            </a:spcBef>
            <a:spcAft>
              <a:spcPct val="35000"/>
            </a:spcAft>
          </a:pPr>
          <a:r>
            <a:rPr lang="nl-NL" sz="1000" kern="1200"/>
            <a:t>board</a:t>
          </a:r>
        </a:p>
      </dsp:txBody>
      <dsp:txXfrm>
        <a:off x="4829447" y="1604433"/>
        <a:ext cx="877512" cy="666333"/>
      </dsp:txXfrm>
    </dsp:sp>
    <dsp:sp modelId="{6E19A995-EC1A-4EB1-B0AD-7DEC92B9998B}">
      <dsp:nvSpPr>
        <dsp:cNvPr id="0" name=""/>
        <dsp:cNvSpPr/>
      </dsp:nvSpPr>
      <dsp:spPr>
        <a:xfrm>
          <a:off x="4829447" y="2373279"/>
          <a:ext cx="877512" cy="6663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nl-NL" sz="1000" kern="1200"/>
            <a:t>Managerial staff</a:t>
          </a:r>
        </a:p>
      </dsp:txBody>
      <dsp:txXfrm>
        <a:off x="4829447" y="2373279"/>
        <a:ext cx="877512" cy="66633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30708-A342-4F69-9A87-35461A29E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15255</Words>
  <Characters>83905</Characters>
  <Application>Microsoft Office Word</Application>
  <DocSecurity>4</DocSecurity>
  <Lines>699</Lines>
  <Paragraphs>197</Paragraphs>
  <ScaleCrop>false</ScaleCrop>
  <HeadingPairs>
    <vt:vector size="2" baseType="variant">
      <vt:variant>
        <vt:lpstr>Titel</vt:lpstr>
      </vt:variant>
      <vt:variant>
        <vt:i4>1</vt:i4>
      </vt:variant>
    </vt:vector>
  </HeadingPairs>
  <TitlesOfParts>
    <vt:vector size="1" baseType="lpstr">
      <vt:lpstr/>
    </vt:vector>
  </TitlesOfParts>
  <Company>Erasmus Universiteit Rotterdam</Company>
  <LinksUpToDate>false</LinksUpToDate>
  <CharactersWithSpaces>98963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dc:creator>
  <cp:lastModifiedBy>Trudy van Florestein-Schouten</cp:lastModifiedBy>
  <cp:revision>2</cp:revision>
  <dcterms:created xsi:type="dcterms:W3CDTF">2011-07-29T14:36:00Z</dcterms:created>
  <dcterms:modified xsi:type="dcterms:W3CDTF">2011-07-29T14:36:00Z</dcterms:modified>
</cp:coreProperties>
</file>