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205" w:rsidRPr="00655205" w:rsidRDefault="00655205" w:rsidP="00655205">
      <w:pPr>
        <w:pStyle w:val="NoSpacing"/>
        <w:rPr>
          <w:b/>
        </w:rPr>
      </w:pPr>
      <w:r w:rsidRPr="00655205">
        <w:rPr>
          <w:b/>
        </w:rPr>
        <w:t>ERASMUS UNIVERSITY ROTTERDAM</w:t>
      </w:r>
    </w:p>
    <w:p w:rsidR="00655205" w:rsidRPr="00655205" w:rsidRDefault="00655205" w:rsidP="00655205">
      <w:pPr>
        <w:pStyle w:val="NoSpacing"/>
        <w:rPr>
          <w:b/>
        </w:rPr>
      </w:pPr>
      <w:r w:rsidRPr="00655205">
        <w:rPr>
          <w:b/>
        </w:rPr>
        <w:t>ERASMUS SCHOOL OF ECONOMICS</w:t>
      </w:r>
    </w:p>
    <w:p w:rsidR="00655205" w:rsidRPr="00655205" w:rsidRDefault="00655205" w:rsidP="00655205">
      <w:pPr>
        <w:pStyle w:val="NoSpacing"/>
        <w:rPr>
          <w:b/>
        </w:rPr>
      </w:pPr>
      <w:proofErr w:type="spellStart"/>
      <w:r w:rsidRPr="00655205">
        <w:rPr>
          <w:b/>
        </w:rPr>
        <w:t>MSc</w:t>
      </w:r>
      <w:proofErr w:type="spellEnd"/>
      <w:r w:rsidRPr="00655205">
        <w:rPr>
          <w:b/>
        </w:rPr>
        <w:t xml:space="preserve"> Economics &amp; Business</w:t>
      </w:r>
    </w:p>
    <w:p w:rsidR="00655205" w:rsidRPr="00655205" w:rsidRDefault="00655205" w:rsidP="00655205">
      <w:pPr>
        <w:pStyle w:val="NoSpacing"/>
        <w:rPr>
          <w:b/>
        </w:rPr>
      </w:pPr>
      <w:r w:rsidRPr="00655205">
        <w:rPr>
          <w:b/>
        </w:rPr>
        <w:t xml:space="preserve">Master </w:t>
      </w:r>
      <w:proofErr w:type="spellStart"/>
      <w:r w:rsidRPr="00655205">
        <w:rPr>
          <w:b/>
        </w:rPr>
        <w:t>Specialisation</w:t>
      </w:r>
      <w:proofErr w:type="spellEnd"/>
      <w:r w:rsidRPr="00655205">
        <w:rPr>
          <w:b/>
        </w:rPr>
        <w:t xml:space="preserve"> Financial Economics</w:t>
      </w:r>
    </w:p>
    <w:p w:rsidR="00655205" w:rsidRDefault="00655205" w:rsidP="00655205"/>
    <w:p w:rsidR="00655205" w:rsidRDefault="00655205" w:rsidP="00655205"/>
    <w:p w:rsidR="00655205" w:rsidRDefault="00655205" w:rsidP="00655205"/>
    <w:p w:rsidR="00655205" w:rsidRPr="00655205" w:rsidRDefault="00655205" w:rsidP="00655205">
      <w:pPr>
        <w:jc w:val="center"/>
        <w:rPr>
          <w:sz w:val="40"/>
          <w:szCs w:val="40"/>
        </w:rPr>
      </w:pPr>
      <w:r w:rsidRPr="00655205">
        <w:rPr>
          <w:sz w:val="40"/>
          <w:szCs w:val="40"/>
        </w:rPr>
        <w:t xml:space="preserve">The Relationship </w:t>
      </w:r>
      <w:proofErr w:type="gramStart"/>
      <w:r w:rsidRPr="00655205">
        <w:rPr>
          <w:sz w:val="40"/>
          <w:szCs w:val="40"/>
        </w:rPr>
        <w:t>Between</w:t>
      </w:r>
      <w:proofErr w:type="gramEnd"/>
      <w:r w:rsidRPr="00655205">
        <w:rPr>
          <w:sz w:val="40"/>
          <w:szCs w:val="40"/>
        </w:rPr>
        <w:t xml:space="preserve"> Stock Prices and Exchange Rates in Europe and the US</w:t>
      </w:r>
    </w:p>
    <w:p w:rsidR="00655205" w:rsidRDefault="00655205" w:rsidP="00655205">
      <w:pPr>
        <w:jc w:val="center"/>
      </w:pPr>
      <w:r>
        <w:t>A research to their long and short term interactions, extended with sector indices</w:t>
      </w:r>
    </w:p>
    <w:p w:rsidR="00655205" w:rsidRDefault="00655205" w:rsidP="004B1928">
      <w:pPr>
        <w:pStyle w:val="NoSpacing"/>
        <w:rPr>
          <w:b/>
        </w:rPr>
      </w:pPr>
    </w:p>
    <w:p w:rsidR="00655205" w:rsidRDefault="00655205" w:rsidP="004B1928">
      <w:pPr>
        <w:pStyle w:val="NoSpacing"/>
        <w:rPr>
          <w:b/>
        </w:rPr>
      </w:pPr>
    </w:p>
    <w:p w:rsidR="00655205" w:rsidRDefault="00655205" w:rsidP="004B1928">
      <w:pPr>
        <w:pStyle w:val="NoSpacing"/>
        <w:rPr>
          <w:b/>
        </w:rPr>
      </w:pPr>
    </w:p>
    <w:p w:rsidR="00655205" w:rsidRDefault="00655205" w:rsidP="004B1928">
      <w:pPr>
        <w:pStyle w:val="NoSpacing"/>
        <w:rPr>
          <w:b/>
        </w:rPr>
      </w:pPr>
    </w:p>
    <w:p w:rsidR="00655205" w:rsidRDefault="00655205" w:rsidP="004B1928">
      <w:pPr>
        <w:pStyle w:val="NoSpacing"/>
        <w:rPr>
          <w:b/>
        </w:rPr>
      </w:pPr>
    </w:p>
    <w:p w:rsidR="00655205" w:rsidRDefault="00655205" w:rsidP="004B1928">
      <w:pPr>
        <w:pStyle w:val="NoSpacing"/>
        <w:rPr>
          <w:b/>
        </w:rPr>
      </w:pPr>
    </w:p>
    <w:p w:rsidR="00655205" w:rsidRDefault="00655205" w:rsidP="004B1928">
      <w:pPr>
        <w:pStyle w:val="NoSpacing"/>
        <w:rPr>
          <w:b/>
        </w:rPr>
      </w:pPr>
    </w:p>
    <w:p w:rsidR="00655205" w:rsidRDefault="00655205" w:rsidP="004B1928">
      <w:pPr>
        <w:pStyle w:val="NoSpacing"/>
        <w:rPr>
          <w:b/>
        </w:rPr>
      </w:pPr>
    </w:p>
    <w:p w:rsidR="00655205" w:rsidRDefault="00655205" w:rsidP="004B1928">
      <w:pPr>
        <w:pStyle w:val="NoSpacing"/>
        <w:rPr>
          <w:b/>
        </w:rPr>
      </w:pPr>
    </w:p>
    <w:p w:rsidR="00655205" w:rsidRDefault="00655205" w:rsidP="004B1928">
      <w:pPr>
        <w:pStyle w:val="NoSpacing"/>
        <w:rPr>
          <w:b/>
        </w:rPr>
      </w:pPr>
    </w:p>
    <w:p w:rsidR="00655205" w:rsidRDefault="00655205" w:rsidP="004B1928">
      <w:pPr>
        <w:pStyle w:val="NoSpacing"/>
        <w:rPr>
          <w:b/>
        </w:rPr>
      </w:pPr>
    </w:p>
    <w:p w:rsidR="00655205" w:rsidRDefault="00655205" w:rsidP="004B1928">
      <w:pPr>
        <w:pStyle w:val="NoSpacing"/>
        <w:rPr>
          <w:b/>
        </w:rPr>
      </w:pPr>
    </w:p>
    <w:p w:rsidR="00655205" w:rsidRDefault="00655205" w:rsidP="004B1928">
      <w:pPr>
        <w:pStyle w:val="NoSpacing"/>
        <w:rPr>
          <w:b/>
        </w:rPr>
      </w:pPr>
    </w:p>
    <w:p w:rsidR="00655205" w:rsidRDefault="00655205" w:rsidP="004B1928">
      <w:pPr>
        <w:pStyle w:val="NoSpacing"/>
        <w:rPr>
          <w:b/>
        </w:rPr>
      </w:pPr>
    </w:p>
    <w:p w:rsidR="00655205" w:rsidRDefault="00655205" w:rsidP="004B1928">
      <w:pPr>
        <w:pStyle w:val="NoSpacing"/>
        <w:rPr>
          <w:b/>
        </w:rPr>
      </w:pPr>
    </w:p>
    <w:p w:rsidR="00655205" w:rsidRDefault="00655205" w:rsidP="004B1928">
      <w:pPr>
        <w:pStyle w:val="NoSpacing"/>
        <w:rPr>
          <w:b/>
        </w:rPr>
      </w:pPr>
    </w:p>
    <w:p w:rsidR="00655205" w:rsidRDefault="00655205" w:rsidP="004B1928">
      <w:pPr>
        <w:pStyle w:val="NoSpacing"/>
        <w:rPr>
          <w:b/>
        </w:rPr>
      </w:pPr>
    </w:p>
    <w:p w:rsidR="00655205" w:rsidRDefault="00655205" w:rsidP="004B1928">
      <w:pPr>
        <w:pStyle w:val="NoSpacing"/>
        <w:rPr>
          <w:b/>
        </w:rPr>
      </w:pPr>
    </w:p>
    <w:p w:rsidR="00655205" w:rsidRDefault="00655205" w:rsidP="004B1928">
      <w:pPr>
        <w:pStyle w:val="NoSpacing"/>
        <w:rPr>
          <w:b/>
        </w:rPr>
      </w:pPr>
    </w:p>
    <w:p w:rsidR="00655205" w:rsidRDefault="00655205" w:rsidP="004B1928">
      <w:pPr>
        <w:pStyle w:val="NoSpacing"/>
        <w:rPr>
          <w:b/>
        </w:rPr>
      </w:pPr>
    </w:p>
    <w:p w:rsidR="00655205" w:rsidRDefault="00655205" w:rsidP="004B1928">
      <w:pPr>
        <w:pStyle w:val="NoSpacing"/>
        <w:rPr>
          <w:b/>
        </w:rPr>
      </w:pPr>
    </w:p>
    <w:p w:rsidR="00655205" w:rsidRDefault="00655205" w:rsidP="004B1928">
      <w:pPr>
        <w:pStyle w:val="NoSpacing"/>
        <w:rPr>
          <w:b/>
        </w:rPr>
      </w:pPr>
    </w:p>
    <w:p w:rsidR="00FA575A" w:rsidRDefault="00FA575A" w:rsidP="004B1928">
      <w:pPr>
        <w:pStyle w:val="NoSpacing"/>
        <w:rPr>
          <w:b/>
        </w:rPr>
      </w:pPr>
    </w:p>
    <w:p w:rsidR="00FA575A" w:rsidRDefault="00FA575A" w:rsidP="004B1928">
      <w:pPr>
        <w:pStyle w:val="NoSpacing"/>
        <w:rPr>
          <w:b/>
        </w:rPr>
      </w:pPr>
    </w:p>
    <w:p w:rsidR="00FA575A" w:rsidRDefault="00FA575A" w:rsidP="004B1928">
      <w:pPr>
        <w:pStyle w:val="NoSpacing"/>
        <w:rPr>
          <w:b/>
        </w:rPr>
      </w:pPr>
    </w:p>
    <w:p w:rsidR="00FA575A" w:rsidRDefault="00FA575A" w:rsidP="004B1928">
      <w:pPr>
        <w:pStyle w:val="NoSpacing"/>
        <w:rPr>
          <w:b/>
        </w:rPr>
      </w:pPr>
    </w:p>
    <w:p w:rsidR="00655205" w:rsidRDefault="00655205" w:rsidP="004B1928">
      <w:pPr>
        <w:pStyle w:val="NoSpacing"/>
        <w:rPr>
          <w:b/>
        </w:rPr>
      </w:pPr>
    </w:p>
    <w:p w:rsidR="00655205" w:rsidRDefault="00655205" w:rsidP="004B1928">
      <w:pPr>
        <w:pStyle w:val="NoSpacing"/>
        <w:rPr>
          <w:b/>
        </w:rPr>
      </w:pPr>
    </w:p>
    <w:p w:rsidR="00655205" w:rsidRDefault="00655205" w:rsidP="004B1928">
      <w:pPr>
        <w:pStyle w:val="NoSpacing"/>
        <w:rPr>
          <w:b/>
        </w:rPr>
      </w:pPr>
    </w:p>
    <w:p w:rsidR="00FA575A" w:rsidRPr="00CD606C" w:rsidRDefault="00FA575A" w:rsidP="00FA575A">
      <w:pPr>
        <w:pStyle w:val="NoSpacing"/>
        <w:rPr>
          <w:b/>
        </w:rPr>
      </w:pPr>
      <w:r w:rsidRPr="00CD606C">
        <w:rPr>
          <w:b/>
        </w:rPr>
        <w:t xml:space="preserve">Author: </w:t>
      </w:r>
      <w:r w:rsidRPr="00CD606C">
        <w:rPr>
          <w:b/>
        </w:rPr>
        <w:tab/>
      </w:r>
      <w:r w:rsidRPr="00CD606C">
        <w:rPr>
          <w:b/>
        </w:rPr>
        <w:tab/>
        <w:t>S. de Boer</w:t>
      </w:r>
    </w:p>
    <w:p w:rsidR="00FA575A" w:rsidRPr="00CD606C" w:rsidRDefault="00FA575A" w:rsidP="00FA575A">
      <w:pPr>
        <w:pStyle w:val="NoSpacing"/>
        <w:rPr>
          <w:b/>
        </w:rPr>
      </w:pPr>
      <w:r w:rsidRPr="00CD606C">
        <w:rPr>
          <w:b/>
        </w:rPr>
        <w:t>Student number:</w:t>
      </w:r>
      <w:r w:rsidRPr="00CD606C">
        <w:rPr>
          <w:b/>
        </w:rPr>
        <w:tab/>
        <w:t>337017</w:t>
      </w:r>
    </w:p>
    <w:p w:rsidR="00FA575A" w:rsidRPr="00FA575A" w:rsidRDefault="00FA575A" w:rsidP="00FA575A">
      <w:pPr>
        <w:pStyle w:val="NoSpacing"/>
        <w:rPr>
          <w:b/>
        </w:rPr>
      </w:pPr>
      <w:r w:rsidRPr="00FA575A">
        <w:rPr>
          <w:b/>
        </w:rPr>
        <w:t xml:space="preserve">Thesis supervisor: </w:t>
      </w:r>
      <w:r w:rsidRPr="00FA575A">
        <w:rPr>
          <w:b/>
        </w:rPr>
        <w:tab/>
        <w:t>Dr. A.P. Markiewicz</w:t>
      </w:r>
    </w:p>
    <w:p w:rsidR="00FA575A" w:rsidRPr="00FA575A" w:rsidRDefault="00FA575A" w:rsidP="00FA575A">
      <w:pPr>
        <w:pStyle w:val="NoSpacing"/>
        <w:rPr>
          <w:b/>
        </w:rPr>
      </w:pPr>
      <w:r w:rsidRPr="00FA575A">
        <w:rPr>
          <w:b/>
        </w:rPr>
        <w:t xml:space="preserve">Finish date:  </w:t>
      </w:r>
      <w:r w:rsidRPr="00FA575A">
        <w:rPr>
          <w:b/>
        </w:rPr>
        <w:tab/>
      </w:r>
      <w:r w:rsidRPr="00FA575A">
        <w:rPr>
          <w:b/>
        </w:rPr>
        <w:tab/>
        <w:t>August</w:t>
      </w:r>
    </w:p>
    <w:p w:rsidR="00655205" w:rsidRDefault="00655205" w:rsidP="004B1928">
      <w:pPr>
        <w:pStyle w:val="NoSpacing"/>
        <w:rPr>
          <w:b/>
        </w:rPr>
      </w:pPr>
    </w:p>
    <w:p w:rsidR="00655205" w:rsidRDefault="00655205" w:rsidP="004B1928">
      <w:pPr>
        <w:pStyle w:val="NoSpacing"/>
        <w:rPr>
          <w:b/>
        </w:rPr>
      </w:pPr>
    </w:p>
    <w:p w:rsidR="00FA575A" w:rsidRPr="00916511" w:rsidRDefault="00916511" w:rsidP="00916511">
      <w:pPr>
        <w:pStyle w:val="Heading1"/>
      </w:pPr>
      <w:bookmarkStart w:id="0" w:name="_Toc300320226"/>
      <w:r w:rsidRPr="00916511">
        <w:lastRenderedPageBreak/>
        <w:t>Preface and acknowledgements</w:t>
      </w:r>
      <w:bookmarkEnd w:id="0"/>
      <w:r w:rsidRPr="00916511">
        <w:t xml:space="preserve"> </w:t>
      </w:r>
    </w:p>
    <w:p w:rsidR="00177860" w:rsidRDefault="00177860" w:rsidP="00177860">
      <w:pPr>
        <w:pStyle w:val="NoSpacing"/>
      </w:pPr>
    </w:p>
    <w:p w:rsidR="00177860" w:rsidRPr="006100E2" w:rsidRDefault="00177860" w:rsidP="00177860">
      <w:pPr>
        <w:pStyle w:val="NoSpacing"/>
      </w:pPr>
      <w:r>
        <w:t>This paper indicates the end of my period on the Erasmus University Rotterdam. It was a chal</w:t>
      </w:r>
      <w:r w:rsidR="00916511">
        <w:t xml:space="preserve">lenge to write it, but in the end I can say that I am proud of the results. I want to thank everybody who helped and supported me during the time that I dedicated to this thesis. </w:t>
      </w:r>
    </w:p>
    <w:p w:rsidR="00FA575A" w:rsidRDefault="00FA575A" w:rsidP="00FA575A"/>
    <w:p w:rsidR="00655205" w:rsidRDefault="00655205" w:rsidP="004B1928">
      <w:pPr>
        <w:pStyle w:val="NoSpacing"/>
        <w:rPr>
          <w:b/>
        </w:rPr>
      </w:pPr>
    </w:p>
    <w:p w:rsidR="00655205" w:rsidRDefault="00655205" w:rsidP="004B1928">
      <w:pPr>
        <w:pStyle w:val="NoSpacing"/>
        <w:rPr>
          <w:b/>
        </w:rPr>
      </w:pPr>
    </w:p>
    <w:p w:rsidR="00655205" w:rsidRDefault="00655205" w:rsidP="004B1928">
      <w:pPr>
        <w:pStyle w:val="NoSpacing"/>
        <w:rPr>
          <w:b/>
        </w:rPr>
      </w:pPr>
    </w:p>
    <w:p w:rsidR="00655205" w:rsidRDefault="00655205" w:rsidP="004B1928">
      <w:pPr>
        <w:pStyle w:val="NoSpacing"/>
        <w:rPr>
          <w:b/>
        </w:rPr>
      </w:pPr>
    </w:p>
    <w:p w:rsidR="00655205" w:rsidRDefault="00655205" w:rsidP="004B1928">
      <w:pPr>
        <w:pStyle w:val="NoSpacing"/>
        <w:rPr>
          <w:b/>
        </w:rPr>
      </w:pPr>
    </w:p>
    <w:p w:rsidR="00655205" w:rsidRDefault="00655205" w:rsidP="004B1928">
      <w:pPr>
        <w:pStyle w:val="NoSpacing"/>
        <w:rPr>
          <w:b/>
        </w:rPr>
      </w:pPr>
    </w:p>
    <w:p w:rsidR="00655205" w:rsidRDefault="00655205" w:rsidP="004B1928">
      <w:pPr>
        <w:pStyle w:val="NoSpacing"/>
        <w:rPr>
          <w:b/>
        </w:rPr>
      </w:pPr>
    </w:p>
    <w:p w:rsidR="00655205" w:rsidRDefault="00655205" w:rsidP="004B1928">
      <w:pPr>
        <w:pStyle w:val="NoSpacing"/>
        <w:rPr>
          <w:b/>
        </w:rPr>
      </w:pPr>
    </w:p>
    <w:p w:rsidR="00655205" w:rsidRDefault="00655205" w:rsidP="004B1928">
      <w:pPr>
        <w:pStyle w:val="NoSpacing"/>
        <w:rPr>
          <w:b/>
        </w:rPr>
      </w:pPr>
    </w:p>
    <w:p w:rsidR="00655205" w:rsidRDefault="00655205" w:rsidP="004B1928">
      <w:pPr>
        <w:pStyle w:val="NoSpacing"/>
        <w:rPr>
          <w:b/>
        </w:rPr>
      </w:pPr>
    </w:p>
    <w:p w:rsidR="00655205" w:rsidRDefault="00655205" w:rsidP="004B1928">
      <w:pPr>
        <w:pStyle w:val="NoSpacing"/>
        <w:rPr>
          <w:b/>
        </w:rPr>
      </w:pPr>
    </w:p>
    <w:p w:rsidR="00655205" w:rsidRDefault="00655205" w:rsidP="004B1928">
      <w:pPr>
        <w:pStyle w:val="NoSpacing"/>
        <w:rPr>
          <w:b/>
        </w:rPr>
      </w:pPr>
    </w:p>
    <w:p w:rsidR="00655205" w:rsidRDefault="00655205" w:rsidP="004B1928">
      <w:pPr>
        <w:pStyle w:val="NoSpacing"/>
        <w:rPr>
          <w:b/>
        </w:rPr>
      </w:pPr>
    </w:p>
    <w:p w:rsidR="00655205" w:rsidRDefault="00655205" w:rsidP="004B1928">
      <w:pPr>
        <w:pStyle w:val="NoSpacing"/>
        <w:rPr>
          <w:b/>
        </w:rPr>
      </w:pPr>
    </w:p>
    <w:p w:rsidR="00655205" w:rsidRDefault="00655205" w:rsidP="004B1928">
      <w:pPr>
        <w:pStyle w:val="NoSpacing"/>
        <w:rPr>
          <w:b/>
        </w:rPr>
      </w:pPr>
    </w:p>
    <w:p w:rsidR="00655205" w:rsidRDefault="00655205" w:rsidP="004B1928">
      <w:pPr>
        <w:pStyle w:val="NoSpacing"/>
        <w:rPr>
          <w:b/>
        </w:rPr>
      </w:pPr>
    </w:p>
    <w:p w:rsidR="00655205" w:rsidRDefault="00655205" w:rsidP="004B1928">
      <w:pPr>
        <w:pStyle w:val="NoSpacing"/>
        <w:rPr>
          <w:b/>
        </w:rPr>
      </w:pPr>
    </w:p>
    <w:p w:rsidR="00655205" w:rsidRDefault="00655205" w:rsidP="004B1928">
      <w:pPr>
        <w:pStyle w:val="NoSpacing"/>
        <w:rPr>
          <w:b/>
        </w:rPr>
      </w:pPr>
    </w:p>
    <w:p w:rsidR="00655205" w:rsidRDefault="00655205" w:rsidP="004B1928">
      <w:pPr>
        <w:pStyle w:val="NoSpacing"/>
        <w:rPr>
          <w:b/>
        </w:rPr>
      </w:pPr>
    </w:p>
    <w:p w:rsidR="00FA575A" w:rsidRDefault="00FA575A" w:rsidP="004B1928">
      <w:pPr>
        <w:pStyle w:val="NoSpacing"/>
        <w:rPr>
          <w:b/>
        </w:rPr>
      </w:pPr>
    </w:p>
    <w:p w:rsidR="00916511" w:rsidRDefault="00916511" w:rsidP="004B1928">
      <w:pPr>
        <w:pStyle w:val="NoSpacing"/>
        <w:rPr>
          <w:b/>
        </w:rPr>
      </w:pPr>
    </w:p>
    <w:p w:rsidR="00916511" w:rsidRDefault="00916511" w:rsidP="004B1928">
      <w:pPr>
        <w:pStyle w:val="NoSpacing"/>
        <w:rPr>
          <w:b/>
        </w:rPr>
      </w:pPr>
    </w:p>
    <w:p w:rsidR="00916511" w:rsidRDefault="00916511" w:rsidP="004B1928">
      <w:pPr>
        <w:pStyle w:val="NoSpacing"/>
        <w:rPr>
          <w:b/>
        </w:rPr>
      </w:pPr>
    </w:p>
    <w:p w:rsidR="00916511" w:rsidRDefault="00916511" w:rsidP="004B1928">
      <w:pPr>
        <w:pStyle w:val="NoSpacing"/>
        <w:rPr>
          <w:b/>
        </w:rPr>
      </w:pPr>
    </w:p>
    <w:p w:rsidR="00916511" w:rsidRDefault="00916511" w:rsidP="004B1928">
      <w:pPr>
        <w:pStyle w:val="NoSpacing"/>
        <w:rPr>
          <w:b/>
        </w:rPr>
      </w:pPr>
    </w:p>
    <w:p w:rsidR="00FA575A" w:rsidRDefault="00FA575A" w:rsidP="004B1928">
      <w:pPr>
        <w:pStyle w:val="NoSpacing"/>
        <w:rPr>
          <w:b/>
        </w:rPr>
      </w:pPr>
    </w:p>
    <w:p w:rsidR="00FA575A" w:rsidRDefault="00FA575A" w:rsidP="004B1928">
      <w:pPr>
        <w:pStyle w:val="NoSpacing"/>
        <w:rPr>
          <w:b/>
        </w:rPr>
      </w:pPr>
    </w:p>
    <w:p w:rsidR="00FA575A" w:rsidRDefault="00FA575A" w:rsidP="004B1928">
      <w:pPr>
        <w:pStyle w:val="NoSpacing"/>
        <w:rPr>
          <w:b/>
        </w:rPr>
      </w:pPr>
    </w:p>
    <w:p w:rsidR="00FA575A" w:rsidRDefault="00E44EA8" w:rsidP="004B1928">
      <w:pPr>
        <w:pStyle w:val="NoSpacing"/>
        <w:rPr>
          <w:b/>
        </w:rPr>
      </w:pPr>
      <w:r w:rsidRPr="00E44EA8">
        <w:pict>
          <v:shapetype id="_x0000_t202" coordsize="21600,21600" o:spt="202" path="m,l,21600r21600,l21600,xe">
            <v:stroke joinstyle="miter"/>
            <v:path gradientshapeok="t" o:connecttype="rect"/>
          </v:shapetype>
          <v:shape id="_x0000_s1026" type="#_x0000_t202" style="width:476.6pt;height:167.05pt;mso-left-percent:-10001;mso-top-percent:-10001;mso-position-horizontal:absolute;mso-position-horizontal-relative:char;mso-position-vertical:absolute;mso-position-vertical-relative:line;mso-left-percent:-10001;mso-top-percent:-10001">
            <v:textbox style="mso-next-textbox:#_x0000_s1026">
              <w:txbxContent>
                <w:p w:rsidR="00CD606C" w:rsidRPr="00A76472" w:rsidRDefault="00CD606C" w:rsidP="00FA575A">
                  <w:pPr>
                    <w:rPr>
                      <w:sz w:val="20"/>
                      <w:szCs w:val="20"/>
                    </w:rPr>
                  </w:pPr>
                  <w:r w:rsidRPr="00A76472">
                    <w:rPr>
                      <w:sz w:val="20"/>
                      <w:szCs w:val="20"/>
                    </w:rPr>
                    <w:t>NON-PLAGIARISM STATEMENT</w:t>
                  </w:r>
                </w:p>
                <w:p w:rsidR="00CD606C" w:rsidRPr="00A76472" w:rsidRDefault="00CD606C" w:rsidP="00FA575A">
                  <w:pPr>
                    <w:rPr>
                      <w:sz w:val="20"/>
                      <w:szCs w:val="20"/>
                    </w:rPr>
                  </w:pPr>
                  <w:r w:rsidRPr="00A76472">
                    <w:rPr>
                      <w:sz w:val="20"/>
                      <w:szCs w:val="20"/>
                    </w:rPr>
                    <w:t>By submitting this thesis the author declares to have written this thesis completely by himself/herself, and not to have used sources or resources other than the ones mentioned.</w:t>
                  </w:r>
                  <w:r>
                    <w:rPr>
                      <w:sz w:val="20"/>
                      <w:szCs w:val="20"/>
                    </w:rPr>
                    <w:t xml:space="preserve"> </w:t>
                  </w:r>
                  <w:r w:rsidRPr="00A76472">
                    <w:rPr>
                      <w:sz w:val="20"/>
                      <w:szCs w:val="20"/>
                    </w:rPr>
                    <w:t>All sources used, quotes and citations that were literally taken from publications, or that were in close accordance with the meaning of those publications, are indicated as such.</w:t>
                  </w:r>
                </w:p>
                <w:p w:rsidR="00CD606C" w:rsidRPr="00A76472" w:rsidRDefault="00CD606C" w:rsidP="00FA575A">
                  <w:pPr>
                    <w:rPr>
                      <w:sz w:val="20"/>
                      <w:szCs w:val="20"/>
                    </w:rPr>
                  </w:pPr>
                </w:p>
                <w:p w:rsidR="00CD606C" w:rsidRDefault="00CD606C" w:rsidP="00FA575A">
                  <w:pPr>
                    <w:rPr>
                      <w:sz w:val="20"/>
                      <w:szCs w:val="20"/>
                    </w:rPr>
                  </w:pPr>
                  <w:r w:rsidRPr="00A76472">
                    <w:rPr>
                      <w:sz w:val="20"/>
                      <w:szCs w:val="20"/>
                    </w:rPr>
                    <w:t>COPYRIGHT STATEMENT</w:t>
                  </w:r>
                  <w:r w:rsidRPr="00A76472">
                    <w:rPr>
                      <w:sz w:val="20"/>
                      <w:szCs w:val="20"/>
                    </w:rPr>
                    <w:br/>
                    <w:t>The author has copyright of this thesis, but also acknowledges the intellectual copyright of contributions made by the thesis supervisor, which may include important research ideas and data.</w:t>
                  </w:r>
                  <w:r>
                    <w:rPr>
                      <w:sz w:val="20"/>
                      <w:szCs w:val="20"/>
                    </w:rPr>
                    <w:t xml:space="preserve"> Author and thesis supervisor will have made clear agreements about issues such as confidentiality.</w:t>
                  </w:r>
                </w:p>
                <w:p w:rsidR="00CD606C" w:rsidRDefault="00CD606C" w:rsidP="00FA575A">
                  <w:pPr>
                    <w:rPr>
                      <w:sz w:val="20"/>
                      <w:szCs w:val="20"/>
                    </w:rPr>
                  </w:pPr>
                </w:p>
                <w:p w:rsidR="00CD606C" w:rsidRPr="00A76472" w:rsidRDefault="00CD606C" w:rsidP="00FA575A">
                  <w:pPr>
                    <w:rPr>
                      <w:sz w:val="20"/>
                      <w:szCs w:val="20"/>
                    </w:rPr>
                  </w:pPr>
                  <w:r w:rsidRPr="00A76472">
                    <w:rPr>
                      <w:sz w:val="20"/>
                      <w:szCs w:val="20"/>
                    </w:rPr>
                    <w:t>Electronic versions of the thesis are in principle available for inclusion in any EUR thesis</w:t>
                  </w:r>
                  <w:r>
                    <w:rPr>
                      <w:sz w:val="20"/>
                      <w:szCs w:val="20"/>
                    </w:rPr>
                    <w:t xml:space="preserve"> database and</w:t>
                  </w:r>
                  <w:r w:rsidRPr="00A76472">
                    <w:rPr>
                      <w:sz w:val="20"/>
                      <w:szCs w:val="20"/>
                    </w:rPr>
                    <w:t xml:space="preserve"> repository, such as the Master Thesis Repository of the Erasmus University Rotterdam</w:t>
                  </w:r>
                </w:p>
              </w:txbxContent>
            </v:textbox>
            <w10:wrap type="none"/>
            <w10:anchorlock/>
          </v:shape>
        </w:pict>
      </w:r>
    </w:p>
    <w:p w:rsidR="00FA575A" w:rsidRDefault="00FA575A" w:rsidP="004B1928">
      <w:pPr>
        <w:pStyle w:val="NoSpacing"/>
        <w:rPr>
          <w:b/>
        </w:rPr>
      </w:pPr>
    </w:p>
    <w:p w:rsidR="00906BE1" w:rsidRDefault="00906BE1" w:rsidP="004B1928">
      <w:pPr>
        <w:pStyle w:val="NoSpacing"/>
        <w:rPr>
          <w:b/>
        </w:rPr>
      </w:pPr>
    </w:p>
    <w:p w:rsidR="00906BE1" w:rsidRDefault="00906BE1" w:rsidP="004B1928">
      <w:pPr>
        <w:pStyle w:val="NoSpacing"/>
        <w:rPr>
          <w:b/>
        </w:rPr>
      </w:pPr>
    </w:p>
    <w:p w:rsidR="00906BE1" w:rsidRDefault="00906BE1" w:rsidP="004B1928">
      <w:pPr>
        <w:pStyle w:val="NoSpacing"/>
        <w:rPr>
          <w:b/>
        </w:rPr>
      </w:pPr>
    </w:p>
    <w:p w:rsidR="00916511" w:rsidRDefault="00916511" w:rsidP="00916511">
      <w:pPr>
        <w:pStyle w:val="Heading1"/>
      </w:pPr>
      <w:bookmarkStart w:id="1" w:name="_Toc300320227"/>
      <w:r>
        <w:lastRenderedPageBreak/>
        <w:t>Abstract</w:t>
      </w:r>
      <w:bookmarkEnd w:id="1"/>
    </w:p>
    <w:p w:rsidR="00177860" w:rsidRDefault="00177860" w:rsidP="00177860">
      <w:pPr>
        <w:pStyle w:val="NoSpacing"/>
      </w:pPr>
      <w:r>
        <w:t xml:space="preserve">This thesis investigates the relationship between exchange rates and stock markets for the short and the long run in the </w:t>
      </w:r>
      <w:proofErr w:type="spellStart"/>
      <w:r>
        <w:t>eurozone</w:t>
      </w:r>
      <w:proofErr w:type="spellEnd"/>
      <w:r>
        <w:t xml:space="preserve"> and the United States. There is already an extensive literature about the relationships between both asset markets, starting since the fall of the </w:t>
      </w:r>
      <w:proofErr w:type="spellStart"/>
      <w:r>
        <w:t>Bretton</w:t>
      </w:r>
      <w:proofErr w:type="spellEnd"/>
      <w:r>
        <w:t xml:space="preserve"> Woods system. But despite all the attention and researches, the literature has never been in accordance with each other. Two different theories are dominating, the flow-oriented models and the portfolio-balanced models. The purpose of this thesis is to </w:t>
      </w:r>
      <w:r w:rsidR="00D61126">
        <w:t xml:space="preserve">get a better understanding of both markets and to </w:t>
      </w:r>
      <w:r>
        <w:t xml:space="preserve">give a decisive answer about the kind of relationship. </w:t>
      </w:r>
    </w:p>
    <w:p w:rsidR="00177860" w:rsidRDefault="00177860" w:rsidP="00177860">
      <w:pPr>
        <w:pStyle w:val="NoSpacing"/>
      </w:pPr>
    </w:p>
    <w:p w:rsidR="00177860" w:rsidRDefault="00177860" w:rsidP="00177860">
      <w:pPr>
        <w:pStyle w:val="NoSpacing"/>
      </w:pPr>
      <w:r>
        <w:t xml:space="preserve">Tests are done with daily data, to get a longer time series and to find the day to day relations. Because the </w:t>
      </w:r>
      <w:proofErr w:type="spellStart"/>
      <w:r>
        <w:t>eurozone</w:t>
      </w:r>
      <w:proofErr w:type="spellEnd"/>
      <w:r>
        <w:t xml:space="preserve"> and the United States are both investigated, this thesis has the possibility to compare both regions. The currencies used are off course the euro and dollar. The Swiss franc is used as an extra currency. </w:t>
      </w:r>
    </w:p>
    <w:p w:rsidR="00177860" w:rsidRDefault="00177860" w:rsidP="00177860">
      <w:pPr>
        <w:pStyle w:val="NoSpacing"/>
      </w:pPr>
    </w:p>
    <w:p w:rsidR="00177860" w:rsidRDefault="00D3722D" w:rsidP="00177860">
      <w:pPr>
        <w:pStyle w:val="NoSpacing"/>
      </w:pPr>
      <w:r>
        <w:t>Mo</w:t>
      </w:r>
      <w:r w:rsidR="00177860">
        <w:t>st papers on this subject are looking at national market indices. This thesis extends the existing literature with ten different sector indices. These indices are used to find some more detailed information about how a currency can influence or can be influenced by separated sectors.</w:t>
      </w:r>
    </w:p>
    <w:p w:rsidR="00177860" w:rsidRDefault="00177860" w:rsidP="00177860">
      <w:pPr>
        <w:pStyle w:val="NoSpacing"/>
      </w:pPr>
    </w:p>
    <w:p w:rsidR="00177860" w:rsidRDefault="00177860" w:rsidP="00177860">
      <w:pPr>
        <w:pStyle w:val="NoSpacing"/>
      </w:pPr>
      <w:r>
        <w:t xml:space="preserve">Unit root and </w:t>
      </w:r>
      <w:proofErr w:type="spellStart"/>
      <w:r>
        <w:t>cointegration</w:t>
      </w:r>
      <w:proofErr w:type="spellEnd"/>
      <w:r>
        <w:t xml:space="preserve"> tests are used to find a long term relationship, while the Granger causality test could say something about which variable leads the other in the short term. If any influence is found, the impulse response functions are used to detect the direction.  </w:t>
      </w:r>
    </w:p>
    <w:p w:rsidR="00177860" w:rsidRDefault="00177860" w:rsidP="00177860">
      <w:pPr>
        <w:pStyle w:val="NoSpacing"/>
      </w:pPr>
    </w:p>
    <w:p w:rsidR="00177860" w:rsidRDefault="00177860" w:rsidP="00177860">
      <w:pPr>
        <w:pStyle w:val="NoSpacing"/>
      </w:pPr>
      <w:r>
        <w:t xml:space="preserve">No </w:t>
      </w:r>
      <w:proofErr w:type="spellStart"/>
      <w:r>
        <w:t>cointegration</w:t>
      </w:r>
      <w:proofErr w:type="spellEnd"/>
      <w:r>
        <w:t xml:space="preserve"> is found between the stock markets and the exchange rates, indicating that there is no long term relationship between the two markets. Some significant relationships are found in the short run, but unfortunately not enough to conclude which of the two models is the most appropriate one. Although the </w:t>
      </w:r>
      <w:proofErr w:type="spellStart"/>
      <w:r>
        <w:t>eurozone</w:t>
      </w:r>
      <w:proofErr w:type="spellEnd"/>
      <w:r>
        <w:t xml:space="preserve"> tends to the portfolio-balanced models as almost all significant relations show a positive direction from stock prices to the exchange rate. Another remarkable fact is that the Swiss franc has a lot more influence for the </w:t>
      </w:r>
      <w:proofErr w:type="spellStart"/>
      <w:r>
        <w:t>eurozone</w:t>
      </w:r>
      <w:proofErr w:type="spellEnd"/>
      <w:r>
        <w:t xml:space="preserve"> than the US dollar. Tests on US data give less significant relationships, but </w:t>
      </w:r>
      <w:r w:rsidR="00D61126">
        <w:t>show a</w:t>
      </w:r>
      <w:r>
        <w:t xml:space="preserve"> more obvious pattern about which sectors are influenced by or are influencing the exchange rates. </w:t>
      </w:r>
    </w:p>
    <w:p w:rsidR="00177860" w:rsidRDefault="00177860" w:rsidP="00177860">
      <w:pPr>
        <w:pStyle w:val="NoSpacing"/>
      </w:pPr>
    </w:p>
    <w:p w:rsidR="00177860" w:rsidRDefault="00177860" w:rsidP="00177860">
      <w:pPr>
        <w:pStyle w:val="NoSpacing"/>
      </w:pPr>
      <w:r>
        <w:t xml:space="preserve">Possible explanations are given about why not all stocks show a relation with the exchange rate. Today’s companies are operating in so many countries, that this diversification has minimized exchange rate exposure. Another reason is that investors simply do not know how the changes in exchange rates influence the results. Further, companies can eliminate their exposure with their own risk management and last, exchange rate risk could be priced in the market.   </w:t>
      </w:r>
    </w:p>
    <w:p w:rsidR="00177860" w:rsidRDefault="00177860" w:rsidP="00177860">
      <w:pPr>
        <w:pStyle w:val="NoSpacing"/>
      </w:pPr>
    </w:p>
    <w:p w:rsidR="00177860" w:rsidRDefault="00177860" w:rsidP="00177860">
      <w:pPr>
        <w:pStyle w:val="NoSpacing"/>
      </w:pPr>
    </w:p>
    <w:p w:rsidR="00D3722D" w:rsidRDefault="00D3722D" w:rsidP="00177860">
      <w:pPr>
        <w:pStyle w:val="NoSpacing"/>
      </w:pPr>
    </w:p>
    <w:p w:rsidR="00D3722D" w:rsidRDefault="00D3722D" w:rsidP="00177860">
      <w:pPr>
        <w:pStyle w:val="NoSpacing"/>
      </w:pPr>
    </w:p>
    <w:p w:rsidR="00D3722D" w:rsidRDefault="00D3722D" w:rsidP="00177860">
      <w:pPr>
        <w:pStyle w:val="NoSpacing"/>
      </w:pPr>
    </w:p>
    <w:p w:rsidR="00D3722D" w:rsidRDefault="00D3722D" w:rsidP="00177860">
      <w:pPr>
        <w:pStyle w:val="NoSpacing"/>
      </w:pPr>
    </w:p>
    <w:p w:rsidR="00D3722D" w:rsidRDefault="00D3722D" w:rsidP="00177860">
      <w:pPr>
        <w:pStyle w:val="NoSpacing"/>
      </w:pPr>
    </w:p>
    <w:p w:rsidR="00177860" w:rsidRDefault="00916511" w:rsidP="00177860">
      <w:pPr>
        <w:pStyle w:val="NoSpacing"/>
      </w:pPr>
      <w:r>
        <w:t>Keywords</w:t>
      </w:r>
    </w:p>
    <w:p w:rsidR="009E3DD9" w:rsidRDefault="009E3DD9" w:rsidP="00177860">
      <w:pPr>
        <w:pStyle w:val="NoSpacing"/>
      </w:pPr>
      <w:r>
        <w:t xml:space="preserve">Finance, exchange rates, stock markets, </w:t>
      </w:r>
      <w:r w:rsidR="00314A1E">
        <w:t xml:space="preserve">sector indices, </w:t>
      </w:r>
      <w:r w:rsidR="00DB031F">
        <w:t>asset markets</w:t>
      </w:r>
    </w:p>
    <w:p w:rsidR="00177860" w:rsidRDefault="00177860" w:rsidP="00177860">
      <w:pPr>
        <w:pStyle w:val="NoSpacing"/>
      </w:pPr>
    </w:p>
    <w:p w:rsidR="00177860" w:rsidRDefault="00177860" w:rsidP="00177860">
      <w:pPr>
        <w:pStyle w:val="NoSpacing"/>
      </w:pPr>
    </w:p>
    <w:p w:rsidR="00177860" w:rsidRDefault="00177860" w:rsidP="00177860">
      <w:pPr>
        <w:pStyle w:val="NoSpacing"/>
      </w:pPr>
    </w:p>
    <w:p w:rsidR="00906BE1" w:rsidRDefault="00906BE1" w:rsidP="004B1928">
      <w:pPr>
        <w:pStyle w:val="NoSpacing"/>
        <w:rPr>
          <w:b/>
        </w:rPr>
      </w:pPr>
    </w:p>
    <w:p w:rsidR="00906BE1" w:rsidRDefault="00906BE1" w:rsidP="004B1928">
      <w:pPr>
        <w:pStyle w:val="NoSpacing"/>
        <w:rPr>
          <w:b/>
        </w:rPr>
      </w:pPr>
    </w:p>
    <w:p w:rsidR="00906BE1" w:rsidRDefault="00906BE1" w:rsidP="004B1928">
      <w:pPr>
        <w:pStyle w:val="NoSpacing"/>
        <w:rPr>
          <w:b/>
        </w:rPr>
      </w:pPr>
    </w:p>
    <w:sdt>
      <w:sdtPr>
        <w:rPr>
          <w:rFonts w:asciiTheme="minorHAnsi" w:eastAsiaTheme="minorEastAsia" w:hAnsiTheme="minorHAnsi" w:cstheme="minorBidi"/>
          <w:b w:val="0"/>
          <w:bCs w:val="0"/>
          <w:sz w:val="22"/>
          <w:szCs w:val="22"/>
        </w:rPr>
        <w:id w:val="37541220"/>
        <w:docPartObj>
          <w:docPartGallery w:val="Table of Contents"/>
          <w:docPartUnique/>
        </w:docPartObj>
      </w:sdtPr>
      <w:sdtEndPr>
        <w:rPr>
          <w:lang w:val="nl-NL"/>
        </w:rPr>
      </w:sdtEndPr>
      <w:sdtContent>
        <w:p w:rsidR="00906BE1" w:rsidRDefault="00916511">
          <w:pPr>
            <w:pStyle w:val="TOCHeading"/>
          </w:pPr>
          <w:r>
            <w:t>Table of contents</w:t>
          </w:r>
        </w:p>
        <w:p w:rsidR="00397075" w:rsidRDefault="00E44EA8">
          <w:pPr>
            <w:pStyle w:val="TOC1"/>
            <w:tabs>
              <w:tab w:val="right" w:leader="dot" w:pos="9062"/>
            </w:tabs>
            <w:rPr>
              <w:noProof/>
              <w:lang w:val="nl-NL" w:eastAsia="nl-NL" w:bidi="ar-SA"/>
            </w:rPr>
          </w:pPr>
          <w:r w:rsidRPr="00DA7F40">
            <w:rPr>
              <w:lang w:val="nl-NL"/>
            </w:rPr>
            <w:fldChar w:fldCharType="begin"/>
          </w:r>
          <w:r w:rsidR="00906BE1" w:rsidRPr="00DA7F40">
            <w:rPr>
              <w:lang w:val="nl-NL"/>
            </w:rPr>
            <w:instrText xml:space="preserve"> TOC \o "1-3" \h \z \u </w:instrText>
          </w:r>
          <w:r w:rsidRPr="00DA7F40">
            <w:rPr>
              <w:lang w:val="nl-NL"/>
            </w:rPr>
            <w:fldChar w:fldCharType="separate"/>
          </w:r>
          <w:hyperlink w:anchor="_Toc300320226" w:history="1">
            <w:r w:rsidR="00397075" w:rsidRPr="006B50DA">
              <w:rPr>
                <w:rStyle w:val="Hyperlink"/>
                <w:noProof/>
              </w:rPr>
              <w:t>Preface and acknowledgements</w:t>
            </w:r>
            <w:r w:rsidR="00397075">
              <w:rPr>
                <w:noProof/>
                <w:webHidden/>
              </w:rPr>
              <w:tab/>
            </w:r>
            <w:r>
              <w:rPr>
                <w:noProof/>
                <w:webHidden/>
              </w:rPr>
              <w:fldChar w:fldCharType="begin"/>
            </w:r>
            <w:r w:rsidR="00397075">
              <w:rPr>
                <w:noProof/>
                <w:webHidden/>
              </w:rPr>
              <w:instrText xml:space="preserve"> PAGEREF _Toc300320226 \h </w:instrText>
            </w:r>
            <w:r>
              <w:rPr>
                <w:noProof/>
                <w:webHidden/>
              </w:rPr>
            </w:r>
            <w:r>
              <w:rPr>
                <w:noProof/>
                <w:webHidden/>
              </w:rPr>
              <w:fldChar w:fldCharType="separate"/>
            </w:r>
            <w:r w:rsidR="00397075">
              <w:rPr>
                <w:noProof/>
                <w:webHidden/>
              </w:rPr>
              <w:t>2</w:t>
            </w:r>
            <w:r>
              <w:rPr>
                <w:noProof/>
                <w:webHidden/>
              </w:rPr>
              <w:fldChar w:fldCharType="end"/>
            </w:r>
          </w:hyperlink>
        </w:p>
        <w:p w:rsidR="00397075" w:rsidRDefault="00E44EA8">
          <w:pPr>
            <w:pStyle w:val="TOC1"/>
            <w:tabs>
              <w:tab w:val="right" w:leader="dot" w:pos="9062"/>
            </w:tabs>
            <w:rPr>
              <w:noProof/>
              <w:lang w:val="nl-NL" w:eastAsia="nl-NL" w:bidi="ar-SA"/>
            </w:rPr>
          </w:pPr>
          <w:hyperlink w:anchor="_Toc300320227" w:history="1">
            <w:r w:rsidR="00397075" w:rsidRPr="006B50DA">
              <w:rPr>
                <w:rStyle w:val="Hyperlink"/>
                <w:noProof/>
              </w:rPr>
              <w:t>Abstract</w:t>
            </w:r>
            <w:r w:rsidR="00397075">
              <w:rPr>
                <w:noProof/>
                <w:webHidden/>
              </w:rPr>
              <w:tab/>
            </w:r>
            <w:r>
              <w:rPr>
                <w:noProof/>
                <w:webHidden/>
              </w:rPr>
              <w:fldChar w:fldCharType="begin"/>
            </w:r>
            <w:r w:rsidR="00397075">
              <w:rPr>
                <w:noProof/>
                <w:webHidden/>
              </w:rPr>
              <w:instrText xml:space="preserve"> PAGEREF _Toc300320227 \h </w:instrText>
            </w:r>
            <w:r>
              <w:rPr>
                <w:noProof/>
                <w:webHidden/>
              </w:rPr>
            </w:r>
            <w:r>
              <w:rPr>
                <w:noProof/>
                <w:webHidden/>
              </w:rPr>
              <w:fldChar w:fldCharType="separate"/>
            </w:r>
            <w:r w:rsidR="00397075">
              <w:rPr>
                <w:noProof/>
                <w:webHidden/>
              </w:rPr>
              <w:t>3</w:t>
            </w:r>
            <w:r>
              <w:rPr>
                <w:noProof/>
                <w:webHidden/>
              </w:rPr>
              <w:fldChar w:fldCharType="end"/>
            </w:r>
          </w:hyperlink>
        </w:p>
        <w:p w:rsidR="00397075" w:rsidRDefault="00E44EA8">
          <w:pPr>
            <w:pStyle w:val="TOC1"/>
            <w:tabs>
              <w:tab w:val="right" w:leader="dot" w:pos="9062"/>
            </w:tabs>
            <w:rPr>
              <w:noProof/>
              <w:lang w:val="nl-NL" w:eastAsia="nl-NL" w:bidi="ar-SA"/>
            </w:rPr>
          </w:pPr>
          <w:hyperlink w:anchor="_Toc300320228" w:history="1">
            <w:r w:rsidR="00397075" w:rsidRPr="006B50DA">
              <w:rPr>
                <w:rStyle w:val="Hyperlink"/>
                <w:noProof/>
              </w:rPr>
              <w:t>List of tables</w:t>
            </w:r>
            <w:r w:rsidR="00397075">
              <w:rPr>
                <w:noProof/>
                <w:webHidden/>
              </w:rPr>
              <w:tab/>
            </w:r>
            <w:r>
              <w:rPr>
                <w:noProof/>
                <w:webHidden/>
              </w:rPr>
              <w:fldChar w:fldCharType="begin"/>
            </w:r>
            <w:r w:rsidR="00397075">
              <w:rPr>
                <w:noProof/>
                <w:webHidden/>
              </w:rPr>
              <w:instrText xml:space="preserve"> PAGEREF _Toc300320228 \h </w:instrText>
            </w:r>
            <w:r>
              <w:rPr>
                <w:noProof/>
                <w:webHidden/>
              </w:rPr>
            </w:r>
            <w:r>
              <w:rPr>
                <w:noProof/>
                <w:webHidden/>
              </w:rPr>
              <w:fldChar w:fldCharType="separate"/>
            </w:r>
            <w:r w:rsidR="00397075">
              <w:rPr>
                <w:noProof/>
                <w:webHidden/>
              </w:rPr>
              <w:t>5</w:t>
            </w:r>
            <w:r>
              <w:rPr>
                <w:noProof/>
                <w:webHidden/>
              </w:rPr>
              <w:fldChar w:fldCharType="end"/>
            </w:r>
          </w:hyperlink>
        </w:p>
        <w:p w:rsidR="00397075" w:rsidRDefault="00E44EA8">
          <w:pPr>
            <w:pStyle w:val="TOC1"/>
            <w:tabs>
              <w:tab w:val="right" w:leader="dot" w:pos="9062"/>
            </w:tabs>
            <w:rPr>
              <w:noProof/>
              <w:lang w:val="nl-NL" w:eastAsia="nl-NL" w:bidi="ar-SA"/>
            </w:rPr>
          </w:pPr>
          <w:hyperlink w:anchor="_Toc300320229" w:history="1">
            <w:r w:rsidR="00397075" w:rsidRPr="006B50DA">
              <w:rPr>
                <w:rStyle w:val="Hyperlink"/>
                <w:noProof/>
              </w:rPr>
              <w:t>List of figures</w:t>
            </w:r>
            <w:r w:rsidR="00397075">
              <w:rPr>
                <w:noProof/>
                <w:webHidden/>
              </w:rPr>
              <w:tab/>
            </w:r>
            <w:r>
              <w:rPr>
                <w:noProof/>
                <w:webHidden/>
              </w:rPr>
              <w:fldChar w:fldCharType="begin"/>
            </w:r>
            <w:r w:rsidR="00397075">
              <w:rPr>
                <w:noProof/>
                <w:webHidden/>
              </w:rPr>
              <w:instrText xml:space="preserve"> PAGEREF _Toc300320229 \h </w:instrText>
            </w:r>
            <w:r>
              <w:rPr>
                <w:noProof/>
                <w:webHidden/>
              </w:rPr>
            </w:r>
            <w:r>
              <w:rPr>
                <w:noProof/>
                <w:webHidden/>
              </w:rPr>
              <w:fldChar w:fldCharType="separate"/>
            </w:r>
            <w:r w:rsidR="00397075">
              <w:rPr>
                <w:noProof/>
                <w:webHidden/>
              </w:rPr>
              <w:t>5</w:t>
            </w:r>
            <w:r>
              <w:rPr>
                <w:noProof/>
                <w:webHidden/>
              </w:rPr>
              <w:fldChar w:fldCharType="end"/>
            </w:r>
          </w:hyperlink>
        </w:p>
        <w:p w:rsidR="00397075" w:rsidRDefault="00E44EA8">
          <w:pPr>
            <w:pStyle w:val="TOC1"/>
            <w:tabs>
              <w:tab w:val="left" w:pos="440"/>
              <w:tab w:val="right" w:leader="dot" w:pos="9062"/>
            </w:tabs>
            <w:rPr>
              <w:noProof/>
              <w:lang w:val="nl-NL" w:eastAsia="nl-NL" w:bidi="ar-SA"/>
            </w:rPr>
          </w:pPr>
          <w:hyperlink w:anchor="_Toc300320230" w:history="1">
            <w:r w:rsidR="00397075" w:rsidRPr="006B50DA">
              <w:rPr>
                <w:rStyle w:val="Hyperlink"/>
                <w:noProof/>
              </w:rPr>
              <w:t>1)</w:t>
            </w:r>
            <w:r w:rsidR="00397075">
              <w:rPr>
                <w:noProof/>
                <w:lang w:val="nl-NL" w:eastAsia="nl-NL" w:bidi="ar-SA"/>
              </w:rPr>
              <w:tab/>
            </w:r>
            <w:r w:rsidR="00397075" w:rsidRPr="006B50DA">
              <w:rPr>
                <w:rStyle w:val="Hyperlink"/>
                <w:noProof/>
              </w:rPr>
              <w:t>Introduction</w:t>
            </w:r>
            <w:r w:rsidR="00397075">
              <w:rPr>
                <w:noProof/>
                <w:webHidden/>
              </w:rPr>
              <w:tab/>
            </w:r>
            <w:r>
              <w:rPr>
                <w:noProof/>
                <w:webHidden/>
              </w:rPr>
              <w:fldChar w:fldCharType="begin"/>
            </w:r>
            <w:r w:rsidR="00397075">
              <w:rPr>
                <w:noProof/>
                <w:webHidden/>
              </w:rPr>
              <w:instrText xml:space="preserve"> PAGEREF _Toc300320230 \h </w:instrText>
            </w:r>
            <w:r>
              <w:rPr>
                <w:noProof/>
                <w:webHidden/>
              </w:rPr>
            </w:r>
            <w:r>
              <w:rPr>
                <w:noProof/>
                <w:webHidden/>
              </w:rPr>
              <w:fldChar w:fldCharType="separate"/>
            </w:r>
            <w:r w:rsidR="00397075">
              <w:rPr>
                <w:noProof/>
                <w:webHidden/>
              </w:rPr>
              <w:t>6</w:t>
            </w:r>
            <w:r>
              <w:rPr>
                <w:noProof/>
                <w:webHidden/>
              </w:rPr>
              <w:fldChar w:fldCharType="end"/>
            </w:r>
          </w:hyperlink>
        </w:p>
        <w:p w:rsidR="00397075" w:rsidRDefault="00E44EA8">
          <w:pPr>
            <w:pStyle w:val="TOC1"/>
            <w:tabs>
              <w:tab w:val="left" w:pos="440"/>
              <w:tab w:val="right" w:leader="dot" w:pos="9062"/>
            </w:tabs>
            <w:rPr>
              <w:noProof/>
              <w:lang w:val="nl-NL" w:eastAsia="nl-NL" w:bidi="ar-SA"/>
            </w:rPr>
          </w:pPr>
          <w:hyperlink w:anchor="_Toc300320231" w:history="1">
            <w:r w:rsidR="00397075" w:rsidRPr="006B50DA">
              <w:rPr>
                <w:rStyle w:val="Hyperlink"/>
                <w:noProof/>
              </w:rPr>
              <w:t>2)</w:t>
            </w:r>
            <w:r w:rsidR="00397075">
              <w:rPr>
                <w:noProof/>
                <w:lang w:val="nl-NL" w:eastAsia="nl-NL" w:bidi="ar-SA"/>
              </w:rPr>
              <w:tab/>
            </w:r>
            <w:r w:rsidR="00397075" w:rsidRPr="006B50DA">
              <w:rPr>
                <w:rStyle w:val="Hyperlink"/>
                <w:noProof/>
              </w:rPr>
              <w:t>Theory</w:t>
            </w:r>
            <w:r w:rsidR="00397075">
              <w:rPr>
                <w:noProof/>
                <w:webHidden/>
              </w:rPr>
              <w:tab/>
            </w:r>
            <w:r>
              <w:rPr>
                <w:noProof/>
                <w:webHidden/>
              </w:rPr>
              <w:fldChar w:fldCharType="begin"/>
            </w:r>
            <w:r w:rsidR="00397075">
              <w:rPr>
                <w:noProof/>
                <w:webHidden/>
              </w:rPr>
              <w:instrText xml:space="preserve"> PAGEREF _Toc300320231 \h </w:instrText>
            </w:r>
            <w:r>
              <w:rPr>
                <w:noProof/>
                <w:webHidden/>
              </w:rPr>
            </w:r>
            <w:r>
              <w:rPr>
                <w:noProof/>
                <w:webHidden/>
              </w:rPr>
              <w:fldChar w:fldCharType="separate"/>
            </w:r>
            <w:r w:rsidR="00397075">
              <w:rPr>
                <w:noProof/>
                <w:webHidden/>
              </w:rPr>
              <w:t>7</w:t>
            </w:r>
            <w:r>
              <w:rPr>
                <w:noProof/>
                <w:webHidden/>
              </w:rPr>
              <w:fldChar w:fldCharType="end"/>
            </w:r>
          </w:hyperlink>
        </w:p>
        <w:p w:rsidR="00397075" w:rsidRDefault="00E44EA8">
          <w:pPr>
            <w:pStyle w:val="TOC1"/>
            <w:tabs>
              <w:tab w:val="left" w:pos="440"/>
              <w:tab w:val="right" w:leader="dot" w:pos="9062"/>
            </w:tabs>
            <w:rPr>
              <w:noProof/>
              <w:lang w:val="nl-NL" w:eastAsia="nl-NL" w:bidi="ar-SA"/>
            </w:rPr>
          </w:pPr>
          <w:hyperlink w:anchor="_Toc300320232" w:history="1">
            <w:r w:rsidR="00397075" w:rsidRPr="006B50DA">
              <w:rPr>
                <w:rStyle w:val="Hyperlink"/>
                <w:noProof/>
              </w:rPr>
              <w:t>3)</w:t>
            </w:r>
            <w:r w:rsidR="00397075">
              <w:rPr>
                <w:noProof/>
                <w:lang w:val="nl-NL" w:eastAsia="nl-NL" w:bidi="ar-SA"/>
              </w:rPr>
              <w:tab/>
            </w:r>
            <w:r w:rsidR="00397075" w:rsidRPr="006B50DA">
              <w:rPr>
                <w:rStyle w:val="Hyperlink"/>
                <w:noProof/>
              </w:rPr>
              <w:t>Literature</w:t>
            </w:r>
            <w:r w:rsidR="00397075">
              <w:rPr>
                <w:noProof/>
                <w:webHidden/>
              </w:rPr>
              <w:tab/>
            </w:r>
            <w:r>
              <w:rPr>
                <w:noProof/>
                <w:webHidden/>
              </w:rPr>
              <w:fldChar w:fldCharType="begin"/>
            </w:r>
            <w:r w:rsidR="00397075">
              <w:rPr>
                <w:noProof/>
                <w:webHidden/>
              </w:rPr>
              <w:instrText xml:space="preserve"> PAGEREF _Toc300320232 \h </w:instrText>
            </w:r>
            <w:r>
              <w:rPr>
                <w:noProof/>
                <w:webHidden/>
              </w:rPr>
            </w:r>
            <w:r>
              <w:rPr>
                <w:noProof/>
                <w:webHidden/>
              </w:rPr>
              <w:fldChar w:fldCharType="separate"/>
            </w:r>
            <w:r w:rsidR="00397075">
              <w:rPr>
                <w:noProof/>
                <w:webHidden/>
              </w:rPr>
              <w:t>12</w:t>
            </w:r>
            <w:r>
              <w:rPr>
                <w:noProof/>
                <w:webHidden/>
              </w:rPr>
              <w:fldChar w:fldCharType="end"/>
            </w:r>
          </w:hyperlink>
        </w:p>
        <w:p w:rsidR="00397075" w:rsidRDefault="00E44EA8">
          <w:pPr>
            <w:pStyle w:val="TOC1"/>
            <w:tabs>
              <w:tab w:val="left" w:pos="440"/>
              <w:tab w:val="right" w:leader="dot" w:pos="9062"/>
            </w:tabs>
            <w:rPr>
              <w:noProof/>
              <w:lang w:val="nl-NL" w:eastAsia="nl-NL" w:bidi="ar-SA"/>
            </w:rPr>
          </w:pPr>
          <w:hyperlink w:anchor="_Toc300320233" w:history="1">
            <w:r w:rsidR="00397075" w:rsidRPr="006B50DA">
              <w:rPr>
                <w:rStyle w:val="Hyperlink"/>
                <w:noProof/>
              </w:rPr>
              <w:t>4)</w:t>
            </w:r>
            <w:r w:rsidR="00397075">
              <w:rPr>
                <w:noProof/>
                <w:lang w:val="nl-NL" w:eastAsia="nl-NL" w:bidi="ar-SA"/>
              </w:rPr>
              <w:tab/>
            </w:r>
            <w:r w:rsidR="00397075" w:rsidRPr="006B50DA">
              <w:rPr>
                <w:rStyle w:val="Hyperlink"/>
                <w:noProof/>
              </w:rPr>
              <w:t>Data</w:t>
            </w:r>
            <w:r w:rsidR="00397075">
              <w:rPr>
                <w:noProof/>
                <w:webHidden/>
              </w:rPr>
              <w:tab/>
            </w:r>
            <w:r>
              <w:rPr>
                <w:noProof/>
                <w:webHidden/>
              </w:rPr>
              <w:fldChar w:fldCharType="begin"/>
            </w:r>
            <w:r w:rsidR="00397075">
              <w:rPr>
                <w:noProof/>
                <w:webHidden/>
              </w:rPr>
              <w:instrText xml:space="preserve"> PAGEREF _Toc300320233 \h </w:instrText>
            </w:r>
            <w:r>
              <w:rPr>
                <w:noProof/>
                <w:webHidden/>
              </w:rPr>
            </w:r>
            <w:r>
              <w:rPr>
                <w:noProof/>
                <w:webHidden/>
              </w:rPr>
              <w:fldChar w:fldCharType="separate"/>
            </w:r>
            <w:r w:rsidR="00397075">
              <w:rPr>
                <w:noProof/>
                <w:webHidden/>
              </w:rPr>
              <w:t>14</w:t>
            </w:r>
            <w:r>
              <w:rPr>
                <w:noProof/>
                <w:webHidden/>
              </w:rPr>
              <w:fldChar w:fldCharType="end"/>
            </w:r>
          </w:hyperlink>
        </w:p>
        <w:p w:rsidR="00397075" w:rsidRDefault="00E44EA8">
          <w:pPr>
            <w:pStyle w:val="TOC1"/>
            <w:tabs>
              <w:tab w:val="left" w:pos="440"/>
              <w:tab w:val="right" w:leader="dot" w:pos="9062"/>
            </w:tabs>
            <w:rPr>
              <w:noProof/>
              <w:lang w:val="nl-NL" w:eastAsia="nl-NL" w:bidi="ar-SA"/>
            </w:rPr>
          </w:pPr>
          <w:hyperlink w:anchor="_Toc300320234" w:history="1">
            <w:r w:rsidR="00397075" w:rsidRPr="006B50DA">
              <w:rPr>
                <w:rStyle w:val="Hyperlink"/>
                <w:noProof/>
              </w:rPr>
              <w:t>5)</w:t>
            </w:r>
            <w:r w:rsidR="00397075">
              <w:rPr>
                <w:noProof/>
                <w:lang w:val="nl-NL" w:eastAsia="nl-NL" w:bidi="ar-SA"/>
              </w:rPr>
              <w:tab/>
            </w:r>
            <w:r w:rsidR="00397075" w:rsidRPr="006B50DA">
              <w:rPr>
                <w:rStyle w:val="Hyperlink"/>
                <w:noProof/>
              </w:rPr>
              <w:t>Methodology</w:t>
            </w:r>
            <w:r w:rsidR="00397075">
              <w:rPr>
                <w:noProof/>
                <w:webHidden/>
              </w:rPr>
              <w:tab/>
            </w:r>
            <w:r>
              <w:rPr>
                <w:noProof/>
                <w:webHidden/>
              </w:rPr>
              <w:fldChar w:fldCharType="begin"/>
            </w:r>
            <w:r w:rsidR="00397075">
              <w:rPr>
                <w:noProof/>
                <w:webHidden/>
              </w:rPr>
              <w:instrText xml:space="preserve"> PAGEREF _Toc300320234 \h </w:instrText>
            </w:r>
            <w:r>
              <w:rPr>
                <w:noProof/>
                <w:webHidden/>
              </w:rPr>
            </w:r>
            <w:r>
              <w:rPr>
                <w:noProof/>
                <w:webHidden/>
              </w:rPr>
              <w:fldChar w:fldCharType="separate"/>
            </w:r>
            <w:r w:rsidR="00397075">
              <w:rPr>
                <w:noProof/>
                <w:webHidden/>
              </w:rPr>
              <w:t>19</w:t>
            </w:r>
            <w:r>
              <w:rPr>
                <w:noProof/>
                <w:webHidden/>
              </w:rPr>
              <w:fldChar w:fldCharType="end"/>
            </w:r>
          </w:hyperlink>
        </w:p>
        <w:p w:rsidR="00397075" w:rsidRDefault="00E44EA8">
          <w:pPr>
            <w:pStyle w:val="TOC1"/>
            <w:tabs>
              <w:tab w:val="left" w:pos="440"/>
              <w:tab w:val="right" w:leader="dot" w:pos="9062"/>
            </w:tabs>
            <w:rPr>
              <w:noProof/>
              <w:lang w:val="nl-NL" w:eastAsia="nl-NL" w:bidi="ar-SA"/>
            </w:rPr>
          </w:pPr>
          <w:hyperlink w:anchor="_Toc300320235" w:history="1">
            <w:r w:rsidR="00397075" w:rsidRPr="006B50DA">
              <w:rPr>
                <w:rStyle w:val="Hyperlink"/>
                <w:noProof/>
              </w:rPr>
              <w:t>6)</w:t>
            </w:r>
            <w:r w:rsidR="00397075">
              <w:rPr>
                <w:noProof/>
                <w:lang w:val="nl-NL" w:eastAsia="nl-NL" w:bidi="ar-SA"/>
              </w:rPr>
              <w:tab/>
            </w:r>
            <w:r w:rsidR="00397075" w:rsidRPr="006B50DA">
              <w:rPr>
                <w:rStyle w:val="Hyperlink"/>
                <w:noProof/>
              </w:rPr>
              <w:t>Results</w:t>
            </w:r>
            <w:r w:rsidR="00397075">
              <w:rPr>
                <w:noProof/>
                <w:webHidden/>
              </w:rPr>
              <w:tab/>
            </w:r>
            <w:r>
              <w:rPr>
                <w:noProof/>
                <w:webHidden/>
              </w:rPr>
              <w:fldChar w:fldCharType="begin"/>
            </w:r>
            <w:r w:rsidR="00397075">
              <w:rPr>
                <w:noProof/>
                <w:webHidden/>
              </w:rPr>
              <w:instrText xml:space="preserve"> PAGEREF _Toc300320235 \h </w:instrText>
            </w:r>
            <w:r>
              <w:rPr>
                <w:noProof/>
                <w:webHidden/>
              </w:rPr>
            </w:r>
            <w:r>
              <w:rPr>
                <w:noProof/>
                <w:webHidden/>
              </w:rPr>
              <w:fldChar w:fldCharType="separate"/>
            </w:r>
            <w:r w:rsidR="00397075">
              <w:rPr>
                <w:noProof/>
                <w:webHidden/>
              </w:rPr>
              <w:t>27</w:t>
            </w:r>
            <w:r>
              <w:rPr>
                <w:noProof/>
                <w:webHidden/>
              </w:rPr>
              <w:fldChar w:fldCharType="end"/>
            </w:r>
          </w:hyperlink>
        </w:p>
        <w:p w:rsidR="00397075" w:rsidRDefault="00E44EA8">
          <w:pPr>
            <w:pStyle w:val="TOC2"/>
            <w:rPr>
              <w:b w:val="0"/>
              <w:lang w:val="nl-NL" w:eastAsia="nl-NL" w:bidi="ar-SA"/>
            </w:rPr>
          </w:pPr>
          <w:hyperlink w:anchor="_Toc300320236" w:history="1">
            <w:r w:rsidR="00397075" w:rsidRPr="006B50DA">
              <w:rPr>
                <w:rStyle w:val="Hyperlink"/>
              </w:rPr>
              <w:t>6.1) Market indices</w:t>
            </w:r>
            <w:r w:rsidR="00397075">
              <w:rPr>
                <w:webHidden/>
              </w:rPr>
              <w:tab/>
            </w:r>
            <w:r>
              <w:rPr>
                <w:webHidden/>
              </w:rPr>
              <w:fldChar w:fldCharType="begin"/>
            </w:r>
            <w:r w:rsidR="00397075">
              <w:rPr>
                <w:webHidden/>
              </w:rPr>
              <w:instrText xml:space="preserve"> PAGEREF _Toc300320236 \h </w:instrText>
            </w:r>
            <w:r>
              <w:rPr>
                <w:webHidden/>
              </w:rPr>
            </w:r>
            <w:r>
              <w:rPr>
                <w:webHidden/>
              </w:rPr>
              <w:fldChar w:fldCharType="separate"/>
            </w:r>
            <w:r w:rsidR="00397075">
              <w:rPr>
                <w:webHidden/>
              </w:rPr>
              <w:t>27</w:t>
            </w:r>
            <w:r>
              <w:rPr>
                <w:webHidden/>
              </w:rPr>
              <w:fldChar w:fldCharType="end"/>
            </w:r>
          </w:hyperlink>
        </w:p>
        <w:p w:rsidR="00397075" w:rsidRDefault="00E44EA8">
          <w:pPr>
            <w:pStyle w:val="TOC2"/>
            <w:rPr>
              <w:b w:val="0"/>
              <w:lang w:val="nl-NL" w:eastAsia="nl-NL" w:bidi="ar-SA"/>
            </w:rPr>
          </w:pPr>
          <w:hyperlink w:anchor="_Toc300320237" w:history="1">
            <w:r w:rsidR="00397075" w:rsidRPr="006B50DA">
              <w:rPr>
                <w:rStyle w:val="Hyperlink"/>
              </w:rPr>
              <w:t>6.2) Sector indices Europe</w:t>
            </w:r>
            <w:r w:rsidR="00397075">
              <w:rPr>
                <w:webHidden/>
              </w:rPr>
              <w:tab/>
            </w:r>
            <w:r>
              <w:rPr>
                <w:webHidden/>
              </w:rPr>
              <w:fldChar w:fldCharType="begin"/>
            </w:r>
            <w:r w:rsidR="00397075">
              <w:rPr>
                <w:webHidden/>
              </w:rPr>
              <w:instrText xml:space="preserve"> PAGEREF _Toc300320237 \h </w:instrText>
            </w:r>
            <w:r>
              <w:rPr>
                <w:webHidden/>
              </w:rPr>
            </w:r>
            <w:r>
              <w:rPr>
                <w:webHidden/>
              </w:rPr>
              <w:fldChar w:fldCharType="separate"/>
            </w:r>
            <w:r w:rsidR="00397075">
              <w:rPr>
                <w:webHidden/>
              </w:rPr>
              <w:t>30</w:t>
            </w:r>
            <w:r>
              <w:rPr>
                <w:webHidden/>
              </w:rPr>
              <w:fldChar w:fldCharType="end"/>
            </w:r>
          </w:hyperlink>
        </w:p>
        <w:p w:rsidR="00397075" w:rsidRDefault="00E44EA8">
          <w:pPr>
            <w:pStyle w:val="TOC2"/>
            <w:rPr>
              <w:b w:val="0"/>
              <w:lang w:val="nl-NL" w:eastAsia="nl-NL" w:bidi="ar-SA"/>
            </w:rPr>
          </w:pPr>
          <w:hyperlink w:anchor="_Toc300320238" w:history="1">
            <w:r w:rsidR="00397075" w:rsidRPr="006B50DA">
              <w:rPr>
                <w:rStyle w:val="Hyperlink"/>
              </w:rPr>
              <w:t>6.3) Sector indices US</w:t>
            </w:r>
            <w:r w:rsidR="00397075">
              <w:rPr>
                <w:webHidden/>
              </w:rPr>
              <w:tab/>
            </w:r>
            <w:r>
              <w:rPr>
                <w:webHidden/>
              </w:rPr>
              <w:fldChar w:fldCharType="begin"/>
            </w:r>
            <w:r w:rsidR="00397075">
              <w:rPr>
                <w:webHidden/>
              </w:rPr>
              <w:instrText xml:space="preserve"> PAGEREF _Toc300320238 \h </w:instrText>
            </w:r>
            <w:r>
              <w:rPr>
                <w:webHidden/>
              </w:rPr>
            </w:r>
            <w:r>
              <w:rPr>
                <w:webHidden/>
              </w:rPr>
              <w:fldChar w:fldCharType="separate"/>
            </w:r>
            <w:r w:rsidR="00397075">
              <w:rPr>
                <w:webHidden/>
              </w:rPr>
              <w:t>33</w:t>
            </w:r>
            <w:r>
              <w:rPr>
                <w:webHidden/>
              </w:rPr>
              <w:fldChar w:fldCharType="end"/>
            </w:r>
          </w:hyperlink>
        </w:p>
        <w:p w:rsidR="00397075" w:rsidRDefault="00E44EA8">
          <w:pPr>
            <w:pStyle w:val="TOC1"/>
            <w:tabs>
              <w:tab w:val="left" w:pos="440"/>
              <w:tab w:val="right" w:leader="dot" w:pos="9062"/>
            </w:tabs>
            <w:rPr>
              <w:noProof/>
              <w:lang w:val="nl-NL" w:eastAsia="nl-NL" w:bidi="ar-SA"/>
            </w:rPr>
          </w:pPr>
          <w:hyperlink w:anchor="_Toc300320239" w:history="1">
            <w:r w:rsidR="00397075" w:rsidRPr="006B50DA">
              <w:rPr>
                <w:rStyle w:val="Hyperlink"/>
                <w:noProof/>
              </w:rPr>
              <w:t>7)</w:t>
            </w:r>
            <w:r w:rsidR="00397075">
              <w:rPr>
                <w:noProof/>
                <w:lang w:val="nl-NL" w:eastAsia="nl-NL" w:bidi="ar-SA"/>
              </w:rPr>
              <w:tab/>
            </w:r>
            <w:r w:rsidR="00397075" w:rsidRPr="006B50DA">
              <w:rPr>
                <w:rStyle w:val="Hyperlink"/>
                <w:noProof/>
              </w:rPr>
              <w:t>Conclusions</w:t>
            </w:r>
            <w:r w:rsidR="00397075">
              <w:rPr>
                <w:noProof/>
                <w:webHidden/>
              </w:rPr>
              <w:tab/>
            </w:r>
            <w:r>
              <w:rPr>
                <w:noProof/>
                <w:webHidden/>
              </w:rPr>
              <w:fldChar w:fldCharType="begin"/>
            </w:r>
            <w:r w:rsidR="00397075">
              <w:rPr>
                <w:noProof/>
                <w:webHidden/>
              </w:rPr>
              <w:instrText xml:space="preserve"> PAGEREF _Toc300320239 \h </w:instrText>
            </w:r>
            <w:r>
              <w:rPr>
                <w:noProof/>
                <w:webHidden/>
              </w:rPr>
            </w:r>
            <w:r>
              <w:rPr>
                <w:noProof/>
                <w:webHidden/>
              </w:rPr>
              <w:fldChar w:fldCharType="separate"/>
            </w:r>
            <w:r w:rsidR="00397075">
              <w:rPr>
                <w:noProof/>
                <w:webHidden/>
              </w:rPr>
              <w:t>35</w:t>
            </w:r>
            <w:r>
              <w:rPr>
                <w:noProof/>
                <w:webHidden/>
              </w:rPr>
              <w:fldChar w:fldCharType="end"/>
            </w:r>
          </w:hyperlink>
        </w:p>
        <w:p w:rsidR="00397075" w:rsidRDefault="00E44EA8">
          <w:pPr>
            <w:pStyle w:val="TOC1"/>
            <w:tabs>
              <w:tab w:val="right" w:leader="dot" w:pos="9062"/>
            </w:tabs>
            <w:rPr>
              <w:noProof/>
              <w:lang w:val="nl-NL" w:eastAsia="nl-NL" w:bidi="ar-SA"/>
            </w:rPr>
          </w:pPr>
          <w:hyperlink w:anchor="_Toc300320240" w:history="1">
            <w:r w:rsidR="00397075" w:rsidRPr="006B50DA">
              <w:rPr>
                <w:rStyle w:val="Hyperlink"/>
                <w:noProof/>
              </w:rPr>
              <w:t>References</w:t>
            </w:r>
            <w:r w:rsidR="00397075">
              <w:rPr>
                <w:noProof/>
                <w:webHidden/>
              </w:rPr>
              <w:tab/>
            </w:r>
            <w:r>
              <w:rPr>
                <w:noProof/>
                <w:webHidden/>
              </w:rPr>
              <w:fldChar w:fldCharType="begin"/>
            </w:r>
            <w:r w:rsidR="00397075">
              <w:rPr>
                <w:noProof/>
                <w:webHidden/>
              </w:rPr>
              <w:instrText xml:space="preserve"> PAGEREF _Toc300320240 \h </w:instrText>
            </w:r>
            <w:r>
              <w:rPr>
                <w:noProof/>
                <w:webHidden/>
              </w:rPr>
            </w:r>
            <w:r>
              <w:rPr>
                <w:noProof/>
                <w:webHidden/>
              </w:rPr>
              <w:fldChar w:fldCharType="separate"/>
            </w:r>
            <w:r w:rsidR="00397075">
              <w:rPr>
                <w:noProof/>
                <w:webHidden/>
              </w:rPr>
              <w:t>37</w:t>
            </w:r>
            <w:r>
              <w:rPr>
                <w:noProof/>
                <w:webHidden/>
              </w:rPr>
              <w:fldChar w:fldCharType="end"/>
            </w:r>
          </w:hyperlink>
        </w:p>
        <w:p w:rsidR="00397075" w:rsidRDefault="00E44EA8">
          <w:pPr>
            <w:pStyle w:val="TOC1"/>
            <w:tabs>
              <w:tab w:val="right" w:leader="dot" w:pos="9062"/>
            </w:tabs>
            <w:rPr>
              <w:noProof/>
              <w:lang w:val="nl-NL" w:eastAsia="nl-NL" w:bidi="ar-SA"/>
            </w:rPr>
          </w:pPr>
          <w:hyperlink w:anchor="_Toc300320241" w:history="1">
            <w:r w:rsidR="00397075" w:rsidRPr="006B50DA">
              <w:rPr>
                <w:rStyle w:val="Hyperlink"/>
                <w:noProof/>
              </w:rPr>
              <w:t>Appendix A Abbreviations of indices and exchange rates used in results</w:t>
            </w:r>
            <w:r w:rsidR="00397075">
              <w:rPr>
                <w:noProof/>
                <w:webHidden/>
              </w:rPr>
              <w:tab/>
            </w:r>
            <w:r>
              <w:rPr>
                <w:noProof/>
                <w:webHidden/>
              </w:rPr>
              <w:fldChar w:fldCharType="begin"/>
            </w:r>
            <w:r w:rsidR="00397075">
              <w:rPr>
                <w:noProof/>
                <w:webHidden/>
              </w:rPr>
              <w:instrText xml:space="preserve"> PAGEREF _Toc300320241 \h </w:instrText>
            </w:r>
            <w:r>
              <w:rPr>
                <w:noProof/>
                <w:webHidden/>
              </w:rPr>
            </w:r>
            <w:r>
              <w:rPr>
                <w:noProof/>
                <w:webHidden/>
              </w:rPr>
              <w:fldChar w:fldCharType="separate"/>
            </w:r>
            <w:r w:rsidR="00397075">
              <w:rPr>
                <w:noProof/>
                <w:webHidden/>
              </w:rPr>
              <w:t>39</w:t>
            </w:r>
            <w:r>
              <w:rPr>
                <w:noProof/>
                <w:webHidden/>
              </w:rPr>
              <w:fldChar w:fldCharType="end"/>
            </w:r>
          </w:hyperlink>
        </w:p>
        <w:p w:rsidR="00397075" w:rsidRDefault="00E44EA8">
          <w:pPr>
            <w:pStyle w:val="TOC1"/>
            <w:tabs>
              <w:tab w:val="right" w:leader="dot" w:pos="9062"/>
            </w:tabs>
            <w:rPr>
              <w:noProof/>
              <w:lang w:val="nl-NL" w:eastAsia="nl-NL" w:bidi="ar-SA"/>
            </w:rPr>
          </w:pPr>
          <w:hyperlink w:anchor="_Toc300320242" w:history="1">
            <w:r w:rsidR="00397075" w:rsidRPr="006B50DA">
              <w:rPr>
                <w:rStyle w:val="Hyperlink"/>
                <w:noProof/>
              </w:rPr>
              <w:t>Appendix B US indices, names, graphs, correlations and descriptive statistics</w:t>
            </w:r>
            <w:r w:rsidR="00397075">
              <w:rPr>
                <w:noProof/>
                <w:webHidden/>
              </w:rPr>
              <w:tab/>
            </w:r>
            <w:r>
              <w:rPr>
                <w:noProof/>
                <w:webHidden/>
              </w:rPr>
              <w:fldChar w:fldCharType="begin"/>
            </w:r>
            <w:r w:rsidR="00397075">
              <w:rPr>
                <w:noProof/>
                <w:webHidden/>
              </w:rPr>
              <w:instrText xml:space="preserve"> PAGEREF _Toc300320242 \h </w:instrText>
            </w:r>
            <w:r>
              <w:rPr>
                <w:noProof/>
                <w:webHidden/>
              </w:rPr>
            </w:r>
            <w:r>
              <w:rPr>
                <w:noProof/>
                <w:webHidden/>
              </w:rPr>
              <w:fldChar w:fldCharType="separate"/>
            </w:r>
            <w:r w:rsidR="00397075">
              <w:rPr>
                <w:noProof/>
                <w:webHidden/>
              </w:rPr>
              <w:t>40</w:t>
            </w:r>
            <w:r>
              <w:rPr>
                <w:noProof/>
                <w:webHidden/>
              </w:rPr>
              <w:fldChar w:fldCharType="end"/>
            </w:r>
          </w:hyperlink>
        </w:p>
        <w:p w:rsidR="00397075" w:rsidRDefault="00E44EA8">
          <w:pPr>
            <w:pStyle w:val="TOC1"/>
            <w:tabs>
              <w:tab w:val="right" w:leader="dot" w:pos="9062"/>
            </w:tabs>
            <w:rPr>
              <w:noProof/>
              <w:lang w:val="nl-NL" w:eastAsia="nl-NL" w:bidi="ar-SA"/>
            </w:rPr>
          </w:pPr>
          <w:hyperlink w:anchor="_Toc300320243" w:history="1">
            <w:r w:rsidR="00397075" w:rsidRPr="006B50DA">
              <w:rPr>
                <w:rStyle w:val="Hyperlink"/>
                <w:noProof/>
                <w:lang w:eastAsia="nl-NL"/>
              </w:rPr>
              <w:t xml:space="preserve">Appendix C European indices, </w:t>
            </w:r>
            <w:r w:rsidR="00397075" w:rsidRPr="006B50DA">
              <w:rPr>
                <w:rStyle w:val="Hyperlink"/>
                <w:noProof/>
              </w:rPr>
              <w:t>names, graphs, correlations and descriptive statistics</w:t>
            </w:r>
            <w:r w:rsidR="00397075">
              <w:rPr>
                <w:noProof/>
                <w:webHidden/>
              </w:rPr>
              <w:tab/>
            </w:r>
            <w:r>
              <w:rPr>
                <w:noProof/>
                <w:webHidden/>
              </w:rPr>
              <w:fldChar w:fldCharType="begin"/>
            </w:r>
            <w:r w:rsidR="00397075">
              <w:rPr>
                <w:noProof/>
                <w:webHidden/>
              </w:rPr>
              <w:instrText xml:space="preserve"> PAGEREF _Toc300320243 \h </w:instrText>
            </w:r>
            <w:r>
              <w:rPr>
                <w:noProof/>
                <w:webHidden/>
              </w:rPr>
            </w:r>
            <w:r>
              <w:rPr>
                <w:noProof/>
                <w:webHidden/>
              </w:rPr>
              <w:fldChar w:fldCharType="separate"/>
            </w:r>
            <w:r w:rsidR="00397075">
              <w:rPr>
                <w:noProof/>
                <w:webHidden/>
              </w:rPr>
              <w:t>42</w:t>
            </w:r>
            <w:r>
              <w:rPr>
                <w:noProof/>
                <w:webHidden/>
              </w:rPr>
              <w:fldChar w:fldCharType="end"/>
            </w:r>
          </w:hyperlink>
        </w:p>
        <w:p w:rsidR="00397075" w:rsidRDefault="00E44EA8">
          <w:pPr>
            <w:pStyle w:val="TOC1"/>
            <w:tabs>
              <w:tab w:val="right" w:leader="dot" w:pos="9062"/>
            </w:tabs>
            <w:rPr>
              <w:noProof/>
              <w:lang w:val="nl-NL" w:eastAsia="nl-NL" w:bidi="ar-SA"/>
            </w:rPr>
          </w:pPr>
          <w:hyperlink w:anchor="_Toc300320244" w:history="1">
            <w:r w:rsidR="00397075" w:rsidRPr="006B50DA">
              <w:rPr>
                <w:rStyle w:val="Hyperlink"/>
                <w:noProof/>
              </w:rPr>
              <w:t>Appendix D Engle and Granger cointegration test results</w:t>
            </w:r>
            <w:r w:rsidR="00397075">
              <w:rPr>
                <w:noProof/>
                <w:webHidden/>
              </w:rPr>
              <w:tab/>
            </w:r>
            <w:r>
              <w:rPr>
                <w:noProof/>
                <w:webHidden/>
              </w:rPr>
              <w:fldChar w:fldCharType="begin"/>
            </w:r>
            <w:r w:rsidR="00397075">
              <w:rPr>
                <w:noProof/>
                <w:webHidden/>
              </w:rPr>
              <w:instrText xml:space="preserve"> PAGEREF _Toc300320244 \h </w:instrText>
            </w:r>
            <w:r>
              <w:rPr>
                <w:noProof/>
                <w:webHidden/>
              </w:rPr>
            </w:r>
            <w:r>
              <w:rPr>
                <w:noProof/>
                <w:webHidden/>
              </w:rPr>
              <w:fldChar w:fldCharType="separate"/>
            </w:r>
            <w:r w:rsidR="00397075">
              <w:rPr>
                <w:noProof/>
                <w:webHidden/>
              </w:rPr>
              <w:t>44</w:t>
            </w:r>
            <w:r>
              <w:rPr>
                <w:noProof/>
                <w:webHidden/>
              </w:rPr>
              <w:fldChar w:fldCharType="end"/>
            </w:r>
          </w:hyperlink>
        </w:p>
        <w:p w:rsidR="00397075" w:rsidRDefault="00E44EA8">
          <w:pPr>
            <w:pStyle w:val="TOC1"/>
            <w:tabs>
              <w:tab w:val="right" w:leader="dot" w:pos="9062"/>
            </w:tabs>
            <w:rPr>
              <w:noProof/>
              <w:lang w:val="nl-NL" w:eastAsia="nl-NL" w:bidi="ar-SA"/>
            </w:rPr>
          </w:pPr>
          <w:hyperlink w:anchor="_Toc300320245" w:history="1">
            <w:r w:rsidR="00397075" w:rsidRPr="006B50DA">
              <w:rPr>
                <w:rStyle w:val="Hyperlink"/>
                <w:noProof/>
              </w:rPr>
              <w:t>Appendix E Johansen cointegration test results</w:t>
            </w:r>
            <w:r w:rsidR="00397075">
              <w:rPr>
                <w:noProof/>
                <w:webHidden/>
              </w:rPr>
              <w:tab/>
            </w:r>
            <w:r>
              <w:rPr>
                <w:noProof/>
                <w:webHidden/>
              </w:rPr>
              <w:fldChar w:fldCharType="begin"/>
            </w:r>
            <w:r w:rsidR="00397075">
              <w:rPr>
                <w:noProof/>
                <w:webHidden/>
              </w:rPr>
              <w:instrText xml:space="preserve"> PAGEREF _Toc300320245 \h </w:instrText>
            </w:r>
            <w:r>
              <w:rPr>
                <w:noProof/>
                <w:webHidden/>
              </w:rPr>
            </w:r>
            <w:r>
              <w:rPr>
                <w:noProof/>
                <w:webHidden/>
              </w:rPr>
              <w:fldChar w:fldCharType="separate"/>
            </w:r>
            <w:r w:rsidR="00397075">
              <w:rPr>
                <w:noProof/>
                <w:webHidden/>
              </w:rPr>
              <w:t>46</w:t>
            </w:r>
            <w:r>
              <w:rPr>
                <w:noProof/>
                <w:webHidden/>
              </w:rPr>
              <w:fldChar w:fldCharType="end"/>
            </w:r>
          </w:hyperlink>
        </w:p>
        <w:p w:rsidR="00397075" w:rsidRDefault="00E44EA8">
          <w:pPr>
            <w:pStyle w:val="TOC1"/>
            <w:tabs>
              <w:tab w:val="right" w:leader="dot" w:pos="9062"/>
            </w:tabs>
            <w:rPr>
              <w:noProof/>
              <w:lang w:val="nl-NL" w:eastAsia="nl-NL" w:bidi="ar-SA"/>
            </w:rPr>
          </w:pPr>
          <w:hyperlink w:anchor="_Toc300320246" w:history="1">
            <w:r w:rsidR="00397075" w:rsidRPr="006B50DA">
              <w:rPr>
                <w:rStyle w:val="Hyperlink"/>
                <w:noProof/>
              </w:rPr>
              <w:t>Appendix F Impulse response functions</w:t>
            </w:r>
            <w:r w:rsidR="00397075">
              <w:rPr>
                <w:noProof/>
                <w:webHidden/>
              </w:rPr>
              <w:tab/>
            </w:r>
            <w:r>
              <w:rPr>
                <w:noProof/>
                <w:webHidden/>
              </w:rPr>
              <w:fldChar w:fldCharType="begin"/>
            </w:r>
            <w:r w:rsidR="00397075">
              <w:rPr>
                <w:noProof/>
                <w:webHidden/>
              </w:rPr>
              <w:instrText xml:space="preserve"> PAGEREF _Toc300320246 \h </w:instrText>
            </w:r>
            <w:r>
              <w:rPr>
                <w:noProof/>
                <w:webHidden/>
              </w:rPr>
            </w:r>
            <w:r>
              <w:rPr>
                <w:noProof/>
                <w:webHidden/>
              </w:rPr>
              <w:fldChar w:fldCharType="separate"/>
            </w:r>
            <w:r w:rsidR="00397075">
              <w:rPr>
                <w:noProof/>
                <w:webHidden/>
              </w:rPr>
              <w:t>48</w:t>
            </w:r>
            <w:r>
              <w:rPr>
                <w:noProof/>
                <w:webHidden/>
              </w:rPr>
              <w:fldChar w:fldCharType="end"/>
            </w:r>
          </w:hyperlink>
        </w:p>
        <w:p w:rsidR="00906BE1" w:rsidRPr="00DA7F40" w:rsidRDefault="00E44EA8">
          <w:pPr>
            <w:rPr>
              <w:lang w:val="nl-NL"/>
            </w:rPr>
          </w:pPr>
          <w:r w:rsidRPr="00DA7F40">
            <w:rPr>
              <w:lang w:val="nl-NL"/>
            </w:rPr>
            <w:fldChar w:fldCharType="end"/>
          </w:r>
        </w:p>
      </w:sdtContent>
    </w:sdt>
    <w:p w:rsidR="00906BE1" w:rsidRPr="00DA7F40" w:rsidRDefault="00906BE1" w:rsidP="004B1928">
      <w:pPr>
        <w:pStyle w:val="NoSpacing"/>
      </w:pPr>
    </w:p>
    <w:p w:rsidR="00906BE1" w:rsidRPr="00DA7F40" w:rsidRDefault="00906BE1" w:rsidP="004B1928">
      <w:pPr>
        <w:pStyle w:val="NoSpacing"/>
      </w:pPr>
    </w:p>
    <w:p w:rsidR="00906BE1" w:rsidRPr="00DA7F40" w:rsidRDefault="00906BE1" w:rsidP="004B1928">
      <w:pPr>
        <w:pStyle w:val="NoSpacing"/>
      </w:pPr>
    </w:p>
    <w:p w:rsidR="00906BE1" w:rsidRPr="00DA7F40" w:rsidRDefault="00906BE1" w:rsidP="004B1928">
      <w:pPr>
        <w:pStyle w:val="NoSpacing"/>
      </w:pPr>
    </w:p>
    <w:p w:rsidR="00906BE1" w:rsidRPr="00DA7F40" w:rsidRDefault="00906BE1" w:rsidP="004B1928">
      <w:pPr>
        <w:pStyle w:val="NoSpacing"/>
      </w:pPr>
    </w:p>
    <w:p w:rsidR="00906BE1" w:rsidRPr="00DA7F40" w:rsidRDefault="00906BE1" w:rsidP="004B1928">
      <w:pPr>
        <w:pStyle w:val="NoSpacing"/>
      </w:pPr>
    </w:p>
    <w:p w:rsidR="00906BE1" w:rsidRPr="00DA7F40" w:rsidRDefault="00906BE1" w:rsidP="004B1928">
      <w:pPr>
        <w:pStyle w:val="NoSpacing"/>
      </w:pPr>
    </w:p>
    <w:p w:rsidR="00906BE1" w:rsidRPr="00DA7F40" w:rsidRDefault="00906BE1" w:rsidP="004B1928">
      <w:pPr>
        <w:pStyle w:val="NoSpacing"/>
      </w:pPr>
    </w:p>
    <w:p w:rsidR="00906BE1" w:rsidRPr="00DA7F40" w:rsidRDefault="00906BE1" w:rsidP="004B1928">
      <w:pPr>
        <w:pStyle w:val="NoSpacing"/>
      </w:pPr>
    </w:p>
    <w:p w:rsidR="00906BE1" w:rsidRDefault="00D3722D" w:rsidP="00906BE1">
      <w:pPr>
        <w:pStyle w:val="Heading1"/>
      </w:pPr>
      <w:bookmarkStart w:id="2" w:name="_Toc300320228"/>
      <w:r>
        <w:lastRenderedPageBreak/>
        <w:t>L</w:t>
      </w:r>
      <w:r w:rsidR="00906BE1">
        <w:t>ist of tables</w:t>
      </w:r>
      <w:bookmarkEnd w:id="2"/>
    </w:p>
    <w:p w:rsidR="00E00EA7" w:rsidRDefault="00E00EA7" w:rsidP="00E00EA7">
      <w:pPr>
        <w:pStyle w:val="NoSpacing"/>
      </w:pPr>
      <w:r w:rsidRPr="00D6780B">
        <w:t>Tabl</w:t>
      </w:r>
      <w:r>
        <w:t>e</w:t>
      </w:r>
      <w:r w:rsidRPr="00D6780B">
        <w:t xml:space="preserve"> </w:t>
      </w:r>
      <w:fldSimple w:instr=" SEQ Tabel \* ARABIC ">
        <w:r w:rsidR="00BF49CF">
          <w:rPr>
            <w:noProof/>
          </w:rPr>
          <w:t>1</w:t>
        </w:r>
      </w:fldSimple>
      <w:r>
        <w:t>:</w:t>
      </w:r>
      <w:r w:rsidRPr="00D6780B">
        <w:t xml:space="preserve"> Exchange rates</w:t>
      </w:r>
    </w:p>
    <w:p w:rsidR="00E00EA7" w:rsidRDefault="00E00EA7" w:rsidP="00E00EA7">
      <w:pPr>
        <w:pStyle w:val="NoSpacing"/>
      </w:pPr>
      <w:r>
        <w:t xml:space="preserve">Table </w:t>
      </w:r>
      <w:fldSimple w:instr=" SEQ Tabel \* ARABIC ">
        <w:r w:rsidR="00BF49CF">
          <w:rPr>
            <w:noProof/>
          </w:rPr>
          <w:t>2</w:t>
        </w:r>
      </w:fldSimple>
      <w:r>
        <w:t>: Descriptive statistics exchange rates</w:t>
      </w:r>
    </w:p>
    <w:p w:rsidR="00E00EA7" w:rsidRDefault="00E00EA7" w:rsidP="00E00EA7">
      <w:pPr>
        <w:pStyle w:val="NoSpacing"/>
      </w:pPr>
      <w:r>
        <w:t xml:space="preserve">Table </w:t>
      </w:r>
      <w:fldSimple w:instr=" SEQ Tabel \* ARABIC ">
        <w:r w:rsidR="00BF49CF">
          <w:rPr>
            <w:noProof/>
          </w:rPr>
          <w:t>3</w:t>
        </w:r>
      </w:fldSimple>
      <w:r>
        <w:t xml:space="preserve">: Descriptive statistics market indices </w:t>
      </w:r>
    </w:p>
    <w:p w:rsidR="00CD606C" w:rsidRDefault="00CD606C" w:rsidP="00DB031F">
      <w:pPr>
        <w:pStyle w:val="NoSpacing"/>
      </w:pPr>
      <w:r>
        <w:t>Table 4: Sectors</w:t>
      </w:r>
    </w:p>
    <w:p w:rsidR="00DB031F" w:rsidRDefault="00DB031F" w:rsidP="00DB031F">
      <w:pPr>
        <w:pStyle w:val="NoSpacing"/>
      </w:pPr>
      <w:r>
        <w:t xml:space="preserve">Table </w:t>
      </w:r>
      <w:r w:rsidR="00CD606C">
        <w:t>5</w:t>
      </w:r>
      <w:r>
        <w:t xml:space="preserve">: Correlations between market indices and exchange rates </w:t>
      </w:r>
    </w:p>
    <w:p w:rsidR="00DB031F" w:rsidRDefault="00DB031F" w:rsidP="00DB031F">
      <w:pPr>
        <w:pStyle w:val="NoSpacing"/>
      </w:pPr>
      <w:r>
        <w:t xml:space="preserve">Table </w:t>
      </w:r>
      <w:r w:rsidR="00CD606C">
        <w:t>6</w:t>
      </w:r>
      <w:r>
        <w:t>: ADF test on exchange rates</w:t>
      </w:r>
    </w:p>
    <w:p w:rsidR="00DB031F" w:rsidRDefault="00DB031F" w:rsidP="00DB031F">
      <w:pPr>
        <w:pStyle w:val="NoSpacing"/>
      </w:pPr>
      <w:r>
        <w:t xml:space="preserve">Table </w:t>
      </w:r>
      <w:r w:rsidR="00CD606C">
        <w:t>7</w:t>
      </w:r>
      <w:r>
        <w:t>: ADF test on market indices</w:t>
      </w:r>
    </w:p>
    <w:p w:rsidR="00DB031F" w:rsidRDefault="00DB031F" w:rsidP="00DB031F">
      <w:pPr>
        <w:pStyle w:val="NoSpacing"/>
      </w:pPr>
      <w:r>
        <w:t xml:space="preserve">Table </w:t>
      </w:r>
      <w:r w:rsidR="00CD606C">
        <w:t>8</w:t>
      </w:r>
      <w:r>
        <w:t xml:space="preserve">: </w:t>
      </w:r>
      <w:proofErr w:type="spellStart"/>
      <w:r>
        <w:t>Cointegration</w:t>
      </w:r>
      <w:proofErr w:type="spellEnd"/>
      <w:r>
        <w:t xml:space="preserve"> test between market indices and exchange rates</w:t>
      </w:r>
    </w:p>
    <w:p w:rsidR="00DB031F" w:rsidRDefault="00DB031F" w:rsidP="00DB031F">
      <w:pPr>
        <w:pStyle w:val="NoSpacing"/>
      </w:pPr>
      <w:r>
        <w:t xml:space="preserve">Table </w:t>
      </w:r>
      <w:r w:rsidR="00CD606C">
        <w:t>9</w:t>
      </w:r>
      <w:r>
        <w:t>: Granger causality tests for market indices and exchange rates</w:t>
      </w:r>
    </w:p>
    <w:p w:rsidR="00DB031F" w:rsidRDefault="00DB031F" w:rsidP="00DB031F">
      <w:pPr>
        <w:pStyle w:val="NoSpacing"/>
      </w:pPr>
      <w:r>
        <w:t xml:space="preserve">Table </w:t>
      </w:r>
      <w:r w:rsidR="00CD606C">
        <w:t>10</w:t>
      </w:r>
      <w:r>
        <w:t>: ADF test on stocks (Europe)</w:t>
      </w:r>
    </w:p>
    <w:p w:rsidR="00CD606C" w:rsidRDefault="00107DB1" w:rsidP="00107DB1">
      <w:pPr>
        <w:pStyle w:val="NoSpacing"/>
      </w:pPr>
      <w:r>
        <w:t xml:space="preserve">Table 11: </w:t>
      </w:r>
      <w:r w:rsidR="00CD606C">
        <w:t>Granger causality tests for European sector indices and exchange rates</w:t>
      </w:r>
    </w:p>
    <w:p w:rsidR="00107DB1" w:rsidRDefault="00CD606C" w:rsidP="00107DB1">
      <w:pPr>
        <w:pStyle w:val="NoSpacing"/>
      </w:pPr>
      <w:r>
        <w:t xml:space="preserve">Table 12: </w:t>
      </w:r>
      <w:r w:rsidR="00107DB1">
        <w:t>Impulse response functions CHFEUR to sector</w:t>
      </w:r>
    </w:p>
    <w:p w:rsidR="00CD606C" w:rsidRDefault="00DB031F" w:rsidP="00CD606C">
      <w:pPr>
        <w:pStyle w:val="NoSpacing"/>
      </w:pPr>
      <w:r>
        <w:t>Table 1</w:t>
      </w:r>
      <w:r w:rsidR="00CD606C">
        <w:t>3</w:t>
      </w:r>
      <w:r>
        <w:t xml:space="preserve">: </w:t>
      </w:r>
      <w:r w:rsidR="00CD606C" w:rsidRPr="00107DB1">
        <w:t>Impulse response functions of sectors to USDEUR</w:t>
      </w:r>
    </w:p>
    <w:p w:rsidR="00DB031F" w:rsidRDefault="00DB031F" w:rsidP="00DB031F">
      <w:pPr>
        <w:pStyle w:val="NoSpacing"/>
      </w:pPr>
      <w:r>
        <w:t xml:space="preserve">Table </w:t>
      </w:r>
      <w:r w:rsidR="00CD606C">
        <w:t>14</w:t>
      </w:r>
      <w:r>
        <w:t>: ADF test on stocks (US)</w:t>
      </w:r>
    </w:p>
    <w:p w:rsidR="00DB031F" w:rsidRDefault="00DB031F" w:rsidP="00DB031F">
      <w:pPr>
        <w:pStyle w:val="NoSpacing"/>
      </w:pPr>
      <w:r>
        <w:t xml:space="preserve">Table </w:t>
      </w:r>
      <w:r w:rsidR="00CD606C">
        <w:t>15</w:t>
      </w:r>
      <w:r>
        <w:t>: Granger causality tests for US stock indices and exchange rates</w:t>
      </w:r>
    </w:p>
    <w:p w:rsidR="00E00EA7" w:rsidRDefault="00E00EA7" w:rsidP="00E00EA7"/>
    <w:p w:rsidR="00906BE1" w:rsidRPr="00906BE1" w:rsidRDefault="00906BE1" w:rsidP="00906BE1">
      <w:pPr>
        <w:pStyle w:val="Heading1"/>
      </w:pPr>
      <w:bookmarkStart w:id="3" w:name="_Toc300320229"/>
      <w:r>
        <w:t>List of figures</w:t>
      </w:r>
      <w:bookmarkEnd w:id="3"/>
    </w:p>
    <w:p w:rsidR="00E00EA7" w:rsidRDefault="00E00EA7" w:rsidP="00E00EA7">
      <w:pPr>
        <w:pStyle w:val="NoSpacing"/>
      </w:pPr>
      <w:r>
        <w:t xml:space="preserve">Figure </w:t>
      </w:r>
      <w:fldSimple w:instr=" SEQ Figuur \* ARABIC ">
        <w:r>
          <w:rPr>
            <w:noProof/>
          </w:rPr>
          <w:t>1</w:t>
        </w:r>
      </w:fldSimple>
      <w:r>
        <w:t xml:space="preserve">: Exchange rates </w:t>
      </w:r>
      <w:r w:rsidR="00CD606C">
        <w:t>indices</w:t>
      </w:r>
    </w:p>
    <w:p w:rsidR="00E00EA7" w:rsidRDefault="00E00EA7" w:rsidP="00E00EA7">
      <w:r>
        <w:t xml:space="preserve">Figure </w:t>
      </w:r>
      <w:fldSimple w:instr=" SEQ Figuur \* ARABIC ">
        <w:r>
          <w:rPr>
            <w:noProof/>
          </w:rPr>
          <w:t>2</w:t>
        </w:r>
      </w:fldSimple>
      <w:r>
        <w:t xml:space="preserve">: Stock market </w:t>
      </w:r>
      <w:r w:rsidR="00CD606C">
        <w:t>indices</w:t>
      </w:r>
    </w:p>
    <w:p w:rsidR="00906BE1" w:rsidRDefault="00906BE1" w:rsidP="00906BE1">
      <w:pPr>
        <w:pStyle w:val="Heading1"/>
      </w:pPr>
    </w:p>
    <w:p w:rsidR="00906BE1" w:rsidRDefault="00906BE1" w:rsidP="00906BE1">
      <w:pPr>
        <w:pStyle w:val="Heading1"/>
      </w:pPr>
    </w:p>
    <w:p w:rsidR="00906BE1" w:rsidRDefault="00906BE1" w:rsidP="00906BE1">
      <w:pPr>
        <w:pStyle w:val="Heading1"/>
      </w:pPr>
    </w:p>
    <w:p w:rsidR="00906BE1" w:rsidRDefault="00906BE1" w:rsidP="00906BE1">
      <w:pPr>
        <w:pStyle w:val="Heading1"/>
      </w:pPr>
    </w:p>
    <w:p w:rsidR="00906BE1" w:rsidRDefault="00906BE1" w:rsidP="00906BE1">
      <w:pPr>
        <w:pStyle w:val="Heading1"/>
      </w:pPr>
    </w:p>
    <w:p w:rsidR="00906BE1" w:rsidRDefault="00906BE1" w:rsidP="00906BE1">
      <w:pPr>
        <w:pStyle w:val="Heading1"/>
      </w:pPr>
    </w:p>
    <w:p w:rsidR="00906BE1" w:rsidRDefault="00906BE1" w:rsidP="00906BE1">
      <w:pPr>
        <w:pStyle w:val="Heading1"/>
      </w:pPr>
    </w:p>
    <w:p w:rsidR="00314A1E" w:rsidRDefault="00314A1E" w:rsidP="00314A1E"/>
    <w:p w:rsidR="00314A1E" w:rsidRDefault="00314A1E" w:rsidP="00314A1E"/>
    <w:p w:rsidR="00314A1E" w:rsidRDefault="00314A1E" w:rsidP="00314A1E"/>
    <w:p w:rsidR="00314A1E" w:rsidRDefault="00314A1E" w:rsidP="00314A1E"/>
    <w:p w:rsidR="00314A1E" w:rsidRDefault="00314A1E" w:rsidP="00314A1E"/>
    <w:p w:rsidR="00314A1E" w:rsidRDefault="00314A1E" w:rsidP="00314A1E"/>
    <w:p w:rsidR="00107DB1" w:rsidRDefault="00107DB1" w:rsidP="00314A1E"/>
    <w:p w:rsidR="00D3722D" w:rsidRDefault="00D3722D" w:rsidP="00314A1E"/>
    <w:p w:rsidR="00107DB1" w:rsidRDefault="00107DB1" w:rsidP="00314A1E"/>
    <w:p w:rsidR="00D6604F" w:rsidRPr="00D6604F" w:rsidRDefault="00D6604F" w:rsidP="00D2718D">
      <w:pPr>
        <w:pStyle w:val="Heading1"/>
        <w:numPr>
          <w:ilvl w:val="0"/>
          <w:numId w:val="14"/>
        </w:numPr>
      </w:pPr>
      <w:bookmarkStart w:id="4" w:name="_Toc300320230"/>
      <w:r w:rsidRPr="00D6604F">
        <w:lastRenderedPageBreak/>
        <w:t>Introduction</w:t>
      </w:r>
      <w:bookmarkEnd w:id="4"/>
    </w:p>
    <w:p w:rsidR="00D6604F" w:rsidRDefault="00D6604F" w:rsidP="00D6604F">
      <w:pPr>
        <w:pStyle w:val="NoSpacing"/>
      </w:pPr>
      <w:r>
        <w:t>The extensive literature about relations between the stock market and exchange rates</w:t>
      </w:r>
      <w:r w:rsidR="00D3722D">
        <w:t>,</w:t>
      </w:r>
      <w:r>
        <w:t xml:space="preserve"> starting since the fall of the </w:t>
      </w:r>
      <w:proofErr w:type="spellStart"/>
      <w:r>
        <w:t>Bretton</w:t>
      </w:r>
      <w:proofErr w:type="spellEnd"/>
      <w:r>
        <w:t xml:space="preserve"> Woods</w:t>
      </w:r>
      <w:r w:rsidR="00D3722D">
        <w:t>,</w:t>
      </w:r>
      <w:r>
        <w:t xml:space="preserve"> has never been in accordance with each other. In the </w:t>
      </w:r>
      <w:proofErr w:type="spellStart"/>
      <w:r>
        <w:t>Bretton</w:t>
      </w:r>
      <w:proofErr w:type="spellEnd"/>
      <w:r>
        <w:t xml:space="preserve"> Woods system, the most important western countries and Japan had tied their currency to the US dollar. In 1971 the US decided to stop the agreement about the convertibility of dollars in gold (often referred to as the Nixon shock), leading directly to the fall of the </w:t>
      </w:r>
      <w:proofErr w:type="spellStart"/>
      <w:r>
        <w:t>Bretton</w:t>
      </w:r>
      <w:proofErr w:type="spellEnd"/>
      <w:r>
        <w:t xml:space="preserve"> Woods system and starting the period of floating rates. A new period has started and the free floating exchange rates attracted directly the attention of financial economists. The exchange market transformed to one of the most scrutinized markets and is with a daily turnover of 3.98 trillion dollar in April 2010</w:t>
      </w:r>
      <w:r>
        <w:rPr>
          <w:rStyle w:val="FootnoteReference"/>
        </w:rPr>
        <w:footnoteReference w:id="1"/>
      </w:r>
      <w:r>
        <w:t xml:space="preserve"> world’s biggest asset market. </w:t>
      </w:r>
    </w:p>
    <w:p w:rsidR="00D3722D" w:rsidRDefault="00D3722D" w:rsidP="00D6604F">
      <w:pPr>
        <w:pStyle w:val="NoSpacing"/>
      </w:pPr>
    </w:p>
    <w:p w:rsidR="00D3722D" w:rsidRPr="00D4118F" w:rsidRDefault="00D3722D" w:rsidP="00D6604F">
      <w:pPr>
        <w:pStyle w:val="NoSpacing"/>
        <w:rPr>
          <w:color w:val="FF0000"/>
        </w:rPr>
      </w:pPr>
      <w:r w:rsidRPr="00D4118F">
        <w:rPr>
          <w:color w:val="FF0000"/>
        </w:rPr>
        <w:t xml:space="preserve">Research about the behavior of exchange rates has lead to new theories and better understanding of this financial market. Important questions are; how are currencies priced and which facts can cause price movements. These questions has lead to research about the interaction between exchange rates and other variables, like fiscal policy, government spending, trade, price levels, oil prices etc. This paper will investigate the interaction of the exchange rate with another financial market, the stock market. The purpose is to </w:t>
      </w:r>
      <w:r w:rsidR="004E6CFE" w:rsidRPr="00D4118F">
        <w:rPr>
          <w:color w:val="FF0000"/>
        </w:rPr>
        <w:t xml:space="preserve">receive a better understanding about how both financial markets behave, how they are priced and how they influence each other.  </w:t>
      </w:r>
    </w:p>
    <w:p w:rsidR="00D6604F" w:rsidRPr="00D4118F" w:rsidRDefault="00D6604F" w:rsidP="00D6604F">
      <w:pPr>
        <w:pStyle w:val="NoSpacing"/>
        <w:rPr>
          <w:color w:val="FF0000"/>
        </w:rPr>
      </w:pPr>
    </w:p>
    <w:p w:rsidR="00BF49CF" w:rsidRPr="00D4118F" w:rsidRDefault="004E6CFE" w:rsidP="00D6604F">
      <w:pPr>
        <w:pStyle w:val="NoSpacing"/>
        <w:rPr>
          <w:color w:val="FF0000"/>
        </w:rPr>
      </w:pPr>
      <w:r w:rsidRPr="00D4118F">
        <w:rPr>
          <w:color w:val="FF0000"/>
        </w:rPr>
        <w:t xml:space="preserve">In chapter </w:t>
      </w:r>
      <w:r w:rsidR="00D2718D">
        <w:rPr>
          <w:color w:val="FF0000"/>
        </w:rPr>
        <w:t>two</w:t>
      </w:r>
      <w:r w:rsidRPr="00D4118F">
        <w:rPr>
          <w:color w:val="FF0000"/>
        </w:rPr>
        <w:t xml:space="preserve"> t</w:t>
      </w:r>
      <w:r w:rsidR="00D6604F" w:rsidRPr="00D4118F">
        <w:rPr>
          <w:color w:val="FF0000"/>
        </w:rPr>
        <w:t>he theory about the possibility of a relationship between stock markets and exchange rates is discussed</w:t>
      </w:r>
      <w:r w:rsidRPr="00D4118F">
        <w:rPr>
          <w:color w:val="FF0000"/>
        </w:rPr>
        <w:t xml:space="preserve">. The most important theoretical models will be used which try to explain how both markets are priced and how </w:t>
      </w:r>
      <w:r w:rsidR="00D61126">
        <w:rPr>
          <w:color w:val="FF0000"/>
        </w:rPr>
        <w:t>they behave. This chapter includes</w:t>
      </w:r>
      <w:r w:rsidRPr="00D4118F">
        <w:rPr>
          <w:color w:val="FF0000"/>
        </w:rPr>
        <w:t xml:space="preserve"> the </w:t>
      </w:r>
      <w:proofErr w:type="spellStart"/>
      <w:r w:rsidRPr="00D4118F">
        <w:rPr>
          <w:color w:val="FF0000"/>
        </w:rPr>
        <w:t>Munde</w:t>
      </w:r>
      <w:r w:rsidR="00D4118F">
        <w:rPr>
          <w:color w:val="FF0000"/>
        </w:rPr>
        <w:t>l</w:t>
      </w:r>
      <w:r w:rsidRPr="00D4118F">
        <w:rPr>
          <w:color w:val="FF0000"/>
        </w:rPr>
        <w:t>l</w:t>
      </w:r>
      <w:proofErr w:type="spellEnd"/>
      <w:r w:rsidRPr="00D4118F">
        <w:rPr>
          <w:color w:val="FF0000"/>
        </w:rPr>
        <w:t xml:space="preserve">-Fleming model, purchasing power parity, the monetary model and asset pricing models. Chapter </w:t>
      </w:r>
      <w:r w:rsidR="00D2718D">
        <w:rPr>
          <w:color w:val="FF0000"/>
        </w:rPr>
        <w:t>three</w:t>
      </w:r>
      <w:r w:rsidRPr="00D4118F">
        <w:rPr>
          <w:color w:val="FF0000"/>
        </w:rPr>
        <w:t xml:space="preserve"> will discuss </w:t>
      </w:r>
      <w:r w:rsidR="00D6604F" w:rsidRPr="00D4118F">
        <w:rPr>
          <w:color w:val="FF0000"/>
        </w:rPr>
        <w:t>the existing literature</w:t>
      </w:r>
      <w:r w:rsidRPr="00D4118F">
        <w:rPr>
          <w:color w:val="FF0000"/>
        </w:rPr>
        <w:t xml:space="preserve"> </w:t>
      </w:r>
      <w:r w:rsidR="00BF49CF" w:rsidRPr="00D4118F">
        <w:rPr>
          <w:color w:val="FF0000"/>
        </w:rPr>
        <w:t>with</w:t>
      </w:r>
      <w:r w:rsidRPr="00D4118F">
        <w:rPr>
          <w:color w:val="FF0000"/>
        </w:rPr>
        <w:t xml:space="preserve"> the same topic as this </w:t>
      </w:r>
      <w:proofErr w:type="gramStart"/>
      <w:r w:rsidRPr="00D4118F">
        <w:rPr>
          <w:color w:val="FF0000"/>
        </w:rPr>
        <w:t>thesis,</w:t>
      </w:r>
      <w:proofErr w:type="gramEnd"/>
      <w:r w:rsidRPr="00D4118F">
        <w:rPr>
          <w:color w:val="FF0000"/>
        </w:rPr>
        <w:t xml:space="preserve"> emphasis has been laid on researches done with the same countries and data sets</w:t>
      </w:r>
      <w:r w:rsidR="00D6604F" w:rsidRPr="00D4118F">
        <w:rPr>
          <w:color w:val="FF0000"/>
        </w:rPr>
        <w:t xml:space="preserve">. </w:t>
      </w:r>
      <w:r w:rsidR="00D2718D" w:rsidRPr="00D4118F">
        <w:rPr>
          <w:color w:val="FF0000"/>
        </w:rPr>
        <w:t xml:space="preserve">Chapter four clarifies the used data sets. </w:t>
      </w:r>
      <w:r w:rsidR="00BF49CF" w:rsidRPr="00D4118F">
        <w:rPr>
          <w:color w:val="FF0000"/>
        </w:rPr>
        <w:t xml:space="preserve">The methodology used to detect a relationship is explained in the </w:t>
      </w:r>
      <w:r w:rsidR="00D2718D">
        <w:rPr>
          <w:color w:val="FF0000"/>
        </w:rPr>
        <w:t>fifth</w:t>
      </w:r>
      <w:r w:rsidR="00BF49CF" w:rsidRPr="00D4118F">
        <w:rPr>
          <w:color w:val="FF0000"/>
        </w:rPr>
        <w:t xml:space="preserve"> chapter. The most important tests are </w:t>
      </w:r>
      <w:r w:rsidR="00D6604F" w:rsidRPr="00D4118F">
        <w:rPr>
          <w:color w:val="FF0000"/>
        </w:rPr>
        <w:t xml:space="preserve">the Augmented Dickey Fuller test, Engle and Granger </w:t>
      </w:r>
      <w:proofErr w:type="spellStart"/>
      <w:r w:rsidR="00D6604F" w:rsidRPr="00D4118F">
        <w:rPr>
          <w:color w:val="FF0000"/>
        </w:rPr>
        <w:t>cointegration</w:t>
      </w:r>
      <w:proofErr w:type="spellEnd"/>
      <w:r w:rsidR="00D6604F" w:rsidRPr="00D4118F">
        <w:rPr>
          <w:color w:val="FF0000"/>
        </w:rPr>
        <w:t xml:space="preserve"> test and the Granger causality test. </w:t>
      </w:r>
      <w:r w:rsidR="00BF49CF" w:rsidRPr="00D4118F">
        <w:rPr>
          <w:color w:val="FF0000"/>
        </w:rPr>
        <w:t xml:space="preserve">The results of these tests are presented in the </w:t>
      </w:r>
      <w:r w:rsidR="00D2718D">
        <w:rPr>
          <w:color w:val="FF0000"/>
        </w:rPr>
        <w:t>sixth</w:t>
      </w:r>
      <w:r w:rsidR="00BF49CF" w:rsidRPr="00D4118F">
        <w:rPr>
          <w:color w:val="FF0000"/>
        </w:rPr>
        <w:t xml:space="preserve"> chapter and this thesis ends with the conclusions in chapter </w:t>
      </w:r>
      <w:r w:rsidR="00D2718D">
        <w:rPr>
          <w:color w:val="FF0000"/>
        </w:rPr>
        <w:t>seven</w:t>
      </w:r>
      <w:r w:rsidR="00BF49CF" w:rsidRPr="00D4118F">
        <w:rPr>
          <w:color w:val="FF0000"/>
        </w:rPr>
        <w:t xml:space="preserve">. </w:t>
      </w:r>
    </w:p>
    <w:p w:rsidR="00BF49CF" w:rsidRPr="00D4118F" w:rsidRDefault="00BF49CF" w:rsidP="00D6604F">
      <w:pPr>
        <w:pStyle w:val="NoSpacing"/>
        <w:rPr>
          <w:color w:val="FF0000"/>
        </w:rPr>
      </w:pPr>
    </w:p>
    <w:p w:rsidR="00D6604F" w:rsidRPr="00D4118F" w:rsidRDefault="00D6604F" w:rsidP="00D6604F">
      <w:pPr>
        <w:pStyle w:val="NoSpacing"/>
        <w:rPr>
          <w:color w:val="FF0000"/>
        </w:rPr>
      </w:pPr>
      <w:r w:rsidRPr="00D4118F">
        <w:rPr>
          <w:color w:val="FF0000"/>
        </w:rPr>
        <w:t>In the results a link is made between the theory and findings of this thesis. But it is hardly impossible to give an explanation for every sector on its one. To analyze imports and exports of a sector</w:t>
      </w:r>
      <w:r w:rsidR="00D61126">
        <w:rPr>
          <w:color w:val="FF0000"/>
        </w:rPr>
        <w:t>,</w:t>
      </w:r>
      <w:r w:rsidRPr="00D4118F">
        <w:rPr>
          <w:color w:val="FF0000"/>
        </w:rPr>
        <w:t xml:space="preserve"> to find out in which countries affiliate companies are and which other variables are responsible for changes lies behind the scope of this thesis and is probably a whole thesis on its own. Despite the difficulties, this paper tries to explain how relationships are created on macro and micro economic level. But the goals of this paper are to find out if there are relationships between both markets, in the short or long run, in which direction, how do sectors behave and what are the differences between Europe and the US.    </w:t>
      </w:r>
    </w:p>
    <w:p w:rsidR="00D6604F" w:rsidRDefault="00D6604F" w:rsidP="00D6604F">
      <w:pPr>
        <w:pStyle w:val="NoSpacing"/>
      </w:pPr>
    </w:p>
    <w:p w:rsidR="00D6604F" w:rsidRPr="00D6604F" w:rsidRDefault="00D6604F" w:rsidP="00D6604F">
      <w:pPr>
        <w:pStyle w:val="NoSpacing"/>
      </w:pPr>
    </w:p>
    <w:p w:rsidR="00D6604F" w:rsidRDefault="00D6604F" w:rsidP="00906BE1">
      <w:pPr>
        <w:pStyle w:val="Heading1"/>
      </w:pPr>
    </w:p>
    <w:p w:rsidR="00D6604F" w:rsidRDefault="00D6604F" w:rsidP="00906BE1">
      <w:pPr>
        <w:pStyle w:val="Heading1"/>
      </w:pPr>
    </w:p>
    <w:p w:rsidR="00D6604F" w:rsidRDefault="00D6604F" w:rsidP="00906BE1">
      <w:pPr>
        <w:pStyle w:val="Heading1"/>
      </w:pPr>
    </w:p>
    <w:p w:rsidR="00D6604F" w:rsidRDefault="00D6604F" w:rsidP="00906BE1">
      <w:pPr>
        <w:pStyle w:val="Heading1"/>
      </w:pPr>
    </w:p>
    <w:p w:rsidR="00D6604F" w:rsidRDefault="00D6604F" w:rsidP="00906BE1">
      <w:pPr>
        <w:pStyle w:val="Heading1"/>
      </w:pPr>
    </w:p>
    <w:p w:rsidR="00291772" w:rsidRPr="00906BE1" w:rsidRDefault="008D0A55" w:rsidP="00D2718D">
      <w:pPr>
        <w:pStyle w:val="Heading1"/>
        <w:numPr>
          <w:ilvl w:val="0"/>
          <w:numId w:val="14"/>
        </w:numPr>
      </w:pPr>
      <w:bookmarkStart w:id="5" w:name="_Toc300320231"/>
      <w:r w:rsidRPr="00906BE1">
        <w:lastRenderedPageBreak/>
        <w:t>Theory</w:t>
      </w:r>
      <w:bookmarkEnd w:id="5"/>
    </w:p>
    <w:p w:rsidR="009F5C22" w:rsidRDefault="00D6604F" w:rsidP="009F5C22">
      <w:pPr>
        <w:pStyle w:val="NoSpacing"/>
      </w:pPr>
      <w:r>
        <w:t>A</w:t>
      </w:r>
      <w:r w:rsidR="00EF4CAC">
        <w:t>s said</w:t>
      </w:r>
      <w:r w:rsidR="00EE46BD">
        <w:t>,</w:t>
      </w:r>
      <w:r w:rsidR="00EF4CAC">
        <w:t xml:space="preserve"> </w:t>
      </w:r>
      <w:r w:rsidR="006E1B2A">
        <w:t>academicians</w:t>
      </w:r>
      <w:r w:rsidR="00EF4CAC">
        <w:t xml:space="preserve"> are far away from any consensus. </w:t>
      </w:r>
      <w:r w:rsidR="009F5C22">
        <w:t xml:space="preserve">Among them two </w:t>
      </w:r>
      <w:r w:rsidR="003D38FD">
        <w:t>different</w:t>
      </w:r>
      <w:r w:rsidR="009F5C22">
        <w:t xml:space="preserve"> theories</w:t>
      </w:r>
      <w:r w:rsidR="003D38FD">
        <w:t xml:space="preserve"> are dominating</w:t>
      </w:r>
      <w:r w:rsidR="00094399">
        <w:t>, namely the flow-oriented models and the portfolio-balance</w:t>
      </w:r>
      <w:r w:rsidR="002A5B8B">
        <w:t>d</w:t>
      </w:r>
      <w:r w:rsidR="00094399">
        <w:t xml:space="preserve"> models. Flow-oriented models of exchange rate determination descend from the classical economic thought that there is a relationship </w:t>
      </w:r>
      <w:r w:rsidR="009F5C22">
        <w:t>with direction of causation running from exchange rates to stock prices (</w:t>
      </w:r>
      <w:proofErr w:type="spellStart"/>
      <w:r w:rsidR="009F5C22">
        <w:t>Dornbusch</w:t>
      </w:r>
      <w:proofErr w:type="spellEnd"/>
      <w:r w:rsidR="009F5C22">
        <w:t xml:space="preserve"> and Fisher, 1980). </w:t>
      </w:r>
      <w:r w:rsidR="00570FA7">
        <w:t xml:space="preserve">The theory states that changes in exchange rates will influence international competitiveness and the trade balances, leading to changes in other economic variables as real income and output. Changes in the economic situation will affect the future expectations of a company’s performance, which will be reflected in the stock price. </w:t>
      </w:r>
    </w:p>
    <w:p w:rsidR="009F5C22" w:rsidRDefault="009F5C22" w:rsidP="009F5C22">
      <w:pPr>
        <w:pStyle w:val="NoSpacing"/>
      </w:pPr>
    </w:p>
    <w:p w:rsidR="009F5C22" w:rsidRDefault="002A5B8B" w:rsidP="009F5C22">
      <w:pPr>
        <w:pStyle w:val="NoSpacing"/>
      </w:pPr>
      <w:r>
        <w:t xml:space="preserve">Portfolio-balanced models presume internationally diversified asset portfolios and the function of </w:t>
      </w:r>
      <w:r w:rsidR="008E35FE">
        <w:t xml:space="preserve">the </w:t>
      </w:r>
      <w:r>
        <w:t>exchange rate is seen as t</w:t>
      </w:r>
      <w:r w:rsidR="008E35FE">
        <w:t>he</w:t>
      </w:r>
      <w:r>
        <w:t xml:space="preserve"> balance </w:t>
      </w:r>
      <w:r w:rsidR="008E35FE">
        <w:t xml:space="preserve">between </w:t>
      </w:r>
      <w:r>
        <w:t>demand and supply of domestic and foreign assets. An increase in domestic stock prices leads to growth of wealth, which leads to an increase</w:t>
      </w:r>
      <w:r w:rsidR="003D38FD">
        <w:t>d demand</w:t>
      </w:r>
      <w:r>
        <w:t xml:space="preserve"> for money, which in turn raises domestic interest rates. These high interest rates attract the attention of foreign investors </w:t>
      </w:r>
      <w:r w:rsidR="00255ECA">
        <w:t xml:space="preserve">who are </w:t>
      </w:r>
      <w:r>
        <w:t xml:space="preserve">looking to the highest returns, leading to </w:t>
      </w:r>
      <w:r w:rsidR="008E35FE">
        <w:t xml:space="preserve">extra </w:t>
      </w:r>
      <w:r>
        <w:t xml:space="preserve">foreign demand and an appreciation of the domestic currency (Branson, 1983; Frankel 1983). </w:t>
      </w:r>
      <w:r w:rsidR="00C0559C">
        <w:t xml:space="preserve">A decrease in the domestic stock prices reduces investor’s wealth, resulting in a fall in money demand </w:t>
      </w:r>
      <w:r w:rsidR="003D38FD">
        <w:t xml:space="preserve">and </w:t>
      </w:r>
      <w:r w:rsidR="00C0559C">
        <w:t xml:space="preserve">a fall in domestic interest rates. This leads to capital outflow and currency depreciation. </w:t>
      </w:r>
    </w:p>
    <w:p w:rsidR="00C0559C" w:rsidRDefault="00C0559C" w:rsidP="009F5C22">
      <w:pPr>
        <w:pStyle w:val="NoSpacing"/>
      </w:pPr>
    </w:p>
    <w:p w:rsidR="00CE6D78" w:rsidRDefault="00CE6D78" w:rsidP="009F5C22">
      <w:pPr>
        <w:pStyle w:val="NoSpacing"/>
      </w:pPr>
      <w:r>
        <w:t xml:space="preserve">Understanding of the relationship between both markets is important for more than one reason. It could affect decisions about fiscal and monetary </w:t>
      </w:r>
      <w:proofErr w:type="gramStart"/>
      <w:r>
        <w:t>policy,</w:t>
      </w:r>
      <w:proofErr w:type="gramEnd"/>
      <w:r>
        <w:t xml:space="preserve"> it could help investors making better investment decisions and companies with estimating their value. </w:t>
      </w:r>
    </w:p>
    <w:p w:rsidR="00CE6D78" w:rsidRDefault="00CE6D78" w:rsidP="009F5C22">
      <w:pPr>
        <w:pStyle w:val="NoSpacing"/>
      </w:pPr>
    </w:p>
    <w:p w:rsidR="004663D8" w:rsidRDefault="00F072E0" w:rsidP="004B1928">
      <w:pPr>
        <w:pStyle w:val="NoSpacing"/>
      </w:pPr>
      <w:r>
        <w:t xml:space="preserve">First of all, both markets could </w:t>
      </w:r>
      <w:r w:rsidR="00094399">
        <w:t>affect the decisions about fiscal and monetary policy</w:t>
      </w:r>
      <w:r w:rsidR="007C73EE">
        <w:t>, as</w:t>
      </w:r>
      <w:r w:rsidR="00094399">
        <w:t xml:space="preserve"> </w:t>
      </w:r>
      <w:r w:rsidR="007C73EE">
        <w:t>b</w:t>
      </w:r>
      <w:r w:rsidR="00094399">
        <w:t>ooming stock market</w:t>
      </w:r>
      <w:r w:rsidR="007C73EE">
        <w:t>s</w:t>
      </w:r>
      <w:r w:rsidR="00094399">
        <w:t xml:space="preserve"> </w:t>
      </w:r>
      <w:r w:rsidR="007C73EE">
        <w:t xml:space="preserve">lead to an increase in wealth and has </w:t>
      </w:r>
      <w:r w:rsidR="00094399">
        <w:t>a posit</w:t>
      </w:r>
      <w:r w:rsidR="007C73EE">
        <w:t>ive effect on aggregate demand</w:t>
      </w:r>
      <w:r w:rsidR="00255ECA">
        <w:t xml:space="preserve"> a</w:t>
      </w:r>
      <w:r w:rsidR="007C73EE">
        <w:t>nd it could lead to a rise in inflation</w:t>
      </w:r>
      <w:r>
        <w:t>, all</w:t>
      </w:r>
      <w:r w:rsidR="007C73EE">
        <w:t xml:space="preserve"> important factors in determining interest rates (fiscal) or government spending (monetary).   </w:t>
      </w:r>
      <w:r w:rsidR="008E35FE">
        <w:t xml:space="preserve">The influence of fiscal and monetary policy on interest rates, exchange rates and output is </w:t>
      </w:r>
      <w:r w:rsidR="00542F19">
        <w:t>discussed</w:t>
      </w:r>
      <w:r w:rsidR="008E35FE">
        <w:t xml:space="preserve"> in the papers of </w:t>
      </w:r>
      <w:proofErr w:type="spellStart"/>
      <w:r w:rsidR="008E35FE">
        <w:t>Mundell</w:t>
      </w:r>
      <w:proofErr w:type="spellEnd"/>
      <w:r w:rsidR="008E35FE">
        <w:t xml:space="preserve"> (1963) and Fleming (1962). They extended the IS</w:t>
      </w:r>
      <w:r w:rsidR="004663D8">
        <w:t>-</w:t>
      </w:r>
      <w:r w:rsidR="008E35FE">
        <w:t>LM model</w:t>
      </w:r>
      <w:r w:rsidR="004663D8">
        <w:t xml:space="preserve"> for open economies. The mos</w:t>
      </w:r>
      <w:r w:rsidR="00255ECA">
        <w:t>t important conclusions from this</w:t>
      </w:r>
      <w:r w:rsidR="004663D8">
        <w:t xml:space="preserve"> </w:t>
      </w:r>
      <w:proofErr w:type="spellStart"/>
      <w:r w:rsidR="004663D8">
        <w:t>Mundell</w:t>
      </w:r>
      <w:proofErr w:type="spellEnd"/>
      <w:r w:rsidR="004663D8">
        <w:t>-Fleming model are:</w:t>
      </w:r>
    </w:p>
    <w:p w:rsidR="004663D8" w:rsidRDefault="004663D8" w:rsidP="002009E0">
      <w:pPr>
        <w:pStyle w:val="NoSpacing"/>
        <w:numPr>
          <w:ilvl w:val="0"/>
          <w:numId w:val="6"/>
        </w:numPr>
      </w:pPr>
      <w:r>
        <w:t xml:space="preserve">An increase in money supply reduces the domestic interest rate, leading to capital outflow and a depreciating currency. </w:t>
      </w:r>
    </w:p>
    <w:p w:rsidR="004663D8" w:rsidRDefault="004663D8" w:rsidP="002009E0">
      <w:pPr>
        <w:pStyle w:val="NoSpacing"/>
        <w:numPr>
          <w:ilvl w:val="0"/>
          <w:numId w:val="6"/>
        </w:numPr>
      </w:pPr>
      <w:r>
        <w:t xml:space="preserve">An increase in government spending leads to a rise in </w:t>
      </w:r>
      <w:r w:rsidR="00542F19">
        <w:t xml:space="preserve">the </w:t>
      </w:r>
      <w:r>
        <w:t xml:space="preserve">domestic interest rate and domestic income, </w:t>
      </w:r>
      <w:r w:rsidR="00542F19">
        <w:t>resulting</w:t>
      </w:r>
      <w:r>
        <w:t xml:space="preserve"> to increased capital inflows and a stronger currency. </w:t>
      </w:r>
    </w:p>
    <w:p w:rsidR="004663D8" w:rsidRDefault="002009E0" w:rsidP="002009E0">
      <w:pPr>
        <w:pStyle w:val="NoSpacing"/>
        <w:numPr>
          <w:ilvl w:val="0"/>
          <w:numId w:val="6"/>
        </w:numPr>
      </w:pPr>
      <w:r>
        <w:t xml:space="preserve">An increase in the global interest rate leads to capital outflow, a depreciating domestic currency and higher exports. </w:t>
      </w:r>
    </w:p>
    <w:p w:rsidR="004663D8" w:rsidRDefault="004663D8" w:rsidP="004B1928">
      <w:pPr>
        <w:pStyle w:val="NoSpacing"/>
      </w:pPr>
    </w:p>
    <w:p w:rsidR="002009E0" w:rsidRDefault="002009E0" w:rsidP="002009E0">
      <w:pPr>
        <w:pStyle w:val="NoSpacing"/>
      </w:pPr>
      <w:r>
        <w:t xml:space="preserve">Exchange rate shocks will change the balance of payments of a country, as a strong currency leads to more export and less import, and a weak currency to more import and less export. </w:t>
      </w:r>
    </w:p>
    <w:p w:rsidR="002009E0" w:rsidRDefault="002009E0" w:rsidP="004B1928">
      <w:pPr>
        <w:pStyle w:val="NoSpacing"/>
      </w:pPr>
      <w:r>
        <w:t xml:space="preserve">This is caused by the fact that </w:t>
      </w:r>
      <w:r w:rsidR="00542F19">
        <w:t xml:space="preserve">a </w:t>
      </w:r>
      <w:r>
        <w:t>weak national currency makes products from that country more attractive for export because of the relative</w:t>
      </w:r>
      <w:r w:rsidR="00542F19">
        <w:t>ly</w:t>
      </w:r>
      <w:r>
        <w:t xml:space="preserve"> lower price</w:t>
      </w:r>
      <w:r w:rsidR="00542F19">
        <w:t>s</w:t>
      </w:r>
      <w:r>
        <w:t xml:space="preserve"> for </w:t>
      </w:r>
      <w:r w:rsidR="00255ECA">
        <w:t>foreign</w:t>
      </w:r>
      <w:r>
        <w:t xml:space="preserve"> consumers, while it makes import goods relative</w:t>
      </w:r>
      <w:r w:rsidR="00542F19">
        <w:t>ly</w:t>
      </w:r>
      <w:r>
        <w:t xml:space="preserve"> expensive</w:t>
      </w:r>
      <w:r w:rsidR="00255ECA">
        <w:t xml:space="preserve"> for domestic consumers</w:t>
      </w:r>
      <w:r>
        <w:t xml:space="preserve">. </w:t>
      </w:r>
    </w:p>
    <w:p w:rsidR="00217D72" w:rsidRDefault="00654255" w:rsidP="004B1928">
      <w:pPr>
        <w:pStyle w:val="NoSpacing"/>
      </w:pPr>
      <w:r>
        <w:t>A relation between the stock market and the exchange rate c</w:t>
      </w:r>
      <w:r w:rsidR="00EE46BD">
        <w:t>ould</w:t>
      </w:r>
      <w:r>
        <w:t xml:space="preserve"> help predicting the path of at least one of the two</w:t>
      </w:r>
      <w:r w:rsidR="00EE46BD">
        <w:t>, depending on which kind of relation will be found</w:t>
      </w:r>
      <w:r>
        <w:t xml:space="preserve">. Better prediction of the exchange rate will help multinational corporations in dealing with their foreign money accounts, decreasing their currency risk exposure and stabilizing their earnings. Better understanding of exchange rate drivers is important, especially in these times, where risk management plays an important role in the </w:t>
      </w:r>
      <w:r w:rsidR="00CE6D78">
        <w:t>business</w:t>
      </w:r>
      <w:r>
        <w:t xml:space="preserve"> of international operating companies. </w:t>
      </w:r>
      <w:r w:rsidR="005D3DA1">
        <w:t xml:space="preserve">While stock market changes due to the exchange rate can give more information to the management as well to investors about the consequences of the exchange rate. </w:t>
      </w:r>
      <w:r w:rsidR="00270D27">
        <w:t>Besides improving risk management, the relation between stocks and currencies can help a company estimating their own firm value</w:t>
      </w:r>
      <w:r w:rsidR="00255ECA">
        <w:t>.</w:t>
      </w:r>
      <w:r w:rsidR="00270D27">
        <w:t xml:space="preserve"> </w:t>
      </w:r>
      <w:r w:rsidR="00255ECA">
        <w:t>Knowledge about the f</w:t>
      </w:r>
      <w:r w:rsidR="00270D27">
        <w:t xml:space="preserve">irm value helps to measure </w:t>
      </w:r>
      <w:r w:rsidR="00270D27">
        <w:lastRenderedPageBreak/>
        <w:t xml:space="preserve">the </w:t>
      </w:r>
      <w:r w:rsidR="00CE6D78">
        <w:t>performance</w:t>
      </w:r>
      <w:r w:rsidR="00270D27">
        <w:t xml:space="preserve"> of executive employees and to determine their </w:t>
      </w:r>
      <w:proofErr w:type="gramStart"/>
      <w:r w:rsidR="00270D27">
        <w:t>bonuses,</w:t>
      </w:r>
      <w:proofErr w:type="gramEnd"/>
      <w:r w:rsidR="00270D27">
        <w:t xml:space="preserve"> further</w:t>
      </w:r>
      <w:r w:rsidR="00EE46BD">
        <w:t>more</w:t>
      </w:r>
      <w:r w:rsidR="00270D27">
        <w:t xml:space="preserve"> </w:t>
      </w:r>
      <w:r w:rsidR="00217D72">
        <w:t xml:space="preserve">it </w:t>
      </w:r>
      <w:r w:rsidR="00EE46BD">
        <w:t xml:space="preserve">is </w:t>
      </w:r>
      <w:r w:rsidR="00270D27">
        <w:t xml:space="preserve">of huge interest when a company wants to finance </w:t>
      </w:r>
      <w:r w:rsidR="00EE46BD">
        <w:t xml:space="preserve">her </w:t>
      </w:r>
      <w:r w:rsidR="00270D27">
        <w:t>activities with issuing new share</w:t>
      </w:r>
      <w:r w:rsidR="00217D72">
        <w:t xml:space="preserve">s or when it wants to </w:t>
      </w:r>
      <w:r w:rsidR="00EE46BD">
        <w:t>take over other companies/</w:t>
      </w:r>
      <w:r w:rsidR="00270D27">
        <w:t>com</w:t>
      </w:r>
      <w:r w:rsidR="00217D72">
        <w:t>petitors</w:t>
      </w:r>
      <w:r w:rsidR="00270D27">
        <w:t>.</w:t>
      </w:r>
      <w:r w:rsidR="00217D72">
        <w:t xml:space="preserve"> </w:t>
      </w:r>
      <w:r w:rsidR="00270D27">
        <w:t xml:space="preserve"> </w:t>
      </w:r>
      <w:r w:rsidR="00217D72">
        <w:t xml:space="preserve">A </w:t>
      </w:r>
      <w:r w:rsidR="00EE46BD">
        <w:t xml:space="preserve">(international operating) </w:t>
      </w:r>
      <w:r w:rsidR="00217D72">
        <w:t xml:space="preserve">firm’s value </w:t>
      </w:r>
      <w:r w:rsidR="00CE6D78">
        <w:t>could</w:t>
      </w:r>
      <w:r w:rsidR="00217D72">
        <w:t xml:space="preserve"> be depending on the effect of exchange rates. Some firms will be high sensitive o</w:t>
      </w:r>
      <w:r w:rsidR="00CE6D78">
        <w:t xml:space="preserve">thers less, but all firms </w:t>
      </w:r>
      <w:r w:rsidR="00217D72">
        <w:t xml:space="preserve">will </w:t>
      </w:r>
      <w:r w:rsidR="00CE6D78">
        <w:t xml:space="preserve">be influenced </w:t>
      </w:r>
      <w:r w:rsidR="00217D72">
        <w:t>sooner or later to changes in exchange rates</w:t>
      </w:r>
      <w:r w:rsidR="00255ECA">
        <w:t>, depending on their</w:t>
      </w:r>
      <w:r w:rsidR="00FE2AD6">
        <w:t xml:space="preserve"> exposure</w:t>
      </w:r>
      <w:r w:rsidR="00217D72">
        <w:t>. Economic theory distinct three types of exposure:</w:t>
      </w:r>
    </w:p>
    <w:p w:rsidR="00217D72" w:rsidRDefault="00217D72" w:rsidP="004B1928">
      <w:pPr>
        <w:pStyle w:val="NoSpacing"/>
      </w:pPr>
    </w:p>
    <w:p w:rsidR="00217D72" w:rsidRDefault="00217D72" w:rsidP="00217D72">
      <w:pPr>
        <w:pStyle w:val="NoSpacing"/>
        <w:numPr>
          <w:ilvl w:val="0"/>
          <w:numId w:val="3"/>
        </w:numPr>
      </w:pPr>
      <w:r>
        <w:t>Transaction exposure</w:t>
      </w:r>
    </w:p>
    <w:p w:rsidR="00217D72" w:rsidRDefault="00217D72" w:rsidP="00217D72">
      <w:pPr>
        <w:pStyle w:val="NoSpacing"/>
        <w:ind w:left="360"/>
      </w:pPr>
      <w:r>
        <w:t>Arise when a firm has to make or receive a payment at a future data denominated in a foreign currency</w:t>
      </w:r>
    </w:p>
    <w:p w:rsidR="00217D72" w:rsidRDefault="00217D72" w:rsidP="00217D72">
      <w:pPr>
        <w:pStyle w:val="NoSpacing"/>
        <w:ind w:left="360"/>
      </w:pPr>
    </w:p>
    <w:p w:rsidR="00217D72" w:rsidRDefault="00217D72" w:rsidP="00217D72">
      <w:pPr>
        <w:pStyle w:val="NoSpacing"/>
        <w:numPr>
          <w:ilvl w:val="0"/>
          <w:numId w:val="3"/>
        </w:numPr>
      </w:pPr>
      <w:r>
        <w:t>Translation exposure</w:t>
      </w:r>
    </w:p>
    <w:p w:rsidR="00217D72" w:rsidRDefault="00217D72" w:rsidP="00217D72">
      <w:pPr>
        <w:pStyle w:val="NoSpacing"/>
        <w:ind w:left="360"/>
      </w:pPr>
      <w:r>
        <w:t>Arise when a company has to consolidate results of affiliate companies with a reporting currenc</w:t>
      </w:r>
      <w:r w:rsidR="00255ECA">
        <w:t>y in another currency than the mother</w:t>
      </w:r>
      <w:r>
        <w:t xml:space="preserve"> company</w:t>
      </w:r>
    </w:p>
    <w:p w:rsidR="00217D72" w:rsidRDefault="00217D72" w:rsidP="00217D72">
      <w:pPr>
        <w:pStyle w:val="NoSpacing"/>
        <w:ind w:left="360"/>
      </w:pPr>
    </w:p>
    <w:p w:rsidR="00217D72" w:rsidRDefault="00217D72" w:rsidP="00217D72">
      <w:pPr>
        <w:pStyle w:val="NoSpacing"/>
        <w:numPr>
          <w:ilvl w:val="0"/>
          <w:numId w:val="3"/>
        </w:numPr>
      </w:pPr>
      <w:r>
        <w:t>Economic exposure</w:t>
      </w:r>
    </w:p>
    <w:p w:rsidR="00217D72" w:rsidRDefault="00217D72" w:rsidP="00217D72">
      <w:pPr>
        <w:pStyle w:val="NoSpacing"/>
        <w:ind w:left="360"/>
      </w:pPr>
      <w:r>
        <w:t xml:space="preserve">The change in a firm’s value due to changes in the value of the firm’s expected future cash flows and costs of capital, because of unexpected changes in the exchange rates. </w:t>
      </w:r>
    </w:p>
    <w:p w:rsidR="005D3DA1" w:rsidRDefault="005D3DA1" w:rsidP="004B1928">
      <w:pPr>
        <w:pStyle w:val="NoSpacing"/>
      </w:pPr>
    </w:p>
    <w:p w:rsidR="00B47846" w:rsidRDefault="005D3DA1" w:rsidP="004B1928">
      <w:pPr>
        <w:pStyle w:val="NoSpacing"/>
      </w:pPr>
      <w:r>
        <w:t>Seen purely from the investor</w:t>
      </w:r>
      <w:r w:rsidR="00255ECA">
        <w:t>’s</w:t>
      </w:r>
      <w:r>
        <w:t xml:space="preserve"> </w:t>
      </w:r>
      <w:r w:rsidR="00542F19">
        <w:t>point</w:t>
      </w:r>
      <w:r>
        <w:t xml:space="preserve"> of view, currencies are important investment opportunities, and forms more often </w:t>
      </w:r>
      <w:r w:rsidR="00B47846">
        <w:t>a</w:t>
      </w:r>
      <w:r>
        <w:t xml:space="preserve"> serious asset in an investment portfolio. </w:t>
      </w:r>
      <w:r w:rsidR="00B74EA0">
        <w:t xml:space="preserve">Adding currencies as an asset will improve a portfolio when working with the mean-variance approach. </w:t>
      </w:r>
      <w:r>
        <w:t xml:space="preserve"> </w:t>
      </w:r>
      <w:r w:rsidR="00B74EA0">
        <w:t xml:space="preserve">The theory about this approach forms the basis of the “search to diversification” of today’s portfolio managers. The mean-variance approach states that investing in more assets will </w:t>
      </w:r>
      <w:r w:rsidR="00AD1854">
        <w:t xml:space="preserve">lead to portfolios with a better mean-variance, meaning that combining assets gives expected returns with a higher mean, or a lower variance than the separated assets. </w:t>
      </w:r>
      <w:proofErr w:type="gramStart"/>
      <w:r w:rsidR="00AD1854">
        <w:t xml:space="preserve">But with the assumption that the correlation </w:t>
      </w:r>
      <w:r w:rsidR="00255ECA">
        <w:t>between the assets is not 1</w:t>
      </w:r>
      <w:r w:rsidR="00AD1854">
        <w:t>.</w:t>
      </w:r>
      <w:proofErr w:type="gramEnd"/>
      <w:r w:rsidR="00AD1854">
        <w:t xml:space="preserve"> According to the theory, an asset with a perfectly negative correlation with another asset will give an expected return without risks. Unfortunately this is not possible in practice, but it shows the importan</w:t>
      </w:r>
      <w:r w:rsidR="00255ECA">
        <w:t>ce</w:t>
      </w:r>
      <w:r w:rsidR="00AD1854">
        <w:t xml:space="preserve"> of adding assets with a negative correlation to the portfolio. A better understanding of the correlation of stocks with currencies will help investors to combine both assets in more efficient portfolios. </w:t>
      </w:r>
    </w:p>
    <w:p w:rsidR="00B47846" w:rsidRDefault="00B47846" w:rsidP="004B1928">
      <w:pPr>
        <w:pStyle w:val="NoSpacing"/>
      </w:pPr>
    </w:p>
    <w:p w:rsidR="00B47846" w:rsidRDefault="00B47846" w:rsidP="004B1928">
      <w:pPr>
        <w:pStyle w:val="NoSpacing"/>
      </w:pPr>
      <w:r>
        <w:t xml:space="preserve">Last, the link between both variables could help predicting financial crises. As in 1997, it is believed by some researchers that the Asian financial crisis was triggered by a fall in the Thai baht, which triggered the depreciation of other South-Asian currencies and led to a collapse in the stock markets. The financial crises of 2008 led to huge falls in stocks and currencies, the question is to which extent they trigger each other to fall down. </w:t>
      </w:r>
    </w:p>
    <w:p w:rsidR="00B47846" w:rsidRDefault="00B47846" w:rsidP="004B1928">
      <w:pPr>
        <w:pStyle w:val="NoSpacing"/>
      </w:pPr>
    </w:p>
    <w:p w:rsidR="00B47846" w:rsidRDefault="00B47846" w:rsidP="004B1928">
      <w:pPr>
        <w:pStyle w:val="NoSpacing"/>
      </w:pPr>
      <w:r>
        <w:t>To summarize, knowledge about the relationship between stock markets and the exchange rates</w:t>
      </w:r>
      <w:r w:rsidR="00270D27">
        <w:t>, and so better understanding of financial markets</w:t>
      </w:r>
      <w:r>
        <w:t xml:space="preserve"> will lead to four possible advantages:</w:t>
      </w:r>
    </w:p>
    <w:p w:rsidR="00B47846" w:rsidRDefault="00542F19" w:rsidP="00B47846">
      <w:pPr>
        <w:pStyle w:val="NoSpacing"/>
        <w:numPr>
          <w:ilvl w:val="0"/>
          <w:numId w:val="2"/>
        </w:numPr>
      </w:pPr>
      <w:r>
        <w:t>It a</w:t>
      </w:r>
      <w:r w:rsidR="00B47846">
        <w:t>ffects political decisions about fiscal and monetary policy</w:t>
      </w:r>
    </w:p>
    <w:p w:rsidR="00B47846" w:rsidRDefault="00542F19" w:rsidP="00B47846">
      <w:pPr>
        <w:pStyle w:val="NoSpacing"/>
        <w:numPr>
          <w:ilvl w:val="0"/>
          <w:numId w:val="2"/>
        </w:numPr>
      </w:pPr>
      <w:r>
        <w:t>It could h</w:t>
      </w:r>
      <w:r w:rsidR="00B47846">
        <w:t>elp international operating companies with their currency risk exposure</w:t>
      </w:r>
    </w:p>
    <w:p w:rsidR="00B47846" w:rsidRDefault="00B47846" w:rsidP="00B47846">
      <w:pPr>
        <w:pStyle w:val="NoSpacing"/>
        <w:numPr>
          <w:ilvl w:val="0"/>
          <w:numId w:val="2"/>
        </w:numPr>
      </w:pPr>
      <w:r>
        <w:t>Investment opportunities</w:t>
      </w:r>
    </w:p>
    <w:p w:rsidR="00270D27" w:rsidRDefault="00270D27" w:rsidP="00B47846">
      <w:pPr>
        <w:pStyle w:val="NoSpacing"/>
        <w:numPr>
          <w:ilvl w:val="0"/>
          <w:numId w:val="2"/>
        </w:numPr>
      </w:pPr>
      <w:r>
        <w:t>Better understanding of financial crises</w:t>
      </w:r>
    </w:p>
    <w:p w:rsidR="00542F19" w:rsidRDefault="00542F19" w:rsidP="00542F19">
      <w:pPr>
        <w:pStyle w:val="NoSpacing"/>
        <w:ind w:left="720"/>
      </w:pPr>
    </w:p>
    <w:p w:rsidR="00DE37DC" w:rsidRDefault="00AD1854" w:rsidP="00DE37DC">
      <w:pPr>
        <w:pStyle w:val="NoSpacing"/>
      </w:pPr>
      <w:r>
        <w:t xml:space="preserve"> </w:t>
      </w:r>
      <w:r w:rsidR="00DE37DC">
        <w:t xml:space="preserve">Stock markets are considered as (highly) efficient markets, meaning that new information is directly incorporated in stock prices. As changes in exchange rates </w:t>
      </w:r>
      <w:r w:rsidR="00542F19">
        <w:t xml:space="preserve">are </w:t>
      </w:r>
      <w:r w:rsidR="00DE37DC">
        <w:t>lead</w:t>
      </w:r>
      <w:r w:rsidR="00542F19">
        <w:t>ing</w:t>
      </w:r>
      <w:r w:rsidR="00DE37DC">
        <w:t xml:space="preserve"> to changes in value or/and changes in future expectations for companies, the stock market should react to changes in the exchange rate. This simple theory assumes that stock prices react to changes in exchange rates. </w:t>
      </w:r>
    </w:p>
    <w:p w:rsidR="00DE37DC" w:rsidRDefault="00DE37DC" w:rsidP="00DE37DC">
      <w:pPr>
        <w:pStyle w:val="NoSpacing"/>
      </w:pPr>
    </w:p>
    <w:p w:rsidR="00DE37DC" w:rsidRDefault="00DE37DC" w:rsidP="00DE37DC">
      <w:pPr>
        <w:pStyle w:val="NoSpacing"/>
      </w:pPr>
      <w:r>
        <w:t xml:space="preserve">Changes in exchange rates </w:t>
      </w:r>
      <w:r w:rsidR="00542F19">
        <w:t xml:space="preserve">are leading </w:t>
      </w:r>
      <w:r>
        <w:t xml:space="preserve">to changes in balance of payments and changes in future expectations of a national economy. This will lead to a reaction of international investors, who will </w:t>
      </w:r>
      <w:r>
        <w:lastRenderedPageBreak/>
        <w:t xml:space="preserve">invest more or withdraw their money to the home country, depending on the direction of change.  This theory assumes that stock prices react to changes in exchange rates. </w:t>
      </w:r>
    </w:p>
    <w:p w:rsidR="00AA1173" w:rsidRDefault="00AA1173" w:rsidP="004B1928">
      <w:pPr>
        <w:pStyle w:val="NoSpacing"/>
      </w:pPr>
    </w:p>
    <w:p w:rsidR="00BD1C19" w:rsidRPr="008D0A55" w:rsidRDefault="00495DD6" w:rsidP="00095F55">
      <w:pPr>
        <w:pStyle w:val="NoSpacing"/>
      </w:pPr>
      <w:r w:rsidRPr="008D0A55">
        <w:t>Fu</w:t>
      </w:r>
      <w:r w:rsidR="00003E7E" w:rsidRPr="008D0A55">
        <w:t>ndamental models</w:t>
      </w:r>
    </w:p>
    <w:p w:rsidR="003177B8" w:rsidRDefault="001A4E02" w:rsidP="00095F55">
      <w:pPr>
        <w:pStyle w:val="NoSpacing"/>
      </w:pPr>
      <w:r>
        <w:t>Probably t</w:t>
      </w:r>
      <w:r w:rsidR="003177B8">
        <w:t xml:space="preserve">he most important question in </w:t>
      </w:r>
      <w:r>
        <w:t xml:space="preserve">the world of </w:t>
      </w:r>
      <w:r w:rsidR="003177B8">
        <w:t>investments is; “how are assets priced?</w:t>
      </w:r>
      <w:r>
        <w:t>”</w:t>
      </w:r>
      <w:r w:rsidR="003177B8">
        <w:t xml:space="preserve">  Lot</w:t>
      </w:r>
      <w:r w:rsidR="007C73EE">
        <w:t>s</w:t>
      </w:r>
      <w:r w:rsidR="003177B8">
        <w:t xml:space="preserve"> of theories and formulas try to explain</w:t>
      </w:r>
      <w:r w:rsidR="00542F19">
        <w:t>/predict</w:t>
      </w:r>
      <w:r w:rsidR="003177B8">
        <w:t xml:space="preserve"> asset prices. Beside </w:t>
      </w:r>
      <w:r w:rsidR="001D7AD7">
        <w:t>trying to earn above</w:t>
      </w:r>
      <w:r w:rsidR="003177B8">
        <w:t xml:space="preserve"> average returns,</w:t>
      </w:r>
      <w:r w:rsidR="001D7AD7">
        <w:t xml:space="preserve"> those pricing models can be used for better expla</w:t>
      </w:r>
      <w:r>
        <w:t xml:space="preserve">nation </w:t>
      </w:r>
      <w:r w:rsidR="001D7AD7">
        <w:t xml:space="preserve">and understanding of asset prices. This paragraph will use some of the models to </w:t>
      </w:r>
      <w:r>
        <w:t xml:space="preserve">further </w:t>
      </w:r>
      <w:r w:rsidR="001D7AD7">
        <w:t xml:space="preserve">explain the theoretically </w:t>
      </w:r>
      <w:r>
        <w:t xml:space="preserve">relationship with use of </w:t>
      </w:r>
      <w:r w:rsidR="007C73EE">
        <w:t xml:space="preserve">some </w:t>
      </w:r>
      <w:r>
        <w:t xml:space="preserve">mathematical expressions. </w:t>
      </w:r>
      <w:r w:rsidR="001D7AD7">
        <w:t xml:space="preserve"> </w:t>
      </w:r>
    </w:p>
    <w:p w:rsidR="003177B8" w:rsidRPr="003177B8" w:rsidRDefault="003177B8" w:rsidP="00095F55">
      <w:pPr>
        <w:pStyle w:val="NoSpacing"/>
      </w:pPr>
    </w:p>
    <w:p w:rsidR="007C73EE" w:rsidRDefault="007C73EE" w:rsidP="00095F55">
      <w:pPr>
        <w:pStyle w:val="NoSpacing"/>
        <w:rPr>
          <w:i/>
        </w:rPr>
      </w:pPr>
      <w:r>
        <w:rPr>
          <w:i/>
        </w:rPr>
        <w:t xml:space="preserve">The quantity theory of money </w:t>
      </w:r>
    </w:p>
    <w:p w:rsidR="001D7AD7" w:rsidRDefault="007C73EE" w:rsidP="00095F55">
      <w:pPr>
        <w:pStyle w:val="NoSpacing"/>
      </w:pPr>
      <w:r>
        <w:t>T</w:t>
      </w:r>
      <w:r w:rsidR="001D7AD7">
        <w:t>he quantity theory of money is a theory</w:t>
      </w:r>
      <w:r w:rsidR="00542F19">
        <w:t xml:space="preserve"> that describes</w:t>
      </w:r>
      <w:r w:rsidR="001D7AD7">
        <w:t xml:space="preserve"> the demand for money, based on the price level, number of transactions and velocity of money. </w:t>
      </w:r>
    </w:p>
    <w:p w:rsidR="001D7AD7" w:rsidRDefault="001D7AD7" w:rsidP="00095F55">
      <w:pPr>
        <w:pStyle w:val="NoSpacing"/>
      </w:pPr>
    </w:p>
    <w:p w:rsidR="001D7AD7" w:rsidRPr="001D7AD7" w:rsidRDefault="00E44EA8" w:rsidP="00095F55">
      <w:pPr>
        <w:pStyle w:val="NoSpacing"/>
        <w:rPr>
          <w:oMath/>
          <w:rFonts w:ascii="Cambria Math" w:hAnsi="Cambria Math"/>
        </w:rPr>
      </w:pPr>
      <m:oMathPara>
        <m:oMath>
          <m:sSup>
            <m:sSupPr>
              <m:ctrlPr>
                <w:rPr>
                  <w:rFonts w:ascii="Cambria Math" w:hAnsi="Cambria Math"/>
                  <w:i/>
                  <w:vertAlign w:val="superscript"/>
                </w:rPr>
              </m:ctrlPr>
            </m:sSupPr>
            <m:e>
              <m:r>
                <w:rPr>
                  <w:rFonts w:ascii="Cambria Math" w:hAnsi="Cambria Math"/>
                </w:rPr>
                <m:t>M</m:t>
              </m:r>
              <m:ctrlPr>
                <w:rPr>
                  <w:rFonts w:ascii="Cambria Math" w:hAnsi="Cambria Math"/>
                  <w:i/>
                </w:rPr>
              </m:ctrlPr>
            </m:e>
            <m:sup>
              <m:r>
                <w:rPr>
                  <w:rFonts w:ascii="Cambria Math" w:hAnsi="Cambria Math"/>
                  <w:vertAlign w:val="superscript"/>
                </w:rPr>
                <m:t>d</m:t>
              </m:r>
            </m:sup>
          </m:sSup>
          <m:r>
            <w:rPr>
              <w:rFonts w:ascii="Cambria Math" w:hAnsi="Cambria Math"/>
            </w:rPr>
            <m:t>V = PT</m:t>
          </m:r>
        </m:oMath>
      </m:oMathPara>
    </w:p>
    <w:p w:rsidR="0075497D" w:rsidRDefault="0075497D" w:rsidP="00095F55">
      <w:pPr>
        <w:pStyle w:val="NoSpacing"/>
      </w:pPr>
      <w:r>
        <w:t xml:space="preserve"> </w:t>
      </w:r>
    </w:p>
    <w:p w:rsidR="0040529F" w:rsidRDefault="0040529F" w:rsidP="00095F55">
      <w:pPr>
        <w:pStyle w:val="NoSpacing"/>
      </w:pPr>
      <w:r>
        <w:t>P = price level</w:t>
      </w:r>
    </w:p>
    <w:p w:rsidR="0040529F" w:rsidRDefault="0040529F" w:rsidP="00095F55">
      <w:pPr>
        <w:pStyle w:val="NoSpacing"/>
      </w:pPr>
      <w:r>
        <w:t>T = number of transactions</w:t>
      </w:r>
    </w:p>
    <w:p w:rsidR="0040529F" w:rsidRDefault="0040529F" w:rsidP="00095F55">
      <w:pPr>
        <w:pStyle w:val="NoSpacing"/>
      </w:pPr>
      <w:proofErr w:type="spellStart"/>
      <w:r>
        <w:t>M</w:t>
      </w:r>
      <w:r>
        <w:rPr>
          <w:vertAlign w:val="superscript"/>
        </w:rPr>
        <w:t>d</w:t>
      </w:r>
      <w:proofErr w:type="spellEnd"/>
      <w:r>
        <w:t xml:space="preserve"> = quantity of money</w:t>
      </w:r>
    </w:p>
    <w:p w:rsidR="0040529F" w:rsidRDefault="0040529F" w:rsidP="00095F55">
      <w:pPr>
        <w:pStyle w:val="NoSpacing"/>
      </w:pPr>
      <w:r>
        <w:t>V = circulation time (velocity) of money</w:t>
      </w:r>
    </w:p>
    <w:p w:rsidR="0040529F" w:rsidRDefault="0040529F" w:rsidP="00095F55">
      <w:pPr>
        <w:pStyle w:val="NoSpacing"/>
      </w:pPr>
    </w:p>
    <w:p w:rsidR="001D7AD7" w:rsidRDefault="001D7AD7" w:rsidP="00095F55">
      <w:pPr>
        <w:pStyle w:val="NoSpacing"/>
      </w:pPr>
      <w:r>
        <w:t>As stock prices are part of the price level, an indirect relation can be seen. In logs we write:</w:t>
      </w:r>
    </w:p>
    <w:p w:rsidR="001D7AD7" w:rsidRDefault="001D7AD7" w:rsidP="00095F55">
      <w:pPr>
        <w:pStyle w:val="NoSpacing"/>
      </w:pPr>
    </w:p>
    <w:p w:rsidR="001D7AD7" w:rsidRDefault="00E44EA8" w:rsidP="00095F55">
      <w:pPr>
        <w:pStyle w:val="NoSpacing"/>
      </w:pPr>
      <m:oMathPara>
        <m:oMath>
          <m:sSup>
            <m:sSupPr>
              <m:ctrlPr>
                <w:rPr>
                  <w:rFonts w:ascii="Cambria Math" w:hAnsi="Cambria Math"/>
                  <w:i/>
                </w:rPr>
              </m:ctrlPr>
            </m:sSupPr>
            <m:e>
              <m:r>
                <w:rPr>
                  <w:rFonts w:ascii="Cambria Math" w:hAnsi="Cambria Math"/>
                </w:rPr>
                <m:t>m</m:t>
              </m:r>
            </m:e>
            <m:sup>
              <m:r>
                <w:rPr>
                  <w:rFonts w:ascii="Cambria Math" w:hAnsi="Cambria Math"/>
                </w:rPr>
                <m:t>d</m:t>
              </m:r>
            </m:sup>
          </m:sSup>
          <m:r>
            <w:rPr>
              <w:rFonts w:ascii="Cambria Math" w:hAnsi="Cambria Math"/>
            </w:rPr>
            <m:t>=p+ ϕy- λR</m:t>
          </m:r>
        </m:oMath>
      </m:oMathPara>
    </w:p>
    <w:p w:rsidR="0040529F" w:rsidRDefault="0040529F" w:rsidP="00095F55">
      <w:pPr>
        <w:pStyle w:val="NoSpacing"/>
      </w:pPr>
    </w:p>
    <w:p w:rsidR="002C5376" w:rsidRDefault="001D7AD7" w:rsidP="00095F55">
      <w:pPr>
        <w:pStyle w:val="NoSpacing"/>
      </w:pPr>
      <w:r>
        <w:t xml:space="preserve">Assuming that </w:t>
      </w:r>
      <w:r w:rsidR="0040529F">
        <w:t xml:space="preserve">t = </w:t>
      </w:r>
      <w:r w:rsidR="0040529F">
        <w:rPr>
          <w:rFonts w:ascii="Cambria Math" w:hAnsi="Cambria Math"/>
        </w:rPr>
        <w:t>𝜙</w:t>
      </w:r>
      <w:r>
        <w:t>y:</w:t>
      </w:r>
      <w:r w:rsidR="0040529F">
        <w:t xml:space="preserve"> transactions are a log linear function of real income (Y)</w:t>
      </w:r>
      <w:r>
        <w:t xml:space="preserve"> and </w:t>
      </w:r>
      <w:r w:rsidR="0040529F">
        <w:t xml:space="preserve">with </w:t>
      </w:r>
      <w:r>
        <w:t xml:space="preserve"> </w:t>
      </w:r>
    </w:p>
    <w:p w:rsidR="0040529F" w:rsidRDefault="0040529F" w:rsidP="00095F55">
      <w:pPr>
        <w:pStyle w:val="NoSpacing"/>
      </w:pPr>
      <w:r>
        <w:t xml:space="preserve">0 &lt; </w:t>
      </w:r>
      <w:r>
        <w:rPr>
          <w:rFonts w:ascii="Cambria Math" w:hAnsi="Cambria Math"/>
        </w:rPr>
        <w:t>𝜙</w:t>
      </w:r>
      <w:r>
        <w:t xml:space="preserve"> &lt; 1</w:t>
      </w:r>
      <w:r w:rsidR="002C5376">
        <w:t>:</w:t>
      </w:r>
      <w:r>
        <w:t xml:space="preserve"> the income elasticity of money demand</w:t>
      </w:r>
      <w:r w:rsidR="002C5376">
        <w:t>.</w:t>
      </w:r>
    </w:p>
    <w:p w:rsidR="0040529F" w:rsidRDefault="0040529F" w:rsidP="00095F55">
      <w:pPr>
        <w:pStyle w:val="NoSpacing"/>
      </w:pPr>
      <w:r>
        <w:t xml:space="preserve">v = </w:t>
      </w:r>
      <w:r>
        <w:rPr>
          <w:rFonts w:ascii="Cambria Math" w:hAnsi="Cambria Math"/>
        </w:rPr>
        <w:t>𝜆</w:t>
      </w:r>
      <w:r>
        <w:t>R: velocity relates positively to the opportunity cost</w:t>
      </w:r>
      <w:r w:rsidR="00542F19">
        <w:t>s</w:t>
      </w:r>
      <w:r>
        <w:t xml:space="preserve"> (interest rate R) of holding money instead of bonds with </w:t>
      </w:r>
      <w:r>
        <w:rPr>
          <w:rFonts w:ascii="Cambria Math" w:hAnsi="Cambria Math"/>
        </w:rPr>
        <w:t>𝜆</w:t>
      </w:r>
      <w:r>
        <w:t xml:space="preserve"> &gt; 0 </w:t>
      </w:r>
      <w:r w:rsidR="001A4E02">
        <w:t xml:space="preserve">as </w:t>
      </w:r>
      <w:r>
        <w:t>the interest rate semi-elasticity of money demand.</w:t>
      </w:r>
    </w:p>
    <w:p w:rsidR="0040529F" w:rsidRDefault="0040529F" w:rsidP="00095F55">
      <w:pPr>
        <w:pStyle w:val="NoSpacing"/>
      </w:pPr>
    </w:p>
    <w:p w:rsidR="002C5376" w:rsidRDefault="002C5376" w:rsidP="00095F55">
      <w:pPr>
        <w:pStyle w:val="NoSpacing"/>
      </w:pPr>
      <w:r>
        <w:t>If we impose the restriction that money demand is equal to money supply</w:t>
      </w:r>
      <w:r w:rsidR="00542F19">
        <w:t>, we get</w:t>
      </w:r>
      <w:r>
        <w:t>:</w:t>
      </w:r>
    </w:p>
    <w:p w:rsidR="002C5376" w:rsidRDefault="002C5376" w:rsidP="00095F55">
      <w:pPr>
        <w:pStyle w:val="NoSpacing"/>
      </w:pPr>
    </w:p>
    <w:p w:rsidR="0040529F" w:rsidRDefault="00E44EA8" w:rsidP="00095F55">
      <w:pPr>
        <w:pStyle w:val="NoSpacing"/>
      </w:pPr>
      <m:oMathPara>
        <m:oMath>
          <m:sSup>
            <m:sSupPr>
              <m:ctrlPr>
                <w:rPr>
                  <w:rFonts w:ascii="Cambria Math" w:hAnsi="Cambria Math"/>
                  <w:i/>
                </w:rPr>
              </m:ctrlPr>
            </m:sSupPr>
            <m:e>
              <m:r>
                <w:rPr>
                  <w:rFonts w:ascii="Cambria Math" w:hAnsi="Cambria Math"/>
                </w:rPr>
                <m:t>m</m:t>
              </m:r>
            </m:e>
            <m:sup>
              <m:r>
                <w:rPr>
                  <w:rFonts w:ascii="Cambria Math" w:hAnsi="Cambria Math"/>
                </w:rPr>
                <m:t>d</m:t>
              </m:r>
            </m:sup>
          </m:sSup>
          <m:r>
            <w:rPr>
              <w:rFonts w:ascii="Cambria Math" w:hAnsi="Cambria Math"/>
            </w:rPr>
            <m:t xml:space="preserve"> =</m:t>
          </m:r>
          <m:sSup>
            <m:sSupPr>
              <m:ctrlPr>
                <w:rPr>
                  <w:rFonts w:ascii="Cambria Math" w:hAnsi="Cambria Math"/>
                  <w:i/>
                </w:rPr>
              </m:ctrlPr>
            </m:sSupPr>
            <m:e>
              <m:r>
                <w:rPr>
                  <w:rFonts w:ascii="Cambria Math" w:hAnsi="Cambria Math"/>
                </w:rPr>
                <m:t>m</m:t>
              </m:r>
            </m:e>
            <m:sup>
              <m:r>
                <w:rPr>
                  <w:rFonts w:ascii="Cambria Math" w:hAnsi="Cambria Math"/>
                </w:rPr>
                <m:t>s</m:t>
              </m:r>
            </m:sup>
          </m:sSup>
        </m:oMath>
      </m:oMathPara>
    </w:p>
    <w:p w:rsidR="001A4E02" w:rsidRDefault="001A4E02" w:rsidP="00095F55">
      <w:pPr>
        <w:pStyle w:val="NoSpacing"/>
      </w:pPr>
    </w:p>
    <w:p w:rsidR="0040529F" w:rsidRDefault="00542F19" w:rsidP="00095F55">
      <w:pPr>
        <w:pStyle w:val="NoSpacing"/>
      </w:pPr>
      <w:r>
        <w:t xml:space="preserve">Now, </w:t>
      </w:r>
      <w:r w:rsidR="001A4E02">
        <w:t xml:space="preserve">the same formula can be used for money supply. </w:t>
      </w:r>
    </w:p>
    <w:p w:rsidR="001A4E02" w:rsidRDefault="001A4E02" w:rsidP="00095F55">
      <w:pPr>
        <w:pStyle w:val="NoSpacing"/>
      </w:pPr>
    </w:p>
    <w:p w:rsidR="00FB1F30" w:rsidRPr="00CC32A8" w:rsidRDefault="001A4E02" w:rsidP="0040529F">
      <w:pPr>
        <w:pStyle w:val="NoSpacing"/>
        <w:rPr>
          <w:i/>
        </w:rPr>
      </w:pPr>
      <w:r w:rsidRPr="00CC32A8">
        <w:rPr>
          <w:i/>
        </w:rPr>
        <w:t>P</w:t>
      </w:r>
      <w:r w:rsidR="0040529F" w:rsidRPr="00CC32A8">
        <w:rPr>
          <w:i/>
        </w:rPr>
        <w:t xml:space="preserve">urchasing power </w:t>
      </w:r>
      <w:r w:rsidR="00FB1F30" w:rsidRPr="00CC32A8">
        <w:rPr>
          <w:i/>
        </w:rPr>
        <w:t>p</w:t>
      </w:r>
      <w:r w:rsidR="0040529F" w:rsidRPr="00CC32A8">
        <w:rPr>
          <w:i/>
        </w:rPr>
        <w:t>arity</w:t>
      </w:r>
      <w:r w:rsidR="00847AFC" w:rsidRPr="00CC32A8">
        <w:rPr>
          <w:i/>
        </w:rPr>
        <w:t xml:space="preserve"> (PPP)</w:t>
      </w:r>
    </w:p>
    <w:p w:rsidR="00FB1F30" w:rsidRDefault="00FB1F30" w:rsidP="0040529F">
      <w:pPr>
        <w:pStyle w:val="NoSpacing"/>
      </w:pPr>
      <w:r>
        <w:t xml:space="preserve">The Law of One Price is the </w:t>
      </w:r>
      <w:r w:rsidR="00542F19">
        <w:t>foundation of the PPP and states</w:t>
      </w:r>
      <w:r>
        <w:t xml:space="preserve"> that two identical goods should have the same price in two different countries, when converted to a common currency. The purchasing power parity does not look to a single good, but to a basket of goods. Absolute PPP stated that the purchasing power of different currencies is the same for one basket of goods, while relative PPP says </w:t>
      </w:r>
      <w:r w:rsidR="00E86166">
        <w:t>the change in price levels is t</w:t>
      </w:r>
      <w:r w:rsidR="00D37B63">
        <w:t>he same,</w:t>
      </w:r>
      <w:r w:rsidR="00E86166">
        <w:t xml:space="preserve"> not the absolute level. The general consensus among academicians is that the relative PPP holds well in the long-run. The formula for PPP is given:</w:t>
      </w:r>
    </w:p>
    <w:p w:rsidR="001A4E02" w:rsidRDefault="001A4E02" w:rsidP="0040529F">
      <w:pPr>
        <w:pStyle w:val="NoSpacing"/>
      </w:pPr>
    </w:p>
    <w:p w:rsidR="0040529F" w:rsidRDefault="0040529F" w:rsidP="001A4E02">
      <w:pPr>
        <w:pStyle w:val="NoSpacing"/>
        <w:jc w:val="center"/>
      </w:pPr>
      <m:oMathPara>
        <m:oMath>
          <m:r>
            <w:rPr>
              <w:rFonts w:ascii="Cambria Math" w:hAnsi="Cambria Math"/>
            </w:rPr>
            <m:t>s=p-</m:t>
          </m:r>
          <m:sSub>
            <m:sSubPr>
              <m:ctrlPr>
                <w:rPr>
                  <w:rFonts w:ascii="Cambria Math" w:hAnsi="Cambria Math"/>
                  <w:i/>
                </w:rPr>
              </m:ctrlPr>
            </m:sSubPr>
            <m:e>
              <m:r>
                <w:rPr>
                  <w:rFonts w:ascii="Cambria Math" w:hAnsi="Cambria Math"/>
                </w:rPr>
                <m:t>p</m:t>
              </m:r>
            </m:e>
            <m:sub>
              <m:r>
                <w:rPr>
                  <w:rFonts w:ascii="Cambria Math" w:hAnsi="Cambria Math"/>
                </w:rPr>
                <m:t>f</m:t>
              </m:r>
            </m:sub>
          </m:sSub>
        </m:oMath>
      </m:oMathPara>
    </w:p>
    <w:p w:rsidR="001A4E02" w:rsidRDefault="001A4E02" w:rsidP="00E86166">
      <w:pPr>
        <w:pStyle w:val="NoSpacing"/>
      </w:pPr>
    </w:p>
    <w:p w:rsidR="00E86166" w:rsidRDefault="00E86166" w:rsidP="00E86166">
      <w:pPr>
        <w:pStyle w:val="NoSpacing"/>
      </w:pPr>
      <w:r>
        <w:t>For this research, the PPP, just like the quantity theory of money, gives information about the link between exchange rates and (stock) price</w:t>
      </w:r>
      <w:r w:rsidR="00D37B63">
        <w:t>s</w:t>
      </w:r>
      <w:r>
        <w:t xml:space="preserve">. Although stock prices are mostly not included in the Consumer Price Index, the Law of One Price and the PPP stated that the same stock should have the same price in two different countries.  </w:t>
      </w:r>
    </w:p>
    <w:p w:rsidR="00C56B9D" w:rsidRDefault="00C56B9D" w:rsidP="00E86166">
      <w:pPr>
        <w:pStyle w:val="NoSpacing"/>
      </w:pPr>
    </w:p>
    <w:p w:rsidR="001A4E02" w:rsidRPr="00CC32A8" w:rsidRDefault="009B225F" w:rsidP="00C56B9D">
      <w:pPr>
        <w:pStyle w:val="NoSpacing"/>
        <w:rPr>
          <w:i/>
        </w:rPr>
      </w:pPr>
      <w:r w:rsidRPr="00CC32A8">
        <w:rPr>
          <w:i/>
        </w:rPr>
        <w:t>Static exchange rate equation</w:t>
      </w:r>
    </w:p>
    <w:p w:rsidR="00C56B9D" w:rsidRDefault="00C56B9D" w:rsidP="00C56B9D">
      <w:pPr>
        <w:pStyle w:val="NoSpacing"/>
      </w:pPr>
      <w:r>
        <w:lastRenderedPageBreak/>
        <w:t>When the equation is combined with the quantity theory of money, it results in:</w:t>
      </w:r>
    </w:p>
    <w:p w:rsidR="00C56B9D" w:rsidRDefault="00C56B9D" w:rsidP="00C56B9D">
      <w:pPr>
        <w:pStyle w:val="NoSpacing"/>
      </w:pPr>
    </w:p>
    <w:p w:rsidR="00C56B9D" w:rsidRDefault="00E44EA8" w:rsidP="00C56B9D">
      <w:pPr>
        <w:pStyle w:val="NoSpacing"/>
      </w:pPr>
      <m:oMathPara>
        <m:oMath>
          <m:sSub>
            <m:sSubPr>
              <m:ctrlPr>
                <w:rPr>
                  <w:rFonts w:ascii="Cambria Math" w:hAnsi="Cambria Math"/>
                  <w:i/>
                </w:rPr>
              </m:ctrlPr>
            </m:sSubPr>
            <m:e>
              <m:r>
                <w:rPr>
                  <w:rFonts w:ascii="Cambria Math" w:hAnsi="Cambria Math"/>
                </w:rPr>
                <m:t>s</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t</m:t>
              </m:r>
            </m:sub>
          </m:sSub>
          <m:r>
            <w:rPr>
              <w:rFonts w:ascii="Cambria Math" w:hAnsi="Cambria Math"/>
            </w:rPr>
            <m:t>- ϕ</m:t>
          </m:r>
          <m:sSub>
            <m:sSubPr>
              <m:ctrlPr>
                <w:rPr>
                  <w:rFonts w:ascii="Cambria Math" w:hAnsi="Cambria Math"/>
                  <w:i/>
                </w:rPr>
              </m:ctrlPr>
            </m:sSubPr>
            <m:e>
              <m:r>
                <w:rPr>
                  <w:rFonts w:ascii="Cambria Math" w:hAnsi="Cambria Math"/>
                </w:rPr>
                <m:t>y</m:t>
              </m:r>
            </m:e>
            <m:sub>
              <m:r>
                <w:rPr>
                  <w:rFonts w:ascii="Cambria Math" w:hAnsi="Cambria Math"/>
                </w:rPr>
                <m:t>t</m:t>
              </m:r>
            </m:sub>
          </m:sSub>
          <m:r>
            <w:rPr>
              <w:rFonts w:ascii="Cambria Math" w:hAnsi="Cambria Math"/>
            </w:rPr>
            <m:t>+ λ</m:t>
          </m:r>
          <m:sSub>
            <m:sSubPr>
              <m:ctrlPr>
                <w:rPr>
                  <w:rFonts w:ascii="Cambria Math" w:hAnsi="Cambria Math"/>
                  <w:i/>
                </w:rPr>
              </m:ctrlPr>
            </m:sSubPr>
            <m:e>
              <m:r>
                <w:rPr>
                  <w:rFonts w:ascii="Cambria Math" w:hAnsi="Cambria Math"/>
                </w:rPr>
                <m:t>R</m:t>
              </m:r>
            </m:e>
            <m:sub>
              <m:r>
                <w:rPr>
                  <w:rFonts w:ascii="Cambria Math" w:hAnsi="Cambria Math"/>
                </w:rPr>
                <m:t>t</m:t>
              </m:r>
            </m:sub>
          </m:sSub>
        </m:oMath>
      </m:oMathPara>
    </w:p>
    <w:p w:rsidR="00C56B9D" w:rsidRDefault="00C56B9D" w:rsidP="00C56B9D">
      <w:pPr>
        <w:pStyle w:val="NoSpacing"/>
      </w:pPr>
    </w:p>
    <w:p w:rsidR="001A4E02" w:rsidRDefault="00D37B63" w:rsidP="00C56B9D">
      <w:pPr>
        <w:pStyle w:val="NoSpacing"/>
      </w:pPr>
      <w:r>
        <w:t>The e</w:t>
      </w:r>
      <w:r w:rsidR="00C56B9D">
        <w:t>quation gives a better understanding of the relation between currency prices and money growth, income growth and interest rates</w:t>
      </w:r>
      <w:r w:rsidR="00DB031F">
        <w:t>. These</w:t>
      </w:r>
      <w:r w:rsidR="00C56B9D">
        <w:t xml:space="preserve"> </w:t>
      </w:r>
      <w:r w:rsidR="00DB031F">
        <w:t>f</w:t>
      </w:r>
      <w:r w:rsidR="00C56B9D">
        <w:t xml:space="preserve">our variables are </w:t>
      </w:r>
      <w:r w:rsidR="00DB031F">
        <w:t xml:space="preserve">highly </w:t>
      </w:r>
      <w:r w:rsidR="00C56B9D">
        <w:t>important for stock prices too. High relative money growth in the home country leads to a higher value of s (decline in currency price)</w:t>
      </w:r>
      <w:proofErr w:type="gramStart"/>
      <w:r w:rsidR="00C56B9D">
        <w:t>,</w:t>
      </w:r>
      <w:proofErr w:type="gramEnd"/>
      <w:r w:rsidR="00C56B9D">
        <w:t xml:space="preserve"> high relative income growth at home leads to lower s (increase in currency price) and higher rates in the home country leads to a decrease</w:t>
      </w:r>
      <w:r w:rsidR="00847AFC">
        <w:t xml:space="preserve"> in the currency price</w:t>
      </w:r>
      <w:r w:rsidR="00C56B9D">
        <w:t xml:space="preserve">. </w:t>
      </w:r>
    </w:p>
    <w:p w:rsidR="00847AFC" w:rsidRDefault="00847AFC" w:rsidP="00C56B9D">
      <w:pPr>
        <w:pStyle w:val="NoSpacing"/>
      </w:pPr>
    </w:p>
    <w:p w:rsidR="00847AFC" w:rsidRPr="00D37B63" w:rsidRDefault="00847AFC" w:rsidP="00C56B9D">
      <w:pPr>
        <w:pStyle w:val="NoSpacing"/>
        <w:rPr>
          <w:i/>
        </w:rPr>
      </w:pPr>
      <w:r w:rsidRPr="00D37B63">
        <w:rPr>
          <w:i/>
        </w:rPr>
        <w:t>Uncovered interest parity (UIP)</w:t>
      </w:r>
    </w:p>
    <w:p w:rsidR="00847AFC" w:rsidRDefault="009B225F" w:rsidP="00C56B9D">
      <w:pPr>
        <w:pStyle w:val="NoSpacing"/>
      </w:pPr>
      <w:r>
        <w:t xml:space="preserve">Another relationship between exchange rates and interest rates is given by the </w:t>
      </w:r>
      <w:r w:rsidR="00847AFC">
        <w:t>UIP</w:t>
      </w:r>
      <w:r>
        <w:t>. This theory says</w:t>
      </w:r>
      <w:r w:rsidR="00847AFC">
        <w:t xml:space="preserve"> the exchange rate will compensate for the difference between the interest rates in two different countries. </w:t>
      </w:r>
    </w:p>
    <w:p w:rsidR="00847AFC" w:rsidRDefault="00E44EA8" w:rsidP="00C56B9D">
      <w:pPr>
        <w:pStyle w:val="NoSpacing"/>
      </w:pPr>
      <m:oMathPara>
        <m:oMath>
          <m:sSub>
            <m:sSubPr>
              <m:ctrlPr>
                <w:rPr>
                  <w:rFonts w:ascii="Cambria Math" w:hAnsi="Cambria Math"/>
                  <w:i/>
                </w:rPr>
              </m:ctrlPr>
            </m:sSubPr>
            <m:e>
              <m:r>
                <w:rPr>
                  <w:rFonts w:ascii="Cambria Math" w:hAnsi="Cambria Math"/>
                </w:rPr>
                <m:t>s</m:t>
              </m:r>
            </m:e>
            <m:sub>
              <m:r>
                <w:rPr>
                  <w:rFonts w:ascii="Cambria Math" w:hAnsi="Cambria Math"/>
                </w:rPr>
                <m:t>t+1</m:t>
              </m:r>
            </m:sub>
          </m:sSub>
          <m:r>
            <w:rPr>
              <w:rFonts w:ascii="Cambria Math" w:hAnsi="Cambria Math"/>
            </w:rPr>
            <m:t xml:space="preserve">- </m:t>
          </m:r>
          <m:sSub>
            <m:sSubPr>
              <m:ctrlPr>
                <w:rPr>
                  <w:rFonts w:ascii="Cambria Math" w:hAnsi="Cambria Math"/>
                  <w:i/>
                </w:rPr>
              </m:ctrlPr>
            </m:sSubPr>
            <m:e>
              <m:r>
                <w:rPr>
                  <w:rFonts w:ascii="Cambria Math" w:hAnsi="Cambria Math"/>
                </w:rPr>
                <m:t>s</m:t>
              </m:r>
            </m:e>
            <m:sub>
              <m:r>
                <w:rPr>
                  <w:rFonts w:ascii="Cambria Math" w:hAnsi="Cambria Math"/>
                </w:rPr>
                <m:t>t</m:t>
              </m:r>
            </m:sub>
          </m:sSub>
          <m:r>
            <w:rPr>
              <w:rFonts w:ascii="Cambria Math" w:hAnsi="Cambria Math"/>
            </w:rPr>
            <m:t>=</m:t>
          </m:r>
          <m:sSubSup>
            <m:sSubSupPr>
              <m:ctrlPr>
                <w:rPr>
                  <w:rFonts w:ascii="Cambria Math" w:hAnsi="Cambria Math"/>
                  <w:i/>
                </w:rPr>
              </m:ctrlPr>
            </m:sSubSupPr>
            <m:e>
              <m:r>
                <w:rPr>
                  <w:rFonts w:ascii="Cambria Math" w:hAnsi="Cambria Math"/>
                </w:rPr>
                <m:t>i</m:t>
              </m:r>
            </m:e>
            <m:sub>
              <m:r>
                <w:rPr>
                  <w:rFonts w:ascii="Cambria Math" w:hAnsi="Cambria Math"/>
                </w:rPr>
                <m:t>t</m:t>
              </m:r>
            </m:sub>
            <m:sup>
              <m:r>
                <w:rPr>
                  <w:rFonts w:ascii="Cambria Math" w:hAnsi="Cambria Math"/>
                </w:rPr>
                <m:t>f</m:t>
              </m:r>
            </m:sup>
          </m:sSubSup>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t</m:t>
              </m:r>
            </m:sub>
          </m:sSub>
        </m:oMath>
      </m:oMathPara>
    </w:p>
    <w:p w:rsidR="0058589D" w:rsidRDefault="0058589D" w:rsidP="00C56B9D">
      <w:pPr>
        <w:pStyle w:val="NoSpacing"/>
      </w:pPr>
    </w:p>
    <w:p w:rsidR="0058589D" w:rsidRDefault="00003E7E" w:rsidP="00C56B9D">
      <w:pPr>
        <w:pStyle w:val="NoSpacing"/>
      </w:pPr>
      <w:r>
        <w:t>Unlike the PPP, the UIP is</w:t>
      </w:r>
      <w:r w:rsidR="0058589D">
        <w:t xml:space="preserve"> not</w:t>
      </w:r>
      <w:r>
        <w:t xml:space="preserve"> believed as </w:t>
      </w:r>
      <w:proofErr w:type="gramStart"/>
      <w:r w:rsidR="00D37B63">
        <w:t>a realistic</w:t>
      </w:r>
      <w:proofErr w:type="gramEnd"/>
      <w:r>
        <w:t xml:space="preserve"> </w:t>
      </w:r>
      <w:r w:rsidR="00D37B63">
        <w:t xml:space="preserve">long term </w:t>
      </w:r>
      <w:r>
        <w:t>equilibrium</w:t>
      </w:r>
      <w:r w:rsidR="00D37B63">
        <w:t xml:space="preserve"> in practice</w:t>
      </w:r>
      <w:r>
        <w:t xml:space="preserve">. </w:t>
      </w:r>
      <w:r w:rsidR="0058589D">
        <w:t xml:space="preserve">  </w:t>
      </w:r>
    </w:p>
    <w:p w:rsidR="009B225F" w:rsidRDefault="009B225F" w:rsidP="00C56B9D">
      <w:pPr>
        <w:pStyle w:val="NoSpacing"/>
      </w:pPr>
    </w:p>
    <w:p w:rsidR="009B225F" w:rsidRPr="00CC32A8" w:rsidRDefault="009B225F" w:rsidP="00C56B9D">
      <w:pPr>
        <w:pStyle w:val="NoSpacing"/>
        <w:rPr>
          <w:i/>
        </w:rPr>
      </w:pPr>
      <w:r w:rsidRPr="00CC32A8">
        <w:rPr>
          <w:i/>
        </w:rPr>
        <w:t>Monetary model</w:t>
      </w:r>
    </w:p>
    <w:p w:rsidR="009B225F" w:rsidRDefault="009B225F" w:rsidP="00C56B9D">
      <w:pPr>
        <w:pStyle w:val="NoSpacing"/>
      </w:pPr>
      <w:r>
        <w:t xml:space="preserve">Combing UIP with the static exchange rate equation and some mathematics which are behind the scoop of this </w:t>
      </w:r>
      <w:proofErr w:type="gramStart"/>
      <w:r>
        <w:t>thesis,</w:t>
      </w:r>
      <w:proofErr w:type="gramEnd"/>
      <w:r>
        <w:t xml:space="preserve"> leads to the next equation:</w:t>
      </w:r>
    </w:p>
    <w:p w:rsidR="00F0011B" w:rsidRDefault="00F0011B" w:rsidP="0040529F">
      <w:pPr>
        <w:pStyle w:val="NoSpacing"/>
      </w:pPr>
    </w:p>
    <w:p w:rsidR="00F0011B" w:rsidRPr="009D0421" w:rsidRDefault="00E44EA8" w:rsidP="009D0421">
      <w:pPr>
        <w:pStyle w:val="NoSpacing"/>
        <w:jc w:val="center"/>
      </w:pPr>
      <m:oMathPara>
        <m:oMath>
          <m:sSub>
            <m:sSubPr>
              <m:ctrlPr>
                <w:rPr>
                  <w:rFonts w:ascii="Cambria Math" w:hAnsi="Cambria Math"/>
                  <w:i/>
                </w:rPr>
              </m:ctrlPr>
            </m:sSubPr>
            <m:e>
              <m:r>
                <w:rPr>
                  <w:rFonts w:ascii="Cambria Math" w:hAnsi="Cambria Math"/>
                </w:rPr>
                <m:t>s</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t</m:t>
              </m:r>
            </m:sub>
          </m:sSub>
          <m:r>
            <w:rPr>
              <w:rFonts w:ascii="Cambria Math" w:hAnsi="Cambria Math"/>
            </w:rPr>
            <m:t xml:space="preserve">+ </m:t>
          </m:r>
          <m:sSup>
            <m:sSupPr>
              <m:ctrlPr>
                <w:rPr>
                  <w:rFonts w:ascii="Cambria Math" w:hAnsi="Cambria Math"/>
                  <w:i/>
                </w:rPr>
              </m:ctrlPr>
            </m:sSupPr>
            <m:e>
              <m:r>
                <w:rPr>
                  <w:rFonts w:ascii="Cambria Math" w:hAnsi="Cambria Math"/>
                </w:rPr>
                <m:t>β</m:t>
              </m:r>
            </m:e>
            <m:sup>
              <m:r>
                <w:rPr>
                  <w:rFonts w:ascii="Cambria Math" w:hAnsi="Cambria Math"/>
                  <w:i/>
                  <w:noProof/>
                  <w:lang w:bidi="ar-SA"/>
                </w:rPr>
                <w:drawing>
                  <wp:inline distT="0" distB="0" distL="0" distR="0">
                    <wp:extent cx="131778" cy="82813"/>
                    <wp:effectExtent l="19050" t="0" r="1572" b="0"/>
                    <wp:docPr id="2"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srcRect/>
                            <a:stretch>
                              <a:fillRect/>
                            </a:stretch>
                          </pic:blipFill>
                          <pic:spPr bwMode="auto">
                            <a:xfrm>
                              <a:off x="0" y="0"/>
                              <a:ext cx="133286" cy="83761"/>
                            </a:xfrm>
                            <a:prstGeom prst="rect">
                              <a:avLst/>
                            </a:prstGeom>
                            <a:noFill/>
                            <a:ln w="9525">
                              <a:noFill/>
                              <a:miter lim="800000"/>
                              <a:headEnd/>
                              <a:tailEnd/>
                            </a:ln>
                          </pic:spPr>
                        </pic:pic>
                      </a:graphicData>
                    </a:graphic>
                  </wp:inline>
                </w:drawing>
              </m:r>
            </m:sup>
          </m:sSup>
          <m:sSub>
            <m:sSubPr>
              <m:ctrlPr>
                <w:rPr>
                  <w:rFonts w:ascii="Cambria Math" w:hAnsi="Cambria Math"/>
                  <w:i/>
                </w:rPr>
              </m:ctrlPr>
            </m:sSubPr>
            <m:e>
              <m:r>
                <w:rPr>
                  <w:rFonts w:ascii="Cambria Math" w:hAnsi="Cambria Math"/>
                </w:rPr>
                <m:t>E</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t+</m:t>
              </m:r>
              <m:r>
                <w:rPr>
                  <w:rFonts w:ascii="Cambria Math" w:hAnsi="Cambria Math"/>
                  <w:i/>
                  <w:noProof/>
                  <w:lang w:bidi="ar-SA"/>
                </w:rPr>
                <w:drawing>
                  <wp:inline distT="0" distB="0" distL="0" distR="0">
                    <wp:extent cx="131778" cy="82813"/>
                    <wp:effectExtent l="19050" t="0" r="1572" b="0"/>
                    <wp:docPr id="4"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srcRect/>
                            <a:stretch>
                              <a:fillRect/>
                            </a:stretch>
                          </pic:blipFill>
                          <pic:spPr bwMode="auto">
                            <a:xfrm>
                              <a:off x="0" y="0"/>
                              <a:ext cx="133286" cy="83761"/>
                            </a:xfrm>
                            <a:prstGeom prst="rect">
                              <a:avLst/>
                            </a:prstGeom>
                            <a:noFill/>
                            <a:ln w="9525">
                              <a:noFill/>
                              <a:miter lim="800000"/>
                              <a:headEnd/>
                              <a:tailEnd/>
                            </a:ln>
                          </pic:spPr>
                        </pic:pic>
                      </a:graphicData>
                    </a:graphic>
                  </wp:inline>
                </w:drawing>
              </m:r>
            </m:sub>
          </m:sSub>
          <m:r>
            <w:rPr>
              <w:rFonts w:ascii="Cambria Math" w:hAnsi="Cambria Math"/>
            </w:rPr>
            <m:t>]</m:t>
          </m:r>
        </m:oMath>
      </m:oMathPara>
    </w:p>
    <w:p w:rsidR="009B225F" w:rsidRDefault="009B225F" w:rsidP="009B225F">
      <w:pPr>
        <w:pStyle w:val="NoSpacing"/>
      </w:pPr>
    </w:p>
    <w:p w:rsidR="007A3117" w:rsidRDefault="009D0421" w:rsidP="0083777B">
      <w:pPr>
        <w:pStyle w:val="NoSpacing"/>
      </w:pPr>
      <w:r>
        <w:t>Where f</w:t>
      </w:r>
      <w:r>
        <w:rPr>
          <w:vertAlign w:val="subscript"/>
        </w:rPr>
        <w:t>t</w:t>
      </w:r>
      <w:r>
        <w:t xml:space="preserve"> = (1-</w:t>
      </w:r>
      <w:r>
        <w:rPr>
          <w:rFonts w:ascii="Cambria Math" w:hAnsi="Cambria Math"/>
        </w:rPr>
        <w:t>𝛽</w:t>
      </w:r>
      <w:r>
        <w:t>)</w:t>
      </w:r>
      <m:oMath>
        <m:nary>
          <m:naryPr>
            <m:chr m:val="∑"/>
            <m:limLoc m:val="undOvr"/>
            <m:subHide m:val="on"/>
            <m:supHide m:val="on"/>
            <m:ctrlPr>
              <w:rPr>
                <w:rFonts w:ascii="Cambria Math" w:hAnsi="Cambria Math"/>
                <w:i/>
              </w:rPr>
            </m:ctrlPr>
          </m:naryPr>
          <m:sub/>
          <m:sup/>
          <m:e>
            <m:sSup>
              <m:sSupPr>
                <m:ctrlPr>
                  <w:rPr>
                    <w:rFonts w:ascii="Cambria Math" w:hAnsi="Cambria Math"/>
                    <w:i/>
                  </w:rPr>
                </m:ctrlPr>
              </m:sSupPr>
              <m:e>
                <m:r>
                  <w:rPr>
                    <w:rFonts w:ascii="Cambria Math" w:hAnsi="Cambria Math"/>
                  </w:rPr>
                  <m:t>i</m:t>
                </m:r>
              </m:e>
              <m:sup>
                <m:r>
                  <w:rPr>
                    <w:rFonts w:ascii="Cambria Math" w:hAnsi="Cambria Math"/>
                    <w:i/>
                    <w:noProof/>
                    <w:lang w:bidi="ar-SA"/>
                  </w:rPr>
                  <w:drawing>
                    <wp:inline distT="0" distB="0" distL="0" distR="0">
                      <wp:extent cx="131778" cy="82813"/>
                      <wp:effectExtent l="19050" t="0" r="1572" b="0"/>
                      <wp:docPr id="7"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srcRect/>
                              <a:stretch>
                                <a:fillRect/>
                              </a:stretch>
                            </pic:blipFill>
                            <pic:spPr bwMode="auto">
                              <a:xfrm>
                                <a:off x="0" y="0"/>
                                <a:ext cx="133286" cy="83761"/>
                              </a:xfrm>
                              <a:prstGeom prst="rect">
                                <a:avLst/>
                              </a:prstGeom>
                              <a:noFill/>
                              <a:ln w="9525">
                                <a:noFill/>
                                <a:miter lim="800000"/>
                                <a:headEnd/>
                                <a:tailEnd/>
                              </a:ln>
                            </pic:spPr>
                          </pic:pic>
                        </a:graphicData>
                      </a:graphic>
                    </wp:inline>
                  </w:drawing>
                </m:r>
              </m:sup>
            </m:sSup>
          </m:e>
        </m:nary>
        <m:sSub>
          <m:sSubPr>
            <m:ctrlPr>
              <w:rPr>
                <w:rFonts w:ascii="Cambria Math" w:hAnsi="Cambria Math"/>
                <w:i/>
              </w:rPr>
            </m:ctrlPr>
          </m:sSubPr>
          <m:e>
            <m:r>
              <w:rPr>
                <w:rFonts w:ascii="Cambria Math" w:hAnsi="Cambria Math"/>
              </w:rPr>
              <m:t>E</m:t>
            </m:r>
          </m:e>
          <m:sub>
            <m:r>
              <w:rPr>
                <w:rFonts w:ascii="Cambria Math" w:hAnsi="Cambria Math"/>
              </w:rPr>
              <m:t>t</m:t>
            </m:r>
          </m:sub>
        </m:sSub>
      </m:oMath>
      <w:r w:rsidRPr="009D0421">
        <w:t xml:space="preserve"> </w:t>
      </w:r>
      <w:r>
        <w:t>[</w:t>
      </w:r>
      <w:proofErr w:type="spellStart"/>
      <w:r>
        <w:t>g</w:t>
      </w:r>
      <w:r>
        <w:rPr>
          <w:vertAlign w:val="subscript"/>
        </w:rPr>
        <w:t>t+i</w:t>
      </w:r>
      <w:proofErr w:type="spellEnd"/>
      <w:r>
        <w:t>] is the discounted present value of expected future values of fundamentals</w:t>
      </w:r>
      <w:r w:rsidR="009B225F">
        <w:t xml:space="preserve"> (</w:t>
      </w:r>
      <w:proofErr w:type="spellStart"/>
      <w:r w:rsidR="009B225F">
        <w:t>m</w:t>
      </w:r>
      <w:r w:rsidR="009B225F" w:rsidRPr="009B225F">
        <w:rPr>
          <w:vertAlign w:val="subscript"/>
        </w:rPr>
        <w:t>t</w:t>
      </w:r>
      <w:proofErr w:type="spellEnd"/>
      <w:r w:rsidR="009B225F">
        <w:t xml:space="preserve"> - </w:t>
      </w:r>
      <w:r w:rsidR="009B225F">
        <w:rPr>
          <w:rFonts w:ascii="Cambria Math" w:hAnsi="Cambria Math"/>
        </w:rPr>
        <w:t>𝜙</w:t>
      </w:r>
      <w:proofErr w:type="spellStart"/>
      <w:r w:rsidR="009B225F">
        <w:t>y</w:t>
      </w:r>
      <w:r w:rsidR="009B225F">
        <w:rPr>
          <w:vertAlign w:val="subscript"/>
        </w:rPr>
        <w:t>t</w:t>
      </w:r>
      <w:proofErr w:type="spellEnd"/>
      <w:r w:rsidR="009B225F">
        <w:t>)</w:t>
      </w:r>
      <w:r>
        <w:t xml:space="preserve">. </w:t>
      </w:r>
      <w:r w:rsidR="009B225F">
        <w:t xml:space="preserve">The equation tells us that the exchange rate is the sum of the fundamentals and the expectations of the exchange rate in the future. </w:t>
      </w:r>
    </w:p>
    <w:p w:rsidR="009D0421" w:rsidRDefault="009B225F" w:rsidP="009D0421">
      <w:pPr>
        <w:pStyle w:val="NoSpacing"/>
      </w:pPr>
      <w:r>
        <w:t xml:space="preserve"> </w:t>
      </w:r>
    </w:p>
    <w:p w:rsidR="009D0421" w:rsidRDefault="009D0421" w:rsidP="009D0421">
      <w:pPr>
        <w:pStyle w:val="NoSpacing"/>
      </w:pPr>
      <w:r>
        <w:t xml:space="preserve">The behavior of </w:t>
      </w:r>
      <m:oMath>
        <m:sSup>
          <m:sSupPr>
            <m:ctrlPr>
              <w:rPr>
                <w:rFonts w:ascii="Cambria Math" w:hAnsi="Cambria Math"/>
                <w:i/>
              </w:rPr>
            </m:ctrlPr>
          </m:sSupPr>
          <m:e>
            <m:r>
              <w:rPr>
                <w:rFonts w:ascii="Cambria Math" w:hAnsi="Cambria Math"/>
              </w:rPr>
              <m:t>β</m:t>
            </m:r>
          </m:e>
          <m:sup>
            <m:r>
              <w:rPr>
                <w:rFonts w:ascii="Cambria Math" w:hAnsi="Cambria Math"/>
                <w:i/>
                <w:noProof/>
                <w:lang w:bidi="ar-SA"/>
              </w:rPr>
              <w:drawing>
                <wp:inline distT="0" distB="0" distL="0" distR="0">
                  <wp:extent cx="131778" cy="82813"/>
                  <wp:effectExtent l="19050" t="0" r="1572" b="0"/>
                  <wp:docPr id="8"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srcRect/>
                          <a:stretch>
                            <a:fillRect/>
                          </a:stretch>
                        </pic:blipFill>
                        <pic:spPr bwMode="auto">
                          <a:xfrm>
                            <a:off x="0" y="0"/>
                            <a:ext cx="133286" cy="83761"/>
                          </a:xfrm>
                          <a:prstGeom prst="rect">
                            <a:avLst/>
                          </a:prstGeom>
                          <a:noFill/>
                          <a:ln w="9525">
                            <a:noFill/>
                            <a:miter lim="800000"/>
                            <a:headEnd/>
                            <a:tailEnd/>
                          </a:ln>
                        </pic:spPr>
                      </pic:pic>
                    </a:graphicData>
                  </a:graphic>
                </wp:inline>
              </w:drawing>
            </m:r>
          </m:sup>
        </m:sSup>
        <m:sSub>
          <m:sSubPr>
            <m:ctrlPr>
              <w:rPr>
                <w:rFonts w:ascii="Cambria Math" w:hAnsi="Cambria Math"/>
                <w:i/>
              </w:rPr>
            </m:ctrlPr>
          </m:sSubPr>
          <m:e>
            <m:r>
              <w:rPr>
                <w:rFonts w:ascii="Cambria Math" w:hAnsi="Cambria Math"/>
              </w:rPr>
              <m:t>E</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t+</m:t>
            </m:r>
            <m:r>
              <w:rPr>
                <w:rFonts w:ascii="Cambria Math" w:hAnsi="Cambria Math"/>
                <w:i/>
                <w:noProof/>
                <w:lang w:bidi="ar-SA"/>
              </w:rPr>
              <w:drawing>
                <wp:inline distT="0" distB="0" distL="0" distR="0">
                  <wp:extent cx="131778" cy="82813"/>
                  <wp:effectExtent l="19050" t="0" r="1572" b="0"/>
                  <wp:docPr id="10"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srcRect/>
                          <a:stretch>
                            <a:fillRect/>
                          </a:stretch>
                        </pic:blipFill>
                        <pic:spPr bwMode="auto">
                          <a:xfrm>
                            <a:off x="0" y="0"/>
                            <a:ext cx="133286" cy="83761"/>
                          </a:xfrm>
                          <a:prstGeom prst="rect">
                            <a:avLst/>
                          </a:prstGeom>
                          <a:noFill/>
                          <a:ln w="9525">
                            <a:noFill/>
                            <a:miter lim="800000"/>
                            <a:headEnd/>
                            <a:tailEnd/>
                          </a:ln>
                        </pic:spPr>
                      </pic:pic>
                    </a:graphicData>
                  </a:graphic>
                </wp:inline>
              </w:drawing>
            </m:r>
          </m:sub>
        </m:sSub>
        <m:r>
          <w:rPr>
            <w:rFonts w:ascii="Cambria Math" w:hAnsi="Cambria Math"/>
          </w:rPr>
          <m:t>]</m:t>
        </m:r>
      </m:oMath>
      <w:r>
        <w:t xml:space="preserve"> can be specified in two options</w:t>
      </w:r>
      <w:r w:rsidR="007A3117">
        <w:t>, the no-bubble solution and the rational bubble solution</w:t>
      </w:r>
      <w:r>
        <w:t>:</w:t>
      </w:r>
    </w:p>
    <w:p w:rsidR="009D0421" w:rsidRDefault="009D0421" w:rsidP="009D0421">
      <w:pPr>
        <w:pStyle w:val="NoSpacing"/>
      </w:pPr>
    </w:p>
    <w:p w:rsidR="009D0421" w:rsidRDefault="009D0421" w:rsidP="009D0421">
      <w:pPr>
        <w:pStyle w:val="NoSpacing"/>
      </w:pPr>
      <w:r>
        <w:t>No-bubble solution:</w:t>
      </w:r>
      <w:r>
        <w:tab/>
      </w:r>
      <w:r>
        <w:tab/>
      </w:r>
      <m:oMath>
        <m:sSubSup>
          <m:sSubSupPr>
            <m:ctrlPr>
              <w:rPr>
                <w:rFonts w:ascii="Cambria Math" w:hAnsi="Cambria Math"/>
                <w:i/>
              </w:rPr>
            </m:ctrlPr>
          </m:sSubSupPr>
          <m:e>
            <m:r>
              <w:rPr>
                <w:rFonts w:ascii="Cambria Math" w:hAnsi="Cambria Math"/>
              </w:rPr>
              <m:t>s</m:t>
            </m:r>
          </m:e>
          <m:sub>
            <m:r>
              <w:rPr>
                <w:rFonts w:ascii="Cambria Math" w:hAnsi="Cambria Math"/>
              </w:rPr>
              <m:t>t</m:t>
            </m:r>
          </m:sub>
          <m:sup>
            <m:r>
              <w:rPr>
                <w:rFonts w:ascii="Cambria Math" w:hAnsi="Cambria Math"/>
              </w:rPr>
              <m:t>f</m:t>
            </m:r>
          </m:sup>
        </m:sSubSup>
        <m:r>
          <w:rPr>
            <w:rFonts w:ascii="Cambria Math" w:hAnsi="Cambria Math"/>
          </w:rPr>
          <m:t xml:space="preserve">= </m:t>
        </m:r>
        <m:d>
          <m:dPr>
            <m:ctrlPr>
              <w:rPr>
                <w:rFonts w:ascii="Cambria Math" w:hAnsi="Cambria Math"/>
                <w:i/>
              </w:rPr>
            </m:ctrlPr>
          </m:dPr>
          <m:e>
            <m:r>
              <w:rPr>
                <w:rFonts w:ascii="Cambria Math" w:hAnsi="Cambria Math"/>
              </w:rPr>
              <m:t>1-β</m:t>
            </m:r>
          </m:e>
        </m:d>
        <m:nary>
          <m:naryPr>
            <m:chr m:val="∑"/>
            <m:limLoc m:val="undOvr"/>
            <m:ctrlPr>
              <w:rPr>
                <w:rFonts w:ascii="Cambria Math" w:hAnsi="Cambria Math"/>
                <w:i/>
              </w:rPr>
            </m:ctrlPr>
          </m:naryPr>
          <m:sub>
            <m:r>
              <w:rPr>
                <w:rFonts w:ascii="Cambria Math" w:hAnsi="Cambria Math"/>
              </w:rPr>
              <m:t>i=0</m:t>
            </m:r>
          </m:sub>
          <m:sup>
            <m:r>
              <w:rPr>
                <w:rFonts w:ascii="Cambria Math" w:hAnsi="Cambria Math"/>
                <w:i/>
                <w:noProof/>
                <w:lang w:bidi="ar-SA"/>
              </w:rPr>
              <w:drawing>
                <wp:inline distT="0" distB="0" distL="0" distR="0">
                  <wp:extent cx="131778" cy="82813"/>
                  <wp:effectExtent l="19050" t="0" r="1572" b="0"/>
                  <wp:docPr id="12"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srcRect/>
                          <a:stretch>
                            <a:fillRect/>
                          </a:stretch>
                        </pic:blipFill>
                        <pic:spPr bwMode="auto">
                          <a:xfrm>
                            <a:off x="0" y="0"/>
                            <a:ext cx="133286" cy="83761"/>
                          </a:xfrm>
                          <a:prstGeom prst="rect">
                            <a:avLst/>
                          </a:prstGeom>
                          <a:noFill/>
                          <a:ln w="9525">
                            <a:noFill/>
                            <a:miter lim="800000"/>
                            <a:headEnd/>
                            <a:tailEnd/>
                          </a:ln>
                        </pic:spPr>
                      </pic:pic>
                    </a:graphicData>
                  </a:graphic>
                </wp:inline>
              </w:drawing>
            </m:r>
          </m:sup>
          <m:e>
            <m:r>
              <w:rPr>
                <w:rFonts w:ascii="Cambria Math" w:hAnsi="Cambria Math"/>
              </w:rPr>
              <m:t>β</m:t>
            </m:r>
          </m:e>
        </m:nary>
        <m:sSub>
          <m:sSubPr>
            <m:ctrlPr>
              <w:rPr>
                <w:rFonts w:ascii="Cambria Math" w:hAnsi="Cambria Math"/>
                <w:i/>
              </w:rPr>
            </m:ctrlPr>
          </m:sSubPr>
          <m:e>
            <m:r>
              <w:rPr>
                <w:rFonts w:ascii="Cambria Math" w:hAnsi="Cambria Math"/>
              </w:rPr>
              <m:t>E</m:t>
            </m:r>
          </m:e>
          <m:sub>
            <m:r>
              <w:rPr>
                <w:rFonts w:ascii="Cambria Math" w:hAnsi="Cambria Math"/>
              </w:rPr>
              <m:t>t</m:t>
            </m:r>
          </m:sub>
        </m:sSub>
        <m:r>
          <w:rPr>
            <w:rFonts w:ascii="Cambria Math" w:hAnsi="Cambria Math"/>
          </w:rPr>
          <m:t xml:space="preserve"> </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t+i</m:t>
                </m:r>
              </m:sub>
            </m:sSub>
          </m:e>
        </m:d>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t</m:t>
            </m:r>
          </m:sub>
        </m:sSub>
      </m:oMath>
    </w:p>
    <w:p w:rsidR="009D0421" w:rsidRDefault="009D0421" w:rsidP="009D0421">
      <w:pPr>
        <w:pStyle w:val="NoSpacing"/>
      </w:pPr>
    </w:p>
    <w:p w:rsidR="000A16D5" w:rsidRDefault="007A3117" w:rsidP="009D0421">
      <w:pPr>
        <w:pStyle w:val="NoSpacing"/>
      </w:pPr>
      <w:r>
        <w:t xml:space="preserve">The no-bubble solution gives </w:t>
      </w:r>
      <m:oMath>
        <m:sSup>
          <m:sSupPr>
            <m:ctrlPr>
              <w:rPr>
                <w:rFonts w:ascii="Cambria Math" w:hAnsi="Cambria Math"/>
                <w:i/>
              </w:rPr>
            </m:ctrlPr>
          </m:sSupPr>
          <m:e>
            <m:r>
              <w:rPr>
                <w:rFonts w:ascii="Cambria Math" w:hAnsi="Cambria Math"/>
              </w:rPr>
              <m:t>β</m:t>
            </m:r>
          </m:e>
          <m:sup>
            <m:r>
              <w:rPr>
                <w:rFonts w:ascii="Cambria Math" w:hAnsi="Cambria Math"/>
                <w:i/>
                <w:noProof/>
                <w:lang w:bidi="ar-SA"/>
              </w:rPr>
              <w:drawing>
                <wp:inline distT="0" distB="0" distL="0" distR="0">
                  <wp:extent cx="131778" cy="82813"/>
                  <wp:effectExtent l="19050" t="0" r="1572" b="0"/>
                  <wp:docPr id="14"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srcRect/>
                          <a:stretch>
                            <a:fillRect/>
                          </a:stretch>
                        </pic:blipFill>
                        <pic:spPr bwMode="auto">
                          <a:xfrm>
                            <a:off x="0" y="0"/>
                            <a:ext cx="133286" cy="83761"/>
                          </a:xfrm>
                          <a:prstGeom prst="rect">
                            <a:avLst/>
                          </a:prstGeom>
                          <a:noFill/>
                          <a:ln w="9525">
                            <a:noFill/>
                            <a:miter lim="800000"/>
                            <a:headEnd/>
                            <a:tailEnd/>
                          </a:ln>
                        </pic:spPr>
                      </pic:pic>
                    </a:graphicData>
                  </a:graphic>
                </wp:inline>
              </w:drawing>
            </m:r>
          </m:sup>
        </m:sSup>
        <m:sSub>
          <m:sSubPr>
            <m:ctrlPr>
              <w:rPr>
                <w:rFonts w:ascii="Cambria Math" w:hAnsi="Cambria Math"/>
                <w:i/>
              </w:rPr>
            </m:ctrlPr>
          </m:sSubPr>
          <m:e>
            <m:r>
              <w:rPr>
                <w:rFonts w:ascii="Cambria Math" w:hAnsi="Cambria Math"/>
              </w:rPr>
              <m:t>E</m:t>
            </m:r>
          </m:e>
          <m:sub>
            <m:r>
              <w:rPr>
                <w:rFonts w:ascii="Cambria Math" w:hAnsi="Cambria Math"/>
              </w:rPr>
              <m:t>t</m:t>
            </m:r>
          </m:sub>
        </m:sSub>
        <m:d>
          <m:dPr>
            <m:begChr m:val="["/>
            <m:endChr m:val="]"/>
            <m:ctrlPr>
              <w:rPr>
                <w:rFonts w:ascii="Cambria Math" w:hAnsi="Cambria Math"/>
                <w:i/>
              </w:rPr>
            </m:ctrlPr>
          </m:dPr>
          <m:e>
            <m:sSub>
              <m:sSubPr>
                <m:ctrlPr>
                  <w:rPr>
                    <w:rFonts w:ascii="Cambria Math" w:hAnsi="Cambria Math"/>
                    <w:i/>
                  </w:rPr>
                </m:ctrlPr>
              </m:sSubPr>
              <m:e>
                <m:r>
                  <w:rPr>
                    <w:rFonts w:ascii="Cambria Math" w:hAnsi="Cambria Math"/>
                  </w:rPr>
                  <m:t>s</m:t>
                </m:r>
              </m:e>
              <m:sub>
                <m:r>
                  <w:rPr>
                    <w:rFonts w:ascii="Cambria Math" w:hAnsi="Cambria Math"/>
                  </w:rPr>
                  <m:t>t+</m:t>
                </m:r>
                <m:r>
                  <w:rPr>
                    <w:rFonts w:ascii="Cambria Math" w:hAnsi="Cambria Math"/>
                    <w:i/>
                    <w:noProof/>
                    <w:lang w:bidi="ar-SA"/>
                  </w:rPr>
                  <w:drawing>
                    <wp:inline distT="0" distB="0" distL="0" distR="0">
                      <wp:extent cx="131778" cy="82813"/>
                      <wp:effectExtent l="19050" t="0" r="1572" b="0"/>
                      <wp:docPr id="17"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srcRect/>
                              <a:stretch>
                                <a:fillRect/>
                              </a:stretch>
                            </pic:blipFill>
                            <pic:spPr bwMode="auto">
                              <a:xfrm>
                                <a:off x="0" y="0"/>
                                <a:ext cx="133286" cy="83761"/>
                              </a:xfrm>
                              <a:prstGeom prst="rect">
                                <a:avLst/>
                              </a:prstGeom>
                              <a:noFill/>
                              <a:ln w="9525">
                                <a:noFill/>
                                <a:miter lim="800000"/>
                                <a:headEnd/>
                                <a:tailEnd/>
                              </a:ln>
                            </pic:spPr>
                          </pic:pic>
                        </a:graphicData>
                      </a:graphic>
                    </wp:inline>
                  </w:drawing>
                </m:r>
              </m:sub>
            </m:sSub>
          </m:e>
        </m:d>
        <m:r>
          <w:rPr>
            <w:rFonts w:ascii="Cambria Math" w:hAnsi="Cambria Math"/>
          </w:rPr>
          <m:t>= 0</m:t>
        </m:r>
      </m:oMath>
      <w:r>
        <w:t xml:space="preserve"> and the exchange rate is equal to the fundamentals. The fundamentals are assumed to follow a random walk:</w:t>
      </w:r>
    </w:p>
    <w:p w:rsidR="007A3117" w:rsidRDefault="007A3117" w:rsidP="007A3117">
      <w:pPr>
        <w:pStyle w:val="NoSpacing"/>
      </w:pPr>
    </w:p>
    <w:p w:rsidR="007A3117" w:rsidRDefault="00E44EA8" w:rsidP="007A3117">
      <w:pPr>
        <w:pStyle w:val="NoSpacing"/>
      </w:pPr>
      <m:oMathPara>
        <m:oMath>
          <m:sSub>
            <m:sSubPr>
              <m:ctrlPr>
                <w:rPr>
                  <w:rFonts w:ascii="Cambria Math" w:hAnsi="Cambria Math"/>
                  <w:i/>
                </w:rPr>
              </m:ctrlPr>
            </m:sSubPr>
            <m:e>
              <m:r>
                <w:rPr>
                  <w:rFonts w:ascii="Cambria Math" w:hAnsi="Cambria Math"/>
                </w:rPr>
                <m:t>g</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t-1</m:t>
              </m:r>
            </m:sub>
          </m:sSub>
          <m:r>
            <w:rPr>
              <w:rFonts w:ascii="Cambria Math" w:hAnsi="Cambria Math"/>
            </w:rPr>
            <m:t xml:space="preserve">+ </m:t>
          </m:r>
          <m:sSub>
            <m:sSubPr>
              <m:ctrlPr>
                <w:rPr>
                  <w:rFonts w:ascii="Cambria Math" w:hAnsi="Cambria Math"/>
                  <w:i/>
                </w:rPr>
              </m:ctrlPr>
            </m:sSubPr>
            <m:e>
              <m:r>
                <w:rPr>
                  <w:rFonts w:ascii="Cambria Math" w:hAnsi="Cambria Math"/>
                </w:rPr>
                <m:t>μ</m:t>
              </m:r>
            </m:e>
            <m:sub>
              <m:r>
                <w:rPr>
                  <w:rFonts w:ascii="Cambria Math" w:hAnsi="Cambria Math"/>
                </w:rPr>
                <m:t>t</m:t>
              </m:r>
            </m:sub>
          </m:sSub>
        </m:oMath>
      </m:oMathPara>
    </w:p>
    <w:p w:rsidR="007A3117" w:rsidRDefault="007A3117" w:rsidP="007A3117">
      <w:pPr>
        <w:pStyle w:val="NoSpacing"/>
      </w:pPr>
    </w:p>
    <w:p w:rsidR="007A3117" w:rsidRDefault="007A3117" w:rsidP="007A3117">
      <w:pPr>
        <w:pStyle w:val="NoSpacing"/>
      </w:pPr>
      <w:r>
        <w:t>If we have</w:t>
      </w:r>
      <m:oMath>
        <m:r>
          <w:rPr>
            <w:rFonts w:ascii="Cambria Math" w:hAnsi="Cambria Math"/>
          </w:rPr>
          <m:t xml:space="preserve"> </m:t>
        </m:r>
        <m:sSubSup>
          <m:sSubSupPr>
            <m:ctrlPr>
              <w:rPr>
                <w:rFonts w:ascii="Cambria Math" w:hAnsi="Cambria Math"/>
                <w:i/>
              </w:rPr>
            </m:ctrlPr>
          </m:sSubSupPr>
          <m:e>
            <m:r>
              <w:rPr>
                <w:rFonts w:ascii="Cambria Math" w:hAnsi="Cambria Math"/>
              </w:rPr>
              <m:t>s</m:t>
            </m:r>
          </m:e>
          <m:sub>
            <m:r>
              <w:rPr>
                <w:rFonts w:ascii="Cambria Math" w:hAnsi="Cambria Math"/>
              </w:rPr>
              <m:t>t</m:t>
            </m:r>
          </m:sub>
          <m:sup>
            <m:r>
              <w:rPr>
                <w:rFonts w:ascii="Cambria Math" w:hAnsi="Cambria Math"/>
              </w:rPr>
              <m:t>f</m:t>
            </m:r>
          </m:sup>
        </m:sSubSup>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t</m:t>
            </m:r>
          </m:sub>
        </m:sSub>
      </m:oMath>
      <w:r>
        <w:t>, it implies a random walk for the exchange rate:</w:t>
      </w:r>
    </w:p>
    <w:p w:rsidR="007A3117" w:rsidRDefault="007A3117" w:rsidP="007A3117">
      <w:pPr>
        <w:pStyle w:val="NoSpacing"/>
      </w:pPr>
    </w:p>
    <w:p w:rsidR="007A3117" w:rsidRDefault="00E44EA8" w:rsidP="007A3117">
      <w:pPr>
        <w:pStyle w:val="NoSpacing"/>
      </w:pPr>
      <m:oMathPara>
        <m:oMath>
          <m:sSubSup>
            <m:sSubSupPr>
              <m:ctrlPr>
                <w:rPr>
                  <w:rFonts w:ascii="Cambria Math" w:hAnsi="Cambria Math"/>
                  <w:i/>
                </w:rPr>
              </m:ctrlPr>
            </m:sSubSupPr>
            <m:e>
              <m:r>
                <w:rPr>
                  <w:rFonts w:ascii="Cambria Math" w:hAnsi="Cambria Math"/>
                </w:rPr>
                <m:t>s</m:t>
              </m:r>
            </m:e>
            <m:sub>
              <m:r>
                <w:rPr>
                  <w:rFonts w:ascii="Cambria Math" w:hAnsi="Cambria Math"/>
                </w:rPr>
                <m:t>t</m:t>
              </m:r>
            </m:sub>
            <m:sup>
              <m:r>
                <w:rPr>
                  <w:rFonts w:ascii="Cambria Math" w:hAnsi="Cambria Math"/>
                </w:rPr>
                <m:t>f</m:t>
              </m:r>
            </m:sup>
          </m:sSubSup>
          <m:r>
            <w:rPr>
              <w:rFonts w:ascii="Cambria Math" w:hAnsi="Cambria Math"/>
            </w:rPr>
            <m:t>=</m:t>
          </m:r>
          <m:sSubSup>
            <m:sSubSupPr>
              <m:ctrlPr>
                <w:rPr>
                  <w:rFonts w:ascii="Cambria Math" w:hAnsi="Cambria Math"/>
                  <w:i/>
                </w:rPr>
              </m:ctrlPr>
            </m:sSubSupPr>
            <m:e>
              <m:r>
                <w:rPr>
                  <w:rFonts w:ascii="Cambria Math" w:hAnsi="Cambria Math"/>
                </w:rPr>
                <m:t>s</m:t>
              </m:r>
            </m:e>
            <m:sub>
              <m:r>
                <w:rPr>
                  <w:rFonts w:ascii="Cambria Math" w:hAnsi="Cambria Math"/>
                </w:rPr>
                <m:t>t-1</m:t>
              </m:r>
            </m:sub>
            <m:sup>
              <m:r>
                <w:rPr>
                  <w:rFonts w:ascii="Cambria Math" w:hAnsi="Cambria Math"/>
                </w:rPr>
                <m:t>f</m:t>
              </m:r>
            </m:sup>
          </m:sSubSup>
          <m:r>
            <w:rPr>
              <w:rFonts w:ascii="Cambria Math" w:hAnsi="Cambria Math"/>
            </w:rPr>
            <m:t xml:space="preserve">+ </m:t>
          </m:r>
          <m:sSub>
            <m:sSubPr>
              <m:ctrlPr>
                <w:rPr>
                  <w:rFonts w:ascii="Cambria Math" w:hAnsi="Cambria Math"/>
                  <w:i/>
                </w:rPr>
              </m:ctrlPr>
            </m:sSubPr>
            <m:e>
              <m:r>
                <w:rPr>
                  <w:rFonts w:ascii="Cambria Math" w:hAnsi="Cambria Math"/>
                </w:rPr>
                <m:t>μ</m:t>
              </m:r>
            </m:e>
            <m:sub>
              <m:r>
                <w:rPr>
                  <w:rFonts w:ascii="Cambria Math" w:hAnsi="Cambria Math"/>
                </w:rPr>
                <m:t>t</m:t>
              </m:r>
            </m:sub>
          </m:sSub>
        </m:oMath>
      </m:oMathPara>
    </w:p>
    <w:p w:rsidR="0058589D" w:rsidRDefault="0058589D" w:rsidP="007A3117">
      <w:pPr>
        <w:pStyle w:val="NoSpacing"/>
      </w:pPr>
    </w:p>
    <w:p w:rsidR="00CF23F6" w:rsidRDefault="0058589D" w:rsidP="009D0421">
      <w:pPr>
        <w:pStyle w:val="NoSpacing"/>
      </w:pPr>
      <w:r>
        <w:t>The random walk hypothesis is a frequent occurrence theme in the financial markets, as a lot of participants believe in the non-predictability of the markets. A random walk in the stock market gives the following equation:</w:t>
      </w:r>
    </w:p>
    <w:p w:rsidR="009D0421" w:rsidRDefault="00E44EA8" w:rsidP="009D0421">
      <w:pPr>
        <w:pStyle w:val="NoSpacing"/>
      </w:pPr>
      <m:oMathPara>
        <m:oMath>
          <m:sSub>
            <m:sSubPr>
              <m:ctrlPr>
                <w:rPr>
                  <w:rFonts w:ascii="Cambria Math" w:hAnsi="Cambria Math"/>
                  <w:i/>
                </w:rPr>
              </m:ctrlPr>
            </m:sSubPr>
            <m:e>
              <m:r>
                <w:rPr>
                  <w:rFonts w:ascii="Cambria Math" w:hAnsi="Cambria Math"/>
                </w:rPr>
                <m:t>p</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t-1</m:t>
              </m: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t</m:t>
              </m:r>
            </m:sub>
          </m:sSub>
        </m:oMath>
      </m:oMathPara>
    </w:p>
    <w:p w:rsidR="009D0421" w:rsidRDefault="009D0421" w:rsidP="009D0421">
      <w:pPr>
        <w:pStyle w:val="NoSpacing"/>
      </w:pPr>
    </w:p>
    <w:p w:rsidR="0058589D" w:rsidRDefault="0058589D" w:rsidP="009D0421">
      <w:pPr>
        <w:pStyle w:val="NoSpacing"/>
      </w:pPr>
      <w:r>
        <w:t xml:space="preserve">A relation between two random walks will be often spurious. Theory about tests for a random walk and how to find a relation between them will be discussed in the methodology part. </w:t>
      </w:r>
    </w:p>
    <w:p w:rsidR="0058589D" w:rsidRDefault="0058589D" w:rsidP="009D0421">
      <w:pPr>
        <w:pStyle w:val="NoSpacing"/>
      </w:pPr>
    </w:p>
    <w:p w:rsidR="00CD606C" w:rsidRDefault="00CD606C" w:rsidP="009D0421">
      <w:pPr>
        <w:pStyle w:val="NoSpacing"/>
      </w:pPr>
    </w:p>
    <w:p w:rsidR="00003E7E" w:rsidRDefault="00483B5D" w:rsidP="0040529F">
      <w:pPr>
        <w:pStyle w:val="NoSpacing"/>
      </w:pPr>
      <w:r w:rsidRPr="00495DD6">
        <w:rPr>
          <w:i/>
        </w:rPr>
        <w:lastRenderedPageBreak/>
        <w:t>Asset pricing models</w:t>
      </w:r>
      <w:r w:rsidR="00003E7E" w:rsidRPr="00495DD6">
        <w:rPr>
          <w:i/>
        </w:rPr>
        <w:t xml:space="preserve"> used for stocks</w:t>
      </w:r>
    </w:p>
    <w:p w:rsidR="00003E7E" w:rsidRDefault="00003E7E" w:rsidP="0040529F">
      <w:pPr>
        <w:pStyle w:val="NoSpacing"/>
      </w:pPr>
      <w:r>
        <w:t>Just like the exchange rate, a s</w:t>
      </w:r>
      <w:r w:rsidR="00E429C8">
        <w:t xml:space="preserve">tock can be seen as the sum of </w:t>
      </w:r>
      <w:r>
        <w:t>fundamentals and expectations:</w:t>
      </w:r>
    </w:p>
    <w:p w:rsidR="00E429C8" w:rsidRDefault="00E429C8" w:rsidP="0040529F">
      <w:pPr>
        <w:pStyle w:val="NoSpacing"/>
      </w:pPr>
    </w:p>
    <w:p w:rsidR="00003E7E" w:rsidRPr="009D0421" w:rsidRDefault="00E44EA8" w:rsidP="00003E7E">
      <w:pPr>
        <w:pStyle w:val="NoSpacing"/>
        <w:jc w:val="center"/>
      </w:pPr>
      <m:oMathPara>
        <m:oMath>
          <m:sSub>
            <m:sSubPr>
              <m:ctrlPr>
                <w:rPr>
                  <w:rFonts w:ascii="Cambria Math" w:hAnsi="Cambria Math"/>
                  <w:i/>
                </w:rPr>
              </m:ctrlPr>
            </m:sSubPr>
            <m:e>
              <m:r>
                <w:rPr>
                  <w:rFonts w:ascii="Cambria Math" w:hAnsi="Cambria Math"/>
                </w:rPr>
                <m:t>p</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t</m:t>
              </m:r>
            </m:sub>
          </m:sSub>
          <m:r>
            <w:rPr>
              <w:rFonts w:ascii="Cambria Math" w:hAnsi="Cambria Math"/>
            </w:rPr>
            <m:t xml:space="preserve">+ </m:t>
          </m:r>
          <m:sSup>
            <m:sSupPr>
              <m:ctrlPr>
                <w:rPr>
                  <w:rFonts w:ascii="Cambria Math" w:hAnsi="Cambria Math"/>
                  <w:i/>
                </w:rPr>
              </m:ctrlPr>
            </m:sSupPr>
            <m:e>
              <m:r>
                <w:rPr>
                  <w:rFonts w:ascii="Cambria Math" w:hAnsi="Cambria Math"/>
                </w:rPr>
                <m:t>β</m:t>
              </m:r>
            </m:e>
            <m:sup>
              <m:r>
                <w:rPr>
                  <w:rFonts w:ascii="Cambria Math" w:hAnsi="Cambria Math"/>
                  <w:i/>
                  <w:noProof/>
                  <w:lang w:bidi="ar-SA"/>
                </w:rPr>
                <w:drawing>
                  <wp:inline distT="0" distB="0" distL="0" distR="0">
                    <wp:extent cx="131778" cy="82813"/>
                    <wp:effectExtent l="19050" t="0" r="1572" b="0"/>
                    <wp:docPr id="19"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srcRect/>
                            <a:stretch>
                              <a:fillRect/>
                            </a:stretch>
                          </pic:blipFill>
                          <pic:spPr bwMode="auto">
                            <a:xfrm>
                              <a:off x="0" y="0"/>
                              <a:ext cx="133286" cy="83761"/>
                            </a:xfrm>
                            <a:prstGeom prst="rect">
                              <a:avLst/>
                            </a:prstGeom>
                            <a:noFill/>
                            <a:ln w="9525">
                              <a:noFill/>
                              <a:miter lim="800000"/>
                              <a:headEnd/>
                              <a:tailEnd/>
                            </a:ln>
                          </pic:spPr>
                        </pic:pic>
                      </a:graphicData>
                    </a:graphic>
                  </wp:inline>
                </w:drawing>
              </m:r>
            </m:sup>
          </m:sSup>
          <m:sSub>
            <m:sSubPr>
              <m:ctrlPr>
                <w:rPr>
                  <w:rFonts w:ascii="Cambria Math" w:hAnsi="Cambria Math"/>
                  <w:i/>
                </w:rPr>
              </m:ctrlPr>
            </m:sSubPr>
            <m:e>
              <m:r>
                <w:rPr>
                  <w:rFonts w:ascii="Cambria Math" w:hAnsi="Cambria Math"/>
                </w:rPr>
                <m:t>E</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t+</m:t>
              </m:r>
              <m:r>
                <w:rPr>
                  <w:rFonts w:ascii="Cambria Math" w:hAnsi="Cambria Math"/>
                  <w:i/>
                  <w:noProof/>
                  <w:lang w:bidi="ar-SA"/>
                </w:rPr>
                <w:drawing>
                  <wp:inline distT="0" distB="0" distL="0" distR="0">
                    <wp:extent cx="131778" cy="82813"/>
                    <wp:effectExtent l="19050" t="0" r="1572" b="0"/>
                    <wp:docPr id="21"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srcRect/>
                            <a:stretch>
                              <a:fillRect/>
                            </a:stretch>
                          </pic:blipFill>
                          <pic:spPr bwMode="auto">
                            <a:xfrm>
                              <a:off x="0" y="0"/>
                              <a:ext cx="133286" cy="83761"/>
                            </a:xfrm>
                            <a:prstGeom prst="rect">
                              <a:avLst/>
                            </a:prstGeom>
                            <a:noFill/>
                            <a:ln w="9525">
                              <a:noFill/>
                              <a:miter lim="800000"/>
                              <a:headEnd/>
                              <a:tailEnd/>
                            </a:ln>
                          </pic:spPr>
                        </pic:pic>
                      </a:graphicData>
                    </a:graphic>
                  </wp:inline>
                </w:drawing>
              </m:r>
            </m:sub>
          </m:sSub>
          <m:r>
            <w:rPr>
              <w:rFonts w:ascii="Cambria Math" w:hAnsi="Cambria Math"/>
            </w:rPr>
            <m:t>]</m:t>
          </m:r>
        </m:oMath>
      </m:oMathPara>
    </w:p>
    <w:p w:rsidR="00003E7E" w:rsidRDefault="00003E7E" w:rsidP="0040529F">
      <w:pPr>
        <w:pStyle w:val="NoSpacing"/>
      </w:pPr>
    </w:p>
    <w:p w:rsidR="007C7D16" w:rsidRDefault="007C7D16" w:rsidP="0040529F">
      <w:pPr>
        <w:pStyle w:val="NoSpacing"/>
      </w:pPr>
      <w:r>
        <w:t xml:space="preserve">A relation between exchange rates and stock prices can indirectly be seen, changes in exchange rates </w:t>
      </w:r>
      <w:r w:rsidR="00D37B63">
        <w:t>could</w:t>
      </w:r>
      <w:r>
        <w:t xml:space="preserve"> change the fundamental value of the company (</w:t>
      </w:r>
      <w:proofErr w:type="spellStart"/>
      <w:r>
        <w:t>s</w:t>
      </w:r>
      <w:r>
        <w:rPr>
          <w:vertAlign w:val="subscript"/>
        </w:rPr>
        <w:t>t</w:t>
      </w:r>
      <w:proofErr w:type="spellEnd"/>
      <w:r>
        <w:t xml:space="preserve"> will change f</w:t>
      </w:r>
      <w:r>
        <w:rPr>
          <w:vertAlign w:val="subscript"/>
        </w:rPr>
        <w:t>t</w:t>
      </w:r>
      <w:r>
        <w:t>, leading to a change in p</w:t>
      </w:r>
      <w:r>
        <w:rPr>
          <w:vertAlign w:val="subscript"/>
        </w:rPr>
        <w:t>t</w:t>
      </w:r>
      <w:r>
        <w:t xml:space="preserve">).  </w:t>
      </w:r>
    </w:p>
    <w:p w:rsidR="007C7D16" w:rsidRDefault="007C7D16" w:rsidP="0040529F">
      <w:pPr>
        <w:pStyle w:val="NoSpacing"/>
      </w:pPr>
    </w:p>
    <w:p w:rsidR="00DB031F" w:rsidRDefault="00E429C8" w:rsidP="0040529F">
      <w:pPr>
        <w:pStyle w:val="NoSpacing"/>
      </w:pPr>
      <w:r>
        <w:t>Analysts use their models to estimate the fundamental value. One of the easiest models is the discounted cash flow model:</w:t>
      </w:r>
    </w:p>
    <w:p w:rsidR="00E429C8" w:rsidRDefault="00E429C8" w:rsidP="0040529F">
      <w:pPr>
        <w:pStyle w:val="NoSpacing"/>
      </w:pPr>
      <m:oMathPara>
        <m:oMath>
          <m:r>
            <w:rPr>
              <w:rFonts w:ascii="Cambria Math" w:hAnsi="Cambria Math"/>
            </w:rPr>
            <m:t xml:space="preserve">Value= </m:t>
          </m:r>
          <m:nary>
            <m:naryPr>
              <m:chr m:val="∑"/>
              <m:limLoc m:val="undOvr"/>
              <m:ctrlPr>
                <w:rPr>
                  <w:rFonts w:ascii="Cambria Math" w:hAnsi="Cambria Math"/>
                  <w:i/>
                </w:rPr>
              </m:ctrlPr>
            </m:naryPr>
            <m:sub>
              <m:r>
                <w:rPr>
                  <w:rFonts w:ascii="Cambria Math" w:hAnsi="Cambria Math"/>
                </w:rPr>
                <m:t>t=0</m:t>
              </m:r>
            </m:sub>
            <m:sup>
              <m:r>
                <w:rPr>
                  <w:rFonts w:ascii="Cambria Math" w:hAnsi="Cambria Math"/>
                </w:rPr>
                <m:t>N</m:t>
              </m:r>
            </m:sup>
            <m:e>
              <m:f>
                <m:fPr>
                  <m:ctrlPr>
                    <w:rPr>
                      <w:rFonts w:ascii="Cambria Math" w:hAnsi="Cambria Math"/>
                      <w:i/>
                    </w:rPr>
                  </m:ctrlPr>
                </m:fPr>
                <m:num>
                  <m:r>
                    <w:rPr>
                      <w:rFonts w:ascii="Cambria Math" w:hAnsi="Cambria Math"/>
                    </w:rPr>
                    <m:t>F</m:t>
                  </m:r>
                  <m:sSub>
                    <m:sSubPr>
                      <m:ctrlPr>
                        <w:rPr>
                          <w:rFonts w:ascii="Cambria Math" w:hAnsi="Cambria Math"/>
                          <w:i/>
                        </w:rPr>
                      </m:ctrlPr>
                    </m:sSubPr>
                    <m:e>
                      <m:r>
                        <w:rPr>
                          <w:rFonts w:ascii="Cambria Math" w:hAnsi="Cambria Math"/>
                        </w:rPr>
                        <m:t>V</m:t>
                      </m:r>
                    </m:e>
                    <m:sub>
                      <m:r>
                        <w:rPr>
                          <w:rFonts w:ascii="Cambria Math" w:hAnsi="Cambria Math"/>
                        </w:rPr>
                        <m:t>t</m:t>
                      </m:r>
                    </m:sub>
                  </m:sSub>
                </m:num>
                <m:den>
                  <m:sSup>
                    <m:sSupPr>
                      <m:ctrlPr>
                        <w:rPr>
                          <w:rFonts w:ascii="Cambria Math" w:hAnsi="Cambria Math"/>
                          <w:i/>
                        </w:rPr>
                      </m:ctrlPr>
                    </m:sSupPr>
                    <m:e>
                      <m:d>
                        <m:dPr>
                          <m:ctrlPr>
                            <w:rPr>
                              <w:rFonts w:ascii="Cambria Math" w:hAnsi="Cambria Math"/>
                              <w:i/>
                            </w:rPr>
                          </m:ctrlPr>
                        </m:dPr>
                        <m:e>
                          <m:r>
                            <w:rPr>
                              <w:rFonts w:ascii="Cambria Math" w:hAnsi="Cambria Math"/>
                            </w:rPr>
                            <m:t>1+i</m:t>
                          </m:r>
                        </m:e>
                      </m:d>
                    </m:e>
                    <m:sup>
                      <m:r>
                        <w:rPr>
                          <w:rFonts w:ascii="Cambria Math" w:hAnsi="Cambria Math"/>
                        </w:rPr>
                        <m:t>t</m:t>
                      </m:r>
                    </m:sup>
                  </m:sSup>
                </m:den>
              </m:f>
            </m:e>
          </m:nary>
        </m:oMath>
      </m:oMathPara>
    </w:p>
    <w:p w:rsidR="00E429C8" w:rsidRDefault="00E429C8" w:rsidP="0040529F">
      <w:pPr>
        <w:pStyle w:val="NoSpacing"/>
      </w:pPr>
    </w:p>
    <w:p w:rsidR="00E429C8" w:rsidRDefault="00E429C8" w:rsidP="0040529F">
      <w:pPr>
        <w:pStyle w:val="NoSpacing"/>
      </w:pPr>
      <w:r>
        <w:t>Changes in exchange rates will change cash flows, ea</w:t>
      </w:r>
      <w:r w:rsidR="00C50D17">
        <w:t xml:space="preserve">rnings or international assets, which are used in value models. And so, changes the estimated value of a company.  </w:t>
      </w:r>
      <w:r w:rsidR="00925AF7">
        <w:t xml:space="preserve">A change in earnings could lead to a change in dividends. According to the asset pricing model called the Euler equation, a change in pay offs (dividends) leads to a change in the asset price. </w:t>
      </w:r>
    </w:p>
    <w:p w:rsidR="00925AF7" w:rsidRDefault="00925AF7" w:rsidP="0040529F">
      <w:pPr>
        <w:pStyle w:val="NoSpacing"/>
      </w:pPr>
    </w:p>
    <w:p w:rsidR="00925AF7" w:rsidRDefault="00E44EA8" w:rsidP="0040529F">
      <w:pPr>
        <w:pStyle w:val="NoSpacing"/>
      </w:pPr>
      <m:oMathPara>
        <m:oMath>
          <m:sSub>
            <m:sSubPr>
              <m:ctrlPr>
                <w:rPr>
                  <w:rFonts w:ascii="Cambria Math" w:hAnsi="Cambria Math"/>
                  <w:i/>
                </w:rPr>
              </m:ctrlPr>
            </m:sSubPr>
            <m:e>
              <m:r>
                <w:rPr>
                  <w:rFonts w:ascii="Cambria Math" w:hAnsi="Cambria Math"/>
                </w:rPr>
                <m:t>p</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t+1</m:t>
              </m:r>
            </m:sub>
          </m:sSub>
          <m:sSub>
            <m:sSubPr>
              <m:ctrlPr>
                <w:rPr>
                  <w:rFonts w:ascii="Cambria Math" w:hAnsi="Cambria Math"/>
                  <w:i/>
                </w:rPr>
              </m:ctrlPr>
            </m:sSubPr>
            <m:e>
              <m:r>
                <w:rPr>
                  <w:rFonts w:ascii="Cambria Math" w:hAnsi="Cambria Math"/>
                </w:rPr>
                <m:t>x</m:t>
              </m:r>
            </m:e>
            <m:sub>
              <m:r>
                <w:rPr>
                  <w:rFonts w:ascii="Cambria Math" w:hAnsi="Cambria Math"/>
                </w:rPr>
                <m:t>t+1</m:t>
              </m:r>
            </m:sub>
          </m:sSub>
          <m:r>
            <w:rPr>
              <w:rFonts w:ascii="Cambria Math" w:hAnsi="Cambria Math"/>
            </w:rPr>
            <m:t>]</m:t>
          </m:r>
        </m:oMath>
      </m:oMathPara>
    </w:p>
    <w:p w:rsidR="00925AF7" w:rsidRDefault="00925AF7" w:rsidP="0040529F">
      <w:pPr>
        <w:pStyle w:val="NoSpacing"/>
      </w:pPr>
    </w:p>
    <w:p w:rsidR="00925AF7" w:rsidRPr="00925AF7" w:rsidRDefault="00925AF7" w:rsidP="00925AF7">
      <w:pPr>
        <w:pStyle w:val="NoSpacing"/>
      </w:pPr>
      <w:r>
        <w:t>Where the asset prices are determined by the pay offs at time t+1 (x</w:t>
      </w:r>
      <w:r>
        <w:rPr>
          <w:vertAlign w:val="subscript"/>
        </w:rPr>
        <w:t>t+1</w:t>
      </w:r>
      <w:r>
        <w:t>) and the stochastic discount factor (m</w:t>
      </w:r>
      <w:r>
        <w:rPr>
          <w:vertAlign w:val="subscript"/>
        </w:rPr>
        <w:t>t+1</w:t>
      </w:r>
      <w:r>
        <w:t>).</w:t>
      </w:r>
    </w:p>
    <w:p w:rsidR="00925AF7" w:rsidRDefault="00925AF7" w:rsidP="0040529F">
      <w:pPr>
        <w:pStyle w:val="NoSpacing"/>
      </w:pPr>
    </w:p>
    <w:p w:rsidR="00E429C8" w:rsidRDefault="00F072E0" w:rsidP="0040529F">
      <w:pPr>
        <w:pStyle w:val="NoSpacing"/>
      </w:pPr>
      <w:r>
        <w:t>The idea of this thesis is to find out if the exchange rate can be better predicted by the next equation:</w:t>
      </w:r>
    </w:p>
    <w:p w:rsidR="00F072E0" w:rsidRDefault="00F072E0" w:rsidP="0040529F">
      <w:pPr>
        <w:pStyle w:val="NoSpacing"/>
      </w:pPr>
    </w:p>
    <w:p w:rsidR="00F072E0" w:rsidRDefault="00E44EA8" w:rsidP="00F072E0">
      <w:pPr>
        <w:pStyle w:val="NoSpacing"/>
      </w:pPr>
      <m:oMathPara>
        <m:oMath>
          <m:sSub>
            <m:sSubPr>
              <m:ctrlPr>
                <w:rPr>
                  <w:rFonts w:ascii="Cambria Math" w:hAnsi="Cambria Math"/>
                  <w:i/>
                </w:rPr>
              </m:ctrlPr>
            </m:sSubPr>
            <m:e>
              <m:r>
                <w:rPr>
                  <w:rFonts w:ascii="Cambria Math" w:hAnsi="Cambria Math"/>
                </w:rPr>
                <m:t>s</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t</m:t>
              </m:r>
            </m:sub>
          </m:sSub>
          <m:r>
            <w:rPr>
              <w:rFonts w:ascii="Cambria Math" w:hAnsi="Cambria Math"/>
            </w:rPr>
            <m:t xml:space="preserve">+ </m:t>
          </m:r>
          <m:sSup>
            <m:sSupPr>
              <m:ctrlPr>
                <w:rPr>
                  <w:rFonts w:ascii="Cambria Math" w:hAnsi="Cambria Math"/>
                  <w:i/>
                </w:rPr>
              </m:ctrlPr>
            </m:sSupPr>
            <m:e>
              <m:r>
                <w:rPr>
                  <w:rFonts w:ascii="Cambria Math" w:hAnsi="Cambria Math"/>
                </w:rPr>
                <m:t>β</m:t>
              </m:r>
            </m:e>
            <m:sup>
              <m:r>
                <w:rPr>
                  <w:rFonts w:ascii="Cambria Math" w:hAnsi="Cambria Math"/>
                  <w:i/>
                  <w:noProof/>
                  <w:lang w:bidi="ar-SA"/>
                </w:rPr>
                <w:drawing>
                  <wp:inline distT="0" distB="0" distL="0" distR="0">
                    <wp:extent cx="131778" cy="82813"/>
                    <wp:effectExtent l="19050" t="0" r="1572" b="0"/>
                    <wp:docPr id="23"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srcRect/>
                            <a:stretch>
                              <a:fillRect/>
                            </a:stretch>
                          </pic:blipFill>
                          <pic:spPr bwMode="auto">
                            <a:xfrm>
                              <a:off x="0" y="0"/>
                              <a:ext cx="133286" cy="83761"/>
                            </a:xfrm>
                            <a:prstGeom prst="rect">
                              <a:avLst/>
                            </a:prstGeom>
                            <a:noFill/>
                            <a:ln w="9525">
                              <a:noFill/>
                              <a:miter lim="800000"/>
                              <a:headEnd/>
                              <a:tailEnd/>
                            </a:ln>
                          </pic:spPr>
                        </pic:pic>
                      </a:graphicData>
                    </a:graphic>
                  </wp:inline>
                </w:drawing>
              </m:r>
            </m:sup>
          </m:sSup>
          <m:sSub>
            <m:sSubPr>
              <m:ctrlPr>
                <w:rPr>
                  <w:rFonts w:ascii="Cambria Math" w:hAnsi="Cambria Math"/>
                  <w:i/>
                </w:rPr>
              </m:ctrlPr>
            </m:sSubPr>
            <m:e>
              <m:r>
                <w:rPr>
                  <w:rFonts w:ascii="Cambria Math" w:hAnsi="Cambria Math"/>
                </w:rPr>
                <m:t>E</m:t>
              </m:r>
            </m:e>
            <m:sub>
              <m:r>
                <w:rPr>
                  <w:rFonts w:ascii="Cambria Math" w:hAnsi="Cambria Math"/>
                </w:rPr>
                <m:t>t</m:t>
              </m:r>
            </m:sub>
          </m:sSub>
          <m:d>
            <m:dPr>
              <m:begChr m:val="["/>
              <m:endChr m:val="]"/>
              <m:ctrlPr>
                <w:rPr>
                  <w:rFonts w:ascii="Cambria Math" w:hAnsi="Cambria Math"/>
                  <w:i/>
                </w:rPr>
              </m:ctrlPr>
            </m:dPr>
            <m:e>
              <m:sSub>
                <m:sSubPr>
                  <m:ctrlPr>
                    <w:rPr>
                      <w:rFonts w:ascii="Cambria Math" w:hAnsi="Cambria Math"/>
                      <w:i/>
                    </w:rPr>
                  </m:ctrlPr>
                </m:sSubPr>
                <m:e>
                  <m:r>
                    <w:rPr>
                      <w:rFonts w:ascii="Cambria Math" w:hAnsi="Cambria Math"/>
                    </w:rPr>
                    <m:t>s</m:t>
                  </m:r>
                </m:e>
                <m:sub>
                  <m:r>
                    <w:rPr>
                      <w:rFonts w:ascii="Cambria Math" w:hAnsi="Cambria Math"/>
                    </w:rPr>
                    <m:t>t+</m:t>
                  </m:r>
                  <m:r>
                    <w:rPr>
                      <w:rFonts w:ascii="Cambria Math" w:hAnsi="Cambria Math"/>
                      <w:i/>
                      <w:noProof/>
                      <w:lang w:bidi="ar-SA"/>
                    </w:rPr>
                    <w:drawing>
                      <wp:inline distT="0" distB="0" distL="0" distR="0">
                        <wp:extent cx="131778" cy="82813"/>
                        <wp:effectExtent l="19050" t="0" r="1572" b="0"/>
                        <wp:docPr id="2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srcRect/>
                                <a:stretch>
                                  <a:fillRect/>
                                </a:stretch>
                              </pic:blipFill>
                              <pic:spPr bwMode="auto">
                                <a:xfrm>
                                  <a:off x="0" y="0"/>
                                  <a:ext cx="133286" cy="83761"/>
                                </a:xfrm>
                                <a:prstGeom prst="rect">
                                  <a:avLst/>
                                </a:prstGeom>
                                <a:noFill/>
                                <a:ln w="9525">
                                  <a:noFill/>
                                  <a:miter lim="800000"/>
                                  <a:headEnd/>
                                  <a:tailEnd/>
                                </a:ln>
                              </pic:spPr>
                            </pic:pic>
                          </a:graphicData>
                        </a:graphic>
                      </wp:inline>
                    </w:drawing>
                  </m:r>
                </m:sub>
              </m:sSub>
            </m:e>
          </m:d>
          <m:r>
            <w:rPr>
              <w:rFonts w:ascii="Cambria Math" w:hAnsi="Cambria Math"/>
            </w:rPr>
            <m:t xml:space="preserve">+ </m:t>
          </m:r>
          <m:sSub>
            <m:sSubPr>
              <m:ctrlPr>
                <w:rPr>
                  <w:rFonts w:ascii="Cambria Math" w:hAnsi="Cambria Math"/>
                  <w:i/>
                </w:rPr>
              </m:ctrlPr>
            </m:sSubPr>
            <m:e>
              <m:r>
                <w:rPr>
                  <w:rFonts w:ascii="Cambria Math" w:hAnsi="Cambria Math"/>
                </w:rPr>
                <m:t>p</m:t>
              </m:r>
            </m:e>
            <m:sub>
              <m:r>
                <w:rPr>
                  <w:rFonts w:ascii="Cambria Math" w:hAnsi="Cambria Math"/>
                </w:rPr>
                <m:t>t</m:t>
              </m:r>
            </m:sub>
          </m:sSub>
        </m:oMath>
      </m:oMathPara>
    </w:p>
    <w:p w:rsidR="00F072E0" w:rsidRDefault="00F072E0" w:rsidP="0040529F">
      <w:pPr>
        <w:pStyle w:val="NoSpacing"/>
      </w:pPr>
    </w:p>
    <w:p w:rsidR="00F072E0" w:rsidRDefault="00F072E0" w:rsidP="0040529F">
      <w:pPr>
        <w:pStyle w:val="NoSpacing"/>
      </w:pPr>
      <w:r>
        <w:t>Or:</w:t>
      </w:r>
    </w:p>
    <w:p w:rsidR="00F072E0" w:rsidRPr="009D0421" w:rsidRDefault="00E44EA8" w:rsidP="00F072E0">
      <w:pPr>
        <w:pStyle w:val="NoSpacing"/>
        <w:jc w:val="center"/>
      </w:pPr>
      <m:oMath>
        <m:sSub>
          <m:sSubPr>
            <m:ctrlPr>
              <w:rPr>
                <w:rFonts w:ascii="Cambria Math" w:hAnsi="Cambria Math"/>
                <w:i/>
              </w:rPr>
            </m:ctrlPr>
          </m:sSubPr>
          <m:e>
            <m:r>
              <w:rPr>
                <w:rFonts w:ascii="Cambria Math" w:hAnsi="Cambria Math"/>
              </w:rPr>
              <m:t>p</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t</m:t>
            </m:r>
          </m:sub>
        </m:sSub>
        <m:r>
          <w:rPr>
            <w:rFonts w:ascii="Cambria Math" w:hAnsi="Cambria Math"/>
          </w:rPr>
          <m:t xml:space="preserve">+ </m:t>
        </m:r>
        <m:sSup>
          <m:sSupPr>
            <m:ctrlPr>
              <w:rPr>
                <w:rFonts w:ascii="Cambria Math" w:hAnsi="Cambria Math"/>
                <w:i/>
              </w:rPr>
            </m:ctrlPr>
          </m:sSupPr>
          <m:e>
            <m:r>
              <w:rPr>
                <w:rFonts w:ascii="Cambria Math" w:hAnsi="Cambria Math"/>
              </w:rPr>
              <m:t>β</m:t>
            </m:r>
          </m:e>
          <m:sup>
            <m:r>
              <w:rPr>
                <w:rFonts w:ascii="Cambria Math" w:hAnsi="Cambria Math"/>
                <w:i/>
                <w:noProof/>
                <w:lang w:bidi="ar-SA"/>
              </w:rPr>
              <w:drawing>
                <wp:inline distT="0" distB="0" distL="0" distR="0">
                  <wp:extent cx="131778" cy="82813"/>
                  <wp:effectExtent l="19050" t="0" r="1572" b="0"/>
                  <wp:docPr id="28"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srcRect/>
                          <a:stretch>
                            <a:fillRect/>
                          </a:stretch>
                        </pic:blipFill>
                        <pic:spPr bwMode="auto">
                          <a:xfrm>
                            <a:off x="0" y="0"/>
                            <a:ext cx="133286" cy="83761"/>
                          </a:xfrm>
                          <a:prstGeom prst="rect">
                            <a:avLst/>
                          </a:prstGeom>
                          <a:noFill/>
                          <a:ln w="9525">
                            <a:noFill/>
                            <a:miter lim="800000"/>
                            <a:headEnd/>
                            <a:tailEnd/>
                          </a:ln>
                        </pic:spPr>
                      </pic:pic>
                    </a:graphicData>
                  </a:graphic>
                </wp:inline>
              </w:drawing>
            </m:r>
          </m:sup>
        </m:sSup>
        <m:sSub>
          <m:sSubPr>
            <m:ctrlPr>
              <w:rPr>
                <w:rFonts w:ascii="Cambria Math" w:hAnsi="Cambria Math"/>
                <w:i/>
              </w:rPr>
            </m:ctrlPr>
          </m:sSubPr>
          <m:e>
            <m:r>
              <w:rPr>
                <w:rFonts w:ascii="Cambria Math" w:hAnsi="Cambria Math"/>
              </w:rPr>
              <m:t>E</m:t>
            </m:r>
          </m:e>
          <m:sub>
            <m:r>
              <w:rPr>
                <w:rFonts w:ascii="Cambria Math" w:hAnsi="Cambria Math"/>
              </w:rPr>
              <m:t>t</m:t>
            </m:r>
          </m:sub>
        </m:sSub>
        <m:d>
          <m:dPr>
            <m:begChr m:val="["/>
            <m:endChr m:val="]"/>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t+</m:t>
                </m:r>
                <m:r>
                  <w:rPr>
                    <w:rFonts w:ascii="Cambria Math" w:hAnsi="Cambria Math"/>
                    <w:i/>
                    <w:noProof/>
                    <w:lang w:bidi="ar-SA"/>
                  </w:rPr>
                  <w:drawing>
                    <wp:inline distT="0" distB="0" distL="0" distR="0">
                      <wp:extent cx="131778" cy="82813"/>
                      <wp:effectExtent l="19050" t="0" r="1572" b="0"/>
                      <wp:docPr id="31"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srcRect/>
                              <a:stretch>
                                <a:fillRect/>
                              </a:stretch>
                            </pic:blipFill>
                            <pic:spPr bwMode="auto">
                              <a:xfrm>
                                <a:off x="0" y="0"/>
                                <a:ext cx="133286" cy="83761"/>
                              </a:xfrm>
                              <a:prstGeom prst="rect">
                                <a:avLst/>
                              </a:prstGeom>
                              <a:noFill/>
                              <a:ln w="9525">
                                <a:noFill/>
                                <a:miter lim="800000"/>
                                <a:headEnd/>
                                <a:tailEnd/>
                              </a:ln>
                            </pic:spPr>
                          </pic:pic>
                        </a:graphicData>
                      </a:graphic>
                    </wp:inline>
                  </w:drawing>
                </m:r>
              </m:sub>
            </m:sSub>
          </m:e>
        </m:d>
        <m:r>
          <w:rPr>
            <w:rFonts w:ascii="Cambria Math" w:hAnsi="Cambria Math"/>
          </w:rPr>
          <m:t xml:space="preserve">+ </m:t>
        </m:r>
        <m:sSub>
          <m:sSubPr>
            <m:ctrlPr>
              <w:rPr>
                <w:rFonts w:ascii="Cambria Math" w:hAnsi="Cambria Math"/>
                <w:i/>
              </w:rPr>
            </m:ctrlPr>
          </m:sSubPr>
          <m:e>
            <m:r>
              <w:rPr>
                <w:rFonts w:ascii="Cambria Math" w:hAnsi="Cambria Math"/>
              </w:rPr>
              <m:t>s</m:t>
            </m:r>
          </m:e>
          <m:sub>
            <m:r>
              <w:rPr>
                <w:rFonts w:ascii="Cambria Math" w:hAnsi="Cambria Math"/>
              </w:rPr>
              <m:t>t</m:t>
            </m:r>
          </m:sub>
        </m:sSub>
      </m:oMath>
      <w:r w:rsidR="00F072E0">
        <w:t xml:space="preserve"> </w:t>
      </w:r>
    </w:p>
    <w:p w:rsidR="00F072E0" w:rsidRDefault="00F072E0" w:rsidP="00F072E0">
      <w:pPr>
        <w:pStyle w:val="NoSpacing"/>
      </w:pPr>
    </w:p>
    <w:p w:rsidR="00F072E0" w:rsidRDefault="00F072E0" w:rsidP="0040529F">
      <w:pPr>
        <w:pStyle w:val="NoSpacing"/>
      </w:pPr>
    </w:p>
    <w:p w:rsidR="00F072E0" w:rsidRDefault="00F072E0" w:rsidP="0040529F">
      <w:pPr>
        <w:pStyle w:val="NoSpacing"/>
      </w:pPr>
      <w:r>
        <w:t xml:space="preserve">How these relationships are tested is explained in </w:t>
      </w:r>
      <w:r w:rsidR="008D0A55">
        <w:t>methodology section</w:t>
      </w:r>
      <w:r>
        <w:t xml:space="preserve">. </w:t>
      </w:r>
    </w:p>
    <w:p w:rsidR="00F072E0" w:rsidRDefault="00F072E0" w:rsidP="0040529F">
      <w:pPr>
        <w:pStyle w:val="NoSpacing"/>
      </w:pPr>
      <w:r>
        <w:t xml:space="preserve"> </w:t>
      </w:r>
    </w:p>
    <w:p w:rsidR="00003E7E" w:rsidRDefault="00003E7E" w:rsidP="0040529F">
      <w:pPr>
        <w:pStyle w:val="NoSpacing"/>
      </w:pPr>
    </w:p>
    <w:p w:rsidR="00CD606C" w:rsidRDefault="00CD606C" w:rsidP="0040529F">
      <w:pPr>
        <w:pStyle w:val="NoSpacing"/>
      </w:pPr>
    </w:p>
    <w:p w:rsidR="00CD606C" w:rsidRDefault="00CD606C" w:rsidP="0040529F">
      <w:pPr>
        <w:pStyle w:val="NoSpacing"/>
      </w:pPr>
    </w:p>
    <w:p w:rsidR="00CD606C" w:rsidRDefault="00CD606C" w:rsidP="0040529F">
      <w:pPr>
        <w:pStyle w:val="NoSpacing"/>
      </w:pPr>
    </w:p>
    <w:p w:rsidR="00CD606C" w:rsidRDefault="00CD606C" w:rsidP="0040529F">
      <w:pPr>
        <w:pStyle w:val="NoSpacing"/>
      </w:pPr>
    </w:p>
    <w:p w:rsidR="00CD606C" w:rsidRDefault="00CD606C" w:rsidP="0040529F">
      <w:pPr>
        <w:pStyle w:val="NoSpacing"/>
      </w:pPr>
    </w:p>
    <w:p w:rsidR="00CD606C" w:rsidRDefault="00CD606C" w:rsidP="0040529F">
      <w:pPr>
        <w:pStyle w:val="NoSpacing"/>
      </w:pPr>
    </w:p>
    <w:p w:rsidR="00CD606C" w:rsidRDefault="00CD606C" w:rsidP="0040529F">
      <w:pPr>
        <w:pStyle w:val="NoSpacing"/>
      </w:pPr>
    </w:p>
    <w:p w:rsidR="00CD606C" w:rsidRDefault="00CD606C" w:rsidP="0040529F">
      <w:pPr>
        <w:pStyle w:val="NoSpacing"/>
      </w:pPr>
    </w:p>
    <w:p w:rsidR="00CD606C" w:rsidRDefault="00CD606C" w:rsidP="0040529F">
      <w:pPr>
        <w:pStyle w:val="NoSpacing"/>
      </w:pPr>
    </w:p>
    <w:p w:rsidR="00CD606C" w:rsidRDefault="00CD606C" w:rsidP="0040529F">
      <w:pPr>
        <w:pStyle w:val="NoSpacing"/>
      </w:pPr>
    </w:p>
    <w:p w:rsidR="00495DD6" w:rsidRDefault="00495DD6" w:rsidP="0040529F">
      <w:pPr>
        <w:pStyle w:val="NoSpacing"/>
      </w:pPr>
    </w:p>
    <w:p w:rsidR="008D0A55" w:rsidRDefault="008D0A55" w:rsidP="0040529F">
      <w:pPr>
        <w:pStyle w:val="NoSpacing"/>
      </w:pPr>
    </w:p>
    <w:p w:rsidR="008D0A55" w:rsidRDefault="008D0A55" w:rsidP="0040529F">
      <w:pPr>
        <w:pStyle w:val="NoSpacing"/>
      </w:pPr>
    </w:p>
    <w:p w:rsidR="008D0A55" w:rsidRDefault="008D0A55" w:rsidP="0040529F">
      <w:pPr>
        <w:pStyle w:val="NoSpacing"/>
      </w:pPr>
    </w:p>
    <w:p w:rsidR="00CE6D78" w:rsidRDefault="00CE6D78" w:rsidP="00D2718D">
      <w:pPr>
        <w:pStyle w:val="Heading1"/>
        <w:numPr>
          <w:ilvl w:val="0"/>
          <w:numId w:val="14"/>
        </w:numPr>
      </w:pPr>
      <w:bookmarkStart w:id="6" w:name="_Toc300320232"/>
      <w:r w:rsidRPr="008D0A55">
        <w:lastRenderedPageBreak/>
        <w:t>Literature</w:t>
      </w:r>
      <w:bookmarkEnd w:id="6"/>
    </w:p>
    <w:p w:rsidR="00CE6D78" w:rsidRDefault="00CE6D78" w:rsidP="00CE6D78">
      <w:pPr>
        <w:pStyle w:val="NoSpacing"/>
      </w:pPr>
      <w:r>
        <w:t xml:space="preserve">The first study in this field was done by Frank and Young (1972), but they did not found any significant relationship. </w:t>
      </w:r>
      <w:proofErr w:type="spellStart"/>
      <w:r>
        <w:t>Aggerwal</w:t>
      </w:r>
      <w:proofErr w:type="spellEnd"/>
      <w:r>
        <w:t xml:space="preserve"> (1981) founds a positive correlation between the US dollar exchange rate and US stock prices using monthly data for the period 1974 to 1978, while </w:t>
      </w:r>
      <w:proofErr w:type="spellStart"/>
      <w:r>
        <w:t>Soenen</w:t>
      </w:r>
      <w:proofErr w:type="spellEnd"/>
      <w:r>
        <w:t xml:space="preserve"> and </w:t>
      </w:r>
      <w:proofErr w:type="spellStart"/>
      <w:r>
        <w:t>Hennigar</w:t>
      </w:r>
      <w:proofErr w:type="spellEnd"/>
      <w:r>
        <w:t xml:space="preserve"> (1988) found a significant </w:t>
      </w:r>
      <w:r w:rsidR="0083777B">
        <w:t>negative correlation, although they used a</w:t>
      </w:r>
      <w:r>
        <w:t xml:space="preserve"> different time period, 1980-1986, but again monthly US data. Roll (1992) supported </w:t>
      </w:r>
      <w:proofErr w:type="spellStart"/>
      <w:r>
        <w:t>Aggerwal’s</w:t>
      </w:r>
      <w:proofErr w:type="spellEnd"/>
      <w:r>
        <w:t xml:space="preserve"> conclusion of a positive relationship between both markets. His research was done with daily data with time period 1988-1991. Chow et al. (1997) used monthly data for the period 1977-1989. They investigated the relation between monthly excess returns and the real exchange rate, but could not find any relationship. But doing the test again, with six months intervals, they found a positive relationship between a strong dollar and stock returns. </w:t>
      </w:r>
    </w:p>
    <w:p w:rsidR="00CE6D78" w:rsidRDefault="00CE6D78" w:rsidP="00CE6D78">
      <w:pPr>
        <w:pStyle w:val="NoSpacing"/>
      </w:pPr>
    </w:p>
    <w:p w:rsidR="00CE6D78" w:rsidRDefault="00CE6D78" w:rsidP="00CE6D78">
      <w:pPr>
        <w:pStyle w:val="NoSpacing"/>
      </w:pPr>
      <w:r>
        <w:t xml:space="preserve">Most of the early studies are done using US data. </w:t>
      </w:r>
      <w:proofErr w:type="spellStart"/>
      <w:r>
        <w:t>Ajayi</w:t>
      </w:r>
      <w:proofErr w:type="spellEnd"/>
      <w:r>
        <w:t xml:space="preserve"> and </w:t>
      </w:r>
      <w:proofErr w:type="spellStart"/>
      <w:r>
        <w:t>Mougoue</w:t>
      </w:r>
      <w:proofErr w:type="spellEnd"/>
      <w:r>
        <w:t xml:space="preserve"> (1996) investigate</w:t>
      </w:r>
      <w:r w:rsidR="00615B19">
        <w:t>d</w:t>
      </w:r>
      <w:r>
        <w:t xml:space="preserve"> the long and short run relationships for the US and UK. They stated that an increase in stock prices leads to a depreciation of the currencies of both countries in the long and short run. Their explanation is that an increase in stock prices indicates an expanding economy, which leads to higher inflation expectations, resulting in a decrease in money demand from foreign investors. </w:t>
      </w:r>
    </w:p>
    <w:p w:rsidR="00CE6D78" w:rsidRDefault="00CE6D78" w:rsidP="00CE6D78">
      <w:pPr>
        <w:pStyle w:val="NoSpacing"/>
      </w:pPr>
    </w:p>
    <w:p w:rsidR="00CE6D78" w:rsidRDefault="00CE6D78" w:rsidP="00CE6D78">
      <w:pPr>
        <w:pStyle w:val="NoSpacing"/>
      </w:pPr>
      <w:r>
        <w:t xml:space="preserve">Granger, Huang and Yang (2000) investigated the relationship between the two markets during the Asian crisis of 1997 for nine Southeast Asian countries. Their conclusions are representative for the whole literature in this </w:t>
      </w:r>
      <w:r w:rsidR="0083777B">
        <w:t>field, namely a lot of diversified results</w:t>
      </w:r>
      <w:r>
        <w:t xml:space="preserve">. Evidence for the portfolio approach was found in the Philippines, stock prices were leading exchange rates with a negative correlation during the crises. Hong Kong, Malaysia, Singapore, Thailand and Taiwan showed feedback relations (both variables </w:t>
      </w:r>
      <w:r w:rsidR="00D61126">
        <w:t xml:space="preserve">are </w:t>
      </w:r>
      <w:r>
        <w:t>influencing each other). While for Indonesia and Japan no pattern was found.  All unidirectional findings were negative, while the direction for the dual causality findings could not be determined. These differences in findings could be due to different degree of capital mobility, trade volume and economic dependency</w:t>
      </w:r>
      <w:r w:rsidR="00D61126">
        <w:t>. Further</w:t>
      </w:r>
      <w:r>
        <w:t xml:space="preserve">, a third omitted variable, for example interest rates, could have an influence on both markets. </w:t>
      </w:r>
    </w:p>
    <w:p w:rsidR="00CE6D78" w:rsidRDefault="00CE6D78" w:rsidP="00CE6D78">
      <w:pPr>
        <w:pStyle w:val="NoSpacing"/>
      </w:pPr>
    </w:p>
    <w:p w:rsidR="00CE6D78" w:rsidRDefault="00CE6D78" w:rsidP="00CE6D78">
      <w:pPr>
        <w:pStyle w:val="NoSpacing"/>
      </w:pPr>
      <w:r>
        <w:t>Researches</w:t>
      </w:r>
      <w:r w:rsidR="0083777B">
        <w:t xml:space="preserve"> that are </w:t>
      </w:r>
      <w:r w:rsidR="00D61126">
        <w:t>most</w:t>
      </w:r>
      <w:r w:rsidR="00334923">
        <w:t xml:space="preserve"> </w:t>
      </w:r>
      <w:r>
        <w:t xml:space="preserve">important for this thesis are from </w:t>
      </w:r>
      <w:proofErr w:type="spellStart"/>
      <w:r>
        <w:t>Nieh</w:t>
      </w:r>
      <w:proofErr w:type="spellEnd"/>
      <w:r>
        <w:t xml:space="preserve"> and Lee (2001) and </w:t>
      </w:r>
      <w:proofErr w:type="spellStart"/>
      <w:r>
        <w:t>Stavarek</w:t>
      </w:r>
      <w:proofErr w:type="spellEnd"/>
      <w:r>
        <w:t xml:space="preserve"> (2004)</w:t>
      </w:r>
      <w:r w:rsidR="00615B19">
        <w:t>,</w:t>
      </w:r>
      <w:r>
        <w:t xml:space="preserve"> as they looked to US and European data. </w:t>
      </w:r>
      <w:proofErr w:type="spellStart"/>
      <w:r>
        <w:t>Nieh</w:t>
      </w:r>
      <w:proofErr w:type="spellEnd"/>
      <w:r>
        <w:t xml:space="preserve"> and Lee investigated the relationship</w:t>
      </w:r>
      <w:r w:rsidR="00615B19">
        <w:t>s</w:t>
      </w:r>
      <w:r>
        <w:t xml:space="preserve"> for 7 western economies, namely Canada, France, Germany, Italy, Japan, United Kingdom and the United States for both </w:t>
      </w:r>
      <w:r w:rsidR="00D61126">
        <w:t xml:space="preserve">the long and short run. No long </w:t>
      </w:r>
      <w:r>
        <w:t xml:space="preserve">run significant relationship was found for all 7 countries, while a short run relation was found for some countries. Again, results are diverse, currency depreciation leads to negative stock returns on German stocks, but to positive returns on stocks in Canada and the UK, while an increase in stock prices causes currency depreciation in Italy and Japan. No relationship was found for the US. The results are not very strong and </w:t>
      </w:r>
      <w:proofErr w:type="spellStart"/>
      <w:r>
        <w:t>Nieh</w:t>
      </w:r>
      <w:proofErr w:type="spellEnd"/>
      <w:r>
        <w:t xml:space="preserve"> and Lee questioned in their conclusion the belief of one market influencing the other. </w:t>
      </w:r>
      <w:proofErr w:type="spellStart"/>
      <w:r>
        <w:t>Stavarek</w:t>
      </w:r>
      <w:proofErr w:type="spellEnd"/>
      <w:r>
        <w:t xml:space="preserve"> did his research for the US, four developed European</w:t>
      </w:r>
      <w:r w:rsidR="00334923">
        <w:t xml:space="preserve"> developed</w:t>
      </w:r>
      <w:r>
        <w:t xml:space="preserve"> economies (UK, Germany, France and Austria) and four </w:t>
      </w:r>
      <w:r w:rsidR="00334923">
        <w:t>European transition</w:t>
      </w:r>
      <w:r>
        <w:t xml:space="preserve"> economies (Czech Republic, Hungary, Poland and Slovakia). </w:t>
      </w:r>
      <w:proofErr w:type="spellStart"/>
      <w:r>
        <w:t>Stavarek</w:t>
      </w:r>
      <w:proofErr w:type="spellEnd"/>
      <w:r>
        <w:t xml:space="preserve"> used real and nominal exchange rates and did the tests </w:t>
      </w:r>
      <w:r w:rsidR="00615B19">
        <w:t>with</w:t>
      </w:r>
      <w:r>
        <w:t xml:space="preserve"> different time periods. No long term relationships were found for the whole time period (1969  -2003), but for smaller time periods (1993 – 2003) relationships were found for Austria, Germany, the UK and US using real exchange rates, but the direction is not uniform. Short term relationships are again only found during the 1993 – 2003 time period. For Germany the stock market causes the real exchange rate, and in the UK the stock market causes</w:t>
      </w:r>
      <w:r w:rsidR="00615B19">
        <w:t xml:space="preserve"> the</w:t>
      </w:r>
      <w:r>
        <w:t xml:space="preserve"> nominal and real exchange rate.</w:t>
      </w:r>
    </w:p>
    <w:p w:rsidR="00CE6D78" w:rsidRDefault="00CE6D78" w:rsidP="00CE6D78">
      <w:pPr>
        <w:pStyle w:val="NoSpacing"/>
      </w:pPr>
    </w:p>
    <w:p w:rsidR="00CE6D78" w:rsidRDefault="00CE6D78" w:rsidP="00CE6D78">
      <w:pPr>
        <w:pStyle w:val="NoSpacing"/>
      </w:pPr>
      <w:r>
        <w:t xml:space="preserve">Most researchers are done using the exchange rate and a national </w:t>
      </w:r>
      <w:r w:rsidR="00334923">
        <w:t xml:space="preserve">stock </w:t>
      </w:r>
      <w:r>
        <w:t xml:space="preserve">index. But Chamberlain et al. (1997) tried to examine the exchange rate exposure of US and Japanese banking firms. They concluded that the stock returns of 9 of the biggest 30 US banking firms moved significantly with the </w:t>
      </w:r>
      <w:r>
        <w:lastRenderedPageBreak/>
        <w:t xml:space="preserve">exchange rate, with negative correlation. The results for the Japanese banks were less </w:t>
      </w:r>
      <w:proofErr w:type="gramStart"/>
      <w:r>
        <w:t>strong,</w:t>
      </w:r>
      <w:proofErr w:type="gramEnd"/>
      <w:r>
        <w:t xml:space="preserve"> only nine banks of the 89 react to exchange rate movements, again with negative correlation. </w:t>
      </w:r>
    </w:p>
    <w:p w:rsidR="00CE6D78" w:rsidRDefault="00CE6D78" w:rsidP="00CE6D78">
      <w:pPr>
        <w:pStyle w:val="NoSpacing"/>
      </w:pPr>
    </w:p>
    <w:p w:rsidR="00CE6D78" w:rsidRDefault="00CE6D78" w:rsidP="00CE6D78">
      <w:pPr>
        <w:pStyle w:val="NoSpacing"/>
      </w:pPr>
      <w:r>
        <w:t xml:space="preserve">More or less the same is done by Griffin and </w:t>
      </w:r>
      <w:proofErr w:type="spellStart"/>
      <w:r>
        <w:t>Stulz</w:t>
      </w:r>
      <w:proofErr w:type="spellEnd"/>
      <w:r>
        <w:t xml:space="preserve"> (2001). They looked to the exchange rate</w:t>
      </w:r>
      <w:r w:rsidR="00334923">
        <w:t>s</w:t>
      </w:r>
      <w:r>
        <w:t xml:space="preserve"> and sector returns in six developed markets, with weekly data for the period 1975-1997. The authors conclude</w:t>
      </w:r>
      <w:r w:rsidR="00615B19">
        <w:t>d</w:t>
      </w:r>
      <w:r>
        <w:t xml:space="preserve"> that exchange rate changes have almost no impact on the stock value of different industries. It is not the first paper that could not find a significant relation between exchange rates and stock prices, as the results contrast sharply with the theory. Weakness of this paper, and of Chamberlain et al., is that the tests are done with simply regressions. Relationships are tested by calculating the beta of the sector index in an ordinary least squares formula with the exchange rate as independent variable. These results are not as strong as the </w:t>
      </w:r>
      <w:proofErr w:type="spellStart"/>
      <w:r>
        <w:t>cointegration</w:t>
      </w:r>
      <w:proofErr w:type="spellEnd"/>
      <w:r>
        <w:t xml:space="preserve"> and Granger causality tests used in this thesis. </w:t>
      </w:r>
    </w:p>
    <w:p w:rsidR="00CE6D78" w:rsidRDefault="00CE6D78" w:rsidP="00CE6D78">
      <w:pPr>
        <w:pStyle w:val="NoSpacing"/>
      </w:pPr>
    </w:p>
    <w:p w:rsidR="00CE6D78" w:rsidRDefault="00CE6D78" w:rsidP="00CE6D78">
      <w:pPr>
        <w:pStyle w:val="NoSpacing"/>
      </w:pPr>
      <w:r>
        <w:t>The papers are far from a consensus. A lot of different results are seen, no matter what frequency, time period, country, currency type (real or nominal) is used. This paper tries to combine the research done on the US and European markets in the long and short run</w:t>
      </w:r>
      <w:r w:rsidR="00615B19">
        <w:t>,</w:t>
      </w:r>
      <w:r>
        <w:t xml:space="preserve"> for sectors and market indices</w:t>
      </w:r>
      <w:r w:rsidR="00615B19">
        <w:t>,</w:t>
      </w:r>
      <w:r w:rsidR="00334923">
        <w:t xml:space="preserve"> with the purpose to give a final answer about the relationship between the stock markets and exchange rates</w:t>
      </w:r>
      <w:r>
        <w:t xml:space="preserve">. </w:t>
      </w:r>
    </w:p>
    <w:p w:rsidR="00CE6D78" w:rsidRDefault="00CE6D78" w:rsidP="00CE6D78">
      <w:pPr>
        <w:pStyle w:val="NoSpacing"/>
      </w:pPr>
    </w:p>
    <w:p w:rsidR="00F072E0" w:rsidRDefault="00F072E0" w:rsidP="0040529F">
      <w:pPr>
        <w:pStyle w:val="NoSpacing"/>
      </w:pPr>
    </w:p>
    <w:p w:rsidR="0040196C" w:rsidRDefault="0040196C" w:rsidP="0040529F">
      <w:pPr>
        <w:pStyle w:val="NoSpacing"/>
      </w:pPr>
    </w:p>
    <w:p w:rsidR="0040196C" w:rsidRDefault="0040196C" w:rsidP="0040529F">
      <w:pPr>
        <w:pStyle w:val="NoSpacing"/>
      </w:pPr>
    </w:p>
    <w:p w:rsidR="00960852" w:rsidRDefault="00960852" w:rsidP="0040529F">
      <w:pPr>
        <w:pStyle w:val="NoSpacing"/>
      </w:pPr>
    </w:p>
    <w:p w:rsidR="00960852" w:rsidRDefault="00960852" w:rsidP="0040529F">
      <w:pPr>
        <w:pStyle w:val="NoSpacing"/>
      </w:pPr>
    </w:p>
    <w:p w:rsidR="00960852" w:rsidRDefault="00960852" w:rsidP="0040529F">
      <w:pPr>
        <w:pStyle w:val="NoSpacing"/>
      </w:pPr>
    </w:p>
    <w:p w:rsidR="00960852" w:rsidRDefault="00960852" w:rsidP="0040529F">
      <w:pPr>
        <w:pStyle w:val="NoSpacing"/>
      </w:pPr>
    </w:p>
    <w:p w:rsidR="00960852" w:rsidRDefault="00960852" w:rsidP="0040529F">
      <w:pPr>
        <w:pStyle w:val="NoSpacing"/>
      </w:pPr>
    </w:p>
    <w:p w:rsidR="00960852" w:rsidRDefault="00960852" w:rsidP="0040529F">
      <w:pPr>
        <w:pStyle w:val="NoSpacing"/>
      </w:pPr>
    </w:p>
    <w:p w:rsidR="00960852" w:rsidRDefault="00960852" w:rsidP="0040529F">
      <w:pPr>
        <w:pStyle w:val="NoSpacing"/>
      </w:pPr>
    </w:p>
    <w:p w:rsidR="00960852" w:rsidRDefault="00960852" w:rsidP="0040529F">
      <w:pPr>
        <w:pStyle w:val="NoSpacing"/>
      </w:pPr>
    </w:p>
    <w:p w:rsidR="00960852" w:rsidRDefault="00960852" w:rsidP="0040529F">
      <w:pPr>
        <w:pStyle w:val="NoSpacing"/>
      </w:pPr>
    </w:p>
    <w:p w:rsidR="00960852" w:rsidRDefault="00960852" w:rsidP="0040529F">
      <w:pPr>
        <w:pStyle w:val="NoSpacing"/>
      </w:pPr>
    </w:p>
    <w:p w:rsidR="00960852" w:rsidRDefault="00960852" w:rsidP="0040529F">
      <w:pPr>
        <w:pStyle w:val="NoSpacing"/>
      </w:pPr>
    </w:p>
    <w:p w:rsidR="00960852" w:rsidRDefault="00960852" w:rsidP="0040529F">
      <w:pPr>
        <w:pStyle w:val="NoSpacing"/>
      </w:pPr>
    </w:p>
    <w:p w:rsidR="00960852" w:rsidRDefault="00960852" w:rsidP="0040529F">
      <w:pPr>
        <w:pStyle w:val="NoSpacing"/>
      </w:pPr>
    </w:p>
    <w:p w:rsidR="00960852" w:rsidRDefault="00960852" w:rsidP="0040529F">
      <w:pPr>
        <w:pStyle w:val="NoSpacing"/>
      </w:pPr>
    </w:p>
    <w:p w:rsidR="00960852" w:rsidRDefault="00960852" w:rsidP="0040529F">
      <w:pPr>
        <w:pStyle w:val="NoSpacing"/>
      </w:pPr>
    </w:p>
    <w:p w:rsidR="00960852" w:rsidRDefault="00960852" w:rsidP="0040529F">
      <w:pPr>
        <w:pStyle w:val="NoSpacing"/>
      </w:pPr>
    </w:p>
    <w:p w:rsidR="00960852" w:rsidRDefault="00960852" w:rsidP="0040529F">
      <w:pPr>
        <w:pStyle w:val="NoSpacing"/>
      </w:pPr>
    </w:p>
    <w:p w:rsidR="00960852" w:rsidRDefault="00960852" w:rsidP="0040529F">
      <w:pPr>
        <w:pStyle w:val="NoSpacing"/>
      </w:pPr>
    </w:p>
    <w:p w:rsidR="00960852" w:rsidRDefault="00960852" w:rsidP="0040529F">
      <w:pPr>
        <w:pStyle w:val="NoSpacing"/>
      </w:pPr>
    </w:p>
    <w:p w:rsidR="00960852" w:rsidRDefault="00960852" w:rsidP="0040529F">
      <w:pPr>
        <w:pStyle w:val="NoSpacing"/>
      </w:pPr>
    </w:p>
    <w:p w:rsidR="00960852" w:rsidRDefault="00960852" w:rsidP="0040529F">
      <w:pPr>
        <w:pStyle w:val="NoSpacing"/>
      </w:pPr>
    </w:p>
    <w:p w:rsidR="00960852" w:rsidRDefault="00960852" w:rsidP="0040529F">
      <w:pPr>
        <w:pStyle w:val="NoSpacing"/>
      </w:pPr>
    </w:p>
    <w:p w:rsidR="00960852" w:rsidRDefault="00960852" w:rsidP="0040529F">
      <w:pPr>
        <w:pStyle w:val="NoSpacing"/>
      </w:pPr>
    </w:p>
    <w:p w:rsidR="00960852" w:rsidRDefault="00960852" w:rsidP="0040529F">
      <w:pPr>
        <w:pStyle w:val="NoSpacing"/>
      </w:pPr>
    </w:p>
    <w:p w:rsidR="00960852" w:rsidRDefault="00960852" w:rsidP="0040529F">
      <w:pPr>
        <w:pStyle w:val="NoSpacing"/>
      </w:pPr>
    </w:p>
    <w:p w:rsidR="00960852" w:rsidRDefault="00960852" w:rsidP="0040529F">
      <w:pPr>
        <w:pStyle w:val="NoSpacing"/>
      </w:pPr>
    </w:p>
    <w:p w:rsidR="00960852" w:rsidRDefault="00960852" w:rsidP="0040529F">
      <w:pPr>
        <w:pStyle w:val="NoSpacing"/>
      </w:pPr>
    </w:p>
    <w:p w:rsidR="00960852" w:rsidRDefault="00960852" w:rsidP="0040529F">
      <w:pPr>
        <w:pStyle w:val="NoSpacing"/>
      </w:pPr>
    </w:p>
    <w:p w:rsidR="00960852" w:rsidRDefault="00960852" w:rsidP="0040529F">
      <w:pPr>
        <w:pStyle w:val="NoSpacing"/>
      </w:pPr>
    </w:p>
    <w:p w:rsidR="00BF49CF" w:rsidRDefault="00BF49CF" w:rsidP="0040529F">
      <w:pPr>
        <w:pStyle w:val="NoSpacing"/>
      </w:pPr>
    </w:p>
    <w:p w:rsidR="00960852" w:rsidRDefault="00CD606C" w:rsidP="00D2718D">
      <w:pPr>
        <w:pStyle w:val="Heading1"/>
        <w:numPr>
          <w:ilvl w:val="0"/>
          <w:numId w:val="14"/>
        </w:numPr>
      </w:pPr>
      <w:bookmarkStart w:id="7" w:name="_Toc300320233"/>
      <w:r>
        <w:lastRenderedPageBreak/>
        <w:t>D</w:t>
      </w:r>
      <w:r w:rsidR="00960852" w:rsidRPr="00ED5247">
        <w:t>ata</w:t>
      </w:r>
      <w:bookmarkEnd w:id="7"/>
    </w:p>
    <w:p w:rsidR="00960852" w:rsidRDefault="00960852" w:rsidP="00960852">
      <w:pPr>
        <w:pStyle w:val="NoSpacing"/>
        <w:jc w:val="both"/>
      </w:pPr>
      <w:r>
        <w:t xml:space="preserve">This thesis tries to discover any relationship between the stock </w:t>
      </w:r>
      <w:r w:rsidR="006E6BCF">
        <w:t>markets</w:t>
      </w:r>
      <w:r>
        <w:t xml:space="preserve"> and exchange rates. The most appropriate frequency for detecting </w:t>
      </w:r>
      <w:r w:rsidR="00615B19">
        <w:t>a</w:t>
      </w:r>
      <w:r>
        <w:t xml:space="preserve"> relation is daily data</w:t>
      </w:r>
      <w:r w:rsidR="00615B19">
        <w:t>, because it says more about short term effects</w:t>
      </w:r>
      <w:r>
        <w:t xml:space="preserve">. The research contains two data sets, daily stock prices and daily currency prices.  </w:t>
      </w:r>
      <w:r w:rsidR="00615B19">
        <w:t>P</w:t>
      </w:r>
      <w:r>
        <w:t xml:space="preserve">rices are downloaded from </w:t>
      </w:r>
      <w:proofErr w:type="spellStart"/>
      <w:r>
        <w:t>Datastream</w:t>
      </w:r>
      <w:proofErr w:type="spellEnd"/>
      <w:r>
        <w:t>. The used time period starts with the introduction of the euro on the financial markets on the first of January 1998 and end</w:t>
      </w:r>
      <w:r w:rsidR="006E6BCF">
        <w:t>s</w:t>
      </w:r>
      <w:r>
        <w:t xml:space="preserve"> </w:t>
      </w:r>
      <w:r w:rsidR="006E6BCF">
        <w:t xml:space="preserve">on </w:t>
      </w:r>
      <w:r>
        <w:t xml:space="preserve">31 December 2010, containing 3130 observations. The same time period is used for the US and Europe for proper comparison conditions. </w:t>
      </w:r>
    </w:p>
    <w:p w:rsidR="00960852" w:rsidRDefault="00960852" w:rsidP="00960852">
      <w:pPr>
        <w:pStyle w:val="NoSpacing"/>
        <w:jc w:val="both"/>
      </w:pPr>
    </w:p>
    <w:p w:rsidR="00960852" w:rsidRDefault="00960852" w:rsidP="00960852">
      <w:pPr>
        <w:pStyle w:val="NoSpacing"/>
        <w:jc w:val="both"/>
      </w:pPr>
      <w:r>
        <w:t xml:space="preserve">As we compare the relationship between the stock market and exchange rates in Europe with the United States, the dollar/euro and euro/dollar rate are both used. For a reliable comparison, the Swiss Franc is used as a third currency. Most </w:t>
      </w:r>
      <w:r w:rsidR="006E6BCF">
        <w:t xml:space="preserve">of the existing </w:t>
      </w:r>
      <w:r>
        <w:t xml:space="preserve">research is done with the home currency against the dollar, but as we needed the dollar and the euro, results for both relations could be the opposite of each other. Because the, of course, conversed relation between the euro/dollar and dollar/euro and the strong correlation between U.S. and Europe’s stock markets, results for both areas could be contradictory. The Swiss franc is considered as a reliable, high liquid, low volatile currency, which makes it a trustworthy currency for comparison.  </w:t>
      </w:r>
      <w:r w:rsidR="00615B19">
        <w:t xml:space="preserve">Table </w:t>
      </w:r>
      <w:r w:rsidR="006E6BCF">
        <w:t>1</w:t>
      </w:r>
      <w:r w:rsidR="00615B19">
        <w:t xml:space="preserve"> </w:t>
      </w:r>
      <w:proofErr w:type="gramStart"/>
      <w:r w:rsidR="00615B19">
        <w:t>shows</w:t>
      </w:r>
      <w:proofErr w:type="gramEnd"/>
      <w:r w:rsidR="00615B19">
        <w:t xml:space="preserve"> the used currencies and table </w:t>
      </w:r>
      <w:r w:rsidR="006E6BCF">
        <w:t>2</w:t>
      </w:r>
      <w:r w:rsidR="00615B19">
        <w:t xml:space="preserve"> the descriptive statistics of these currencies. </w:t>
      </w:r>
    </w:p>
    <w:p w:rsidR="00960852" w:rsidRDefault="00960852" w:rsidP="00960852">
      <w:pPr>
        <w:pStyle w:val="NoSpacing"/>
        <w:jc w:val="both"/>
      </w:pPr>
    </w:p>
    <w:p w:rsidR="00960852" w:rsidRDefault="00960852" w:rsidP="00960852">
      <w:pPr>
        <w:pStyle w:val="NoSpacing"/>
      </w:pPr>
      <w:r w:rsidRPr="00D6780B">
        <w:t>Tabl</w:t>
      </w:r>
      <w:r>
        <w:t>e</w:t>
      </w:r>
      <w:r w:rsidRPr="00D6780B">
        <w:t xml:space="preserve"> </w:t>
      </w:r>
      <w:r w:rsidR="00CD606C">
        <w:t>1</w:t>
      </w:r>
      <w:r>
        <w:t>:</w:t>
      </w:r>
      <w:r w:rsidRPr="00D6780B">
        <w:t xml:space="preserve"> Exchange rates</w:t>
      </w:r>
    </w:p>
    <w:tbl>
      <w:tblPr>
        <w:tblStyle w:val="TableGrid"/>
        <w:tblW w:w="0" w:type="auto"/>
        <w:tblLook w:val="05A0"/>
      </w:tblPr>
      <w:tblGrid>
        <w:gridCol w:w="3070"/>
        <w:gridCol w:w="3071"/>
      </w:tblGrid>
      <w:tr w:rsidR="00960852" w:rsidRPr="006D4DB1" w:rsidTr="00960852">
        <w:tc>
          <w:tcPr>
            <w:tcW w:w="3070" w:type="dxa"/>
          </w:tcPr>
          <w:p w:rsidR="00960852" w:rsidRPr="006D4DB1" w:rsidRDefault="00960852" w:rsidP="00960852">
            <w:pPr>
              <w:pStyle w:val="NoSpacing"/>
              <w:rPr>
                <w:i/>
              </w:rPr>
            </w:pPr>
            <w:r w:rsidRPr="006D4DB1">
              <w:rPr>
                <w:i/>
              </w:rPr>
              <w:t>Symbol</w:t>
            </w:r>
          </w:p>
        </w:tc>
        <w:tc>
          <w:tcPr>
            <w:tcW w:w="3071" w:type="dxa"/>
          </w:tcPr>
          <w:p w:rsidR="00960852" w:rsidRPr="006D4DB1" w:rsidRDefault="00960852" w:rsidP="00960852">
            <w:pPr>
              <w:pStyle w:val="NoSpacing"/>
              <w:rPr>
                <w:i/>
              </w:rPr>
            </w:pPr>
            <w:r>
              <w:rPr>
                <w:i/>
              </w:rPr>
              <w:t>Name</w:t>
            </w:r>
          </w:p>
        </w:tc>
      </w:tr>
      <w:tr w:rsidR="00960852" w:rsidRPr="006D4DB1" w:rsidTr="00960852">
        <w:tc>
          <w:tcPr>
            <w:tcW w:w="3070" w:type="dxa"/>
          </w:tcPr>
          <w:p w:rsidR="00960852" w:rsidRPr="006D4DB1" w:rsidRDefault="00960852" w:rsidP="00960852">
            <w:pPr>
              <w:pStyle w:val="NoSpacing"/>
            </w:pPr>
            <w:r w:rsidRPr="006D4DB1">
              <w:t xml:space="preserve">EURUSD=X </w:t>
            </w:r>
          </w:p>
        </w:tc>
        <w:tc>
          <w:tcPr>
            <w:tcW w:w="3071" w:type="dxa"/>
          </w:tcPr>
          <w:p w:rsidR="00960852" w:rsidRPr="006D4DB1" w:rsidRDefault="00960852" w:rsidP="00960852">
            <w:pPr>
              <w:pStyle w:val="NoSpacing"/>
            </w:pPr>
            <w:r w:rsidRPr="006D4DB1">
              <w:t>Euro/</w:t>
            </w:r>
            <w:r>
              <w:t>US d</w:t>
            </w:r>
            <w:r w:rsidRPr="006D4DB1">
              <w:t>ollar</w:t>
            </w:r>
          </w:p>
        </w:tc>
      </w:tr>
      <w:tr w:rsidR="00960852" w:rsidRPr="006D4DB1" w:rsidTr="00960852">
        <w:tc>
          <w:tcPr>
            <w:tcW w:w="3070" w:type="dxa"/>
          </w:tcPr>
          <w:p w:rsidR="00960852" w:rsidRPr="006D4DB1" w:rsidRDefault="00960852" w:rsidP="00960852">
            <w:pPr>
              <w:pStyle w:val="NoSpacing"/>
            </w:pPr>
            <w:r>
              <w:t>USDCHF</w:t>
            </w:r>
            <w:r w:rsidRPr="006D4DB1">
              <w:t>=X</w:t>
            </w:r>
          </w:p>
        </w:tc>
        <w:tc>
          <w:tcPr>
            <w:tcW w:w="3071" w:type="dxa"/>
          </w:tcPr>
          <w:p w:rsidR="00960852" w:rsidRPr="006D4DB1" w:rsidRDefault="00960852" w:rsidP="00960852">
            <w:pPr>
              <w:pStyle w:val="NoSpacing"/>
            </w:pPr>
            <w:r>
              <w:t>US dollar/Swiss franc</w:t>
            </w:r>
          </w:p>
        </w:tc>
      </w:tr>
      <w:tr w:rsidR="00960852" w:rsidRPr="006D4DB1" w:rsidTr="00960852">
        <w:tc>
          <w:tcPr>
            <w:tcW w:w="3070" w:type="dxa"/>
          </w:tcPr>
          <w:p w:rsidR="00960852" w:rsidRPr="006D4DB1" w:rsidRDefault="00960852" w:rsidP="00960852">
            <w:pPr>
              <w:pStyle w:val="NoSpacing"/>
            </w:pPr>
            <w:r w:rsidRPr="006D4DB1">
              <w:t>USDEUR=X</w:t>
            </w:r>
          </w:p>
        </w:tc>
        <w:tc>
          <w:tcPr>
            <w:tcW w:w="3071" w:type="dxa"/>
          </w:tcPr>
          <w:p w:rsidR="00960852" w:rsidRPr="006D4DB1" w:rsidRDefault="00960852" w:rsidP="00960852">
            <w:pPr>
              <w:pStyle w:val="NoSpacing"/>
            </w:pPr>
            <w:r>
              <w:t>US d</w:t>
            </w:r>
            <w:r w:rsidRPr="006D4DB1">
              <w:t>ollar/</w:t>
            </w:r>
            <w:r>
              <w:t>e</w:t>
            </w:r>
            <w:r w:rsidRPr="006D4DB1">
              <w:t>uro</w:t>
            </w:r>
          </w:p>
        </w:tc>
      </w:tr>
      <w:tr w:rsidR="00960852" w:rsidRPr="006D4DB1" w:rsidTr="00960852">
        <w:tc>
          <w:tcPr>
            <w:tcW w:w="3070" w:type="dxa"/>
          </w:tcPr>
          <w:p w:rsidR="00960852" w:rsidRPr="006D4DB1" w:rsidRDefault="00960852" w:rsidP="00960852">
            <w:pPr>
              <w:pStyle w:val="NoSpacing"/>
            </w:pPr>
            <w:r>
              <w:t>EURCHF</w:t>
            </w:r>
            <w:r w:rsidRPr="006D4DB1">
              <w:t>=X</w:t>
            </w:r>
          </w:p>
        </w:tc>
        <w:tc>
          <w:tcPr>
            <w:tcW w:w="3071" w:type="dxa"/>
          </w:tcPr>
          <w:p w:rsidR="00960852" w:rsidRPr="006D4DB1" w:rsidRDefault="00960852" w:rsidP="00960852">
            <w:pPr>
              <w:pStyle w:val="NoSpacing"/>
            </w:pPr>
            <w:r>
              <w:t>Euro/Swiss franc</w:t>
            </w:r>
          </w:p>
        </w:tc>
      </w:tr>
    </w:tbl>
    <w:p w:rsidR="00960852" w:rsidRDefault="00960852" w:rsidP="00960852">
      <w:pPr>
        <w:pStyle w:val="NoSpacing"/>
        <w:jc w:val="both"/>
        <w:rPr>
          <w:noProof/>
          <w:lang w:val="nl-NL" w:eastAsia="nl-NL" w:bidi="ar-SA"/>
        </w:rPr>
      </w:pPr>
    </w:p>
    <w:p w:rsidR="00960852" w:rsidRDefault="00960852" w:rsidP="00960852">
      <w:pPr>
        <w:pStyle w:val="NoSpacing"/>
      </w:pPr>
      <w:r>
        <w:t xml:space="preserve">Table </w:t>
      </w:r>
      <w:r w:rsidR="00CD606C">
        <w:t>2</w:t>
      </w:r>
      <w:r>
        <w:t>: Descriptive statistics exchange rates</w:t>
      </w:r>
    </w:p>
    <w:tbl>
      <w:tblPr>
        <w:tblW w:w="5660" w:type="dxa"/>
        <w:tblInd w:w="65" w:type="dxa"/>
        <w:tblCellMar>
          <w:left w:w="70" w:type="dxa"/>
          <w:right w:w="70" w:type="dxa"/>
        </w:tblCellMar>
        <w:tblLook w:val="04A0"/>
      </w:tblPr>
      <w:tblGrid>
        <w:gridCol w:w="1480"/>
        <w:gridCol w:w="974"/>
        <w:gridCol w:w="1120"/>
        <w:gridCol w:w="1080"/>
        <w:gridCol w:w="1020"/>
      </w:tblGrid>
      <w:tr w:rsidR="00960852" w:rsidRPr="00FA243E" w:rsidTr="00960852">
        <w:trPr>
          <w:trHeight w:val="255"/>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0852" w:rsidRPr="008D0A55" w:rsidRDefault="00960852" w:rsidP="00960852">
            <w:pPr>
              <w:spacing w:after="0" w:line="240" w:lineRule="auto"/>
              <w:rPr>
                <w:rFonts w:ascii="Arial" w:eastAsia="Times New Roman" w:hAnsi="Arial" w:cs="Arial"/>
                <w:sz w:val="20"/>
                <w:szCs w:val="20"/>
                <w:lang w:eastAsia="nl-NL" w:bidi="ar-SA"/>
              </w:rPr>
            </w:pPr>
            <w:r w:rsidRPr="008D0A55">
              <w:rPr>
                <w:rFonts w:ascii="Arial" w:eastAsia="Times New Roman" w:hAnsi="Arial" w:cs="Arial"/>
                <w:sz w:val="20"/>
                <w:szCs w:val="20"/>
                <w:lang w:eastAsia="nl-NL" w:bidi="ar-SA"/>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60852" w:rsidRPr="00FA243E" w:rsidRDefault="00960852" w:rsidP="00960852">
            <w:pPr>
              <w:spacing w:after="0" w:line="240" w:lineRule="auto"/>
              <w:rPr>
                <w:rFonts w:ascii="Arial" w:eastAsia="Times New Roman" w:hAnsi="Arial" w:cs="Arial"/>
                <w:sz w:val="20"/>
                <w:szCs w:val="20"/>
                <w:lang w:val="nl-NL" w:eastAsia="nl-NL" w:bidi="ar-SA"/>
              </w:rPr>
            </w:pPr>
            <w:r w:rsidRPr="00FA243E">
              <w:rPr>
                <w:rFonts w:ascii="Arial" w:eastAsia="Times New Roman" w:hAnsi="Arial" w:cs="Arial"/>
                <w:sz w:val="20"/>
                <w:szCs w:val="20"/>
                <w:lang w:val="nl-NL" w:eastAsia="nl-NL" w:bidi="ar-SA"/>
              </w:rPr>
              <w:t>CHFEUR</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960852" w:rsidRPr="00FA243E" w:rsidRDefault="00960852" w:rsidP="00960852">
            <w:pPr>
              <w:spacing w:after="0" w:line="240" w:lineRule="auto"/>
              <w:rPr>
                <w:rFonts w:ascii="Arial" w:eastAsia="Times New Roman" w:hAnsi="Arial" w:cs="Arial"/>
                <w:sz w:val="20"/>
                <w:szCs w:val="20"/>
                <w:lang w:val="nl-NL" w:eastAsia="nl-NL" w:bidi="ar-SA"/>
              </w:rPr>
            </w:pPr>
            <w:r w:rsidRPr="00FA243E">
              <w:rPr>
                <w:rFonts w:ascii="Arial" w:eastAsia="Times New Roman" w:hAnsi="Arial" w:cs="Arial"/>
                <w:sz w:val="20"/>
                <w:szCs w:val="20"/>
                <w:lang w:val="nl-NL" w:eastAsia="nl-NL" w:bidi="ar-SA"/>
              </w:rPr>
              <w:t>CHFUSD</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960852" w:rsidRPr="00FA243E" w:rsidRDefault="00960852" w:rsidP="00960852">
            <w:pPr>
              <w:spacing w:after="0" w:line="240" w:lineRule="auto"/>
              <w:rPr>
                <w:rFonts w:ascii="Arial" w:eastAsia="Times New Roman" w:hAnsi="Arial" w:cs="Arial"/>
                <w:sz w:val="20"/>
                <w:szCs w:val="20"/>
                <w:lang w:val="nl-NL" w:eastAsia="nl-NL" w:bidi="ar-SA"/>
              </w:rPr>
            </w:pPr>
            <w:r w:rsidRPr="00FA243E">
              <w:rPr>
                <w:rFonts w:ascii="Arial" w:eastAsia="Times New Roman" w:hAnsi="Arial" w:cs="Arial"/>
                <w:sz w:val="20"/>
                <w:szCs w:val="20"/>
                <w:lang w:val="nl-NL" w:eastAsia="nl-NL" w:bidi="ar-SA"/>
              </w:rPr>
              <w:t>EURUSD</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rsidR="00960852" w:rsidRPr="00FA243E" w:rsidRDefault="00960852" w:rsidP="00960852">
            <w:pPr>
              <w:spacing w:after="0" w:line="240" w:lineRule="auto"/>
              <w:rPr>
                <w:rFonts w:ascii="Arial" w:eastAsia="Times New Roman" w:hAnsi="Arial" w:cs="Arial"/>
                <w:sz w:val="20"/>
                <w:szCs w:val="20"/>
                <w:lang w:val="nl-NL" w:eastAsia="nl-NL" w:bidi="ar-SA"/>
              </w:rPr>
            </w:pPr>
            <w:r w:rsidRPr="00FA243E">
              <w:rPr>
                <w:rFonts w:ascii="Arial" w:eastAsia="Times New Roman" w:hAnsi="Arial" w:cs="Arial"/>
                <w:sz w:val="20"/>
                <w:szCs w:val="20"/>
                <w:lang w:val="nl-NL" w:eastAsia="nl-NL" w:bidi="ar-SA"/>
              </w:rPr>
              <w:t>USDEUR</w:t>
            </w:r>
          </w:p>
        </w:tc>
      </w:tr>
      <w:tr w:rsidR="00960852" w:rsidRPr="00FA243E" w:rsidTr="00960852">
        <w:trPr>
          <w:trHeight w:val="25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960852" w:rsidRPr="00FA243E" w:rsidRDefault="00960852" w:rsidP="00960852">
            <w:pPr>
              <w:spacing w:after="0" w:line="240" w:lineRule="auto"/>
              <w:rPr>
                <w:rFonts w:ascii="Arial" w:eastAsia="Times New Roman" w:hAnsi="Arial" w:cs="Arial"/>
                <w:sz w:val="20"/>
                <w:szCs w:val="20"/>
                <w:lang w:val="nl-NL" w:eastAsia="nl-NL" w:bidi="ar-SA"/>
              </w:rPr>
            </w:pPr>
            <w:r w:rsidRPr="00FA243E">
              <w:rPr>
                <w:rFonts w:ascii="Arial" w:eastAsia="Times New Roman" w:hAnsi="Arial" w:cs="Arial"/>
                <w:sz w:val="20"/>
                <w:szCs w:val="20"/>
                <w:lang w:val="nl-NL" w:eastAsia="nl-NL" w:bidi="ar-SA"/>
              </w:rPr>
              <w:t xml:space="preserve"> </w:t>
            </w:r>
            <w:proofErr w:type="spellStart"/>
            <w:r w:rsidRPr="00FA243E">
              <w:rPr>
                <w:rFonts w:ascii="Arial" w:eastAsia="Times New Roman" w:hAnsi="Arial" w:cs="Arial"/>
                <w:sz w:val="20"/>
                <w:szCs w:val="20"/>
                <w:lang w:val="nl-NL" w:eastAsia="nl-NL" w:bidi="ar-SA"/>
              </w:rPr>
              <w:t>Mean</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960852" w:rsidRPr="00FA243E" w:rsidRDefault="00960852" w:rsidP="00960852">
            <w:pPr>
              <w:spacing w:after="0" w:line="240" w:lineRule="auto"/>
              <w:jc w:val="right"/>
              <w:rPr>
                <w:rFonts w:ascii="Arial" w:eastAsia="Times New Roman" w:hAnsi="Arial" w:cs="Arial"/>
                <w:sz w:val="20"/>
                <w:szCs w:val="20"/>
                <w:lang w:val="nl-NL" w:eastAsia="nl-NL" w:bidi="ar-SA"/>
              </w:rPr>
            </w:pPr>
            <w:r w:rsidRPr="00FA243E">
              <w:rPr>
                <w:rFonts w:ascii="Arial" w:eastAsia="Times New Roman" w:hAnsi="Arial" w:cs="Arial"/>
                <w:sz w:val="20"/>
                <w:szCs w:val="20"/>
                <w:lang w:val="nl-NL" w:eastAsia="nl-NL" w:bidi="ar-SA"/>
              </w:rPr>
              <w:t>0,65</w:t>
            </w:r>
          </w:p>
        </w:tc>
        <w:tc>
          <w:tcPr>
            <w:tcW w:w="1120" w:type="dxa"/>
            <w:tcBorders>
              <w:top w:val="nil"/>
              <w:left w:val="nil"/>
              <w:bottom w:val="single" w:sz="4" w:space="0" w:color="auto"/>
              <w:right w:val="single" w:sz="4" w:space="0" w:color="auto"/>
            </w:tcBorders>
            <w:shd w:val="clear" w:color="auto" w:fill="auto"/>
            <w:noWrap/>
            <w:vAlign w:val="bottom"/>
            <w:hideMark/>
          </w:tcPr>
          <w:p w:rsidR="00960852" w:rsidRPr="00FA243E" w:rsidRDefault="00960852" w:rsidP="00960852">
            <w:pPr>
              <w:spacing w:after="0" w:line="240" w:lineRule="auto"/>
              <w:jc w:val="right"/>
              <w:rPr>
                <w:rFonts w:ascii="Arial" w:eastAsia="Times New Roman" w:hAnsi="Arial" w:cs="Arial"/>
                <w:sz w:val="20"/>
                <w:szCs w:val="20"/>
                <w:lang w:val="nl-NL" w:eastAsia="nl-NL" w:bidi="ar-SA"/>
              </w:rPr>
            </w:pPr>
            <w:r w:rsidRPr="00FA243E">
              <w:rPr>
                <w:rFonts w:ascii="Arial" w:eastAsia="Times New Roman" w:hAnsi="Arial" w:cs="Arial"/>
                <w:sz w:val="20"/>
                <w:szCs w:val="20"/>
                <w:lang w:val="nl-NL" w:eastAsia="nl-NL" w:bidi="ar-SA"/>
              </w:rPr>
              <w:t>0,77</w:t>
            </w:r>
          </w:p>
        </w:tc>
        <w:tc>
          <w:tcPr>
            <w:tcW w:w="1080" w:type="dxa"/>
            <w:tcBorders>
              <w:top w:val="nil"/>
              <w:left w:val="nil"/>
              <w:bottom w:val="single" w:sz="4" w:space="0" w:color="auto"/>
              <w:right w:val="single" w:sz="4" w:space="0" w:color="auto"/>
            </w:tcBorders>
            <w:shd w:val="clear" w:color="auto" w:fill="auto"/>
            <w:noWrap/>
            <w:vAlign w:val="bottom"/>
            <w:hideMark/>
          </w:tcPr>
          <w:p w:rsidR="00960852" w:rsidRPr="00FA243E" w:rsidRDefault="00960852" w:rsidP="00960852">
            <w:pPr>
              <w:spacing w:after="0" w:line="240" w:lineRule="auto"/>
              <w:jc w:val="right"/>
              <w:rPr>
                <w:rFonts w:ascii="Arial" w:eastAsia="Times New Roman" w:hAnsi="Arial" w:cs="Arial"/>
                <w:sz w:val="20"/>
                <w:szCs w:val="20"/>
                <w:lang w:val="nl-NL" w:eastAsia="nl-NL" w:bidi="ar-SA"/>
              </w:rPr>
            </w:pPr>
            <w:r w:rsidRPr="00FA243E">
              <w:rPr>
                <w:rFonts w:ascii="Arial" w:eastAsia="Times New Roman" w:hAnsi="Arial" w:cs="Arial"/>
                <w:sz w:val="20"/>
                <w:szCs w:val="20"/>
                <w:lang w:val="nl-NL" w:eastAsia="nl-NL" w:bidi="ar-SA"/>
              </w:rPr>
              <w:t>1,19</w:t>
            </w:r>
          </w:p>
        </w:tc>
        <w:tc>
          <w:tcPr>
            <w:tcW w:w="1020" w:type="dxa"/>
            <w:tcBorders>
              <w:top w:val="nil"/>
              <w:left w:val="nil"/>
              <w:bottom w:val="single" w:sz="4" w:space="0" w:color="auto"/>
              <w:right w:val="single" w:sz="4" w:space="0" w:color="auto"/>
            </w:tcBorders>
            <w:shd w:val="clear" w:color="auto" w:fill="auto"/>
            <w:noWrap/>
            <w:vAlign w:val="bottom"/>
            <w:hideMark/>
          </w:tcPr>
          <w:p w:rsidR="00960852" w:rsidRPr="00FA243E" w:rsidRDefault="00960852" w:rsidP="00960852">
            <w:pPr>
              <w:spacing w:after="0" w:line="240" w:lineRule="auto"/>
              <w:jc w:val="right"/>
              <w:rPr>
                <w:rFonts w:ascii="Arial" w:eastAsia="Times New Roman" w:hAnsi="Arial" w:cs="Arial"/>
                <w:sz w:val="20"/>
                <w:szCs w:val="20"/>
                <w:lang w:val="nl-NL" w:eastAsia="nl-NL" w:bidi="ar-SA"/>
              </w:rPr>
            </w:pPr>
            <w:r w:rsidRPr="00FA243E">
              <w:rPr>
                <w:rFonts w:ascii="Arial" w:eastAsia="Times New Roman" w:hAnsi="Arial" w:cs="Arial"/>
                <w:sz w:val="20"/>
                <w:szCs w:val="20"/>
                <w:lang w:val="nl-NL" w:eastAsia="nl-NL" w:bidi="ar-SA"/>
              </w:rPr>
              <w:t>0,87</w:t>
            </w:r>
          </w:p>
        </w:tc>
      </w:tr>
      <w:tr w:rsidR="00960852" w:rsidRPr="00FA243E" w:rsidTr="00960852">
        <w:trPr>
          <w:trHeight w:val="25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960852" w:rsidRPr="00FA243E" w:rsidRDefault="00960852" w:rsidP="00960852">
            <w:pPr>
              <w:spacing w:after="0" w:line="240" w:lineRule="auto"/>
              <w:rPr>
                <w:rFonts w:ascii="Arial" w:eastAsia="Times New Roman" w:hAnsi="Arial" w:cs="Arial"/>
                <w:sz w:val="20"/>
                <w:szCs w:val="20"/>
                <w:lang w:val="nl-NL" w:eastAsia="nl-NL" w:bidi="ar-SA"/>
              </w:rPr>
            </w:pPr>
            <w:r w:rsidRPr="00FA243E">
              <w:rPr>
                <w:rFonts w:ascii="Arial" w:eastAsia="Times New Roman" w:hAnsi="Arial" w:cs="Arial"/>
                <w:sz w:val="20"/>
                <w:szCs w:val="20"/>
                <w:lang w:val="nl-NL" w:eastAsia="nl-NL" w:bidi="ar-SA"/>
              </w:rPr>
              <w:t xml:space="preserve"> </w:t>
            </w:r>
            <w:proofErr w:type="spellStart"/>
            <w:r w:rsidRPr="00FA243E">
              <w:rPr>
                <w:rFonts w:ascii="Arial" w:eastAsia="Times New Roman" w:hAnsi="Arial" w:cs="Arial"/>
                <w:sz w:val="20"/>
                <w:szCs w:val="20"/>
                <w:lang w:val="nl-NL" w:eastAsia="nl-NL" w:bidi="ar-SA"/>
              </w:rPr>
              <w:t>Median</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960852" w:rsidRPr="00FA243E" w:rsidRDefault="00960852" w:rsidP="00960852">
            <w:pPr>
              <w:spacing w:after="0" w:line="240" w:lineRule="auto"/>
              <w:jc w:val="right"/>
              <w:rPr>
                <w:rFonts w:ascii="Arial" w:eastAsia="Times New Roman" w:hAnsi="Arial" w:cs="Arial"/>
                <w:sz w:val="20"/>
                <w:szCs w:val="20"/>
                <w:lang w:val="nl-NL" w:eastAsia="nl-NL" w:bidi="ar-SA"/>
              </w:rPr>
            </w:pPr>
            <w:r w:rsidRPr="00FA243E">
              <w:rPr>
                <w:rFonts w:ascii="Arial" w:eastAsia="Times New Roman" w:hAnsi="Arial" w:cs="Arial"/>
                <w:sz w:val="20"/>
                <w:szCs w:val="20"/>
                <w:lang w:val="nl-NL" w:eastAsia="nl-NL" w:bidi="ar-SA"/>
              </w:rPr>
              <w:t>0,65</w:t>
            </w:r>
          </w:p>
        </w:tc>
        <w:tc>
          <w:tcPr>
            <w:tcW w:w="1120" w:type="dxa"/>
            <w:tcBorders>
              <w:top w:val="nil"/>
              <w:left w:val="nil"/>
              <w:bottom w:val="single" w:sz="4" w:space="0" w:color="auto"/>
              <w:right w:val="single" w:sz="4" w:space="0" w:color="auto"/>
            </w:tcBorders>
            <w:shd w:val="clear" w:color="auto" w:fill="auto"/>
            <w:noWrap/>
            <w:vAlign w:val="bottom"/>
            <w:hideMark/>
          </w:tcPr>
          <w:p w:rsidR="00960852" w:rsidRPr="00FA243E" w:rsidRDefault="00960852" w:rsidP="00960852">
            <w:pPr>
              <w:spacing w:after="0" w:line="240" w:lineRule="auto"/>
              <w:jc w:val="right"/>
              <w:rPr>
                <w:rFonts w:ascii="Arial" w:eastAsia="Times New Roman" w:hAnsi="Arial" w:cs="Arial"/>
                <w:sz w:val="20"/>
                <w:szCs w:val="20"/>
                <w:lang w:val="nl-NL" w:eastAsia="nl-NL" w:bidi="ar-SA"/>
              </w:rPr>
            </w:pPr>
            <w:r w:rsidRPr="00FA243E">
              <w:rPr>
                <w:rFonts w:ascii="Arial" w:eastAsia="Times New Roman" w:hAnsi="Arial" w:cs="Arial"/>
                <w:sz w:val="20"/>
                <w:szCs w:val="20"/>
                <w:lang w:val="nl-NL" w:eastAsia="nl-NL" w:bidi="ar-SA"/>
              </w:rPr>
              <w:t>0,79</w:t>
            </w:r>
          </w:p>
        </w:tc>
        <w:tc>
          <w:tcPr>
            <w:tcW w:w="1080" w:type="dxa"/>
            <w:tcBorders>
              <w:top w:val="nil"/>
              <w:left w:val="nil"/>
              <w:bottom w:val="single" w:sz="4" w:space="0" w:color="auto"/>
              <w:right w:val="single" w:sz="4" w:space="0" w:color="auto"/>
            </w:tcBorders>
            <w:shd w:val="clear" w:color="auto" w:fill="auto"/>
            <w:noWrap/>
            <w:vAlign w:val="bottom"/>
            <w:hideMark/>
          </w:tcPr>
          <w:p w:rsidR="00960852" w:rsidRPr="00FA243E" w:rsidRDefault="00960852" w:rsidP="00960852">
            <w:pPr>
              <w:spacing w:after="0" w:line="240" w:lineRule="auto"/>
              <w:jc w:val="right"/>
              <w:rPr>
                <w:rFonts w:ascii="Arial" w:eastAsia="Times New Roman" w:hAnsi="Arial" w:cs="Arial"/>
                <w:sz w:val="20"/>
                <w:szCs w:val="20"/>
                <w:lang w:val="nl-NL" w:eastAsia="nl-NL" w:bidi="ar-SA"/>
              </w:rPr>
            </w:pPr>
            <w:r w:rsidRPr="00FA243E">
              <w:rPr>
                <w:rFonts w:ascii="Arial" w:eastAsia="Times New Roman" w:hAnsi="Arial" w:cs="Arial"/>
                <w:sz w:val="20"/>
                <w:szCs w:val="20"/>
                <w:lang w:val="nl-NL" w:eastAsia="nl-NL" w:bidi="ar-SA"/>
              </w:rPr>
              <w:t>1,22</w:t>
            </w:r>
          </w:p>
        </w:tc>
        <w:tc>
          <w:tcPr>
            <w:tcW w:w="1020" w:type="dxa"/>
            <w:tcBorders>
              <w:top w:val="nil"/>
              <w:left w:val="nil"/>
              <w:bottom w:val="single" w:sz="4" w:space="0" w:color="auto"/>
              <w:right w:val="single" w:sz="4" w:space="0" w:color="auto"/>
            </w:tcBorders>
            <w:shd w:val="clear" w:color="auto" w:fill="auto"/>
            <w:noWrap/>
            <w:vAlign w:val="bottom"/>
            <w:hideMark/>
          </w:tcPr>
          <w:p w:rsidR="00960852" w:rsidRPr="00FA243E" w:rsidRDefault="00960852" w:rsidP="00960852">
            <w:pPr>
              <w:spacing w:after="0" w:line="240" w:lineRule="auto"/>
              <w:jc w:val="right"/>
              <w:rPr>
                <w:rFonts w:ascii="Arial" w:eastAsia="Times New Roman" w:hAnsi="Arial" w:cs="Arial"/>
                <w:sz w:val="20"/>
                <w:szCs w:val="20"/>
                <w:lang w:val="nl-NL" w:eastAsia="nl-NL" w:bidi="ar-SA"/>
              </w:rPr>
            </w:pPr>
            <w:r w:rsidRPr="00FA243E">
              <w:rPr>
                <w:rFonts w:ascii="Arial" w:eastAsia="Times New Roman" w:hAnsi="Arial" w:cs="Arial"/>
                <w:sz w:val="20"/>
                <w:szCs w:val="20"/>
                <w:lang w:val="nl-NL" w:eastAsia="nl-NL" w:bidi="ar-SA"/>
              </w:rPr>
              <w:t>0,82</w:t>
            </w:r>
          </w:p>
        </w:tc>
      </w:tr>
      <w:tr w:rsidR="00960852" w:rsidRPr="00FA243E" w:rsidTr="00960852">
        <w:trPr>
          <w:trHeight w:val="25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960852" w:rsidRPr="00FA243E" w:rsidRDefault="00960852" w:rsidP="00960852">
            <w:pPr>
              <w:spacing w:after="0" w:line="240" w:lineRule="auto"/>
              <w:rPr>
                <w:rFonts w:ascii="Arial" w:eastAsia="Times New Roman" w:hAnsi="Arial" w:cs="Arial"/>
                <w:sz w:val="20"/>
                <w:szCs w:val="20"/>
                <w:lang w:val="nl-NL" w:eastAsia="nl-NL" w:bidi="ar-SA"/>
              </w:rPr>
            </w:pPr>
            <w:r w:rsidRPr="00FA243E">
              <w:rPr>
                <w:rFonts w:ascii="Arial" w:eastAsia="Times New Roman" w:hAnsi="Arial" w:cs="Arial"/>
                <w:sz w:val="20"/>
                <w:szCs w:val="20"/>
                <w:lang w:val="nl-NL" w:eastAsia="nl-NL" w:bidi="ar-SA"/>
              </w:rPr>
              <w:t xml:space="preserve"> Maximum</w:t>
            </w:r>
          </w:p>
        </w:tc>
        <w:tc>
          <w:tcPr>
            <w:tcW w:w="960" w:type="dxa"/>
            <w:tcBorders>
              <w:top w:val="nil"/>
              <w:left w:val="nil"/>
              <w:bottom w:val="single" w:sz="4" w:space="0" w:color="auto"/>
              <w:right w:val="single" w:sz="4" w:space="0" w:color="auto"/>
            </w:tcBorders>
            <w:shd w:val="clear" w:color="auto" w:fill="auto"/>
            <w:noWrap/>
            <w:vAlign w:val="bottom"/>
            <w:hideMark/>
          </w:tcPr>
          <w:p w:rsidR="00960852" w:rsidRPr="00FA243E" w:rsidRDefault="00960852" w:rsidP="00960852">
            <w:pPr>
              <w:spacing w:after="0" w:line="240" w:lineRule="auto"/>
              <w:jc w:val="right"/>
              <w:rPr>
                <w:rFonts w:ascii="Arial" w:eastAsia="Times New Roman" w:hAnsi="Arial" w:cs="Arial"/>
                <w:sz w:val="20"/>
                <w:szCs w:val="20"/>
                <w:lang w:val="nl-NL" w:eastAsia="nl-NL" w:bidi="ar-SA"/>
              </w:rPr>
            </w:pPr>
            <w:r w:rsidRPr="00FA243E">
              <w:rPr>
                <w:rFonts w:ascii="Arial" w:eastAsia="Times New Roman" w:hAnsi="Arial" w:cs="Arial"/>
                <w:sz w:val="20"/>
                <w:szCs w:val="20"/>
                <w:lang w:val="nl-NL" w:eastAsia="nl-NL" w:bidi="ar-SA"/>
              </w:rPr>
              <w:t>0,80</w:t>
            </w:r>
          </w:p>
        </w:tc>
        <w:tc>
          <w:tcPr>
            <w:tcW w:w="1120" w:type="dxa"/>
            <w:tcBorders>
              <w:top w:val="nil"/>
              <w:left w:val="nil"/>
              <w:bottom w:val="single" w:sz="4" w:space="0" w:color="auto"/>
              <w:right w:val="single" w:sz="4" w:space="0" w:color="auto"/>
            </w:tcBorders>
            <w:shd w:val="clear" w:color="auto" w:fill="auto"/>
            <w:noWrap/>
            <w:vAlign w:val="bottom"/>
            <w:hideMark/>
          </w:tcPr>
          <w:p w:rsidR="00960852" w:rsidRPr="00FA243E" w:rsidRDefault="00960852" w:rsidP="00960852">
            <w:pPr>
              <w:spacing w:after="0" w:line="240" w:lineRule="auto"/>
              <w:jc w:val="right"/>
              <w:rPr>
                <w:rFonts w:ascii="Arial" w:eastAsia="Times New Roman" w:hAnsi="Arial" w:cs="Arial"/>
                <w:sz w:val="20"/>
                <w:szCs w:val="20"/>
                <w:lang w:val="nl-NL" w:eastAsia="nl-NL" w:bidi="ar-SA"/>
              </w:rPr>
            </w:pPr>
            <w:r w:rsidRPr="00FA243E">
              <w:rPr>
                <w:rFonts w:ascii="Arial" w:eastAsia="Times New Roman" w:hAnsi="Arial" w:cs="Arial"/>
                <w:sz w:val="20"/>
                <w:szCs w:val="20"/>
                <w:lang w:val="nl-NL" w:eastAsia="nl-NL" w:bidi="ar-SA"/>
              </w:rPr>
              <w:t>1,07</w:t>
            </w:r>
          </w:p>
        </w:tc>
        <w:tc>
          <w:tcPr>
            <w:tcW w:w="1080" w:type="dxa"/>
            <w:tcBorders>
              <w:top w:val="nil"/>
              <w:left w:val="nil"/>
              <w:bottom w:val="single" w:sz="4" w:space="0" w:color="auto"/>
              <w:right w:val="single" w:sz="4" w:space="0" w:color="auto"/>
            </w:tcBorders>
            <w:shd w:val="clear" w:color="auto" w:fill="auto"/>
            <w:noWrap/>
            <w:vAlign w:val="bottom"/>
            <w:hideMark/>
          </w:tcPr>
          <w:p w:rsidR="00960852" w:rsidRPr="00FA243E" w:rsidRDefault="00960852" w:rsidP="00960852">
            <w:pPr>
              <w:spacing w:after="0" w:line="240" w:lineRule="auto"/>
              <w:jc w:val="right"/>
              <w:rPr>
                <w:rFonts w:ascii="Arial" w:eastAsia="Times New Roman" w:hAnsi="Arial" w:cs="Arial"/>
                <w:sz w:val="20"/>
                <w:szCs w:val="20"/>
                <w:lang w:val="nl-NL" w:eastAsia="nl-NL" w:bidi="ar-SA"/>
              </w:rPr>
            </w:pPr>
            <w:r w:rsidRPr="00FA243E">
              <w:rPr>
                <w:rFonts w:ascii="Arial" w:eastAsia="Times New Roman" w:hAnsi="Arial" w:cs="Arial"/>
                <w:sz w:val="20"/>
                <w:szCs w:val="20"/>
                <w:lang w:val="nl-NL" w:eastAsia="nl-NL" w:bidi="ar-SA"/>
              </w:rPr>
              <w:t>1,60</w:t>
            </w:r>
          </w:p>
        </w:tc>
        <w:tc>
          <w:tcPr>
            <w:tcW w:w="1020" w:type="dxa"/>
            <w:tcBorders>
              <w:top w:val="nil"/>
              <w:left w:val="nil"/>
              <w:bottom w:val="single" w:sz="4" w:space="0" w:color="auto"/>
              <w:right w:val="single" w:sz="4" w:space="0" w:color="auto"/>
            </w:tcBorders>
            <w:shd w:val="clear" w:color="auto" w:fill="auto"/>
            <w:noWrap/>
            <w:vAlign w:val="bottom"/>
            <w:hideMark/>
          </w:tcPr>
          <w:p w:rsidR="00960852" w:rsidRPr="00FA243E" w:rsidRDefault="00960852" w:rsidP="00960852">
            <w:pPr>
              <w:spacing w:after="0" w:line="240" w:lineRule="auto"/>
              <w:jc w:val="right"/>
              <w:rPr>
                <w:rFonts w:ascii="Arial" w:eastAsia="Times New Roman" w:hAnsi="Arial" w:cs="Arial"/>
                <w:sz w:val="20"/>
                <w:szCs w:val="20"/>
                <w:lang w:val="nl-NL" w:eastAsia="nl-NL" w:bidi="ar-SA"/>
              </w:rPr>
            </w:pPr>
            <w:r w:rsidRPr="00FA243E">
              <w:rPr>
                <w:rFonts w:ascii="Arial" w:eastAsia="Times New Roman" w:hAnsi="Arial" w:cs="Arial"/>
                <w:sz w:val="20"/>
                <w:szCs w:val="20"/>
                <w:lang w:val="nl-NL" w:eastAsia="nl-NL" w:bidi="ar-SA"/>
              </w:rPr>
              <w:t>1,21</w:t>
            </w:r>
          </w:p>
        </w:tc>
      </w:tr>
      <w:tr w:rsidR="00960852" w:rsidRPr="00FA243E" w:rsidTr="00960852">
        <w:trPr>
          <w:trHeight w:val="25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960852" w:rsidRPr="00FA243E" w:rsidRDefault="00960852" w:rsidP="00960852">
            <w:pPr>
              <w:spacing w:after="0" w:line="240" w:lineRule="auto"/>
              <w:rPr>
                <w:rFonts w:ascii="Arial" w:eastAsia="Times New Roman" w:hAnsi="Arial" w:cs="Arial"/>
                <w:sz w:val="20"/>
                <w:szCs w:val="20"/>
                <w:lang w:val="nl-NL" w:eastAsia="nl-NL" w:bidi="ar-SA"/>
              </w:rPr>
            </w:pPr>
            <w:r w:rsidRPr="00FA243E">
              <w:rPr>
                <w:rFonts w:ascii="Arial" w:eastAsia="Times New Roman" w:hAnsi="Arial" w:cs="Arial"/>
                <w:sz w:val="20"/>
                <w:szCs w:val="20"/>
                <w:lang w:val="nl-NL" w:eastAsia="nl-NL" w:bidi="ar-SA"/>
              </w:rPr>
              <w:t xml:space="preserve"> Minimum</w:t>
            </w:r>
          </w:p>
        </w:tc>
        <w:tc>
          <w:tcPr>
            <w:tcW w:w="960" w:type="dxa"/>
            <w:tcBorders>
              <w:top w:val="nil"/>
              <w:left w:val="nil"/>
              <w:bottom w:val="single" w:sz="4" w:space="0" w:color="auto"/>
              <w:right w:val="single" w:sz="4" w:space="0" w:color="auto"/>
            </w:tcBorders>
            <w:shd w:val="clear" w:color="auto" w:fill="auto"/>
            <w:noWrap/>
            <w:vAlign w:val="bottom"/>
            <w:hideMark/>
          </w:tcPr>
          <w:p w:rsidR="00960852" w:rsidRPr="00FA243E" w:rsidRDefault="00960852" w:rsidP="00960852">
            <w:pPr>
              <w:spacing w:after="0" w:line="240" w:lineRule="auto"/>
              <w:jc w:val="right"/>
              <w:rPr>
                <w:rFonts w:ascii="Arial" w:eastAsia="Times New Roman" w:hAnsi="Arial" w:cs="Arial"/>
                <w:sz w:val="20"/>
                <w:szCs w:val="20"/>
                <w:lang w:val="nl-NL" w:eastAsia="nl-NL" w:bidi="ar-SA"/>
              </w:rPr>
            </w:pPr>
            <w:r w:rsidRPr="00FA243E">
              <w:rPr>
                <w:rFonts w:ascii="Arial" w:eastAsia="Times New Roman" w:hAnsi="Arial" w:cs="Arial"/>
                <w:sz w:val="20"/>
                <w:szCs w:val="20"/>
                <w:lang w:val="nl-NL" w:eastAsia="nl-NL" w:bidi="ar-SA"/>
              </w:rPr>
              <w:t>0,60</w:t>
            </w:r>
          </w:p>
        </w:tc>
        <w:tc>
          <w:tcPr>
            <w:tcW w:w="1120" w:type="dxa"/>
            <w:tcBorders>
              <w:top w:val="nil"/>
              <w:left w:val="nil"/>
              <w:bottom w:val="single" w:sz="4" w:space="0" w:color="auto"/>
              <w:right w:val="single" w:sz="4" w:space="0" w:color="auto"/>
            </w:tcBorders>
            <w:shd w:val="clear" w:color="auto" w:fill="auto"/>
            <w:noWrap/>
            <w:vAlign w:val="bottom"/>
            <w:hideMark/>
          </w:tcPr>
          <w:p w:rsidR="00960852" w:rsidRPr="00FA243E" w:rsidRDefault="00960852" w:rsidP="00960852">
            <w:pPr>
              <w:spacing w:after="0" w:line="240" w:lineRule="auto"/>
              <w:jc w:val="right"/>
              <w:rPr>
                <w:rFonts w:ascii="Arial" w:eastAsia="Times New Roman" w:hAnsi="Arial" w:cs="Arial"/>
                <w:sz w:val="20"/>
                <w:szCs w:val="20"/>
                <w:lang w:val="nl-NL" w:eastAsia="nl-NL" w:bidi="ar-SA"/>
              </w:rPr>
            </w:pPr>
            <w:r w:rsidRPr="00FA243E">
              <w:rPr>
                <w:rFonts w:ascii="Arial" w:eastAsia="Times New Roman" w:hAnsi="Arial" w:cs="Arial"/>
                <w:sz w:val="20"/>
                <w:szCs w:val="20"/>
                <w:lang w:val="nl-NL" w:eastAsia="nl-NL" w:bidi="ar-SA"/>
              </w:rPr>
              <w:t>0,55</w:t>
            </w:r>
          </w:p>
        </w:tc>
        <w:tc>
          <w:tcPr>
            <w:tcW w:w="1080" w:type="dxa"/>
            <w:tcBorders>
              <w:top w:val="nil"/>
              <w:left w:val="nil"/>
              <w:bottom w:val="single" w:sz="4" w:space="0" w:color="auto"/>
              <w:right w:val="single" w:sz="4" w:space="0" w:color="auto"/>
            </w:tcBorders>
            <w:shd w:val="clear" w:color="auto" w:fill="auto"/>
            <w:noWrap/>
            <w:vAlign w:val="bottom"/>
            <w:hideMark/>
          </w:tcPr>
          <w:p w:rsidR="00960852" w:rsidRPr="00FA243E" w:rsidRDefault="00960852" w:rsidP="00960852">
            <w:pPr>
              <w:spacing w:after="0" w:line="240" w:lineRule="auto"/>
              <w:jc w:val="right"/>
              <w:rPr>
                <w:rFonts w:ascii="Arial" w:eastAsia="Times New Roman" w:hAnsi="Arial" w:cs="Arial"/>
                <w:sz w:val="20"/>
                <w:szCs w:val="20"/>
                <w:lang w:val="nl-NL" w:eastAsia="nl-NL" w:bidi="ar-SA"/>
              </w:rPr>
            </w:pPr>
            <w:r w:rsidRPr="00FA243E">
              <w:rPr>
                <w:rFonts w:ascii="Arial" w:eastAsia="Times New Roman" w:hAnsi="Arial" w:cs="Arial"/>
                <w:sz w:val="20"/>
                <w:szCs w:val="20"/>
                <w:lang w:val="nl-NL" w:eastAsia="nl-NL" w:bidi="ar-SA"/>
              </w:rPr>
              <w:t>0,83</w:t>
            </w:r>
          </w:p>
        </w:tc>
        <w:tc>
          <w:tcPr>
            <w:tcW w:w="1020" w:type="dxa"/>
            <w:tcBorders>
              <w:top w:val="nil"/>
              <w:left w:val="nil"/>
              <w:bottom w:val="single" w:sz="4" w:space="0" w:color="auto"/>
              <w:right w:val="single" w:sz="4" w:space="0" w:color="auto"/>
            </w:tcBorders>
            <w:shd w:val="clear" w:color="auto" w:fill="auto"/>
            <w:noWrap/>
            <w:vAlign w:val="bottom"/>
            <w:hideMark/>
          </w:tcPr>
          <w:p w:rsidR="00960852" w:rsidRPr="00FA243E" w:rsidRDefault="00960852" w:rsidP="00960852">
            <w:pPr>
              <w:spacing w:after="0" w:line="240" w:lineRule="auto"/>
              <w:jc w:val="right"/>
              <w:rPr>
                <w:rFonts w:ascii="Arial" w:eastAsia="Times New Roman" w:hAnsi="Arial" w:cs="Arial"/>
                <w:sz w:val="20"/>
                <w:szCs w:val="20"/>
                <w:lang w:val="nl-NL" w:eastAsia="nl-NL" w:bidi="ar-SA"/>
              </w:rPr>
            </w:pPr>
            <w:r w:rsidRPr="00FA243E">
              <w:rPr>
                <w:rFonts w:ascii="Arial" w:eastAsia="Times New Roman" w:hAnsi="Arial" w:cs="Arial"/>
                <w:sz w:val="20"/>
                <w:szCs w:val="20"/>
                <w:lang w:val="nl-NL" w:eastAsia="nl-NL" w:bidi="ar-SA"/>
              </w:rPr>
              <w:t>0,63</w:t>
            </w:r>
          </w:p>
        </w:tc>
      </w:tr>
      <w:tr w:rsidR="00960852" w:rsidRPr="00FA243E" w:rsidTr="00960852">
        <w:trPr>
          <w:trHeight w:val="25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960852" w:rsidRPr="00FA243E" w:rsidRDefault="00960852" w:rsidP="00960852">
            <w:pPr>
              <w:spacing w:after="0" w:line="240" w:lineRule="auto"/>
              <w:rPr>
                <w:rFonts w:ascii="Arial" w:eastAsia="Times New Roman" w:hAnsi="Arial" w:cs="Arial"/>
                <w:sz w:val="20"/>
                <w:szCs w:val="20"/>
                <w:lang w:val="nl-NL" w:eastAsia="nl-NL" w:bidi="ar-SA"/>
              </w:rPr>
            </w:pPr>
            <w:r w:rsidRPr="00FA243E">
              <w:rPr>
                <w:rFonts w:ascii="Arial" w:eastAsia="Times New Roman" w:hAnsi="Arial" w:cs="Arial"/>
                <w:sz w:val="20"/>
                <w:szCs w:val="20"/>
                <w:lang w:val="nl-NL" w:eastAsia="nl-NL" w:bidi="ar-SA"/>
              </w:rPr>
              <w:t xml:space="preserve"> </w:t>
            </w:r>
            <w:proofErr w:type="spellStart"/>
            <w:r w:rsidRPr="00FA243E">
              <w:rPr>
                <w:rFonts w:ascii="Arial" w:eastAsia="Times New Roman" w:hAnsi="Arial" w:cs="Arial"/>
                <w:sz w:val="20"/>
                <w:szCs w:val="20"/>
                <w:lang w:val="nl-NL" w:eastAsia="nl-NL" w:bidi="ar-SA"/>
              </w:rPr>
              <w:t>Std</w:t>
            </w:r>
            <w:proofErr w:type="spellEnd"/>
            <w:r w:rsidRPr="00FA243E">
              <w:rPr>
                <w:rFonts w:ascii="Arial" w:eastAsia="Times New Roman" w:hAnsi="Arial" w:cs="Arial"/>
                <w:sz w:val="20"/>
                <w:szCs w:val="20"/>
                <w:lang w:val="nl-NL" w:eastAsia="nl-NL" w:bidi="ar-SA"/>
              </w:rPr>
              <w:t xml:space="preserve">. </w:t>
            </w:r>
            <w:proofErr w:type="spellStart"/>
            <w:r w:rsidRPr="00FA243E">
              <w:rPr>
                <w:rFonts w:ascii="Arial" w:eastAsia="Times New Roman" w:hAnsi="Arial" w:cs="Arial"/>
                <w:sz w:val="20"/>
                <w:szCs w:val="20"/>
                <w:lang w:val="nl-NL" w:eastAsia="nl-NL" w:bidi="ar-SA"/>
              </w:rPr>
              <w:t>Dev</w:t>
            </w:r>
            <w:proofErr w:type="spellEnd"/>
            <w:r w:rsidRPr="00FA243E">
              <w:rPr>
                <w:rFonts w:ascii="Arial" w:eastAsia="Times New Roman" w:hAnsi="Arial" w:cs="Arial"/>
                <w:sz w:val="20"/>
                <w:szCs w:val="20"/>
                <w:lang w:val="nl-NL" w:eastAsia="nl-NL" w:bidi="ar-SA"/>
              </w:rPr>
              <w:t>.</w:t>
            </w:r>
          </w:p>
        </w:tc>
        <w:tc>
          <w:tcPr>
            <w:tcW w:w="960" w:type="dxa"/>
            <w:tcBorders>
              <w:top w:val="nil"/>
              <w:left w:val="nil"/>
              <w:bottom w:val="single" w:sz="4" w:space="0" w:color="auto"/>
              <w:right w:val="single" w:sz="4" w:space="0" w:color="auto"/>
            </w:tcBorders>
            <w:shd w:val="clear" w:color="auto" w:fill="auto"/>
            <w:noWrap/>
            <w:vAlign w:val="bottom"/>
            <w:hideMark/>
          </w:tcPr>
          <w:p w:rsidR="00960852" w:rsidRPr="00FA243E" w:rsidRDefault="00960852" w:rsidP="00960852">
            <w:pPr>
              <w:spacing w:after="0" w:line="240" w:lineRule="auto"/>
              <w:jc w:val="right"/>
              <w:rPr>
                <w:rFonts w:ascii="Arial" w:eastAsia="Times New Roman" w:hAnsi="Arial" w:cs="Arial"/>
                <w:sz w:val="20"/>
                <w:szCs w:val="20"/>
                <w:lang w:val="nl-NL" w:eastAsia="nl-NL" w:bidi="ar-SA"/>
              </w:rPr>
            </w:pPr>
            <w:r w:rsidRPr="00FA243E">
              <w:rPr>
                <w:rFonts w:ascii="Arial" w:eastAsia="Times New Roman" w:hAnsi="Arial" w:cs="Arial"/>
                <w:sz w:val="20"/>
                <w:szCs w:val="20"/>
                <w:lang w:val="nl-NL" w:eastAsia="nl-NL" w:bidi="ar-SA"/>
              </w:rPr>
              <w:t>0,03</w:t>
            </w:r>
          </w:p>
        </w:tc>
        <w:tc>
          <w:tcPr>
            <w:tcW w:w="1120" w:type="dxa"/>
            <w:tcBorders>
              <w:top w:val="nil"/>
              <w:left w:val="nil"/>
              <w:bottom w:val="single" w:sz="4" w:space="0" w:color="auto"/>
              <w:right w:val="single" w:sz="4" w:space="0" w:color="auto"/>
            </w:tcBorders>
            <w:shd w:val="clear" w:color="auto" w:fill="auto"/>
            <w:noWrap/>
            <w:vAlign w:val="bottom"/>
            <w:hideMark/>
          </w:tcPr>
          <w:p w:rsidR="00960852" w:rsidRPr="00FA243E" w:rsidRDefault="00960852" w:rsidP="00960852">
            <w:pPr>
              <w:spacing w:after="0" w:line="240" w:lineRule="auto"/>
              <w:jc w:val="right"/>
              <w:rPr>
                <w:rFonts w:ascii="Arial" w:eastAsia="Times New Roman" w:hAnsi="Arial" w:cs="Arial"/>
                <w:sz w:val="20"/>
                <w:szCs w:val="20"/>
                <w:lang w:val="nl-NL" w:eastAsia="nl-NL" w:bidi="ar-SA"/>
              </w:rPr>
            </w:pPr>
            <w:r w:rsidRPr="00FA243E">
              <w:rPr>
                <w:rFonts w:ascii="Arial" w:eastAsia="Times New Roman" w:hAnsi="Arial" w:cs="Arial"/>
                <w:sz w:val="20"/>
                <w:szCs w:val="20"/>
                <w:lang w:val="nl-NL" w:eastAsia="nl-NL" w:bidi="ar-SA"/>
              </w:rPr>
              <w:t>0,13</w:t>
            </w:r>
          </w:p>
        </w:tc>
        <w:tc>
          <w:tcPr>
            <w:tcW w:w="1080" w:type="dxa"/>
            <w:tcBorders>
              <w:top w:val="nil"/>
              <w:left w:val="nil"/>
              <w:bottom w:val="single" w:sz="4" w:space="0" w:color="auto"/>
              <w:right w:val="single" w:sz="4" w:space="0" w:color="auto"/>
            </w:tcBorders>
            <w:shd w:val="clear" w:color="auto" w:fill="auto"/>
            <w:noWrap/>
            <w:vAlign w:val="bottom"/>
            <w:hideMark/>
          </w:tcPr>
          <w:p w:rsidR="00960852" w:rsidRPr="00FA243E" w:rsidRDefault="00960852" w:rsidP="00960852">
            <w:pPr>
              <w:spacing w:after="0" w:line="240" w:lineRule="auto"/>
              <w:jc w:val="right"/>
              <w:rPr>
                <w:rFonts w:ascii="Arial" w:eastAsia="Times New Roman" w:hAnsi="Arial" w:cs="Arial"/>
                <w:sz w:val="20"/>
                <w:szCs w:val="20"/>
                <w:lang w:val="nl-NL" w:eastAsia="nl-NL" w:bidi="ar-SA"/>
              </w:rPr>
            </w:pPr>
            <w:r w:rsidRPr="00FA243E">
              <w:rPr>
                <w:rFonts w:ascii="Arial" w:eastAsia="Times New Roman" w:hAnsi="Arial" w:cs="Arial"/>
                <w:sz w:val="20"/>
                <w:szCs w:val="20"/>
                <w:lang w:val="nl-NL" w:eastAsia="nl-NL" w:bidi="ar-SA"/>
              </w:rPr>
              <w:t>0,20</w:t>
            </w:r>
          </w:p>
        </w:tc>
        <w:tc>
          <w:tcPr>
            <w:tcW w:w="1020" w:type="dxa"/>
            <w:tcBorders>
              <w:top w:val="nil"/>
              <w:left w:val="nil"/>
              <w:bottom w:val="single" w:sz="4" w:space="0" w:color="auto"/>
              <w:right w:val="single" w:sz="4" w:space="0" w:color="auto"/>
            </w:tcBorders>
            <w:shd w:val="clear" w:color="auto" w:fill="auto"/>
            <w:noWrap/>
            <w:vAlign w:val="bottom"/>
            <w:hideMark/>
          </w:tcPr>
          <w:p w:rsidR="00960852" w:rsidRPr="00FA243E" w:rsidRDefault="00960852" w:rsidP="00960852">
            <w:pPr>
              <w:spacing w:after="0" w:line="240" w:lineRule="auto"/>
              <w:jc w:val="right"/>
              <w:rPr>
                <w:rFonts w:ascii="Arial" w:eastAsia="Times New Roman" w:hAnsi="Arial" w:cs="Arial"/>
                <w:sz w:val="20"/>
                <w:szCs w:val="20"/>
                <w:lang w:val="nl-NL" w:eastAsia="nl-NL" w:bidi="ar-SA"/>
              </w:rPr>
            </w:pPr>
            <w:r w:rsidRPr="00FA243E">
              <w:rPr>
                <w:rFonts w:ascii="Arial" w:eastAsia="Times New Roman" w:hAnsi="Arial" w:cs="Arial"/>
                <w:sz w:val="20"/>
                <w:szCs w:val="20"/>
                <w:lang w:val="nl-NL" w:eastAsia="nl-NL" w:bidi="ar-SA"/>
              </w:rPr>
              <w:t>0,15</w:t>
            </w:r>
          </w:p>
        </w:tc>
      </w:tr>
      <w:tr w:rsidR="00960852" w:rsidRPr="00FA243E" w:rsidTr="00960852">
        <w:trPr>
          <w:trHeight w:val="25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960852" w:rsidRPr="00FA243E" w:rsidRDefault="00960852" w:rsidP="00960852">
            <w:pPr>
              <w:spacing w:after="0" w:line="240" w:lineRule="auto"/>
              <w:rPr>
                <w:rFonts w:ascii="Arial" w:eastAsia="Times New Roman" w:hAnsi="Arial" w:cs="Arial"/>
                <w:sz w:val="20"/>
                <w:szCs w:val="20"/>
                <w:lang w:val="nl-NL" w:eastAsia="nl-NL" w:bidi="ar-SA"/>
              </w:rPr>
            </w:pPr>
            <w:r w:rsidRPr="00FA243E">
              <w:rPr>
                <w:rFonts w:ascii="Arial" w:eastAsia="Times New Roman" w:hAnsi="Arial" w:cs="Arial"/>
                <w:sz w:val="20"/>
                <w:szCs w:val="20"/>
                <w:lang w:val="nl-NL" w:eastAsia="nl-NL" w:bidi="ar-SA"/>
              </w:rPr>
              <w:t xml:space="preserve"> </w:t>
            </w:r>
            <w:proofErr w:type="spellStart"/>
            <w:r w:rsidRPr="00FA243E">
              <w:rPr>
                <w:rFonts w:ascii="Arial" w:eastAsia="Times New Roman" w:hAnsi="Arial" w:cs="Arial"/>
                <w:sz w:val="20"/>
                <w:szCs w:val="20"/>
                <w:lang w:val="nl-NL" w:eastAsia="nl-NL" w:bidi="ar-SA"/>
              </w:rPr>
              <w:t>Skewness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960852" w:rsidRPr="00FA243E" w:rsidRDefault="00960852" w:rsidP="00960852">
            <w:pPr>
              <w:spacing w:after="0" w:line="240" w:lineRule="auto"/>
              <w:jc w:val="right"/>
              <w:rPr>
                <w:rFonts w:ascii="Arial" w:eastAsia="Times New Roman" w:hAnsi="Arial" w:cs="Arial"/>
                <w:sz w:val="20"/>
                <w:szCs w:val="20"/>
                <w:lang w:val="nl-NL" w:eastAsia="nl-NL" w:bidi="ar-SA"/>
              </w:rPr>
            </w:pPr>
            <w:r w:rsidRPr="00FA243E">
              <w:rPr>
                <w:rFonts w:ascii="Arial" w:eastAsia="Times New Roman" w:hAnsi="Arial" w:cs="Arial"/>
                <w:sz w:val="20"/>
                <w:szCs w:val="20"/>
                <w:lang w:val="nl-NL" w:eastAsia="nl-NL" w:bidi="ar-SA"/>
              </w:rPr>
              <w:t>1,40</w:t>
            </w:r>
          </w:p>
        </w:tc>
        <w:tc>
          <w:tcPr>
            <w:tcW w:w="1120" w:type="dxa"/>
            <w:tcBorders>
              <w:top w:val="nil"/>
              <w:left w:val="nil"/>
              <w:bottom w:val="single" w:sz="4" w:space="0" w:color="auto"/>
              <w:right w:val="single" w:sz="4" w:space="0" w:color="auto"/>
            </w:tcBorders>
            <w:shd w:val="clear" w:color="auto" w:fill="auto"/>
            <w:noWrap/>
            <w:vAlign w:val="bottom"/>
            <w:hideMark/>
          </w:tcPr>
          <w:p w:rsidR="00960852" w:rsidRPr="00FA243E" w:rsidRDefault="00960852" w:rsidP="00960852">
            <w:pPr>
              <w:spacing w:after="0" w:line="240" w:lineRule="auto"/>
              <w:jc w:val="right"/>
              <w:rPr>
                <w:rFonts w:ascii="Arial" w:eastAsia="Times New Roman" w:hAnsi="Arial" w:cs="Arial"/>
                <w:sz w:val="20"/>
                <w:szCs w:val="20"/>
                <w:lang w:val="nl-NL" w:eastAsia="nl-NL" w:bidi="ar-SA"/>
              </w:rPr>
            </w:pPr>
            <w:r w:rsidRPr="00FA243E">
              <w:rPr>
                <w:rFonts w:ascii="Arial" w:eastAsia="Times New Roman" w:hAnsi="Arial" w:cs="Arial"/>
                <w:sz w:val="20"/>
                <w:szCs w:val="20"/>
                <w:lang w:val="nl-NL" w:eastAsia="nl-NL" w:bidi="ar-SA"/>
              </w:rPr>
              <w:t>0,03</w:t>
            </w:r>
          </w:p>
        </w:tc>
        <w:tc>
          <w:tcPr>
            <w:tcW w:w="1080" w:type="dxa"/>
            <w:tcBorders>
              <w:top w:val="nil"/>
              <w:left w:val="nil"/>
              <w:bottom w:val="single" w:sz="4" w:space="0" w:color="auto"/>
              <w:right w:val="single" w:sz="4" w:space="0" w:color="auto"/>
            </w:tcBorders>
            <w:shd w:val="clear" w:color="auto" w:fill="auto"/>
            <w:noWrap/>
            <w:vAlign w:val="bottom"/>
            <w:hideMark/>
          </w:tcPr>
          <w:p w:rsidR="00960852" w:rsidRPr="00FA243E" w:rsidRDefault="00960852" w:rsidP="00960852">
            <w:pPr>
              <w:spacing w:after="0" w:line="240" w:lineRule="auto"/>
              <w:jc w:val="right"/>
              <w:rPr>
                <w:rFonts w:ascii="Arial" w:eastAsia="Times New Roman" w:hAnsi="Arial" w:cs="Arial"/>
                <w:sz w:val="20"/>
                <w:szCs w:val="20"/>
                <w:lang w:val="nl-NL" w:eastAsia="nl-NL" w:bidi="ar-SA"/>
              </w:rPr>
            </w:pPr>
            <w:r w:rsidRPr="00FA243E">
              <w:rPr>
                <w:rFonts w:ascii="Arial" w:eastAsia="Times New Roman" w:hAnsi="Arial" w:cs="Arial"/>
                <w:sz w:val="20"/>
                <w:szCs w:val="20"/>
                <w:lang w:val="nl-NL" w:eastAsia="nl-NL" w:bidi="ar-SA"/>
              </w:rPr>
              <w:t>-0,12</w:t>
            </w:r>
          </w:p>
        </w:tc>
        <w:tc>
          <w:tcPr>
            <w:tcW w:w="1020" w:type="dxa"/>
            <w:tcBorders>
              <w:top w:val="nil"/>
              <w:left w:val="nil"/>
              <w:bottom w:val="single" w:sz="4" w:space="0" w:color="auto"/>
              <w:right w:val="single" w:sz="4" w:space="0" w:color="auto"/>
            </w:tcBorders>
            <w:shd w:val="clear" w:color="auto" w:fill="auto"/>
            <w:noWrap/>
            <w:vAlign w:val="bottom"/>
            <w:hideMark/>
          </w:tcPr>
          <w:p w:rsidR="00960852" w:rsidRPr="00FA243E" w:rsidRDefault="00960852" w:rsidP="00960852">
            <w:pPr>
              <w:spacing w:after="0" w:line="240" w:lineRule="auto"/>
              <w:jc w:val="right"/>
              <w:rPr>
                <w:rFonts w:ascii="Arial" w:eastAsia="Times New Roman" w:hAnsi="Arial" w:cs="Arial"/>
                <w:sz w:val="20"/>
                <w:szCs w:val="20"/>
                <w:lang w:val="nl-NL" w:eastAsia="nl-NL" w:bidi="ar-SA"/>
              </w:rPr>
            </w:pPr>
            <w:r w:rsidRPr="00FA243E">
              <w:rPr>
                <w:rFonts w:ascii="Arial" w:eastAsia="Times New Roman" w:hAnsi="Arial" w:cs="Arial"/>
                <w:sz w:val="20"/>
                <w:szCs w:val="20"/>
                <w:lang w:val="nl-NL" w:eastAsia="nl-NL" w:bidi="ar-SA"/>
              </w:rPr>
              <w:t>0,58</w:t>
            </w:r>
          </w:p>
        </w:tc>
      </w:tr>
      <w:tr w:rsidR="00960852" w:rsidRPr="00FA243E" w:rsidTr="00960852">
        <w:trPr>
          <w:trHeight w:val="25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960852" w:rsidRPr="00FA243E" w:rsidRDefault="00960852" w:rsidP="00960852">
            <w:pPr>
              <w:spacing w:after="0" w:line="240" w:lineRule="auto"/>
              <w:rPr>
                <w:rFonts w:ascii="Arial" w:eastAsia="Times New Roman" w:hAnsi="Arial" w:cs="Arial"/>
                <w:sz w:val="20"/>
                <w:szCs w:val="20"/>
                <w:lang w:val="nl-NL" w:eastAsia="nl-NL" w:bidi="ar-SA"/>
              </w:rPr>
            </w:pPr>
            <w:r w:rsidRPr="00FA243E">
              <w:rPr>
                <w:rFonts w:ascii="Arial" w:eastAsia="Times New Roman" w:hAnsi="Arial" w:cs="Arial"/>
                <w:sz w:val="20"/>
                <w:szCs w:val="20"/>
                <w:lang w:val="nl-NL" w:eastAsia="nl-NL" w:bidi="ar-SA"/>
              </w:rPr>
              <w:t xml:space="preserve"> </w:t>
            </w:r>
            <w:proofErr w:type="spellStart"/>
            <w:r w:rsidRPr="00FA243E">
              <w:rPr>
                <w:rFonts w:ascii="Arial" w:eastAsia="Times New Roman" w:hAnsi="Arial" w:cs="Arial"/>
                <w:sz w:val="20"/>
                <w:szCs w:val="20"/>
                <w:lang w:val="nl-NL" w:eastAsia="nl-NL" w:bidi="ar-SA"/>
              </w:rPr>
              <w:t>Kurtosis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960852" w:rsidRPr="00FA243E" w:rsidRDefault="00960852" w:rsidP="00960852">
            <w:pPr>
              <w:spacing w:after="0" w:line="240" w:lineRule="auto"/>
              <w:jc w:val="right"/>
              <w:rPr>
                <w:rFonts w:ascii="Arial" w:eastAsia="Times New Roman" w:hAnsi="Arial" w:cs="Arial"/>
                <w:sz w:val="20"/>
                <w:szCs w:val="20"/>
                <w:lang w:val="nl-NL" w:eastAsia="nl-NL" w:bidi="ar-SA"/>
              </w:rPr>
            </w:pPr>
            <w:r w:rsidRPr="00FA243E">
              <w:rPr>
                <w:rFonts w:ascii="Arial" w:eastAsia="Times New Roman" w:hAnsi="Arial" w:cs="Arial"/>
                <w:sz w:val="20"/>
                <w:szCs w:val="20"/>
                <w:lang w:val="nl-NL" w:eastAsia="nl-NL" w:bidi="ar-SA"/>
              </w:rPr>
              <w:t>6,20</w:t>
            </w:r>
          </w:p>
        </w:tc>
        <w:tc>
          <w:tcPr>
            <w:tcW w:w="1120" w:type="dxa"/>
            <w:tcBorders>
              <w:top w:val="nil"/>
              <w:left w:val="nil"/>
              <w:bottom w:val="single" w:sz="4" w:space="0" w:color="auto"/>
              <w:right w:val="single" w:sz="4" w:space="0" w:color="auto"/>
            </w:tcBorders>
            <w:shd w:val="clear" w:color="auto" w:fill="auto"/>
            <w:noWrap/>
            <w:vAlign w:val="bottom"/>
            <w:hideMark/>
          </w:tcPr>
          <w:p w:rsidR="00960852" w:rsidRPr="00FA243E" w:rsidRDefault="00960852" w:rsidP="00960852">
            <w:pPr>
              <w:spacing w:after="0" w:line="240" w:lineRule="auto"/>
              <w:jc w:val="right"/>
              <w:rPr>
                <w:rFonts w:ascii="Arial" w:eastAsia="Times New Roman" w:hAnsi="Arial" w:cs="Arial"/>
                <w:sz w:val="20"/>
                <w:szCs w:val="20"/>
                <w:lang w:val="nl-NL" w:eastAsia="nl-NL" w:bidi="ar-SA"/>
              </w:rPr>
            </w:pPr>
            <w:r w:rsidRPr="00FA243E">
              <w:rPr>
                <w:rFonts w:ascii="Arial" w:eastAsia="Times New Roman" w:hAnsi="Arial" w:cs="Arial"/>
                <w:sz w:val="20"/>
                <w:szCs w:val="20"/>
                <w:lang w:val="nl-NL" w:eastAsia="nl-NL" w:bidi="ar-SA"/>
              </w:rPr>
              <w:t>2,02</w:t>
            </w:r>
          </w:p>
        </w:tc>
        <w:tc>
          <w:tcPr>
            <w:tcW w:w="1080" w:type="dxa"/>
            <w:tcBorders>
              <w:top w:val="nil"/>
              <w:left w:val="nil"/>
              <w:bottom w:val="single" w:sz="4" w:space="0" w:color="auto"/>
              <w:right w:val="single" w:sz="4" w:space="0" w:color="auto"/>
            </w:tcBorders>
            <w:shd w:val="clear" w:color="auto" w:fill="auto"/>
            <w:noWrap/>
            <w:vAlign w:val="bottom"/>
            <w:hideMark/>
          </w:tcPr>
          <w:p w:rsidR="00960852" w:rsidRPr="00FA243E" w:rsidRDefault="00960852" w:rsidP="00960852">
            <w:pPr>
              <w:spacing w:after="0" w:line="240" w:lineRule="auto"/>
              <w:jc w:val="right"/>
              <w:rPr>
                <w:rFonts w:ascii="Arial" w:eastAsia="Times New Roman" w:hAnsi="Arial" w:cs="Arial"/>
                <w:sz w:val="20"/>
                <w:szCs w:val="20"/>
                <w:lang w:val="nl-NL" w:eastAsia="nl-NL" w:bidi="ar-SA"/>
              </w:rPr>
            </w:pPr>
            <w:r w:rsidRPr="00FA243E">
              <w:rPr>
                <w:rFonts w:ascii="Arial" w:eastAsia="Times New Roman" w:hAnsi="Arial" w:cs="Arial"/>
                <w:sz w:val="20"/>
                <w:szCs w:val="20"/>
                <w:lang w:val="nl-NL" w:eastAsia="nl-NL" w:bidi="ar-SA"/>
              </w:rPr>
              <w:t>2,03</w:t>
            </w:r>
          </w:p>
        </w:tc>
        <w:tc>
          <w:tcPr>
            <w:tcW w:w="1020" w:type="dxa"/>
            <w:tcBorders>
              <w:top w:val="nil"/>
              <w:left w:val="nil"/>
              <w:bottom w:val="single" w:sz="4" w:space="0" w:color="auto"/>
              <w:right w:val="single" w:sz="4" w:space="0" w:color="auto"/>
            </w:tcBorders>
            <w:shd w:val="clear" w:color="auto" w:fill="auto"/>
            <w:noWrap/>
            <w:vAlign w:val="bottom"/>
            <w:hideMark/>
          </w:tcPr>
          <w:p w:rsidR="00960852" w:rsidRPr="00FA243E" w:rsidRDefault="00960852" w:rsidP="00960852">
            <w:pPr>
              <w:spacing w:after="0" w:line="240" w:lineRule="auto"/>
              <w:jc w:val="right"/>
              <w:rPr>
                <w:rFonts w:ascii="Arial" w:eastAsia="Times New Roman" w:hAnsi="Arial" w:cs="Arial"/>
                <w:sz w:val="20"/>
                <w:szCs w:val="20"/>
                <w:lang w:val="nl-NL" w:eastAsia="nl-NL" w:bidi="ar-SA"/>
              </w:rPr>
            </w:pPr>
            <w:r w:rsidRPr="00FA243E">
              <w:rPr>
                <w:rFonts w:ascii="Arial" w:eastAsia="Times New Roman" w:hAnsi="Arial" w:cs="Arial"/>
                <w:sz w:val="20"/>
                <w:szCs w:val="20"/>
                <w:lang w:val="nl-NL" w:eastAsia="nl-NL" w:bidi="ar-SA"/>
              </w:rPr>
              <w:t>2,14</w:t>
            </w:r>
          </w:p>
        </w:tc>
      </w:tr>
      <w:tr w:rsidR="00960852" w:rsidRPr="00FA243E" w:rsidTr="00960852">
        <w:trPr>
          <w:trHeight w:val="25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960852" w:rsidRPr="00FA243E" w:rsidRDefault="00960852" w:rsidP="00960852">
            <w:pPr>
              <w:spacing w:after="0" w:line="240" w:lineRule="auto"/>
              <w:rPr>
                <w:rFonts w:ascii="Arial" w:eastAsia="Times New Roman" w:hAnsi="Arial" w:cs="Arial"/>
                <w:sz w:val="20"/>
                <w:szCs w:val="20"/>
                <w:lang w:val="nl-NL" w:eastAsia="nl-NL" w:bidi="ar-SA"/>
              </w:rPr>
            </w:pPr>
            <w:r w:rsidRPr="00FA243E">
              <w:rPr>
                <w:rFonts w:ascii="Arial" w:eastAsia="Times New Roman" w:hAnsi="Arial" w:cs="Arial"/>
                <w:sz w:val="20"/>
                <w:szCs w:val="20"/>
                <w:lang w:val="nl-NL" w:eastAsia="nl-NL" w:bidi="ar-SA"/>
              </w:rPr>
              <w:t> </w:t>
            </w:r>
          </w:p>
        </w:tc>
        <w:tc>
          <w:tcPr>
            <w:tcW w:w="960" w:type="dxa"/>
            <w:tcBorders>
              <w:top w:val="nil"/>
              <w:left w:val="nil"/>
              <w:bottom w:val="single" w:sz="4" w:space="0" w:color="auto"/>
              <w:right w:val="single" w:sz="4" w:space="0" w:color="auto"/>
            </w:tcBorders>
            <w:shd w:val="clear" w:color="auto" w:fill="auto"/>
            <w:noWrap/>
            <w:vAlign w:val="bottom"/>
            <w:hideMark/>
          </w:tcPr>
          <w:p w:rsidR="00960852" w:rsidRPr="00FA243E" w:rsidRDefault="00960852" w:rsidP="00960852">
            <w:pPr>
              <w:spacing w:after="0" w:line="240" w:lineRule="auto"/>
              <w:rPr>
                <w:rFonts w:ascii="Arial" w:eastAsia="Times New Roman" w:hAnsi="Arial" w:cs="Arial"/>
                <w:sz w:val="20"/>
                <w:szCs w:val="20"/>
                <w:lang w:val="nl-NL" w:eastAsia="nl-NL" w:bidi="ar-SA"/>
              </w:rPr>
            </w:pPr>
            <w:r w:rsidRPr="00FA243E">
              <w:rPr>
                <w:rFonts w:ascii="Arial" w:eastAsia="Times New Roman" w:hAnsi="Arial" w:cs="Arial"/>
                <w:sz w:val="20"/>
                <w:szCs w:val="20"/>
                <w:lang w:val="nl-NL" w:eastAsia="nl-NL" w:bidi="ar-SA"/>
              </w:rPr>
              <w:t> </w:t>
            </w:r>
          </w:p>
        </w:tc>
        <w:tc>
          <w:tcPr>
            <w:tcW w:w="1120" w:type="dxa"/>
            <w:tcBorders>
              <w:top w:val="nil"/>
              <w:left w:val="nil"/>
              <w:bottom w:val="single" w:sz="4" w:space="0" w:color="auto"/>
              <w:right w:val="single" w:sz="4" w:space="0" w:color="auto"/>
            </w:tcBorders>
            <w:shd w:val="clear" w:color="auto" w:fill="auto"/>
            <w:noWrap/>
            <w:vAlign w:val="bottom"/>
            <w:hideMark/>
          </w:tcPr>
          <w:p w:rsidR="00960852" w:rsidRPr="00FA243E" w:rsidRDefault="00960852" w:rsidP="00960852">
            <w:pPr>
              <w:spacing w:after="0" w:line="240" w:lineRule="auto"/>
              <w:rPr>
                <w:rFonts w:ascii="Arial" w:eastAsia="Times New Roman" w:hAnsi="Arial" w:cs="Arial"/>
                <w:sz w:val="20"/>
                <w:szCs w:val="20"/>
                <w:lang w:val="nl-NL" w:eastAsia="nl-NL" w:bidi="ar-SA"/>
              </w:rPr>
            </w:pPr>
            <w:r w:rsidRPr="00FA243E">
              <w:rPr>
                <w:rFonts w:ascii="Arial" w:eastAsia="Times New Roman" w:hAnsi="Arial" w:cs="Arial"/>
                <w:sz w:val="20"/>
                <w:szCs w:val="20"/>
                <w:lang w:val="nl-NL" w:eastAsia="nl-NL" w:bidi="ar-SA"/>
              </w:rPr>
              <w:t> </w:t>
            </w:r>
          </w:p>
        </w:tc>
        <w:tc>
          <w:tcPr>
            <w:tcW w:w="1080" w:type="dxa"/>
            <w:tcBorders>
              <w:top w:val="nil"/>
              <w:left w:val="nil"/>
              <w:bottom w:val="single" w:sz="4" w:space="0" w:color="auto"/>
              <w:right w:val="single" w:sz="4" w:space="0" w:color="auto"/>
            </w:tcBorders>
            <w:shd w:val="clear" w:color="auto" w:fill="auto"/>
            <w:noWrap/>
            <w:vAlign w:val="bottom"/>
            <w:hideMark/>
          </w:tcPr>
          <w:p w:rsidR="00960852" w:rsidRPr="00FA243E" w:rsidRDefault="00960852" w:rsidP="00960852">
            <w:pPr>
              <w:spacing w:after="0" w:line="240" w:lineRule="auto"/>
              <w:rPr>
                <w:rFonts w:ascii="Arial" w:eastAsia="Times New Roman" w:hAnsi="Arial" w:cs="Arial"/>
                <w:sz w:val="20"/>
                <w:szCs w:val="20"/>
                <w:lang w:val="nl-NL" w:eastAsia="nl-NL" w:bidi="ar-SA"/>
              </w:rPr>
            </w:pPr>
            <w:r w:rsidRPr="00FA243E">
              <w:rPr>
                <w:rFonts w:ascii="Arial" w:eastAsia="Times New Roman" w:hAnsi="Arial" w:cs="Arial"/>
                <w:sz w:val="20"/>
                <w:szCs w:val="20"/>
                <w:lang w:val="nl-NL" w:eastAsia="nl-NL" w:bidi="ar-SA"/>
              </w:rPr>
              <w:t> </w:t>
            </w:r>
          </w:p>
        </w:tc>
        <w:tc>
          <w:tcPr>
            <w:tcW w:w="1020" w:type="dxa"/>
            <w:tcBorders>
              <w:top w:val="nil"/>
              <w:left w:val="nil"/>
              <w:bottom w:val="single" w:sz="4" w:space="0" w:color="auto"/>
              <w:right w:val="single" w:sz="4" w:space="0" w:color="auto"/>
            </w:tcBorders>
            <w:shd w:val="clear" w:color="auto" w:fill="auto"/>
            <w:noWrap/>
            <w:vAlign w:val="bottom"/>
            <w:hideMark/>
          </w:tcPr>
          <w:p w:rsidR="00960852" w:rsidRPr="00FA243E" w:rsidRDefault="00960852" w:rsidP="00960852">
            <w:pPr>
              <w:spacing w:after="0" w:line="240" w:lineRule="auto"/>
              <w:rPr>
                <w:rFonts w:ascii="Arial" w:eastAsia="Times New Roman" w:hAnsi="Arial" w:cs="Arial"/>
                <w:sz w:val="20"/>
                <w:szCs w:val="20"/>
                <w:lang w:val="nl-NL" w:eastAsia="nl-NL" w:bidi="ar-SA"/>
              </w:rPr>
            </w:pPr>
            <w:r w:rsidRPr="00FA243E">
              <w:rPr>
                <w:rFonts w:ascii="Arial" w:eastAsia="Times New Roman" w:hAnsi="Arial" w:cs="Arial"/>
                <w:sz w:val="20"/>
                <w:szCs w:val="20"/>
                <w:lang w:val="nl-NL" w:eastAsia="nl-NL" w:bidi="ar-SA"/>
              </w:rPr>
              <w:t> </w:t>
            </w:r>
          </w:p>
        </w:tc>
      </w:tr>
      <w:tr w:rsidR="00960852" w:rsidRPr="00FA243E" w:rsidTr="00960852">
        <w:trPr>
          <w:trHeight w:val="25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960852" w:rsidRPr="00FA243E" w:rsidRDefault="00960852" w:rsidP="00960852">
            <w:pPr>
              <w:spacing w:after="0" w:line="240" w:lineRule="auto"/>
              <w:rPr>
                <w:rFonts w:ascii="Arial" w:eastAsia="Times New Roman" w:hAnsi="Arial" w:cs="Arial"/>
                <w:sz w:val="20"/>
                <w:szCs w:val="20"/>
                <w:lang w:val="nl-NL" w:eastAsia="nl-NL" w:bidi="ar-SA"/>
              </w:rPr>
            </w:pPr>
            <w:r w:rsidRPr="00FA243E">
              <w:rPr>
                <w:rFonts w:ascii="Arial" w:eastAsia="Times New Roman" w:hAnsi="Arial" w:cs="Arial"/>
                <w:sz w:val="20"/>
                <w:szCs w:val="20"/>
                <w:lang w:val="nl-NL" w:eastAsia="nl-NL" w:bidi="ar-SA"/>
              </w:rPr>
              <w:t xml:space="preserve"> </w:t>
            </w:r>
            <w:proofErr w:type="spellStart"/>
            <w:r w:rsidRPr="00FA243E">
              <w:rPr>
                <w:rFonts w:ascii="Arial" w:eastAsia="Times New Roman" w:hAnsi="Arial" w:cs="Arial"/>
                <w:sz w:val="20"/>
                <w:szCs w:val="20"/>
                <w:lang w:val="nl-NL" w:eastAsia="nl-NL" w:bidi="ar-SA"/>
              </w:rPr>
              <w:t>Jarque-Bera</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960852" w:rsidRPr="00FA243E" w:rsidRDefault="00960852" w:rsidP="00960852">
            <w:pPr>
              <w:spacing w:after="0" w:line="240" w:lineRule="auto"/>
              <w:jc w:val="right"/>
              <w:rPr>
                <w:rFonts w:ascii="Arial" w:eastAsia="Times New Roman" w:hAnsi="Arial" w:cs="Arial"/>
                <w:sz w:val="20"/>
                <w:szCs w:val="20"/>
                <w:lang w:val="nl-NL" w:eastAsia="nl-NL" w:bidi="ar-SA"/>
              </w:rPr>
            </w:pPr>
            <w:r w:rsidRPr="00FA243E">
              <w:rPr>
                <w:rFonts w:ascii="Arial" w:eastAsia="Times New Roman" w:hAnsi="Arial" w:cs="Arial"/>
                <w:sz w:val="20"/>
                <w:szCs w:val="20"/>
                <w:lang w:val="nl-NL" w:eastAsia="nl-NL" w:bidi="ar-SA"/>
              </w:rPr>
              <w:t>2362,00</w:t>
            </w:r>
          </w:p>
        </w:tc>
        <w:tc>
          <w:tcPr>
            <w:tcW w:w="1120" w:type="dxa"/>
            <w:tcBorders>
              <w:top w:val="nil"/>
              <w:left w:val="nil"/>
              <w:bottom w:val="single" w:sz="4" w:space="0" w:color="auto"/>
              <w:right w:val="single" w:sz="4" w:space="0" w:color="auto"/>
            </w:tcBorders>
            <w:shd w:val="clear" w:color="auto" w:fill="auto"/>
            <w:noWrap/>
            <w:vAlign w:val="bottom"/>
            <w:hideMark/>
          </w:tcPr>
          <w:p w:rsidR="00960852" w:rsidRPr="00FA243E" w:rsidRDefault="00960852" w:rsidP="00960852">
            <w:pPr>
              <w:spacing w:after="0" w:line="240" w:lineRule="auto"/>
              <w:jc w:val="right"/>
              <w:rPr>
                <w:rFonts w:ascii="Arial" w:eastAsia="Times New Roman" w:hAnsi="Arial" w:cs="Arial"/>
                <w:sz w:val="20"/>
                <w:szCs w:val="20"/>
                <w:lang w:val="nl-NL" w:eastAsia="nl-NL" w:bidi="ar-SA"/>
              </w:rPr>
            </w:pPr>
            <w:r w:rsidRPr="00FA243E">
              <w:rPr>
                <w:rFonts w:ascii="Arial" w:eastAsia="Times New Roman" w:hAnsi="Arial" w:cs="Arial"/>
                <w:sz w:val="20"/>
                <w:szCs w:val="20"/>
                <w:lang w:val="nl-NL" w:eastAsia="nl-NL" w:bidi="ar-SA"/>
              </w:rPr>
              <w:t>126,48</w:t>
            </w:r>
          </w:p>
        </w:tc>
        <w:tc>
          <w:tcPr>
            <w:tcW w:w="1080" w:type="dxa"/>
            <w:tcBorders>
              <w:top w:val="nil"/>
              <w:left w:val="nil"/>
              <w:bottom w:val="single" w:sz="4" w:space="0" w:color="auto"/>
              <w:right w:val="single" w:sz="4" w:space="0" w:color="auto"/>
            </w:tcBorders>
            <w:shd w:val="clear" w:color="auto" w:fill="auto"/>
            <w:noWrap/>
            <w:vAlign w:val="bottom"/>
            <w:hideMark/>
          </w:tcPr>
          <w:p w:rsidR="00960852" w:rsidRPr="00FA243E" w:rsidRDefault="00960852" w:rsidP="00960852">
            <w:pPr>
              <w:spacing w:after="0" w:line="240" w:lineRule="auto"/>
              <w:jc w:val="right"/>
              <w:rPr>
                <w:rFonts w:ascii="Arial" w:eastAsia="Times New Roman" w:hAnsi="Arial" w:cs="Arial"/>
                <w:sz w:val="20"/>
                <w:szCs w:val="20"/>
                <w:lang w:val="nl-NL" w:eastAsia="nl-NL" w:bidi="ar-SA"/>
              </w:rPr>
            </w:pPr>
            <w:r w:rsidRPr="00FA243E">
              <w:rPr>
                <w:rFonts w:ascii="Arial" w:eastAsia="Times New Roman" w:hAnsi="Arial" w:cs="Arial"/>
                <w:sz w:val="20"/>
                <w:szCs w:val="20"/>
                <w:lang w:val="nl-NL" w:eastAsia="nl-NL" w:bidi="ar-SA"/>
              </w:rPr>
              <w:t>130,10</w:t>
            </w:r>
          </w:p>
        </w:tc>
        <w:tc>
          <w:tcPr>
            <w:tcW w:w="1020" w:type="dxa"/>
            <w:tcBorders>
              <w:top w:val="nil"/>
              <w:left w:val="nil"/>
              <w:bottom w:val="single" w:sz="4" w:space="0" w:color="auto"/>
              <w:right w:val="single" w:sz="4" w:space="0" w:color="auto"/>
            </w:tcBorders>
            <w:shd w:val="clear" w:color="auto" w:fill="auto"/>
            <w:noWrap/>
            <w:vAlign w:val="bottom"/>
            <w:hideMark/>
          </w:tcPr>
          <w:p w:rsidR="00960852" w:rsidRPr="00FA243E" w:rsidRDefault="00960852" w:rsidP="00960852">
            <w:pPr>
              <w:spacing w:after="0" w:line="240" w:lineRule="auto"/>
              <w:jc w:val="right"/>
              <w:rPr>
                <w:rFonts w:ascii="Arial" w:eastAsia="Times New Roman" w:hAnsi="Arial" w:cs="Arial"/>
                <w:sz w:val="20"/>
                <w:szCs w:val="20"/>
                <w:lang w:val="nl-NL" w:eastAsia="nl-NL" w:bidi="ar-SA"/>
              </w:rPr>
            </w:pPr>
            <w:r w:rsidRPr="00FA243E">
              <w:rPr>
                <w:rFonts w:ascii="Arial" w:eastAsia="Times New Roman" w:hAnsi="Arial" w:cs="Arial"/>
                <w:sz w:val="20"/>
                <w:szCs w:val="20"/>
                <w:lang w:val="nl-NL" w:eastAsia="nl-NL" w:bidi="ar-SA"/>
              </w:rPr>
              <w:t>268,61</w:t>
            </w:r>
          </w:p>
        </w:tc>
      </w:tr>
      <w:tr w:rsidR="00960852" w:rsidRPr="00FA243E" w:rsidTr="00960852">
        <w:trPr>
          <w:trHeight w:val="25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960852" w:rsidRPr="00FA243E" w:rsidRDefault="00960852" w:rsidP="00960852">
            <w:pPr>
              <w:spacing w:after="0" w:line="240" w:lineRule="auto"/>
              <w:rPr>
                <w:rFonts w:ascii="Arial" w:eastAsia="Times New Roman" w:hAnsi="Arial" w:cs="Arial"/>
                <w:sz w:val="20"/>
                <w:szCs w:val="20"/>
                <w:lang w:val="nl-NL" w:eastAsia="nl-NL" w:bidi="ar-SA"/>
              </w:rPr>
            </w:pPr>
            <w:r w:rsidRPr="00FA243E">
              <w:rPr>
                <w:rFonts w:ascii="Arial" w:eastAsia="Times New Roman" w:hAnsi="Arial" w:cs="Arial"/>
                <w:sz w:val="20"/>
                <w:szCs w:val="20"/>
                <w:lang w:val="nl-NL" w:eastAsia="nl-NL" w:bidi="ar-SA"/>
              </w:rPr>
              <w:t xml:space="preserve"> </w:t>
            </w:r>
            <w:proofErr w:type="spellStart"/>
            <w:r w:rsidRPr="00FA243E">
              <w:rPr>
                <w:rFonts w:ascii="Arial" w:eastAsia="Times New Roman" w:hAnsi="Arial" w:cs="Arial"/>
                <w:sz w:val="20"/>
                <w:szCs w:val="20"/>
                <w:lang w:val="nl-NL" w:eastAsia="nl-NL" w:bidi="ar-SA"/>
              </w:rPr>
              <w:t>Probability</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960852" w:rsidRPr="00FA243E" w:rsidRDefault="00960852" w:rsidP="00960852">
            <w:pPr>
              <w:spacing w:after="0" w:line="240" w:lineRule="auto"/>
              <w:jc w:val="right"/>
              <w:rPr>
                <w:rFonts w:ascii="Arial" w:eastAsia="Times New Roman" w:hAnsi="Arial" w:cs="Arial"/>
                <w:sz w:val="20"/>
                <w:szCs w:val="20"/>
                <w:lang w:val="nl-NL" w:eastAsia="nl-NL" w:bidi="ar-SA"/>
              </w:rPr>
            </w:pPr>
            <w:r w:rsidRPr="00FA243E">
              <w:rPr>
                <w:rFonts w:ascii="Arial" w:eastAsia="Times New Roman" w:hAnsi="Arial" w:cs="Arial"/>
                <w:sz w:val="20"/>
                <w:szCs w:val="20"/>
                <w:lang w:val="nl-NL" w:eastAsia="nl-NL" w:bidi="ar-SA"/>
              </w:rPr>
              <w:t>0,00</w:t>
            </w:r>
          </w:p>
        </w:tc>
        <w:tc>
          <w:tcPr>
            <w:tcW w:w="1120" w:type="dxa"/>
            <w:tcBorders>
              <w:top w:val="nil"/>
              <w:left w:val="nil"/>
              <w:bottom w:val="single" w:sz="4" w:space="0" w:color="auto"/>
              <w:right w:val="single" w:sz="4" w:space="0" w:color="auto"/>
            </w:tcBorders>
            <w:shd w:val="clear" w:color="auto" w:fill="auto"/>
            <w:noWrap/>
            <w:vAlign w:val="bottom"/>
            <w:hideMark/>
          </w:tcPr>
          <w:p w:rsidR="00960852" w:rsidRPr="00FA243E" w:rsidRDefault="00960852" w:rsidP="00960852">
            <w:pPr>
              <w:spacing w:after="0" w:line="240" w:lineRule="auto"/>
              <w:jc w:val="right"/>
              <w:rPr>
                <w:rFonts w:ascii="Arial" w:eastAsia="Times New Roman" w:hAnsi="Arial" w:cs="Arial"/>
                <w:sz w:val="20"/>
                <w:szCs w:val="20"/>
                <w:lang w:val="nl-NL" w:eastAsia="nl-NL" w:bidi="ar-SA"/>
              </w:rPr>
            </w:pPr>
            <w:r w:rsidRPr="00FA243E">
              <w:rPr>
                <w:rFonts w:ascii="Arial" w:eastAsia="Times New Roman" w:hAnsi="Arial" w:cs="Arial"/>
                <w:sz w:val="20"/>
                <w:szCs w:val="20"/>
                <w:lang w:val="nl-NL" w:eastAsia="nl-NL" w:bidi="ar-SA"/>
              </w:rPr>
              <w:t>0,00</w:t>
            </w:r>
          </w:p>
        </w:tc>
        <w:tc>
          <w:tcPr>
            <w:tcW w:w="1080" w:type="dxa"/>
            <w:tcBorders>
              <w:top w:val="nil"/>
              <w:left w:val="nil"/>
              <w:bottom w:val="single" w:sz="4" w:space="0" w:color="auto"/>
              <w:right w:val="single" w:sz="4" w:space="0" w:color="auto"/>
            </w:tcBorders>
            <w:shd w:val="clear" w:color="auto" w:fill="auto"/>
            <w:noWrap/>
            <w:vAlign w:val="bottom"/>
            <w:hideMark/>
          </w:tcPr>
          <w:p w:rsidR="00960852" w:rsidRPr="00FA243E" w:rsidRDefault="00960852" w:rsidP="00960852">
            <w:pPr>
              <w:spacing w:after="0" w:line="240" w:lineRule="auto"/>
              <w:jc w:val="right"/>
              <w:rPr>
                <w:rFonts w:ascii="Arial" w:eastAsia="Times New Roman" w:hAnsi="Arial" w:cs="Arial"/>
                <w:sz w:val="20"/>
                <w:szCs w:val="20"/>
                <w:lang w:val="nl-NL" w:eastAsia="nl-NL" w:bidi="ar-SA"/>
              </w:rPr>
            </w:pPr>
            <w:r w:rsidRPr="00FA243E">
              <w:rPr>
                <w:rFonts w:ascii="Arial" w:eastAsia="Times New Roman" w:hAnsi="Arial" w:cs="Arial"/>
                <w:sz w:val="20"/>
                <w:szCs w:val="20"/>
                <w:lang w:val="nl-NL" w:eastAsia="nl-NL" w:bidi="ar-SA"/>
              </w:rPr>
              <w:t>0,00</w:t>
            </w:r>
          </w:p>
        </w:tc>
        <w:tc>
          <w:tcPr>
            <w:tcW w:w="1020" w:type="dxa"/>
            <w:tcBorders>
              <w:top w:val="nil"/>
              <w:left w:val="nil"/>
              <w:bottom w:val="single" w:sz="4" w:space="0" w:color="auto"/>
              <w:right w:val="single" w:sz="4" w:space="0" w:color="auto"/>
            </w:tcBorders>
            <w:shd w:val="clear" w:color="auto" w:fill="auto"/>
            <w:noWrap/>
            <w:vAlign w:val="bottom"/>
            <w:hideMark/>
          </w:tcPr>
          <w:p w:rsidR="00960852" w:rsidRPr="00FA243E" w:rsidRDefault="00960852" w:rsidP="00960852">
            <w:pPr>
              <w:spacing w:after="0" w:line="240" w:lineRule="auto"/>
              <w:jc w:val="right"/>
              <w:rPr>
                <w:rFonts w:ascii="Arial" w:eastAsia="Times New Roman" w:hAnsi="Arial" w:cs="Arial"/>
                <w:sz w:val="20"/>
                <w:szCs w:val="20"/>
                <w:lang w:val="nl-NL" w:eastAsia="nl-NL" w:bidi="ar-SA"/>
              </w:rPr>
            </w:pPr>
            <w:r w:rsidRPr="00FA243E">
              <w:rPr>
                <w:rFonts w:ascii="Arial" w:eastAsia="Times New Roman" w:hAnsi="Arial" w:cs="Arial"/>
                <w:sz w:val="20"/>
                <w:szCs w:val="20"/>
                <w:lang w:val="nl-NL" w:eastAsia="nl-NL" w:bidi="ar-SA"/>
              </w:rPr>
              <w:t>0,00</w:t>
            </w:r>
          </w:p>
        </w:tc>
      </w:tr>
      <w:tr w:rsidR="00960852" w:rsidRPr="00FA243E" w:rsidTr="00960852">
        <w:trPr>
          <w:trHeight w:val="25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960852" w:rsidRPr="00FA243E" w:rsidRDefault="00960852" w:rsidP="00960852">
            <w:pPr>
              <w:spacing w:after="0" w:line="240" w:lineRule="auto"/>
              <w:rPr>
                <w:rFonts w:ascii="Arial" w:eastAsia="Times New Roman" w:hAnsi="Arial" w:cs="Arial"/>
                <w:sz w:val="20"/>
                <w:szCs w:val="20"/>
                <w:lang w:val="nl-NL" w:eastAsia="nl-NL" w:bidi="ar-SA"/>
              </w:rPr>
            </w:pPr>
            <w:r w:rsidRPr="00FA243E">
              <w:rPr>
                <w:rFonts w:ascii="Arial" w:eastAsia="Times New Roman" w:hAnsi="Arial" w:cs="Arial"/>
                <w:sz w:val="20"/>
                <w:szCs w:val="20"/>
                <w:lang w:val="nl-NL" w:eastAsia="nl-NL" w:bidi="ar-SA"/>
              </w:rPr>
              <w:t> </w:t>
            </w:r>
          </w:p>
        </w:tc>
        <w:tc>
          <w:tcPr>
            <w:tcW w:w="960" w:type="dxa"/>
            <w:tcBorders>
              <w:top w:val="nil"/>
              <w:left w:val="nil"/>
              <w:bottom w:val="single" w:sz="4" w:space="0" w:color="auto"/>
              <w:right w:val="single" w:sz="4" w:space="0" w:color="auto"/>
            </w:tcBorders>
            <w:shd w:val="clear" w:color="auto" w:fill="auto"/>
            <w:noWrap/>
            <w:vAlign w:val="bottom"/>
            <w:hideMark/>
          </w:tcPr>
          <w:p w:rsidR="00960852" w:rsidRPr="00FA243E" w:rsidRDefault="00960852" w:rsidP="00960852">
            <w:pPr>
              <w:spacing w:after="0" w:line="240" w:lineRule="auto"/>
              <w:rPr>
                <w:rFonts w:ascii="Arial" w:eastAsia="Times New Roman" w:hAnsi="Arial" w:cs="Arial"/>
                <w:sz w:val="20"/>
                <w:szCs w:val="20"/>
                <w:lang w:val="nl-NL" w:eastAsia="nl-NL" w:bidi="ar-SA"/>
              </w:rPr>
            </w:pPr>
            <w:r w:rsidRPr="00FA243E">
              <w:rPr>
                <w:rFonts w:ascii="Arial" w:eastAsia="Times New Roman" w:hAnsi="Arial" w:cs="Arial"/>
                <w:sz w:val="20"/>
                <w:szCs w:val="20"/>
                <w:lang w:val="nl-NL" w:eastAsia="nl-NL" w:bidi="ar-SA"/>
              </w:rPr>
              <w:t> </w:t>
            </w:r>
          </w:p>
        </w:tc>
        <w:tc>
          <w:tcPr>
            <w:tcW w:w="1120" w:type="dxa"/>
            <w:tcBorders>
              <w:top w:val="nil"/>
              <w:left w:val="nil"/>
              <w:bottom w:val="single" w:sz="4" w:space="0" w:color="auto"/>
              <w:right w:val="single" w:sz="4" w:space="0" w:color="auto"/>
            </w:tcBorders>
            <w:shd w:val="clear" w:color="auto" w:fill="auto"/>
            <w:noWrap/>
            <w:vAlign w:val="bottom"/>
            <w:hideMark/>
          </w:tcPr>
          <w:p w:rsidR="00960852" w:rsidRPr="00FA243E" w:rsidRDefault="00960852" w:rsidP="00960852">
            <w:pPr>
              <w:spacing w:after="0" w:line="240" w:lineRule="auto"/>
              <w:rPr>
                <w:rFonts w:ascii="Arial" w:eastAsia="Times New Roman" w:hAnsi="Arial" w:cs="Arial"/>
                <w:sz w:val="20"/>
                <w:szCs w:val="20"/>
                <w:lang w:val="nl-NL" w:eastAsia="nl-NL" w:bidi="ar-SA"/>
              </w:rPr>
            </w:pPr>
            <w:r w:rsidRPr="00FA243E">
              <w:rPr>
                <w:rFonts w:ascii="Arial" w:eastAsia="Times New Roman" w:hAnsi="Arial" w:cs="Arial"/>
                <w:sz w:val="20"/>
                <w:szCs w:val="20"/>
                <w:lang w:val="nl-NL" w:eastAsia="nl-NL" w:bidi="ar-SA"/>
              </w:rPr>
              <w:t> </w:t>
            </w:r>
          </w:p>
        </w:tc>
        <w:tc>
          <w:tcPr>
            <w:tcW w:w="1080" w:type="dxa"/>
            <w:tcBorders>
              <w:top w:val="nil"/>
              <w:left w:val="nil"/>
              <w:bottom w:val="single" w:sz="4" w:space="0" w:color="auto"/>
              <w:right w:val="single" w:sz="4" w:space="0" w:color="auto"/>
            </w:tcBorders>
            <w:shd w:val="clear" w:color="auto" w:fill="auto"/>
            <w:noWrap/>
            <w:vAlign w:val="bottom"/>
            <w:hideMark/>
          </w:tcPr>
          <w:p w:rsidR="00960852" w:rsidRPr="00FA243E" w:rsidRDefault="00960852" w:rsidP="00960852">
            <w:pPr>
              <w:spacing w:after="0" w:line="240" w:lineRule="auto"/>
              <w:rPr>
                <w:rFonts w:ascii="Arial" w:eastAsia="Times New Roman" w:hAnsi="Arial" w:cs="Arial"/>
                <w:sz w:val="20"/>
                <w:szCs w:val="20"/>
                <w:lang w:val="nl-NL" w:eastAsia="nl-NL" w:bidi="ar-SA"/>
              </w:rPr>
            </w:pPr>
            <w:r w:rsidRPr="00FA243E">
              <w:rPr>
                <w:rFonts w:ascii="Arial" w:eastAsia="Times New Roman" w:hAnsi="Arial" w:cs="Arial"/>
                <w:sz w:val="20"/>
                <w:szCs w:val="20"/>
                <w:lang w:val="nl-NL" w:eastAsia="nl-NL" w:bidi="ar-SA"/>
              </w:rPr>
              <w:t> </w:t>
            </w:r>
          </w:p>
        </w:tc>
        <w:tc>
          <w:tcPr>
            <w:tcW w:w="1020" w:type="dxa"/>
            <w:tcBorders>
              <w:top w:val="nil"/>
              <w:left w:val="nil"/>
              <w:bottom w:val="single" w:sz="4" w:space="0" w:color="auto"/>
              <w:right w:val="single" w:sz="4" w:space="0" w:color="auto"/>
            </w:tcBorders>
            <w:shd w:val="clear" w:color="auto" w:fill="auto"/>
            <w:noWrap/>
            <w:vAlign w:val="bottom"/>
            <w:hideMark/>
          </w:tcPr>
          <w:p w:rsidR="00960852" w:rsidRPr="00FA243E" w:rsidRDefault="00960852" w:rsidP="00960852">
            <w:pPr>
              <w:spacing w:after="0" w:line="240" w:lineRule="auto"/>
              <w:rPr>
                <w:rFonts w:ascii="Arial" w:eastAsia="Times New Roman" w:hAnsi="Arial" w:cs="Arial"/>
                <w:sz w:val="20"/>
                <w:szCs w:val="20"/>
                <w:lang w:val="nl-NL" w:eastAsia="nl-NL" w:bidi="ar-SA"/>
              </w:rPr>
            </w:pPr>
            <w:r w:rsidRPr="00FA243E">
              <w:rPr>
                <w:rFonts w:ascii="Arial" w:eastAsia="Times New Roman" w:hAnsi="Arial" w:cs="Arial"/>
                <w:sz w:val="20"/>
                <w:szCs w:val="20"/>
                <w:lang w:val="nl-NL" w:eastAsia="nl-NL" w:bidi="ar-SA"/>
              </w:rPr>
              <w:t> </w:t>
            </w:r>
          </w:p>
        </w:tc>
      </w:tr>
      <w:tr w:rsidR="00960852" w:rsidRPr="00FA243E" w:rsidTr="00960852">
        <w:trPr>
          <w:trHeight w:val="25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960852" w:rsidRPr="00FA243E" w:rsidRDefault="00960852" w:rsidP="00960852">
            <w:pPr>
              <w:spacing w:after="0" w:line="240" w:lineRule="auto"/>
              <w:rPr>
                <w:rFonts w:ascii="Arial" w:eastAsia="Times New Roman" w:hAnsi="Arial" w:cs="Arial"/>
                <w:sz w:val="20"/>
                <w:szCs w:val="20"/>
                <w:lang w:val="nl-NL" w:eastAsia="nl-NL" w:bidi="ar-SA"/>
              </w:rPr>
            </w:pPr>
            <w:r w:rsidRPr="00FA243E">
              <w:rPr>
                <w:rFonts w:ascii="Arial" w:eastAsia="Times New Roman" w:hAnsi="Arial" w:cs="Arial"/>
                <w:sz w:val="20"/>
                <w:szCs w:val="20"/>
                <w:lang w:val="nl-NL" w:eastAsia="nl-NL" w:bidi="ar-SA"/>
              </w:rPr>
              <w:t xml:space="preserve"> </w:t>
            </w:r>
            <w:proofErr w:type="spellStart"/>
            <w:r w:rsidRPr="00FA243E">
              <w:rPr>
                <w:rFonts w:ascii="Arial" w:eastAsia="Times New Roman" w:hAnsi="Arial" w:cs="Arial"/>
                <w:sz w:val="20"/>
                <w:szCs w:val="20"/>
                <w:lang w:val="nl-NL" w:eastAsia="nl-NL" w:bidi="ar-SA"/>
              </w:rPr>
              <w:t>Sum</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960852" w:rsidRPr="00FA243E" w:rsidRDefault="00960852" w:rsidP="00960852">
            <w:pPr>
              <w:spacing w:after="0" w:line="240" w:lineRule="auto"/>
              <w:jc w:val="right"/>
              <w:rPr>
                <w:rFonts w:ascii="Arial" w:eastAsia="Times New Roman" w:hAnsi="Arial" w:cs="Arial"/>
                <w:sz w:val="20"/>
                <w:szCs w:val="20"/>
                <w:lang w:val="nl-NL" w:eastAsia="nl-NL" w:bidi="ar-SA"/>
              </w:rPr>
            </w:pPr>
            <w:r w:rsidRPr="00FA243E">
              <w:rPr>
                <w:rFonts w:ascii="Arial" w:eastAsia="Times New Roman" w:hAnsi="Arial" w:cs="Arial"/>
                <w:sz w:val="20"/>
                <w:szCs w:val="20"/>
                <w:lang w:val="nl-NL" w:eastAsia="nl-NL" w:bidi="ar-SA"/>
              </w:rPr>
              <w:t>2041,23</w:t>
            </w:r>
          </w:p>
        </w:tc>
        <w:tc>
          <w:tcPr>
            <w:tcW w:w="1120" w:type="dxa"/>
            <w:tcBorders>
              <w:top w:val="nil"/>
              <w:left w:val="nil"/>
              <w:bottom w:val="single" w:sz="4" w:space="0" w:color="auto"/>
              <w:right w:val="single" w:sz="4" w:space="0" w:color="auto"/>
            </w:tcBorders>
            <w:shd w:val="clear" w:color="auto" w:fill="auto"/>
            <w:noWrap/>
            <w:vAlign w:val="bottom"/>
            <w:hideMark/>
          </w:tcPr>
          <w:p w:rsidR="00960852" w:rsidRPr="00FA243E" w:rsidRDefault="00960852" w:rsidP="00960852">
            <w:pPr>
              <w:spacing w:after="0" w:line="240" w:lineRule="auto"/>
              <w:jc w:val="right"/>
              <w:rPr>
                <w:rFonts w:ascii="Arial" w:eastAsia="Times New Roman" w:hAnsi="Arial" w:cs="Arial"/>
                <w:sz w:val="20"/>
                <w:szCs w:val="20"/>
                <w:lang w:val="nl-NL" w:eastAsia="nl-NL" w:bidi="ar-SA"/>
              </w:rPr>
            </w:pPr>
            <w:r w:rsidRPr="00FA243E">
              <w:rPr>
                <w:rFonts w:ascii="Arial" w:eastAsia="Times New Roman" w:hAnsi="Arial" w:cs="Arial"/>
                <w:sz w:val="20"/>
                <w:szCs w:val="20"/>
                <w:lang w:val="nl-NL" w:eastAsia="nl-NL" w:bidi="ar-SA"/>
              </w:rPr>
              <w:t>2424,71</w:t>
            </w:r>
          </w:p>
        </w:tc>
        <w:tc>
          <w:tcPr>
            <w:tcW w:w="1080" w:type="dxa"/>
            <w:tcBorders>
              <w:top w:val="nil"/>
              <w:left w:val="nil"/>
              <w:bottom w:val="single" w:sz="4" w:space="0" w:color="auto"/>
              <w:right w:val="single" w:sz="4" w:space="0" w:color="auto"/>
            </w:tcBorders>
            <w:shd w:val="clear" w:color="auto" w:fill="auto"/>
            <w:noWrap/>
            <w:vAlign w:val="bottom"/>
            <w:hideMark/>
          </w:tcPr>
          <w:p w:rsidR="00960852" w:rsidRPr="00FA243E" w:rsidRDefault="00960852" w:rsidP="00960852">
            <w:pPr>
              <w:spacing w:after="0" w:line="240" w:lineRule="auto"/>
              <w:jc w:val="right"/>
              <w:rPr>
                <w:rFonts w:ascii="Arial" w:eastAsia="Times New Roman" w:hAnsi="Arial" w:cs="Arial"/>
                <w:sz w:val="20"/>
                <w:szCs w:val="20"/>
                <w:lang w:val="nl-NL" w:eastAsia="nl-NL" w:bidi="ar-SA"/>
              </w:rPr>
            </w:pPr>
            <w:r w:rsidRPr="00FA243E">
              <w:rPr>
                <w:rFonts w:ascii="Arial" w:eastAsia="Times New Roman" w:hAnsi="Arial" w:cs="Arial"/>
                <w:sz w:val="20"/>
                <w:szCs w:val="20"/>
                <w:lang w:val="nl-NL" w:eastAsia="nl-NL" w:bidi="ar-SA"/>
              </w:rPr>
              <w:t>3722,11</w:t>
            </w:r>
          </w:p>
        </w:tc>
        <w:tc>
          <w:tcPr>
            <w:tcW w:w="1020" w:type="dxa"/>
            <w:tcBorders>
              <w:top w:val="nil"/>
              <w:left w:val="nil"/>
              <w:bottom w:val="single" w:sz="4" w:space="0" w:color="auto"/>
              <w:right w:val="single" w:sz="4" w:space="0" w:color="auto"/>
            </w:tcBorders>
            <w:shd w:val="clear" w:color="auto" w:fill="auto"/>
            <w:noWrap/>
            <w:vAlign w:val="bottom"/>
            <w:hideMark/>
          </w:tcPr>
          <w:p w:rsidR="00960852" w:rsidRPr="00FA243E" w:rsidRDefault="00960852" w:rsidP="00960852">
            <w:pPr>
              <w:spacing w:after="0" w:line="240" w:lineRule="auto"/>
              <w:jc w:val="right"/>
              <w:rPr>
                <w:rFonts w:ascii="Arial" w:eastAsia="Times New Roman" w:hAnsi="Arial" w:cs="Arial"/>
                <w:sz w:val="20"/>
                <w:szCs w:val="20"/>
                <w:lang w:val="nl-NL" w:eastAsia="nl-NL" w:bidi="ar-SA"/>
              </w:rPr>
            </w:pPr>
            <w:r w:rsidRPr="00FA243E">
              <w:rPr>
                <w:rFonts w:ascii="Arial" w:eastAsia="Times New Roman" w:hAnsi="Arial" w:cs="Arial"/>
                <w:sz w:val="20"/>
                <w:szCs w:val="20"/>
                <w:lang w:val="nl-NL" w:eastAsia="nl-NL" w:bidi="ar-SA"/>
              </w:rPr>
              <w:t>2707,97</w:t>
            </w:r>
          </w:p>
        </w:tc>
      </w:tr>
      <w:tr w:rsidR="00960852" w:rsidRPr="00FA243E" w:rsidTr="00960852">
        <w:trPr>
          <w:trHeight w:val="25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960852" w:rsidRPr="00FA243E" w:rsidRDefault="00960852" w:rsidP="00960852">
            <w:pPr>
              <w:spacing w:after="0" w:line="240" w:lineRule="auto"/>
              <w:rPr>
                <w:rFonts w:ascii="Arial" w:eastAsia="Times New Roman" w:hAnsi="Arial" w:cs="Arial"/>
                <w:sz w:val="20"/>
                <w:szCs w:val="20"/>
                <w:lang w:val="nl-NL" w:eastAsia="nl-NL" w:bidi="ar-SA"/>
              </w:rPr>
            </w:pPr>
            <w:r w:rsidRPr="00FA243E">
              <w:rPr>
                <w:rFonts w:ascii="Arial" w:eastAsia="Times New Roman" w:hAnsi="Arial" w:cs="Arial"/>
                <w:sz w:val="20"/>
                <w:szCs w:val="20"/>
                <w:lang w:val="nl-NL" w:eastAsia="nl-NL" w:bidi="ar-SA"/>
              </w:rPr>
              <w:t xml:space="preserve"> </w:t>
            </w:r>
            <w:proofErr w:type="spellStart"/>
            <w:r w:rsidRPr="00FA243E">
              <w:rPr>
                <w:rFonts w:ascii="Arial" w:eastAsia="Times New Roman" w:hAnsi="Arial" w:cs="Arial"/>
                <w:sz w:val="20"/>
                <w:szCs w:val="20"/>
                <w:lang w:val="nl-NL" w:eastAsia="nl-NL" w:bidi="ar-SA"/>
              </w:rPr>
              <w:t>Sum</w:t>
            </w:r>
            <w:proofErr w:type="spellEnd"/>
            <w:r w:rsidRPr="00FA243E">
              <w:rPr>
                <w:rFonts w:ascii="Arial" w:eastAsia="Times New Roman" w:hAnsi="Arial" w:cs="Arial"/>
                <w:sz w:val="20"/>
                <w:szCs w:val="20"/>
                <w:lang w:val="nl-NL" w:eastAsia="nl-NL" w:bidi="ar-SA"/>
              </w:rPr>
              <w:t xml:space="preserve"> </w:t>
            </w:r>
            <w:proofErr w:type="spellStart"/>
            <w:r w:rsidRPr="00FA243E">
              <w:rPr>
                <w:rFonts w:ascii="Arial" w:eastAsia="Times New Roman" w:hAnsi="Arial" w:cs="Arial"/>
                <w:sz w:val="20"/>
                <w:szCs w:val="20"/>
                <w:lang w:val="nl-NL" w:eastAsia="nl-NL" w:bidi="ar-SA"/>
              </w:rPr>
              <w:t>Sq</w:t>
            </w:r>
            <w:proofErr w:type="spellEnd"/>
            <w:r w:rsidRPr="00FA243E">
              <w:rPr>
                <w:rFonts w:ascii="Arial" w:eastAsia="Times New Roman" w:hAnsi="Arial" w:cs="Arial"/>
                <w:sz w:val="20"/>
                <w:szCs w:val="20"/>
                <w:lang w:val="nl-NL" w:eastAsia="nl-NL" w:bidi="ar-SA"/>
              </w:rPr>
              <w:t xml:space="preserve">. </w:t>
            </w:r>
            <w:proofErr w:type="spellStart"/>
            <w:r w:rsidRPr="00FA243E">
              <w:rPr>
                <w:rFonts w:ascii="Arial" w:eastAsia="Times New Roman" w:hAnsi="Arial" w:cs="Arial"/>
                <w:sz w:val="20"/>
                <w:szCs w:val="20"/>
                <w:lang w:val="nl-NL" w:eastAsia="nl-NL" w:bidi="ar-SA"/>
              </w:rPr>
              <w:t>Dev</w:t>
            </w:r>
            <w:proofErr w:type="spellEnd"/>
            <w:r w:rsidRPr="00FA243E">
              <w:rPr>
                <w:rFonts w:ascii="Arial" w:eastAsia="Times New Roman" w:hAnsi="Arial" w:cs="Arial"/>
                <w:sz w:val="20"/>
                <w:szCs w:val="20"/>
                <w:lang w:val="nl-NL" w:eastAsia="nl-NL" w:bidi="ar-SA"/>
              </w:rPr>
              <w:t>.</w:t>
            </w:r>
          </w:p>
        </w:tc>
        <w:tc>
          <w:tcPr>
            <w:tcW w:w="960" w:type="dxa"/>
            <w:tcBorders>
              <w:top w:val="nil"/>
              <w:left w:val="nil"/>
              <w:bottom w:val="single" w:sz="4" w:space="0" w:color="auto"/>
              <w:right w:val="single" w:sz="4" w:space="0" w:color="auto"/>
            </w:tcBorders>
            <w:shd w:val="clear" w:color="auto" w:fill="auto"/>
            <w:noWrap/>
            <w:vAlign w:val="bottom"/>
            <w:hideMark/>
          </w:tcPr>
          <w:p w:rsidR="00960852" w:rsidRPr="00FA243E" w:rsidRDefault="00960852" w:rsidP="00960852">
            <w:pPr>
              <w:spacing w:after="0" w:line="240" w:lineRule="auto"/>
              <w:jc w:val="right"/>
              <w:rPr>
                <w:rFonts w:ascii="Arial" w:eastAsia="Times New Roman" w:hAnsi="Arial" w:cs="Arial"/>
                <w:sz w:val="20"/>
                <w:szCs w:val="20"/>
                <w:lang w:val="nl-NL" w:eastAsia="nl-NL" w:bidi="ar-SA"/>
              </w:rPr>
            </w:pPr>
            <w:r w:rsidRPr="00FA243E">
              <w:rPr>
                <w:rFonts w:ascii="Arial" w:eastAsia="Times New Roman" w:hAnsi="Arial" w:cs="Arial"/>
                <w:sz w:val="20"/>
                <w:szCs w:val="20"/>
                <w:lang w:val="nl-NL" w:eastAsia="nl-NL" w:bidi="ar-SA"/>
              </w:rPr>
              <w:t>3,20</w:t>
            </w:r>
          </w:p>
        </w:tc>
        <w:tc>
          <w:tcPr>
            <w:tcW w:w="1120" w:type="dxa"/>
            <w:tcBorders>
              <w:top w:val="nil"/>
              <w:left w:val="nil"/>
              <w:bottom w:val="single" w:sz="4" w:space="0" w:color="auto"/>
              <w:right w:val="single" w:sz="4" w:space="0" w:color="auto"/>
            </w:tcBorders>
            <w:shd w:val="clear" w:color="auto" w:fill="auto"/>
            <w:noWrap/>
            <w:vAlign w:val="bottom"/>
            <w:hideMark/>
          </w:tcPr>
          <w:p w:rsidR="00960852" w:rsidRPr="00FA243E" w:rsidRDefault="00960852" w:rsidP="00960852">
            <w:pPr>
              <w:spacing w:after="0" w:line="240" w:lineRule="auto"/>
              <w:jc w:val="right"/>
              <w:rPr>
                <w:rFonts w:ascii="Arial" w:eastAsia="Times New Roman" w:hAnsi="Arial" w:cs="Arial"/>
                <w:sz w:val="20"/>
                <w:szCs w:val="20"/>
                <w:lang w:val="nl-NL" w:eastAsia="nl-NL" w:bidi="ar-SA"/>
              </w:rPr>
            </w:pPr>
            <w:r w:rsidRPr="00FA243E">
              <w:rPr>
                <w:rFonts w:ascii="Arial" w:eastAsia="Times New Roman" w:hAnsi="Arial" w:cs="Arial"/>
                <w:sz w:val="20"/>
                <w:szCs w:val="20"/>
                <w:lang w:val="nl-NL" w:eastAsia="nl-NL" w:bidi="ar-SA"/>
              </w:rPr>
              <w:t>50,95</w:t>
            </w:r>
          </w:p>
        </w:tc>
        <w:tc>
          <w:tcPr>
            <w:tcW w:w="1080" w:type="dxa"/>
            <w:tcBorders>
              <w:top w:val="nil"/>
              <w:left w:val="nil"/>
              <w:bottom w:val="single" w:sz="4" w:space="0" w:color="auto"/>
              <w:right w:val="single" w:sz="4" w:space="0" w:color="auto"/>
            </w:tcBorders>
            <w:shd w:val="clear" w:color="auto" w:fill="auto"/>
            <w:noWrap/>
            <w:vAlign w:val="bottom"/>
            <w:hideMark/>
          </w:tcPr>
          <w:p w:rsidR="00960852" w:rsidRPr="00FA243E" w:rsidRDefault="00960852" w:rsidP="00960852">
            <w:pPr>
              <w:spacing w:after="0" w:line="240" w:lineRule="auto"/>
              <w:jc w:val="right"/>
              <w:rPr>
                <w:rFonts w:ascii="Arial" w:eastAsia="Times New Roman" w:hAnsi="Arial" w:cs="Arial"/>
                <w:sz w:val="20"/>
                <w:szCs w:val="20"/>
                <w:lang w:val="nl-NL" w:eastAsia="nl-NL" w:bidi="ar-SA"/>
              </w:rPr>
            </w:pPr>
            <w:r w:rsidRPr="00FA243E">
              <w:rPr>
                <w:rFonts w:ascii="Arial" w:eastAsia="Times New Roman" w:hAnsi="Arial" w:cs="Arial"/>
                <w:sz w:val="20"/>
                <w:szCs w:val="20"/>
                <w:lang w:val="nl-NL" w:eastAsia="nl-NL" w:bidi="ar-SA"/>
              </w:rPr>
              <w:t>119,25</w:t>
            </w:r>
          </w:p>
        </w:tc>
        <w:tc>
          <w:tcPr>
            <w:tcW w:w="1020" w:type="dxa"/>
            <w:tcBorders>
              <w:top w:val="nil"/>
              <w:left w:val="nil"/>
              <w:bottom w:val="single" w:sz="4" w:space="0" w:color="auto"/>
              <w:right w:val="single" w:sz="4" w:space="0" w:color="auto"/>
            </w:tcBorders>
            <w:shd w:val="clear" w:color="auto" w:fill="auto"/>
            <w:noWrap/>
            <w:vAlign w:val="bottom"/>
            <w:hideMark/>
          </w:tcPr>
          <w:p w:rsidR="00960852" w:rsidRPr="00FA243E" w:rsidRDefault="00960852" w:rsidP="00960852">
            <w:pPr>
              <w:spacing w:after="0" w:line="240" w:lineRule="auto"/>
              <w:jc w:val="right"/>
              <w:rPr>
                <w:rFonts w:ascii="Arial" w:eastAsia="Times New Roman" w:hAnsi="Arial" w:cs="Arial"/>
                <w:sz w:val="20"/>
                <w:szCs w:val="20"/>
                <w:lang w:val="nl-NL" w:eastAsia="nl-NL" w:bidi="ar-SA"/>
              </w:rPr>
            </w:pPr>
            <w:r w:rsidRPr="00FA243E">
              <w:rPr>
                <w:rFonts w:ascii="Arial" w:eastAsia="Times New Roman" w:hAnsi="Arial" w:cs="Arial"/>
                <w:sz w:val="20"/>
                <w:szCs w:val="20"/>
                <w:lang w:val="nl-NL" w:eastAsia="nl-NL" w:bidi="ar-SA"/>
              </w:rPr>
              <w:t>71,06</w:t>
            </w:r>
          </w:p>
        </w:tc>
      </w:tr>
      <w:tr w:rsidR="00960852" w:rsidRPr="00FA243E" w:rsidTr="00960852">
        <w:trPr>
          <w:trHeight w:val="25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960852" w:rsidRPr="00FA243E" w:rsidRDefault="00960852" w:rsidP="00960852">
            <w:pPr>
              <w:spacing w:after="0" w:line="240" w:lineRule="auto"/>
              <w:rPr>
                <w:rFonts w:ascii="Arial" w:eastAsia="Times New Roman" w:hAnsi="Arial" w:cs="Arial"/>
                <w:sz w:val="20"/>
                <w:szCs w:val="20"/>
                <w:lang w:val="nl-NL" w:eastAsia="nl-NL" w:bidi="ar-SA"/>
              </w:rPr>
            </w:pPr>
            <w:r w:rsidRPr="00FA243E">
              <w:rPr>
                <w:rFonts w:ascii="Arial" w:eastAsia="Times New Roman" w:hAnsi="Arial" w:cs="Arial"/>
                <w:sz w:val="20"/>
                <w:szCs w:val="20"/>
                <w:lang w:val="nl-NL" w:eastAsia="nl-NL" w:bidi="ar-SA"/>
              </w:rPr>
              <w:t> </w:t>
            </w:r>
          </w:p>
        </w:tc>
        <w:tc>
          <w:tcPr>
            <w:tcW w:w="960" w:type="dxa"/>
            <w:tcBorders>
              <w:top w:val="nil"/>
              <w:left w:val="nil"/>
              <w:bottom w:val="single" w:sz="4" w:space="0" w:color="auto"/>
              <w:right w:val="single" w:sz="4" w:space="0" w:color="auto"/>
            </w:tcBorders>
            <w:shd w:val="clear" w:color="auto" w:fill="auto"/>
            <w:noWrap/>
            <w:vAlign w:val="bottom"/>
            <w:hideMark/>
          </w:tcPr>
          <w:p w:rsidR="00960852" w:rsidRPr="00FA243E" w:rsidRDefault="00960852" w:rsidP="00960852">
            <w:pPr>
              <w:spacing w:after="0" w:line="240" w:lineRule="auto"/>
              <w:rPr>
                <w:rFonts w:ascii="Arial" w:eastAsia="Times New Roman" w:hAnsi="Arial" w:cs="Arial"/>
                <w:sz w:val="20"/>
                <w:szCs w:val="20"/>
                <w:lang w:val="nl-NL" w:eastAsia="nl-NL" w:bidi="ar-SA"/>
              </w:rPr>
            </w:pPr>
            <w:r w:rsidRPr="00FA243E">
              <w:rPr>
                <w:rFonts w:ascii="Arial" w:eastAsia="Times New Roman" w:hAnsi="Arial" w:cs="Arial"/>
                <w:sz w:val="20"/>
                <w:szCs w:val="20"/>
                <w:lang w:val="nl-NL" w:eastAsia="nl-NL" w:bidi="ar-SA"/>
              </w:rPr>
              <w:t> </w:t>
            </w:r>
          </w:p>
        </w:tc>
        <w:tc>
          <w:tcPr>
            <w:tcW w:w="1120" w:type="dxa"/>
            <w:tcBorders>
              <w:top w:val="nil"/>
              <w:left w:val="nil"/>
              <w:bottom w:val="single" w:sz="4" w:space="0" w:color="auto"/>
              <w:right w:val="single" w:sz="4" w:space="0" w:color="auto"/>
            </w:tcBorders>
            <w:shd w:val="clear" w:color="auto" w:fill="auto"/>
            <w:noWrap/>
            <w:vAlign w:val="bottom"/>
            <w:hideMark/>
          </w:tcPr>
          <w:p w:rsidR="00960852" w:rsidRPr="00FA243E" w:rsidRDefault="00960852" w:rsidP="00960852">
            <w:pPr>
              <w:spacing w:after="0" w:line="240" w:lineRule="auto"/>
              <w:rPr>
                <w:rFonts w:ascii="Arial" w:eastAsia="Times New Roman" w:hAnsi="Arial" w:cs="Arial"/>
                <w:sz w:val="20"/>
                <w:szCs w:val="20"/>
                <w:lang w:val="nl-NL" w:eastAsia="nl-NL" w:bidi="ar-SA"/>
              </w:rPr>
            </w:pPr>
            <w:r w:rsidRPr="00FA243E">
              <w:rPr>
                <w:rFonts w:ascii="Arial" w:eastAsia="Times New Roman" w:hAnsi="Arial" w:cs="Arial"/>
                <w:sz w:val="20"/>
                <w:szCs w:val="20"/>
                <w:lang w:val="nl-NL" w:eastAsia="nl-NL" w:bidi="ar-SA"/>
              </w:rPr>
              <w:t> </w:t>
            </w:r>
          </w:p>
        </w:tc>
        <w:tc>
          <w:tcPr>
            <w:tcW w:w="1080" w:type="dxa"/>
            <w:tcBorders>
              <w:top w:val="nil"/>
              <w:left w:val="nil"/>
              <w:bottom w:val="single" w:sz="4" w:space="0" w:color="auto"/>
              <w:right w:val="single" w:sz="4" w:space="0" w:color="auto"/>
            </w:tcBorders>
            <w:shd w:val="clear" w:color="auto" w:fill="auto"/>
            <w:noWrap/>
            <w:vAlign w:val="bottom"/>
            <w:hideMark/>
          </w:tcPr>
          <w:p w:rsidR="00960852" w:rsidRPr="00FA243E" w:rsidRDefault="00960852" w:rsidP="00960852">
            <w:pPr>
              <w:spacing w:after="0" w:line="240" w:lineRule="auto"/>
              <w:rPr>
                <w:rFonts w:ascii="Arial" w:eastAsia="Times New Roman" w:hAnsi="Arial" w:cs="Arial"/>
                <w:sz w:val="20"/>
                <w:szCs w:val="20"/>
                <w:lang w:val="nl-NL" w:eastAsia="nl-NL" w:bidi="ar-SA"/>
              </w:rPr>
            </w:pPr>
            <w:r w:rsidRPr="00FA243E">
              <w:rPr>
                <w:rFonts w:ascii="Arial" w:eastAsia="Times New Roman" w:hAnsi="Arial" w:cs="Arial"/>
                <w:sz w:val="20"/>
                <w:szCs w:val="20"/>
                <w:lang w:val="nl-NL" w:eastAsia="nl-NL" w:bidi="ar-SA"/>
              </w:rPr>
              <w:t> </w:t>
            </w:r>
          </w:p>
        </w:tc>
        <w:tc>
          <w:tcPr>
            <w:tcW w:w="1020" w:type="dxa"/>
            <w:tcBorders>
              <w:top w:val="nil"/>
              <w:left w:val="nil"/>
              <w:bottom w:val="single" w:sz="4" w:space="0" w:color="auto"/>
              <w:right w:val="single" w:sz="4" w:space="0" w:color="auto"/>
            </w:tcBorders>
            <w:shd w:val="clear" w:color="auto" w:fill="auto"/>
            <w:noWrap/>
            <w:vAlign w:val="bottom"/>
            <w:hideMark/>
          </w:tcPr>
          <w:p w:rsidR="00960852" w:rsidRPr="00FA243E" w:rsidRDefault="00960852" w:rsidP="00960852">
            <w:pPr>
              <w:spacing w:after="0" w:line="240" w:lineRule="auto"/>
              <w:rPr>
                <w:rFonts w:ascii="Arial" w:eastAsia="Times New Roman" w:hAnsi="Arial" w:cs="Arial"/>
                <w:sz w:val="20"/>
                <w:szCs w:val="20"/>
                <w:lang w:val="nl-NL" w:eastAsia="nl-NL" w:bidi="ar-SA"/>
              </w:rPr>
            </w:pPr>
            <w:r w:rsidRPr="00FA243E">
              <w:rPr>
                <w:rFonts w:ascii="Arial" w:eastAsia="Times New Roman" w:hAnsi="Arial" w:cs="Arial"/>
                <w:sz w:val="20"/>
                <w:szCs w:val="20"/>
                <w:lang w:val="nl-NL" w:eastAsia="nl-NL" w:bidi="ar-SA"/>
              </w:rPr>
              <w:t> </w:t>
            </w:r>
          </w:p>
        </w:tc>
      </w:tr>
      <w:tr w:rsidR="00960852" w:rsidRPr="00FA243E" w:rsidTr="00960852">
        <w:trPr>
          <w:trHeight w:val="25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960852" w:rsidRPr="00FA243E" w:rsidRDefault="00960852" w:rsidP="00960852">
            <w:pPr>
              <w:spacing w:after="0" w:line="240" w:lineRule="auto"/>
              <w:rPr>
                <w:rFonts w:ascii="Arial" w:eastAsia="Times New Roman" w:hAnsi="Arial" w:cs="Arial"/>
                <w:sz w:val="20"/>
                <w:szCs w:val="20"/>
                <w:lang w:val="nl-NL" w:eastAsia="nl-NL" w:bidi="ar-SA"/>
              </w:rPr>
            </w:pPr>
            <w:r w:rsidRPr="00FA243E">
              <w:rPr>
                <w:rFonts w:ascii="Arial" w:eastAsia="Times New Roman" w:hAnsi="Arial" w:cs="Arial"/>
                <w:sz w:val="20"/>
                <w:szCs w:val="20"/>
                <w:lang w:val="nl-NL" w:eastAsia="nl-NL" w:bidi="ar-SA"/>
              </w:rPr>
              <w:t xml:space="preserve"> </w:t>
            </w:r>
            <w:proofErr w:type="spellStart"/>
            <w:r w:rsidRPr="00FA243E">
              <w:rPr>
                <w:rFonts w:ascii="Arial" w:eastAsia="Times New Roman" w:hAnsi="Arial" w:cs="Arial"/>
                <w:sz w:val="20"/>
                <w:szCs w:val="20"/>
                <w:lang w:val="nl-NL" w:eastAsia="nl-NL" w:bidi="ar-SA"/>
              </w:rPr>
              <w:t>Observations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960852" w:rsidRPr="00FA243E" w:rsidRDefault="00960852" w:rsidP="00960852">
            <w:pPr>
              <w:spacing w:after="0" w:line="240" w:lineRule="auto"/>
              <w:jc w:val="right"/>
              <w:rPr>
                <w:rFonts w:ascii="Arial" w:eastAsia="Times New Roman" w:hAnsi="Arial" w:cs="Arial"/>
                <w:sz w:val="20"/>
                <w:szCs w:val="20"/>
                <w:lang w:val="nl-NL" w:eastAsia="nl-NL" w:bidi="ar-SA"/>
              </w:rPr>
            </w:pPr>
            <w:r>
              <w:rPr>
                <w:rFonts w:ascii="Arial" w:eastAsia="Times New Roman" w:hAnsi="Arial" w:cs="Arial"/>
                <w:sz w:val="20"/>
                <w:szCs w:val="20"/>
                <w:lang w:val="nl-NL" w:eastAsia="nl-NL" w:bidi="ar-SA"/>
              </w:rPr>
              <w:t>3130</w:t>
            </w:r>
          </w:p>
        </w:tc>
        <w:tc>
          <w:tcPr>
            <w:tcW w:w="1120" w:type="dxa"/>
            <w:tcBorders>
              <w:top w:val="nil"/>
              <w:left w:val="nil"/>
              <w:bottom w:val="single" w:sz="4" w:space="0" w:color="auto"/>
              <w:right w:val="single" w:sz="4" w:space="0" w:color="auto"/>
            </w:tcBorders>
            <w:shd w:val="clear" w:color="auto" w:fill="auto"/>
            <w:noWrap/>
            <w:vAlign w:val="bottom"/>
            <w:hideMark/>
          </w:tcPr>
          <w:p w:rsidR="00960852" w:rsidRPr="00FA243E" w:rsidRDefault="00960852" w:rsidP="00960852">
            <w:pPr>
              <w:spacing w:after="0" w:line="240" w:lineRule="auto"/>
              <w:jc w:val="right"/>
              <w:rPr>
                <w:rFonts w:ascii="Arial" w:eastAsia="Times New Roman" w:hAnsi="Arial" w:cs="Arial"/>
                <w:sz w:val="20"/>
                <w:szCs w:val="20"/>
                <w:lang w:val="nl-NL" w:eastAsia="nl-NL" w:bidi="ar-SA"/>
              </w:rPr>
            </w:pPr>
            <w:r w:rsidRPr="00FA243E">
              <w:rPr>
                <w:rFonts w:ascii="Arial" w:eastAsia="Times New Roman" w:hAnsi="Arial" w:cs="Arial"/>
                <w:sz w:val="20"/>
                <w:szCs w:val="20"/>
                <w:lang w:val="nl-NL" w:eastAsia="nl-NL" w:bidi="ar-SA"/>
              </w:rPr>
              <w:t>3130</w:t>
            </w:r>
          </w:p>
        </w:tc>
        <w:tc>
          <w:tcPr>
            <w:tcW w:w="1080" w:type="dxa"/>
            <w:tcBorders>
              <w:top w:val="nil"/>
              <w:left w:val="nil"/>
              <w:bottom w:val="single" w:sz="4" w:space="0" w:color="auto"/>
              <w:right w:val="single" w:sz="4" w:space="0" w:color="auto"/>
            </w:tcBorders>
            <w:shd w:val="clear" w:color="auto" w:fill="auto"/>
            <w:noWrap/>
            <w:vAlign w:val="bottom"/>
            <w:hideMark/>
          </w:tcPr>
          <w:p w:rsidR="00960852" w:rsidRPr="00FA243E" w:rsidRDefault="00960852" w:rsidP="00960852">
            <w:pPr>
              <w:spacing w:after="0" w:line="240" w:lineRule="auto"/>
              <w:jc w:val="right"/>
              <w:rPr>
                <w:rFonts w:ascii="Arial" w:eastAsia="Times New Roman" w:hAnsi="Arial" w:cs="Arial"/>
                <w:sz w:val="20"/>
                <w:szCs w:val="20"/>
                <w:lang w:val="nl-NL" w:eastAsia="nl-NL" w:bidi="ar-SA"/>
              </w:rPr>
            </w:pPr>
            <w:r w:rsidRPr="00FA243E">
              <w:rPr>
                <w:rFonts w:ascii="Arial" w:eastAsia="Times New Roman" w:hAnsi="Arial" w:cs="Arial"/>
                <w:sz w:val="20"/>
                <w:szCs w:val="20"/>
                <w:lang w:val="nl-NL" w:eastAsia="nl-NL" w:bidi="ar-SA"/>
              </w:rPr>
              <w:t>3130</w:t>
            </w:r>
          </w:p>
        </w:tc>
        <w:tc>
          <w:tcPr>
            <w:tcW w:w="1020" w:type="dxa"/>
            <w:tcBorders>
              <w:top w:val="nil"/>
              <w:left w:val="nil"/>
              <w:bottom w:val="single" w:sz="4" w:space="0" w:color="auto"/>
              <w:right w:val="single" w:sz="4" w:space="0" w:color="auto"/>
            </w:tcBorders>
            <w:shd w:val="clear" w:color="auto" w:fill="auto"/>
            <w:noWrap/>
            <w:vAlign w:val="bottom"/>
            <w:hideMark/>
          </w:tcPr>
          <w:p w:rsidR="00960852" w:rsidRPr="00FA243E" w:rsidRDefault="00960852" w:rsidP="00960852">
            <w:pPr>
              <w:spacing w:after="0" w:line="240" w:lineRule="auto"/>
              <w:jc w:val="right"/>
              <w:rPr>
                <w:rFonts w:ascii="Arial" w:eastAsia="Times New Roman" w:hAnsi="Arial" w:cs="Arial"/>
                <w:sz w:val="20"/>
                <w:szCs w:val="20"/>
                <w:lang w:val="nl-NL" w:eastAsia="nl-NL" w:bidi="ar-SA"/>
              </w:rPr>
            </w:pPr>
            <w:r w:rsidRPr="00FA243E">
              <w:rPr>
                <w:rFonts w:ascii="Arial" w:eastAsia="Times New Roman" w:hAnsi="Arial" w:cs="Arial"/>
                <w:sz w:val="20"/>
                <w:szCs w:val="20"/>
                <w:lang w:val="nl-NL" w:eastAsia="nl-NL" w:bidi="ar-SA"/>
              </w:rPr>
              <w:t>3130</w:t>
            </w:r>
          </w:p>
        </w:tc>
      </w:tr>
    </w:tbl>
    <w:p w:rsidR="00960852" w:rsidRDefault="00960852" w:rsidP="00960852">
      <w:pPr>
        <w:pStyle w:val="NoSpacing"/>
      </w:pPr>
    </w:p>
    <w:p w:rsidR="00960852" w:rsidRDefault="00960852" w:rsidP="00960852">
      <w:pPr>
        <w:pStyle w:val="NoSpacing"/>
      </w:pPr>
    </w:p>
    <w:p w:rsidR="00960852" w:rsidRDefault="00960852" w:rsidP="00960852">
      <w:pPr>
        <w:pStyle w:val="NoSpacing"/>
        <w:jc w:val="both"/>
      </w:pPr>
      <w:r>
        <w:t xml:space="preserve">The descriptive statistics shows that the exchange rates are all far from a normal distribution, with highly significant </w:t>
      </w:r>
      <w:proofErr w:type="spellStart"/>
      <w:r>
        <w:t>Jarque-Bera</w:t>
      </w:r>
      <w:proofErr w:type="spellEnd"/>
      <w:r>
        <w:t xml:space="preserve"> tests. All exchange rates are skewed to the right, but the CHF/USD </w:t>
      </w:r>
      <w:r w:rsidR="00615B19">
        <w:t xml:space="preserve">far less than </w:t>
      </w:r>
      <w:r>
        <w:t xml:space="preserve">the other two. The statistics proves that the Swiss franc is a low volatile currency, especially for the CHF/EUR rate with a standard deviation of only 0,032.  </w:t>
      </w:r>
    </w:p>
    <w:p w:rsidR="00960852" w:rsidRDefault="00960852" w:rsidP="00960852">
      <w:pPr>
        <w:pStyle w:val="NoSpacing"/>
        <w:jc w:val="both"/>
      </w:pPr>
    </w:p>
    <w:p w:rsidR="008D0A55" w:rsidRDefault="008D0A55" w:rsidP="00960852">
      <w:pPr>
        <w:pStyle w:val="NoSpacing"/>
        <w:jc w:val="both"/>
      </w:pPr>
    </w:p>
    <w:p w:rsidR="00CD606C" w:rsidRDefault="00CD606C" w:rsidP="00960852">
      <w:pPr>
        <w:pStyle w:val="NoSpacing"/>
        <w:jc w:val="both"/>
      </w:pPr>
    </w:p>
    <w:p w:rsidR="00960852" w:rsidRDefault="00960852" w:rsidP="00960852">
      <w:pPr>
        <w:pStyle w:val="NoSpacing"/>
      </w:pPr>
      <w:r>
        <w:lastRenderedPageBreak/>
        <w:t xml:space="preserve">Figure </w:t>
      </w:r>
      <w:fldSimple w:instr=" SEQ Figuur \* ARABIC ">
        <w:r>
          <w:rPr>
            <w:noProof/>
          </w:rPr>
          <w:t>1</w:t>
        </w:r>
      </w:fldSimple>
      <w:r>
        <w:t xml:space="preserve">: Exchange rates </w:t>
      </w:r>
      <w:r w:rsidR="00CD606C">
        <w:t>indices</w:t>
      </w:r>
    </w:p>
    <w:p w:rsidR="00960852" w:rsidRDefault="00960852" w:rsidP="00960852">
      <w:pPr>
        <w:pStyle w:val="NoSpacing"/>
        <w:jc w:val="both"/>
      </w:pPr>
      <w:r w:rsidRPr="00FA243E">
        <w:rPr>
          <w:noProof/>
          <w:lang w:bidi="ar-SA"/>
        </w:rPr>
        <w:drawing>
          <wp:inline distT="0" distB="0" distL="0" distR="0">
            <wp:extent cx="5760720" cy="4017683"/>
            <wp:effectExtent l="19050" t="0" r="0" b="0"/>
            <wp:docPr id="33" name="Afbeelding 1"/>
            <wp:cNvGraphicFramePr/>
            <a:graphic xmlns:a="http://schemas.openxmlformats.org/drawingml/2006/main">
              <a:graphicData uri="http://schemas.openxmlformats.org/drawingml/2006/picture">
                <pic:pic xmlns:pic="http://schemas.openxmlformats.org/drawingml/2006/picture">
                  <pic:nvPicPr>
                    <pic:cNvPr id="1082" name="Picture 58"/>
                    <pic:cNvPicPr>
                      <a:picLocks noChangeAspect="1" noChangeArrowheads="1"/>
                    </pic:cNvPicPr>
                  </pic:nvPicPr>
                  <pic:blipFill>
                    <a:blip r:embed="rId9" cstate="print"/>
                    <a:srcRect/>
                    <a:stretch>
                      <a:fillRect/>
                    </a:stretch>
                  </pic:blipFill>
                  <pic:spPr bwMode="auto">
                    <a:xfrm>
                      <a:off x="0" y="0"/>
                      <a:ext cx="5760720" cy="4017683"/>
                    </a:xfrm>
                    <a:prstGeom prst="rect">
                      <a:avLst/>
                    </a:prstGeom>
                    <a:noFill/>
                  </pic:spPr>
                </pic:pic>
              </a:graphicData>
            </a:graphic>
          </wp:inline>
        </w:drawing>
      </w:r>
    </w:p>
    <w:p w:rsidR="00960852" w:rsidRDefault="00960852" w:rsidP="00960852">
      <w:pPr>
        <w:pStyle w:val="NoSpacing"/>
        <w:jc w:val="both"/>
      </w:pPr>
    </w:p>
    <w:p w:rsidR="00960852" w:rsidRPr="00222DE0" w:rsidRDefault="00960852" w:rsidP="00960852">
      <w:pPr>
        <w:pStyle w:val="NoSpacing"/>
        <w:jc w:val="both"/>
        <w:rPr>
          <w:color w:val="FF0000"/>
        </w:rPr>
      </w:pPr>
      <w:r w:rsidRPr="00222DE0">
        <w:rPr>
          <w:color w:val="FF0000"/>
        </w:rPr>
        <w:t xml:space="preserve">The graphs above show the exchange rate behavior </w:t>
      </w:r>
      <w:r w:rsidR="000E18B7" w:rsidRPr="00222DE0">
        <w:rPr>
          <w:color w:val="FF0000"/>
        </w:rPr>
        <w:t>during</w:t>
      </w:r>
      <w:r w:rsidRPr="00222DE0">
        <w:rPr>
          <w:color w:val="FF0000"/>
        </w:rPr>
        <w:t xml:space="preserve"> the used time period. Remarkable are the more or less same graphs for the EUR/USD and CHF/USD. </w:t>
      </w:r>
      <w:r w:rsidR="00B479B9" w:rsidRPr="00222DE0">
        <w:rPr>
          <w:color w:val="FF0000"/>
        </w:rPr>
        <w:t xml:space="preserve">This could be due to the interwoven economies of Swiss and the </w:t>
      </w:r>
      <w:proofErr w:type="spellStart"/>
      <w:r w:rsidR="00B479B9" w:rsidRPr="00222DE0">
        <w:rPr>
          <w:color w:val="FF0000"/>
        </w:rPr>
        <w:t>eurozone</w:t>
      </w:r>
      <w:proofErr w:type="spellEnd"/>
      <w:r w:rsidR="00B479B9" w:rsidRPr="00222DE0">
        <w:rPr>
          <w:color w:val="FF0000"/>
        </w:rPr>
        <w:t xml:space="preserve">, which causes both currencies to react the same on changes in other economic variables. Another reason could be the interest of the Swiss central </w:t>
      </w:r>
      <w:r w:rsidR="00222DE0" w:rsidRPr="00222DE0">
        <w:rPr>
          <w:color w:val="FF0000"/>
        </w:rPr>
        <w:t>bank to keep the CHFEUR stable, which lead</w:t>
      </w:r>
      <w:r w:rsidR="006E6BCF">
        <w:rPr>
          <w:color w:val="FF0000"/>
        </w:rPr>
        <w:t>s</w:t>
      </w:r>
      <w:r w:rsidR="00222DE0" w:rsidRPr="00222DE0">
        <w:rPr>
          <w:color w:val="FF0000"/>
        </w:rPr>
        <w:t xml:space="preserve"> to consistent trade with their most important trade partner (60% of Swiss import is from the EU and 78% of their export goes to the EU)</w:t>
      </w:r>
      <w:r w:rsidR="00222DE0" w:rsidRPr="00222DE0">
        <w:rPr>
          <w:rStyle w:val="FootnoteReference"/>
          <w:color w:val="FF0000"/>
        </w:rPr>
        <w:footnoteReference w:id="2"/>
      </w:r>
    </w:p>
    <w:p w:rsidR="00B479B9" w:rsidRDefault="00B479B9" w:rsidP="00960852">
      <w:pPr>
        <w:pStyle w:val="NoSpacing"/>
        <w:jc w:val="both"/>
      </w:pPr>
    </w:p>
    <w:p w:rsidR="00960852" w:rsidRDefault="00960852" w:rsidP="00960852">
      <w:pPr>
        <w:pStyle w:val="NoSpacing"/>
        <w:jc w:val="both"/>
      </w:pPr>
      <w:r>
        <w:t>The stock indices used in this thesis can be separated in US and Europe</w:t>
      </w:r>
      <w:r w:rsidR="006E6BCF">
        <w:t>an</w:t>
      </w:r>
      <w:r>
        <w:t xml:space="preserve"> stocks, market indices and sector indices. The well known S&amp;P 500 will be used as the representative index for the United States. This index includes the 500 leading companies in the leading industries of the economy of the United States and covers 75% of the total national equity value</w:t>
      </w:r>
      <w:r>
        <w:rPr>
          <w:rStyle w:val="FootnoteReference"/>
        </w:rPr>
        <w:footnoteReference w:id="3"/>
      </w:r>
      <w:r>
        <w:t xml:space="preserve">. The counterpart for the S&amp;P500 in this thesis is the </w:t>
      </w:r>
      <w:proofErr w:type="spellStart"/>
      <w:r>
        <w:t>Stoxx</w:t>
      </w:r>
      <w:proofErr w:type="spellEnd"/>
      <w:r>
        <w:t xml:space="preserve"> Europe 600 ex UK Total Market Index. Th</w:t>
      </w:r>
      <w:r w:rsidR="000E18B7">
        <w:t>e</w:t>
      </w:r>
      <w:r>
        <w:t xml:space="preserve"> index contains stocks from Austria, Belgium, Denmark, Finland, France, Germany, Greece, Iceland, Ireland, Italy, Luxembourg, the Netherlands, Norway, Portugal, Spain, Sweden and Switzerland. Unfortunately it is not for 100% representative for the euro zone. The index does not cover countries like Slovenia and Slovakia and it include</w:t>
      </w:r>
      <w:r w:rsidR="000E18B7">
        <w:t>s</w:t>
      </w:r>
      <w:r>
        <w:t xml:space="preserve"> non-euro countries as Sweden and Switzerland. Nevertheless, these are </w:t>
      </w:r>
      <w:proofErr w:type="gramStart"/>
      <w:r>
        <w:t>relative small countries, which make</w:t>
      </w:r>
      <w:r w:rsidR="000E18B7">
        <w:t>s</w:t>
      </w:r>
      <w:proofErr w:type="gramEnd"/>
      <w:r>
        <w:t xml:space="preserve"> it still the best available index for the euro zone. Despite some weakness, the </w:t>
      </w:r>
      <w:proofErr w:type="spellStart"/>
      <w:r>
        <w:t>Stoxx</w:t>
      </w:r>
      <w:proofErr w:type="spellEnd"/>
      <w:r>
        <w:t xml:space="preserve"> Europe is considered as the most appropriate index and covers around the 95% of Europe’s free float market capitalization. </w:t>
      </w:r>
      <w:r>
        <w:rPr>
          <w:rStyle w:val="FootnoteReference"/>
        </w:rPr>
        <w:footnoteReference w:id="4"/>
      </w:r>
    </w:p>
    <w:p w:rsidR="00960852" w:rsidRDefault="00960852" w:rsidP="00960852">
      <w:pPr>
        <w:pStyle w:val="NoSpacing"/>
        <w:jc w:val="both"/>
      </w:pPr>
    </w:p>
    <w:p w:rsidR="00960852" w:rsidRDefault="00960852" w:rsidP="00960852">
      <w:pPr>
        <w:pStyle w:val="NoSpacing"/>
        <w:jc w:val="both"/>
      </w:pPr>
      <w:r>
        <w:lastRenderedPageBreak/>
        <w:t>Table</w:t>
      </w:r>
      <w:r w:rsidR="000E18B7">
        <w:t xml:space="preserve"> </w:t>
      </w:r>
      <w:r w:rsidR="00CD606C">
        <w:t>3</w:t>
      </w:r>
      <w:r w:rsidR="000E18B7">
        <w:t xml:space="preserve"> </w:t>
      </w:r>
      <w:r>
        <w:t xml:space="preserve">gives the descriptive statistics for the </w:t>
      </w:r>
      <w:proofErr w:type="spellStart"/>
      <w:r>
        <w:t>Stoxx</w:t>
      </w:r>
      <w:proofErr w:type="spellEnd"/>
      <w:r>
        <w:t xml:space="preserve"> 600 and the S&amp;P500. Not unexpectedly, no normal distribution for both stock markets. The S&amp;P500 is skewed to the left, while the </w:t>
      </w:r>
      <w:proofErr w:type="spellStart"/>
      <w:r>
        <w:t>Stoxx</w:t>
      </w:r>
      <w:proofErr w:type="spellEnd"/>
      <w:r>
        <w:t xml:space="preserve"> 600 is skewed to the right. </w:t>
      </w:r>
    </w:p>
    <w:p w:rsidR="00960852" w:rsidRDefault="00960852" w:rsidP="00960852">
      <w:pPr>
        <w:pStyle w:val="NoSpacing"/>
        <w:jc w:val="both"/>
      </w:pPr>
    </w:p>
    <w:p w:rsidR="00960852" w:rsidRDefault="00960852" w:rsidP="00960852">
      <w:pPr>
        <w:pStyle w:val="NoSpacing"/>
      </w:pPr>
      <w:r>
        <w:t xml:space="preserve">Table </w:t>
      </w:r>
      <w:r w:rsidR="00CD606C">
        <w:t>3</w:t>
      </w:r>
      <w:r>
        <w:t xml:space="preserve">: Descriptive statistics market indices </w:t>
      </w:r>
    </w:p>
    <w:tbl>
      <w:tblPr>
        <w:tblW w:w="4728" w:type="dxa"/>
        <w:tblInd w:w="53" w:type="dxa"/>
        <w:tblCellMar>
          <w:left w:w="70" w:type="dxa"/>
          <w:right w:w="70" w:type="dxa"/>
        </w:tblCellMar>
        <w:tblLook w:val="04A0"/>
      </w:tblPr>
      <w:tblGrid>
        <w:gridCol w:w="2000"/>
        <w:gridCol w:w="1420"/>
        <w:gridCol w:w="1308"/>
      </w:tblGrid>
      <w:tr w:rsidR="00960852" w:rsidRPr="00DF4343" w:rsidTr="00960852">
        <w:trPr>
          <w:trHeight w:val="255"/>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0852" w:rsidRPr="00DF4343" w:rsidRDefault="00960852" w:rsidP="00960852">
            <w:pPr>
              <w:spacing w:after="0" w:line="240" w:lineRule="auto"/>
              <w:rPr>
                <w:rFonts w:ascii="Arial" w:eastAsia="Times New Roman" w:hAnsi="Arial" w:cs="Arial"/>
                <w:sz w:val="20"/>
                <w:szCs w:val="20"/>
                <w:lang w:eastAsia="nl-NL" w:bidi="ar-SA"/>
              </w:rPr>
            </w:pPr>
            <w:r w:rsidRPr="00DF4343">
              <w:rPr>
                <w:rFonts w:ascii="Arial" w:eastAsia="Times New Roman" w:hAnsi="Arial" w:cs="Arial"/>
                <w:sz w:val="20"/>
                <w:szCs w:val="20"/>
                <w:lang w:eastAsia="nl-NL" w:bidi="ar-SA"/>
              </w:rPr>
              <w:t> </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rsidR="00960852" w:rsidRPr="000523FC" w:rsidRDefault="00960852" w:rsidP="00960852">
            <w:pPr>
              <w:spacing w:after="0" w:line="240" w:lineRule="auto"/>
              <w:rPr>
                <w:rFonts w:ascii="Arial" w:eastAsia="Times New Roman" w:hAnsi="Arial" w:cs="Arial"/>
                <w:sz w:val="20"/>
                <w:szCs w:val="20"/>
                <w:lang w:eastAsia="nl-NL" w:bidi="ar-SA"/>
              </w:rPr>
            </w:pPr>
            <w:r w:rsidRPr="000523FC">
              <w:rPr>
                <w:rFonts w:ascii="Arial" w:eastAsia="Times New Roman" w:hAnsi="Arial" w:cs="Arial"/>
                <w:sz w:val="20"/>
                <w:szCs w:val="20"/>
                <w:lang w:eastAsia="nl-NL" w:bidi="ar-SA"/>
              </w:rPr>
              <w:t>US</w:t>
            </w:r>
          </w:p>
        </w:tc>
        <w:tc>
          <w:tcPr>
            <w:tcW w:w="1308" w:type="dxa"/>
            <w:tcBorders>
              <w:top w:val="single" w:sz="4" w:space="0" w:color="auto"/>
              <w:left w:val="nil"/>
              <w:bottom w:val="single" w:sz="4" w:space="0" w:color="auto"/>
              <w:right w:val="single" w:sz="4" w:space="0" w:color="auto"/>
            </w:tcBorders>
            <w:shd w:val="clear" w:color="auto" w:fill="auto"/>
            <w:noWrap/>
            <w:vAlign w:val="bottom"/>
            <w:hideMark/>
          </w:tcPr>
          <w:p w:rsidR="00960852" w:rsidRPr="000523FC" w:rsidRDefault="00960852" w:rsidP="00960852">
            <w:pPr>
              <w:spacing w:after="0" w:line="240" w:lineRule="auto"/>
              <w:rPr>
                <w:rFonts w:ascii="Arial" w:eastAsia="Times New Roman" w:hAnsi="Arial" w:cs="Arial"/>
                <w:sz w:val="20"/>
                <w:szCs w:val="20"/>
                <w:lang w:eastAsia="nl-NL" w:bidi="ar-SA"/>
              </w:rPr>
            </w:pPr>
            <w:r w:rsidRPr="000523FC">
              <w:rPr>
                <w:rFonts w:ascii="Arial" w:eastAsia="Times New Roman" w:hAnsi="Arial" w:cs="Arial"/>
                <w:sz w:val="20"/>
                <w:szCs w:val="20"/>
                <w:lang w:eastAsia="nl-NL" w:bidi="ar-SA"/>
              </w:rPr>
              <w:t>EUROPE</w:t>
            </w:r>
          </w:p>
        </w:tc>
      </w:tr>
      <w:tr w:rsidR="00960852" w:rsidRPr="00DF4343" w:rsidTr="00960852">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960852" w:rsidRPr="000523FC" w:rsidRDefault="00960852" w:rsidP="00960852">
            <w:pPr>
              <w:spacing w:after="0" w:line="240" w:lineRule="auto"/>
              <w:rPr>
                <w:rFonts w:ascii="Arial" w:eastAsia="Times New Roman" w:hAnsi="Arial" w:cs="Arial"/>
                <w:sz w:val="20"/>
                <w:szCs w:val="20"/>
                <w:lang w:eastAsia="nl-NL" w:bidi="ar-SA"/>
              </w:rPr>
            </w:pPr>
            <w:r w:rsidRPr="000523FC">
              <w:rPr>
                <w:rFonts w:ascii="Arial" w:eastAsia="Times New Roman" w:hAnsi="Arial" w:cs="Arial"/>
                <w:sz w:val="20"/>
                <w:szCs w:val="20"/>
                <w:lang w:eastAsia="nl-NL" w:bidi="ar-SA"/>
              </w:rPr>
              <w:t xml:space="preserve"> Mean</w:t>
            </w:r>
          </w:p>
        </w:tc>
        <w:tc>
          <w:tcPr>
            <w:tcW w:w="1420" w:type="dxa"/>
            <w:tcBorders>
              <w:top w:val="nil"/>
              <w:left w:val="nil"/>
              <w:bottom w:val="single" w:sz="4" w:space="0" w:color="auto"/>
              <w:right w:val="single" w:sz="4" w:space="0" w:color="auto"/>
            </w:tcBorders>
            <w:shd w:val="clear" w:color="auto" w:fill="auto"/>
            <w:noWrap/>
            <w:vAlign w:val="bottom"/>
            <w:hideMark/>
          </w:tcPr>
          <w:p w:rsidR="00960852" w:rsidRPr="000523FC" w:rsidRDefault="00960852" w:rsidP="00960852">
            <w:pPr>
              <w:spacing w:after="0" w:line="240" w:lineRule="auto"/>
              <w:jc w:val="right"/>
              <w:rPr>
                <w:rFonts w:ascii="Arial" w:eastAsia="Times New Roman" w:hAnsi="Arial" w:cs="Arial"/>
                <w:sz w:val="20"/>
                <w:szCs w:val="20"/>
                <w:lang w:eastAsia="nl-NL" w:bidi="ar-SA"/>
              </w:rPr>
            </w:pPr>
            <w:r w:rsidRPr="000523FC">
              <w:rPr>
                <w:rFonts w:ascii="Arial" w:eastAsia="Times New Roman" w:hAnsi="Arial" w:cs="Arial"/>
                <w:sz w:val="20"/>
                <w:szCs w:val="20"/>
                <w:lang w:eastAsia="nl-NL" w:bidi="ar-SA"/>
              </w:rPr>
              <w:t>1194,98</w:t>
            </w:r>
          </w:p>
        </w:tc>
        <w:tc>
          <w:tcPr>
            <w:tcW w:w="1308" w:type="dxa"/>
            <w:tcBorders>
              <w:top w:val="nil"/>
              <w:left w:val="nil"/>
              <w:bottom w:val="single" w:sz="4" w:space="0" w:color="auto"/>
              <w:right w:val="single" w:sz="4" w:space="0" w:color="auto"/>
            </w:tcBorders>
            <w:shd w:val="clear" w:color="auto" w:fill="auto"/>
            <w:noWrap/>
            <w:vAlign w:val="bottom"/>
            <w:hideMark/>
          </w:tcPr>
          <w:p w:rsidR="00960852" w:rsidRPr="000523FC" w:rsidRDefault="00960852" w:rsidP="00960852">
            <w:pPr>
              <w:spacing w:after="0" w:line="240" w:lineRule="auto"/>
              <w:jc w:val="right"/>
              <w:rPr>
                <w:rFonts w:ascii="Arial" w:eastAsia="Times New Roman" w:hAnsi="Arial" w:cs="Arial"/>
                <w:sz w:val="20"/>
                <w:szCs w:val="20"/>
                <w:lang w:eastAsia="nl-NL" w:bidi="ar-SA"/>
              </w:rPr>
            </w:pPr>
            <w:r w:rsidRPr="000523FC">
              <w:rPr>
                <w:rFonts w:ascii="Arial" w:eastAsia="Times New Roman" w:hAnsi="Arial" w:cs="Arial"/>
                <w:sz w:val="20"/>
                <w:szCs w:val="20"/>
                <w:lang w:eastAsia="nl-NL" w:bidi="ar-SA"/>
              </w:rPr>
              <w:t>303,26</w:t>
            </w:r>
          </w:p>
        </w:tc>
      </w:tr>
      <w:tr w:rsidR="00960852" w:rsidRPr="00DF4343" w:rsidTr="00960852">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960852" w:rsidRPr="00DF4343" w:rsidRDefault="00960852" w:rsidP="00960852">
            <w:pPr>
              <w:spacing w:after="0" w:line="240" w:lineRule="auto"/>
              <w:rPr>
                <w:rFonts w:ascii="Arial" w:eastAsia="Times New Roman" w:hAnsi="Arial" w:cs="Arial"/>
                <w:sz w:val="20"/>
                <w:szCs w:val="20"/>
                <w:lang w:val="nl-NL" w:eastAsia="nl-NL" w:bidi="ar-SA"/>
              </w:rPr>
            </w:pPr>
            <w:r w:rsidRPr="000523FC">
              <w:rPr>
                <w:rFonts w:ascii="Arial" w:eastAsia="Times New Roman" w:hAnsi="Arial" w:cs="Arial"/>
                <w:sz w:val="20"/>
                <w:szCs w:val="20"/>
                <w:lang w:eastAsia="nl-NL" w:bidi="ar-SA"/>
              </w:rPr>
              <w:t xml:space="preserve"> </w:t>
            </w:r>
            <w:proofErr w:type="spellStart"/>
            <w:r w:rsidRPr="00DF4343">
              <w:rPr>
                <w:rFonts w:ascii="Arial" w:eastAsia="Times New Roman" w:hAnsi="Arial" w:cs="Arial"/>
                <w:sz w:val="20"/>
                <w:szCs w:val="20"/>
                <w:lang w:val="nl-NL" w:eastAsia="nl-NL" w:bidi="ar-SA"/>
              </w:rPr>
              <w:t>Median</w:t>
            </w:r>
            <w:proofErr w:type="spellEnd"/>
          </w:p>
        </w:tc>
        <w:tc>
          <w:tcPr>
            <w:tcW w:w="1420" w:type="dxa"/>
            <w:tcBorders>
              <w:top w:val="nil"/>
              <w:left w:val="nil"/>
              <w:bottom w:val="single" w:sz="4" w:space="0" w:color="auto"/>
              <w:right w:val="single" w:sz="4" w:space="0" w:color="auto"/>
            </w:tcBorders>
            <w:shd w:val="clear" w:color="auto" w:fill="auto"/>
            <w:noWrap/>
            <w:vAlign w:val="bottom"/>
            <w:hideMark/>
          </w:tcPr>
          <w:p w:rsidR="00960852" w:rsidRPr="00DF4343" w:rsidRDefault="00960852" w:rsidP="00960852">
            <w:pPr>
              <w:spacing w:after="0" w:line="240" w:lineRule="auto"/>
              <w:jc w:val="right"/>
              <w:rPr>
                <w:rFonts w:ascii="Arial" w:eastAsia="Times New Roman" w:hAnsi="Arial" w:cs="Arial"/>
                <w:sz w:val="20"/>
                <w:szCs w:val="20"/>
                <w:lang w:val="nl-NL" w:eastAsia="nl-NL" w:bidi="ar-SA"/>
              </w:rPr>
            </w:pPr>
            <w:r w:rsidRPr="00DF4343">
              <w:rPr>
                <w:rFonts w:ascii="Arial" w:eastAsia="Times New Roman" w:hAnsi="Arial" w:cs="Arial"/>
                <w:sz w:val="20"/>
                <w:szCs w:val="20"/>
                <w:lang w:val="nl-NL" w:eastAsia="nl-NL" w:bidi="ar-SA"/>
              </w:rPr>
              <w:t>1197,80</w:t>
            </w:r>
          </w:p>
        </w:tc>
        <w:tc>
          <w:tcPr>
            <w:tcW w:w="1308" w:type="dxa"/>
            <w:tcBorders>
              <w:top w:val="nil"/>
              <w:left w:val="nil"/>
              <w:bottom w:val="single" w:sz="4" w:space="0" w:color="auto"/>
              <w:right w:val="single" w:sz="4" w:space="0" w:color="auto"/>
            </w:tcBorders>
            <w:shd w:val="clear" w:color="auto" w:fill="auto"/>
            <w:noWrap/>
            <w:vAlign w:val="bottom"/>
            <w:hideMark/>
          </w:tcPr>
          <w:p w:rsidR="00960852" w:rsidRPr="00DF4343" w:rsidRDefault="00960852" w:rsidP="00960852">
            <w:pPr>
              <w:spacing w:after="0" w:line="240" w:lineRule="auto"/>
              <w:jc w:val="right"/>
              <w:rPr>
                <w:rFonts w:ascii="Arial" w:eastAsia="Times New Roman" w:hAnsi="Arial" w:cs="Arial"/>
                <w:sz w:val="20"/>
                <w:szCs w:val="20"/>
                <w:lang w:val="nl-NL" w:eastAsia="nl-NL" w:bidi="ar-SA"/>
              </w:rPr>
            </w:pPr>
            <w:r w:rsidRPr="00DF4343">
              <w:rPr>
                <w:rFonts w:ascii="Arial" w:eastAsia="Times New Roman" w:hAnsi="Arial" w:cs="Arial"/>
                <w:sz w:val="20"/>
                <w:szCs w:val="20"/>
                <w:lang w:val="nl-NL" w:eastAsia="nl-NL" w:bidi="ar-SA"/>
              </w:rPr>
              <w:t>297,18</w:t>
            </w:r>
          </w:p>
        </w:tc>
      </w:tr>
      <w:tr w:rsidR="00960852" w:rsidRPr="00DF4343" w:rsidTr="00960852">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960852" w:rsidRPr="00DF4343" w:rsidRDefault="00960852" w:rsidP="00960852">
            <w:pPr>
              <w:spacing w:after="0" w:line="240" w:lineRule="auto"/>
              <w:rPr>
                <w:rFonts w:ascii="Arial" w:eastAsia="Times New Roman" w:hAnsi="Arial" w:cs="Arial"/>
                <w:sz w:val="20"/>
                <w:szCs w:val="20"/>
                <w:lang w:val="nl-NL" w:eastAsia="nl-NL" w:bidi="ar-SA"/>
              </w:rPr>
            </w:pPr>
            <w:r w:rsidRPr="00DF4343">
              <w:rPr>
                <w:rFonts w:ascii="Arial" w:eastAsia="Times New Roman" w:hAnsi="Arial" w:cs="Arial"/>
                <w:sz w:val="20"/>
                <w:szCs w:val="20"/>
                <w:lang w:val="nl-NL" w:eastAsia="nl-NL" w:bidi="ar-SA"/>
              </w:rPr>
              <w:t xml:space="preserve"> Maximum</w:t>
            </w:r>
          </w:p>
        </w:tc>
        <w:tc>
          <w:tcPr>
            <w:tcW w:w="1420" w:type="dxa"/>
            <w:tcBorders>
              <w:top w:val="nil"/>
              <w:left w:val="nil"/>
              <w:bottom w:val="single" w:sz="4" w:space="0" w:color="auto"/>
              <w:right w:val="single" w:sz="4" w:space="0" w:color="auto"/>
            </w:tcBorders>
            <w:shd w:val="clear" w:color="auto" w:fill="auto"/>
            <w:noWrap/>
            <w:vAlign w:val="bottom"/>
            <w:hideMark/>
          </w:tcPr>
          <w:p w:rsidR="00960852" w:rsidRPr="00DF4343" w:rsidRDefault="00960852" w:rsidP="00960852">
            <w:pPr>
              <w:spacing w:after="0" w:line="240" w:lineRule="auto"/>
              <w:jc w:val="right"/>
              <w:rPr>
                <w:rFonts w:ascii="Arial" w:eastAsia="Times New Roman" w:hAnsi="Arial" w:cs="Arial"/>
                <w:sz w:val="20"/>
                <w:szCs w:val="20"/>
                <w:lang w:val="nl-NL" w:eastAsia="nl-NL" w:bidi="ar-SA"/>
              </w:rPr>
            </w:pPr>
            <w:r w:rsidRPr="00DF4343">
              <w:rPr>
                <w:rFonts w:ascii="Arial" w:eastAsia="Times New Roman" w:hAnsi="Arial" w:cs="Arial"/>
                <w:sz w:val="20"/>
                <w:szCs w:val="20"/>
                <w:lang w:val="nl-NL" w:eastAsia="nl-NL" w:bidi="ar-SA"/>
              </w:rPr>
              <w:t>1565,15</w:t>
            </w:r>
          </w:p>
        </w:tc>
        <w:tc>
          <w:tcPr>
            <w:tcW w:w="1308" w:type="dxa"/>
            <w:tcBorders>
              <w:top w:val="nil"/>
              <w:left w:val="nil"/>
              <w:bottom w:val="single" w:sz="4" w:space="0" w:color="auto"/>
              <w:right w:val="single" w:sz="4" w:space="0" w:color="auto"/>
            </w:tcBorders>
            <w:shd w:val="clear" w:color="auto" w:fill="auto"/>
            <w:noWrap/>
            <w:vAlign w:val="bottom"/>
            <w:hideMark/>
          </w:tcPr>
          <w:p w:rsidR="00960852" w:rsidRPr="00DF4343" w:rsidRDefault="00960852" w:rsidP="00960852">
            <w:pPr>
              <w:spacing w:after="0" w:line="240" w:lineRule="auto"/>
              <w:jc w:val="right"/>
              <w:rPr>
                <w:rFonts w:ascii="Arial" w:eastAsia="Times New Roman" w:hAnsi="Arial" w:cs="Arial"/>
                <w:sz w:val="20"/>
                <w:szCs w:val="20"/>
                <w:lang w:val="nl-NL" w:eastAsia="nl-NL" w:bidi="ar-SA"/>
              </w:rPr>
            </w:pPr>
            <w:r w:rsidRPr="00DF4343">
              <w:rPr>
                <w:rFonts w:ascii="Arial" w:eastAsia="Times New Roman" w:hAnsi="Arial" w:cs="Arial"/>
                <w:sz w:val="20"/>
                <w:szCs w:val="20"/>
                <w:lang w:val="nl-NL" w:eastAsia="nl-NL" w:bidi="ar-SA"/>
              </w:rPr>
              <w:t>440,06</w:t>
            </w:r>
          </w:p>
        </w:tc>
      </w:tr>
      <w:tr w:rsidR="00960852" w:rsidRPr="00DF4343" w:rsidTr="00960852">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960852" w:rsidRPr="00DF4343" w:rsidRDefault="00960852" w:rsidP="00960852">
            <w:pPr>
              <w:spacing w:after="0" w:line="240" w:lineRule="auto"/>
              <w:rPr>
                <w:rFonts w:ascii="Arial" w:eastAsia="Times New Roman" w:hAnsi="Arial" w:cs="Arial"/>
                <w:sz w:val="20"/>
                <w:szCs w:val="20"/>
                <w:lang w:val="nl-NL" w:eastAsia="nl-NL" w:bidi="ar-SA"/>
              </w:rPr>
            </w:pPr>
            <w:r w:rsidRPr="00DF4343">
              <w:rPr>
                <w:rFonts w:ascii="Arial" w:eastAsia="Times New Roman" w:hAnsi="Arial" w:cs="Arial"/>
                <w:sz w:val="20"/>
                <w:szCs w:val="20"/>
                <w:lang w:val="nl-NL" w:eastAsia="nl-NL" w:bidi="ar-SA"/>
              </w:rPr>
              <w:t xml:space="preserve"> Minimum</w:t>
            </w:r>
          </w:p>
        </w:tc>
        <w:tc>
          <w:tcPr>
            <w:tcW w:w="1420" w:type="dxa"/>
            <w:tcBorders>
              <w:top w:val="nil"/>
              <w:left w:val="nil"/>
              <w:bottom w:val="single" w:sz="4" w:space="0" w:color="auto"/>
              <w:right w:val="single" w:sz="4" w:space="0" w:color="auto"/>
            </w:tcBorders>
            <w:shd w:val="clear" w:color="auto" w:fill="auto"/>
            <w:noWrap/>
            <w:vAlign w:val="bottom"/>
            <w:hideMark/>
          </w:tcPr>
          <w:p w:rsidR="00960852" w:rsidRPr="00DF4343" w:rsidRDefault="00960852" w:rsidP="00960852">
            <w:pPr>
              <w:spacing w:after="0" w:line="240" w:lineRule="auto"/>
              <w:jc w:val="right"/>
              <w:rPr>
                <w:rFonts w:ascii="Arial" w:eastAsia="Times New Roman" w:hAnsi="Arial" w:cs="Arial"/>
                <w:sz w:val="20"/>
                <w:szCs w:val="20"/>
                <w:lang w:val="nl-NL" w:eastAsia="nl-NL" w:bidi="ar-SA"/>
              </w:rPr>
            </w:pPr>
            <w:r w:rsidRPr="00DF4343">
              <w:rPr>
                <w:rFonts w:ascii="Arial" w:eastAsia="Times New Roman" w:hAnsi="Arial" w:cs="Arial"/>
                <w:sz w:val="20"/>
                <w:szCs w:val="20"/>
                <w:lang w:val="nl-NL" w:eastAsia="nl-NL" w:bidi="ar-SA"/>
              </w:rPr>
              <w:t>676,53</w:t>
            </w:r>
          </w:p>
        </w:tc>
        <w:tc>
          <w:tcPr>
            <w:tcW w:w="1308" w:type="dxa"/>
            <w:tcBorders>
              <w:top w:val="nil"/>
              <w:left w:val="nil"/>
              <w:bottom w:val="single" w:sz="4" w:space="0" w:color="auto"/>
              <w:right w:val="single" w:sz="4" w:space="0" w:color="auto"/>
            </w:tcBorders>
            <w:shd w:val="clear" w:color="auto" w:fill="auto"/>
            <w:noWrap/>
            <w:vAlign w:val="bottom"/>
            <w:hideMark/>
          </w:tcPr>
          <w:p w:rsidR="00960852" w:rsidRPr="00DF4343" w:rsidRDefault="00960852" w:rsidP="00960852">
            <w:pPr>
              <w:spacing w:after="0" w:line="240" w:lineRule="auto"/>
              <w:jc w:val="right"/>
              <w:rPr>
                <w:rFonts w:ascii="Arial" w:eastAsia="Times New Roman" w:hAnsi="Arial" w:cs="Arial"/>
                <w:sz w:val="20"/>
                <w:szCs w:val="20"/>
                <w:lang w:val="nl-NL" w:eastAsia="nl-NL" w:bidi="ar-SA"/>
              </w:rPr>
            </w:pPr>
            <w:r w:rsidRPr="00DF4343">
              <w:rPr>
                <w:rFonts w:ascii="Arial" w:eastAsia="Times New Roman" w:hAnsi="Arial" w:cs="Arial"/>
                <w:sz w:val="20"/>
                <w:szCs w:val="20"/>
                <w:lang w:val="nl-NL" w:eastAsia="nl-NL" w:bidi="ar-SA"/>
              </w:rPr>
              <w:t>162,09</w:t>
            </w:r>
          </w:p>
        </w:tc>
      </w:tr>
      <w:tr w:rsidR="00960852" w:rsidRPr="00DF4343" w:rsidTr="00960852">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960852" w:rsidRPr="00DF4343" w:rsidRDefault="00960852" w:rsidP="00960852">
            <w:pPr>
              <w:spacing w:after="0" w:line="240" w:lineRule="auto"/>
              <w:rPr>
                <w:rFonts w:ascii="Arial" w:eastAsia="Times New Roman" w:hAnsi="Arial" w:cs="Arial"/>
                <w:sz w:val="20"/>
                <w:szCs w:val="20"/>
                <w:lang w:val="nl-NL" w:eastAsia="nl-NL" w:bidi="ar-SA"/>
              </w:rPr>
            </w:pPr>
            <w:r w:rsidRPr="00DF4343">
              <w:rPr>
                <w:rFonts w:ascii="Arial" w:eastAsia="Times New Roman" w:hAnsi="Arial" w:cs="Arial"/>
                <w:sz w:val="20"/>
                <w:szCs w:val="20"/>
                <w:lang w:val="nl-NL" w:eastAsia="nl-NL" w:bidi="ar-SA"/>
              </w:rPr>
              <w:t xml:space="preserve"> </w:t>
            </w:r>
            <w:proofErr w:type="spellStart"/>
            <w:r w:rsidRPr="00DF4343">
              <w:rPr>
                <w:rFonts w:ascii="Arial" w:eastAsia="Times New Roman" w:hAnsi="Arial" w:cs="Arial"/>
                <w:sz w:val="20"/>
                <w:szCs w:val="20"/>
                <w:lang w:val="nl-NL" w:eastAsia="nl-NL" w:bidi="ar-SA"/>
              </w:rPr>
              <w:t>Std</w:t>
            </w:r>
            <w:proofErr w:type="spellEnd"/>
            <w:r w:rsidRPr="00DF4343">
              <w:rPr>
                <w:rFonts w:ascii="Arial" w:eastAsia="Times New Roman" w:hAnsi="Arial" w:cs="Arial"/>
                <w:sz w:val="20"/>
                <w:szCs w:val="20"/>
                <w:lang w:val="nl-NL" w:eastAsia="nl-NL" w:bidi="ar-SA"/>
              </w:rPr>
              <w:t xml:space="preserve">. </w:t>
            </w:r>
            <w:proofErr w:type="spellStart"/>
            <w:r w:rsidRPr="00DF4343">
              <w:rPr>
                <w:rFonts w:ascii="Arial" w:eastAsia="Times New Roman" w:hAnsi="Arial" w:cs="Arial"/>
                <w:sz w:val="20"/>
                <w:szCs w:val="20"/>
                <w:lang w:val="nl-NL" w:eastAsia="nl-NL" w:bidi="ar-SA"/>
              </w:rPr>
              <w:t>Dev</w:t>
            </w:r>
            <w:proofErr w:type="spellEnd"/>
            <w:r w:rsidRPr="00DF4343">
              <w:rPr>
                <w:rFonts w:ascii="Arial" w:eastAsia="Times New Roman" w:hAnsi="Arial" w:cs="Arial"/>
                <w:sz w:val="20"/>
                <w:szCs w:val="20"/>
                <w:lang w:val="nl-NL" w:eastAsia="nl-NL" w:bidi="ar-SA"/>
              </w:rPr>
              <w:t>.</w:t>
            </w:r>
          </w:p>
        </w:tc>
        <w:tc>
          <w:tcPr>
            <w:tcW w:w="1420" w:type="dxa"/>
            <w:tcBorders>
              <w:top w:val="nil"/>
              <w:left w:val="nil"/>
              <w:bottom w:val="single" w:sz="4" w:space="0" w:color="auto"/>
              <w:right w:val="single" w:sz="4" w:space="0" w:color="auto"/>
            </w:tcBorders>
            <w:shd w:val="clear" w:color="auto" w:fill="auto"/>
            <w:noWrap/>
            <w:vAlign w:val="bottom"/>
            <w:hideMark/>
          </w:tcPr>
          <w:p w:rsidR="00960852" w:rsidRPr="00DF4343" w:rsidRDefault="00960852" w:rsidP="00960852">
            <w:pPr>
              <w:spacing w:after="0" w:line="240" w:lineRule="auto"/>
              <w:jc w:val="right"/>
              <w:rPr>
                <w:rFonts w:ascii="Arial" w:eastAsia="Times New Roman" w:hAnsi="Arial" w:cs="Arial"/>
                <w:sz w:val="20"/>
                <w:szCs w:val="20"/>
                <w:lang w:val="nl-NL" w:eastAsia="nl-NL" w:bidi="ar-SA"/>
              </w:rPr>
            </w:pPr>
            <w:r w:rsidRPr="00DF4343">
              <w:rPr>
                <w:rFonts w:ascii="Arial" w:eastAsia="Times New Roman" w:hAnsi="Arial" w:cs="Arial"/>
                <w:sz w:val="20"/>
                <w:szCs w:val="20"/>
                <w:lang w:val="nl-NL" w:eastAsia="nl-NL" w:bidi="ar-SA"/>
              </w:rPr>
              <w:t>186,78</w:t>
            </w:r>
          </w:p>
        </w:tc>
        <w:tc>
          <w:tcPr>
            <w:tcW w:w="1308" w:type="dxa"/>
            <w:tcBorders>
              <w:top w:val="nil"/>
              <w:left w:val="nil"/>
              <w:bottom w:val="single" w:sz="4" w:space="0" w:color="auto"/>
              <w:right w:val="single" w:sz="4" w:space="0" w:color="auto"/>
            </w:tcBorders>
            <w:shd w:val="clear" w:color="auto" w:fill="auto"/>
            <w:noWrap/>
            <w:vAlign w:val="bottom"/>
            <w:hideMark/>
          </w:tcPr>
          <w:p w:rsidR="00960852" w:rsidRPr="00DF4343" w:rsidRDefault="00960852" w:rsidP="00960852">
            <w:pPr>
              <w:spacing w:after="0" w:line="240" w:lineRule="auto"/>
              <w:jc w:val="right"/>
              <w:rPr>
                <w:rFonts w:ascii="Arial" w:eastAsia="Times New Roman" w:hAnsi="Arial" w:cs="Arial"/>
                <w:sz w:val="20"/>
                <w:szCs w:val="20"/>
                <w:lang w:val="nl-NL" w:eastAsia="nl-NL" w:bidi="ar-SA"/>
              </w:rPr>
            </w:pPr>
            <w:r w:rsidRPr="00DF4343">
              <w:rPr>
                <w:rFonts w:ascii="Arial" w:eastAsia="Times New Roman" w:hAnsi="Arial" w:cs="Arial"/>
                <w:sz w:val="20"/>
                <w:szCs w:val="20"/>
                <w:lang w:val="nl-NL" w:eastAsia="nl-NL" w:bidi="ar-SA"/>
              </w:rPr>
              <w:t>66,31</w:t>
            </w:r>
          </w:p>
        </w:tc>
      </w:tr>
      <w:tr w:rsidR="00960852" w:rsidRPr="00DF4343" w:rsidTr="00960852">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960852" w:rsidRPr="00DF4343" w:rsidRDefault="00960852" w:rsidP="00960852">
            <w:pPr>
              <w:spacing w:after="0" w:line="240" w:lineRule="auto"/>
              <w:rPr>
                <w:rFonts w:ascii="Arial" w:eastAsia="Times New Roman" w:hAnsi="Arial" w:cs="Arial"/>
                <w:sz w:val="20"/>
                <w:szCs w:val="20"/>
                <w:lang w:val="nl-NL" w:eastAsia="nl-NL" w:bidi="ar-SA"/>
              </w:rPr>
            </w:pPr>
            <w:r w:rsidRPr="00DF4343">
              <w:rPr>
                <w:rFonts w:ascii="Arial" w:eastAsia="Times New Roman" w:hAnsi="Arial" w:cs="Arial"/>
                <w:sz w:val="20"/>
                <w:szCs w:val="20"/>
                <w:lang w:val="nl-NL" w:eastAsia="nl-NL" w:bidi="ar-SA"/>
              </w:rPr>
              <w:t xml:space="preserve"> </w:t>
            </w:r>
            <w:proofErr w:type="spellStart"/>
            <w:r w:rsidRPr="00DF4343">
              <w:rPr>
                <w:rFonts w:ascii="Arial" w:eastAsia="Times New Roman" w:hAnsi="Arial" w:cs="Arial"/>
                <w:sz w:val="20"/>
                <w:szCs w:val="20"/>
                <w:lang w:val="nl-NL" w:eastAsia="nl-NL" w:bidi="ar-SA"/>
              </w:rPr>
              <w:t>Skewness</w:t>
            </w:r>
            <w:proofErr w:type="spellEnd"/>
          </w:p>
        </w:tc>
        <w:tc>
          <w:tcPr>
            <w:tcW w:w="1420" w:type="dxa"/>
            <w:tcBorders>
              <w:top w:val="nil"/>
              <w:left w:val="nil"/>
              <w:bottom w:val="single" w:sz="4" w:space="0" w:color="auto"/>
              <w:right w:val="single" w:sz="4" w:space="0" w:color="auto"/>
            </w:tcBorders>
            <w:shd w:val="clear" w:color="auto" w:fill="auto"/>
            <w:noWrap/>
            <w:vAlign w:val="bottom"/>
            <w:hideMark/>
          </w:tcPr>
          <w:p w:rsidR="00960852" w:rsidRPr="00DF4343" w:rsidRDefault="00960852" w:rsidP="00960852">
            <w:pPr>
              <w:spacing w:after="0" w:line="240" w:lineRule="auto"/>
              <w:jc w:val="right"/>
              <w:rPr>
                <w:rFonts w:ascii="Arial" w:eastAsia="Times New Roman" w:hAnsi="Arial" w:cs="Arial"/>
                <w:sz w:val="20"/>
                <w:szCs w:val="20"/>
                <w:lang w:val="nl-NL" w:eastAsia="nl-NL" w:bidi="ar-SA"/>
              </w:rPr>
            </w:pPr>
            <w:r w:rsidRPr="00DF4343">
              <w:rPr>
                <w:rFonts w:ascii="Arial" w:eastAsia="Times New Roman" w:hAnsi="Arial" w:cs="Arial"/>
                <w:sz w:val="20"/>
                <w:szCs w:val="20"/>
                <w:lang w:val="nl-NL" w:eastAsia="nl-NL" w:bidi="ar-SA"/>
              </w:rPr>
              <w:t>-0,23</w:t>
            </w:r>
          </w:p>
        </w:tc>
        <w:tc>
          <w:tcPr>
            <w:tcW w:w="1308" w:type="dxa"/>
            <w:tcBorders>
              <w:top w:val="nil"/>
              <w:left w:val="nil"/>
              <w:bottom w:val="single" w:sz="4" w:space="0" w:color="auto"/>
              <w:right w:val="single" w:sz="4" w:space="0" w:color="auto"/>
            </w:tcBorders>
            <w:shd w:val="clear" w:color="auto" w:fill="auto"/>
            <w:noWrap/>
            <w:vAlign w:val="bottom"/>
            <w:hideMark/>
          </w:tcPr>
          <w:p w:rsidR="00960852" w:rsidRPr="00DF4343" w:rsidRDefault="00960852" w:rsidP="00960852">
            <w:pPr>
              <w:spacing w:after="0" w:line="240" w:lineRule="auto"/>
              <w:jc w:val="right"/>
              <w:rPr>
                <w:rFonts w:ascii="Arial" w:eastAsia="Times New Roman" w:hAnsi="Arial" w:cs="Arial"/>
                <w:sz w:val="20"/>
                <w:szCs w:val="20"/>
                <w:lang w:val="nl-NL" w:eastAsia="nl-NL" w:bidi="ar-SA"/>
              </w:rPr>
            </w:pPr>
            <w:r w:rsidRPr="00DF4343">
              <w:rPr>
                <w:rFonts w:ascii="Arial" w:eastAsia="Times New Roman" w:hAnsi="Arial" w:cs="Arial"/>
                <w:sz w:val="20"/>
                <w:szCs w:val="20"/>
                <w:lang w:val="nl-NL" w:eastAsia="nl-NL" w:bidi="ar-SA"/>
              </w:rPr>
              <w:t>0,20</w:t>
            </w:r>
          </w:p>
        </w:tc>
      </w:tr>
      <w:tr w:rsidR="00960852" w:rsidRPr="00DF4343" w:rsidTr="00960852">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960852" w:rsidRPr="00DF4343" w:rsidRDefault="00960852" w:rsidP="00960852">
            <w:pPr>
              <w:spacing w:after="0" w:line="240" w:lineRule="auto"/>
              <w:rPr>
                <w:rFonts w:ascii="Arial" w:eastAsia="Times New Roman" w:hAnsi="Arial" w:cs="Arial"/>
                <w:sz w:val="20"/>
                <w:szCs w:val="20"/>
                <w:lang w:val="nl-NL" w:eastAsia="nl-NL" w:bidi="ar-SA"/>
              </w:rPr>
            </w:pPr>
            <w:r w:rsidRPr="00DF4343">
              <w:rPr>
                <w:rFonts w:ascii="Arial" w:eastAsia="Times New Roman" w:hAnsi="Arial" w:cs="Arial"/>
                <w:sz w:val="20"/>
                <w:szCs w:val="20"/>
                <w:lang w:val="nl-NL" w:eastAsia="nl-NL" w:bidi="ar-SA"/>
              </w:rPr>
              <w:t xml:space="preserve"> </w:t>
            </w:r>
            <w:proofErr w:type="spellStart"/>
            <w:r w:rsidRPr="00DF4343">
              <w:rPr>
                <w:rFonts w:ascii="Arial" w:eastAsia="Times New Roman" w:hAnsi="Arial" w:cs="Arial"/>
                <w:sz w:val="20"/>
                <w:szCs w:val="20"/>
                <w:lang w:val="nl-NL" w:eastAsia="nl-NL" w:bidi="ar-SA"/>
              </w:rPr>
              <w:t>Kurtosis</w:t>
            </w:r>
            <w:proofErr w:type="spellEnd"/>
          </w:p>
        </w:tc>
        <w:tc>
          <w:tcPr>
            <w:tcW w:w="1420" w:type="dxa"/>
            <w:tcBorders>
              <w:top w:val="nil"/>
              <w:left w:val="nil"/>
              <w:bottom w:val="single" w:sz="4" w:space="0" w:color="auto"/>
              <w:right w:val="single" w:sz="4" w:space="0" w:color="auto"/>
            </w:tcBorders>
            <w:shd w:val="clear" w:color="auto" w:fill="auto"/>
            <w:noWrap/>
            <w:vAlign w:val="bottom"/>
            <w:hideMark/>
          </w:tcPr>
          <w:p w:rsidR="00960852" w:rsidRPr="00DF4343" w:rsidRDefault="00960852" w:rsidP="00960852">
            <w:pPr>
              <w:spacing w:after="0" w:line="240" w:lineRule="auto"/>
              <w:jc w:val="right"/>
              <w:rPr>
                <w:rFonts w:ascii="Arial" w:eastAsia="Times New Roman" w:hAnsi="Arial" w:cs="Arial"/>
                <w:sz w:val="20"/>
                <w:szCs w:val="20"/>
                <w:lang w:val="nl-NL" w:eastAsia="nl-NL" w:bidi="ar-SA"/>
              </w:rPr>
            </w:pPr>
            <w:r w:rsidRPr="00DF4343">
              <w:rPr>
                <w:rFonts w:ascii="Arial" w:eastAsia="Times New Roman" w:hAnsi="Arial" w:cs="Arial"/>
                <w:sz w:val="20"/>
                <w:szCs w:val="20"/>
                <w:lang w:val="nl-NL" w:eastAsia="nl-NL" w:bidi="ar-SA"/>
              </w:rPr>
              <w:t>2,35</w:t>
            </w:r>
          </w:p>
        </w:tc>
        <w:tc>
          <w:tcPr>
            <w:tcW w:w="1308" w:type="dxa"/>
            <w:tcBorders>
              <w:top w:val="nil"/>
              <w:left w:val="nil"/>
              <w:bottom w:val="single" w:sz="4" w:space="0" w:color="auto"/>
              <w:right w:val="single" w:sz="4" w:space="0" w:color="auto"/>
            </w:tcBorders>
            <w:shd w:val="clear" w:color="auto" w:fill="auto"/>
            <w:noWrap/>
            <w:vAlign w:val="bottom"/>
            <w:hideMark/>
          </w:tcPr>
          <w:p w:rsidR="00960852" w:rsidRPr="00DF4343" w:rsidRDefault="00960852" w:rsidP="00960852">
            <w:pPr>
              <w:spacing w:after="0" w:line="240" w:lineRule="auto"/>
              <w:jc w:val="right"/>
              <w:rPr>
                <w:rFonts w:ascii="Arial" w:eastAsia="Times New Roman" w:hAnsi="Arial" w:cs="Arial"/>
                <w:sz w:val="20"/>
                <w:szCs w:val="20"/>
                <w:lang w:val="nl-NL" w:eastAsia="nl-NL" w:bidi="ar-SA"/>
              </w:rPr>
            </w:pPr>
            <w:r w:rsidRPr="00DF4343">
              <w:rPr>
                <w:rFonts w:ascii="Arial" w:eastAsia="Times New Roman" w:hAnsi="Arial" w:cs="Arial"/>
                <w:sz w:val="20"/>
                <w:szCs w:val="20"/>
                <w:lang w:val="nl-NL" w:eastAsia="nl-NL" w:bidi="ar-SA"/>
              </w:rPr>
              <w:t>2,10</w:t>
            </w:r>
          </w:p>
        </w:tc>
      </w:tr>
      <w:tr w:rsidR="00960852" w:rsidRPr="00DF4343" w:rsidTr="00960852">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960852" w:rsidRPr="00DF4343" w:rsidRDefault="00960852" w:rsidP="00960852">
            <w:pPr>
              <w:spacing w:after="0" w:line="240" w:lineRule="auto"/>
              <w:rPr>
                <w:rFonts w:ascii="Arial" w:eastAsia="Times New Roman" w:hAnsi="Arial" w:cs="Arial"/>
                <w:sz w:val="20"/>
                <w:szCs w:val="20"/>
                <w:lang w:val="nl-NL" w:eastAsia="nl-NL" w:bidi="ar-SA"/>
              </w:rPr>
            </w:pPr>
            <w:r w:rsidRPr="00DF4343">
              <w:rPr>
                <w:rFonts w:ascii="Arial" w:eastAsia="Times New Roman" w:hAnsi="Arial" w:cs="Arial"/>
                <w:sz w:val="20"/>
                <w:szCs w:val="20"/>
                <w:lang w:val="nl-NL" w:eastAsia="nl-NL" w:bidi="ar-SA"/>
              </w:rPr>
              <w:t> </w:t>
            </w:r>
          </w:p>
        </w:tc>
        <w:tc>
          <w:tcPr>
            <w:tcW w:w="1420" w:type="dxa"/>
            <w:tcBorders>
              <w:top w:val="nil"/>
              <w:left w:val="nil"/>
              <w:bottom w:val="single" w:sz="4" w:space="0" w:color="auto"/>
              <w:right w:val="single" w:sz="4" w:space="0" w:color="auto"/>
            </w:tcBorders>
            <w:shd w:val="clear" w:color="auto" w:fill="auto"/>
            <w:noWrap/>
            <w:vAlign w:val="bottom"/>
            <w:hideMark/>
          </w:tcPr>
          <w:p w:rsidR="00960852" w:rsidRPr="00DF4343" w:rsidRDefault="00960852" w:rsidP="00960852">
            <w:pPr>
              <w:spacing w:after="0" w:line="240" w:lineRule="auto"/>
              <w:rPr>
                <w:rFonts w:ascii="Arial" w:eastAsia="Times New Roman" w:hAnsi="Arial" w:cs="Arial"/>
                <w:sz w:val="20"/>
                <w:szCs w:val="20"/>
                <w:lang w:val="nl-NL" w:eastAsia="nl-NL" w:bidi="ar-SA"/>
              </w:rPr>
            </w:pPr>
            <w:r w:rsidRPr="00DF4343">
              <w:rPr>
                <w:rFonts w:ascii="Arial" w:eastAsia="Times New Roman" w:hAnsi="Arial" w:cs="Arial"/>
                <w:sz w:val="20"/>
                <w:szCs w:val="20"/>
                <w:lang w:val="nl-NL" w:eastAsia="nl-NL" w:bidi="ar-SA"/>
              </w:rPr>
              <w:t> </w:t>
            </w:r>
          </w:p>
        </w:tc>
        <w:tc>
          <w:tcPr>
            <w:tcW w:w="1308" w:type="dxa"/>
            <w:tcBorders>
              <w:top w:val="nil"/>
              <w:left w:val="nil"/>
              <w:bottom w:val="single" w:sz="4" w:space="0" w:color="auto"/>
              <w:right w:val="single" w:sz="4" w:space="0" w:color="auto"/>
            </w:tcBorders>
            <w:shd w:val="clear" w:color="auto" w:fill="auto"/>
            <w:noWrap/>
            <w:vAlign w:val="bottom"/>
            <w:hideMark/>
          </w:tcPr>
          <w:p w:rsidR="00960852" w:rsidRPr="00DF4343" w:rsidRDefault="00960852" w:rsidP="00960852">
            <w:pPr>
              <w:spacing w:after="0" w:line="240" w:lineRule="auto"/>
              <w:rPr>
                <w:rFonts w:ascii="Arial" w:eastAsia="Times New Roman" w:hAnsi="Arial" w:cs="Arial"/>
                <w:sz w:val="20"/>
                <w:szCs w:val="20"/>
                <w:lang w:val="nl-NL" w:eastAsia="nl-NL" w:bidi="ar-SA"/>
              </w:rPr>
            </w:pPr>
            <w:r w:rsidRPr="00DF4343">
              <w:rPr>
                <w:rFonts w:ascii="Arial" w:eastAsia="Times New Roman" w:hAnsi="Arial" w:cs="Arial"/>
                <w:sz w:val="20"/>
                <w:szCs w:val="20"/>
                <w:lang w:val="nl-NL" w:eastAsia="nl-NL" w:bidi="ar-SA"/>
              </w:rPr>
              <w:t> </w:t>
            </w:r>
          </w:p>
        </w:tc>
      </w:tr>
      <w:tr w:rsidR="00960852" w:rsidRPr="00DF4343" w:rsidTr="00960852">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960852" w:rsidRPr="00DF4343" w:rsidRDefault="00960852" w:rsidP="00960852">
            <w:pPr>
              <w:spacing w:after="0" w:line="240" w:lineRule="auto"/>
              <w:rPr>
                <w:rFonts w:ascii="Arial" w:eastAsia="Times New Roman" w:hAnsi="Arial" w:cs="Arial"/>
                <w:sz w:val="20"/>
                <w:szCs w:val="20"/>
                <w:lang w:val="nl-NL" w:eastAsia="nl-NL" w:bidi="ar-SA"/>
              </w:rPr>
            </w:pPr>
            <w:r w:rsidRPr="00DF4343">
              <w:rPr>
                <w:rFonts w:ascii="Arial" w:eastAsia="Times New Roman" w:hAnsi="Arial" w:cs="Arial"/>
                <w:sz w:val="20"/>
                <w:szCs w:val="20"/>
                <w:lang w:val="nl-NL" w:eastAsia="nl-NL" w:bidi="ar-SA"/>
              </w:rPr>
              <w:t xml:space="preserve"> </w:t>
            </w:r>
            <w:proofErr w:type="spellStart"/>
            <w:r w:rsidRPr="00DF4343">
              <w:rPr>
                <w:rFonts w:ascii="Arial" w:eastAsia="Times New Roman" w:hAnsi="Arial" w:cs="Arial"/>
                <w:sz w:val="20"/>
                <w:szCs w:val="20"/>
                <w:lang w:val="nl-NL" w:eastAsia="nl-NL" w:bidi="ar-SA"/>
              </w:rPr>
              <w:t>Jarque-Bera</w:t>
            </w:r>
            <w:proofErr w:type="spellEnd"/>
          </w:p>
        </w:tc>
        <w:tc>
          <w:tcPr>
            <w:tcW w:w="1420" w:type="dxa"/>
            <w:tcBorders>
              <w:top w:val="nil"/>
              <w:left w:val="nil"/>
              <w:bottom w:val="single" w:sz="4" w:space="0" w:color="auto"/>
              <w:right w:val="single" w:sz="4" w:space="0" w:color="auto"/>
            </w:tcBorders>
            <w:shd w:val="clear" w:color="auto" w:fill="auto"/>
            <w:noWrap/>
            <w:vAlign w:val="bottom"/>
            <w:hideMark/>
          </w:tcPr>
          <w:p w:rsidR="00960852" w:rsidRPr="00DF4343" w:rsidRDefault="00960852" w:rsidP="00960852">
            <w:pPr>
              <w:spacing w:after="0" w:line="240" w:lineRule="auto"/>
              <w:jc w:val="right"/>
              <w:rPr>
                <w:rFonts w:ascii="Arial" w:eastAsia="Times New Roman" w:hAnsi="Arial" w:cs="Arial"/>
                <w:sz w:val="20"/>
                <w:szCs w:val="20"/>
                <w:lang w:val="nl-NL" w:eastAsia="nl-NL" w:bidi="ar-SA"/>
              </w:rPr>
            </w:pPr>
            <w:r w:rsidRPr="00DF4343">
              <w:rPr>
                <w:rFonts w:ascii="Arial" w:eastAsia="Times New Roman" w:hAnsi="Arial" w:cs="Arial"/>
                <w:sz w:val="20"/>
                <w:szCs w:val="20"/>
                <w:lang w:val="nl-NL" w:eastAsia="nl-NL" w:bidi="ar-SA"/>
              </w:rPr>
              <w:t>82,24</w:t>
            </w:r>
          </w:p>
        </w:tc>
        <w:tc>
          <w:tcPr>
            <w:tcW w:w="1308" w:type="dxa"/>
            <w:tcBorders>
              <w:top w:val="nil"/>
              <w:left w:val="nil"/>
              <w:bottom w:val="single" w:sz="4" w:space="0" w:color="auto"/>
              <w:right w:val="single" w:sz="4" w:space="0" w:color="auto"/>
            </w:tcBorders>
            <w:shd w:val="clear" w:color="auto" w:fill="auto"/>
            <w:noWrap/>
            <w:vAlign w:val="bottom"/>
            <w:hideMark/>
          </w:tcPr>
          <w:p w:rsidR="00960852" w:rsidRPr="00DF4343" w:rsidRDefault="00960852" w:rsidP="00960852">
            <w:pPr>
              <w:spacing w:after="0" w:line="240" w:lineRule="auto"/>
              <w:jc w:val="right"/>
              <w:rPr>
                <w:rFonts w:ascii="Arial" w:eastAsia="Times New Roman" w:hAnsi="Arial" w:cs="Arial"/>
                <w:sz w:val="20"/>
                <w:szCs w:val="20"/>
                <w:lang w:val="nl-NL" w:eastAsia="nl-NL" w:bidi="ar-SA"/>
              </w:rPr>
            </w:pPr>
            <w:r w:rsidRPr="00DF4343">
              <w:rPr>
                <w:rFonts w:ascii="Arial" w:eastAsia="Times New Roman" w:hAnsi="Arial" w:cs="Arial"/>
                <w:sz w:val="20"/>
                <w:szCs w:val="20"/>
                <w:lang w:val="nl-NL" w:eastAsia="nl-NL" w:bidi="ar-SA"/>
              </w:rPr>
              <w:t>125,44</w:t>
            </w:r>
          </w:p>
        </w:tc>
      </w:tr>
      <w:tr w:rsidR="00960852" w:rsidRPr="00DF4343" w:rsidTr="00960852">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960852" w:rsidRPr="00DF4343" w:rsidRDefault="00960852" w:rsidP="00960852">
            <w:pPr>
              <w:spacing w:after="0" w:line="240" w:lineRule="auto"/>
              <w:rPr>
                <w:rFonts w:ascii="Arial" w:eastAsia="Times New Roman" w:hAnsi="Arial" w:cs="Arial"/>
                <w:sz w:val="20"/>
                <w:szCs w:val="20"/>
                <w:lang w:val="nl-NL" w:eastAsia="nl-NL" w:bidi="ar-SA"/>
              </w:rPr>
            </w:pPr>
            <w:r w:rsidRPr="00DF4343">
              <w:rPr>
                <w:rFonts w:ascii="Arial" w:eastAsia="Times New Roman" w:hAnsi="Arial" w:cs="Arial"/>
                <w:sz w:val="20"/>
                <w:szCs w:val="20"/>
                <w:lang w:val="nl-NL" w:eastAsia="nl-NL" w:bidi="ar-SA"/>
              </w:rPr>
              <w:t xml:space="preserve"> </w:t>
            </w:r>
            <w:proofErr w:type="spellStart"/>
            <w:r w:rsidRPr="00DF4343">
              <w:rPr>
                <w:rFonts w:ascii="Arial" w:eastAsia="Times New Roman" w:hAnsi="Arial" w:cs="Arial"/>
                <w:sz w:val="20"/>
                <w:szCs w:val="20"/>
                <w:lang w:val="nl-NL" w:eastAsia="nl-NL" w:bidi="ar-SA"/>
              </w:rPr>
              <w:t>Probability</w:t>
            </w:r>
            <w:proofErr w:type="spellEnd"/>
          </w:p>
        </w:tc>
        <w:tc>
          <w:tcPr>
            <w:tcW w:w="1420" w:type="dxa"/>
            <w:tcBorders>
              <w:top w:val="nil"/>
              <w:left w:val="nil"/>
              <w:bottom w:val="single" w:sz="4" w:space="0" w:color="auto"/>
              <w:right w:val="single" w:sz="4" w:space="0" w:color="auto"/>
            </w:tcBorders>
            <w:shd w:val="clear" w:color="auto" w:fill="auto"/>
            <w:noWrap/>
            <w:vAlign w:val="bottom"/>
            <w:hideMark/>
          </w:tcPr>
          <w:p w:rsidR="00960852" w:rsidRPr="00DF4343" w:rsidRDefault="00960852" w:rsidP="00960852">
            <w:pPr>
              <w:spacing w:after="0" w:line="240" w:lineRule="auto"/>
              <w:jc w:val="right"/>
              <w:rPr>
                <w:rFonts w:ascii="Arial" w:eastAsia="Times New Roman" w:hAnsi="Arial" w:cs="Arial"/>
                <w:sz w:val="20"/>
                <w:szCs w:val="20"/>
                <w:lang w:val="nl-NL" w:eastAsia="nl-NL" w:bidi="ar-SA"/>
              </w:rPr>
            </w:pPr>
            <w:r w:rsidRPr="00DF4343">
              <w:rPr>
                <w:rFonts w:ascii="Arial" w:eastAsia="Times New Roman" w:hAnsi="Arial" w:cs="Arial"/>
                <w:sz w:val="20"/>
                <w:szCs w:val="20"/>
                <w:lang w:val="nl-NL" w:eastAsia="nl-NL" w:bidi="ar-SA"/>
              </w:rPr>
              <w:t>0,00</w:t>
            </w:r>
          </w:p>
        </w:tc>
        <w:tc>
          <w:tcPr>
            <w:tcW w:w="1308" w:type="dxa"/>
            <w:tcBorders>
              <w:top w:val="nil"/>
              <w:left w:val="nil"/>
              <w:bottom w:val="single" w:sz="4" w:space="0" w:color="auto"/>
              <w:right w:val="single" w:sz="4" w:space="0" w:color="auto"/>
            </w:tcBorders>
            <w:shd w:val="clear" w:color="auto" w:fill="auto"/>
            <w:noWrap/>
            <w:vAlign w:val="bottom"/>
            <w:hideMark/>
          </w:tcPr>
          <w:p w:rsidR="00960852" w:rsidRPr="00DF4343" w:rsidRDefault="00960852" w:rsidP="00960852">
            <w:pPr>
              <w:spacing w:after="0" w:line="240" w:lineRule="auto"/>
              <w:jc w:val="right"/>
              <w:rPr>
                <w:rFonts w:ascii="Arial" w:eastAsia="Times New Roman" w:hAnsi="Arial" w:cs="Arial"/>
                <w:sz w:val="20"/>
                <w:szCs w:val="20"/>
                <w:lang w:val="nl-NL" w:eastAsia="nl-NL" w:bidi="ar-SA"/>
              </w:rPr>
            </w:pPr>
            <w:r w:rsidRPr="00DF4343">
              <w:rPr>
                <w:rFonts w:ascii="Arial" w:eastAsia="Times New Roman" w:hAnsi="Arial" w:cs="Arial"/>
                <w:sz w:val="20"/>
                <w:szCs w:val="20"/>
                <w:lang w:val="nl-NL" w:eastAsia="nl-NL" w:bidi="ar-SA"/>
              </w:rPr>
              <w:t>0,00</w:t>
            </w:r>
          </w:p>
        </w:tc>
      </w:tr>
      <w:tr w:rsidR="00960852" w:rsidRPr="00DF4343" w:rsidTr="00960852">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960852" w:rsidRPr="00DF4343" w:rsidRDefault="00960852" w:rsidP="00960852">
            <w:pPr>
              <w:spacing w:after="0" w:line="240" w:lineRule="auto"/>
              <w:rPr>
                <w:rFonts w:ascii="Arial" w:eastAsia="Times New Roman" w:hAnsi="Arial" w:cs="Arial"/>
                <w:sz w:val="20"/>
                <w:szCs w:val="20"/>
                <w:lang w:val="nl-NL" w:eastAsia="nl-NL" w:bidi="ar-SA"/>
              </w:rPr>
            </w:pPr>
            <w:r w:rsidRPr="00DF4343">
              <w:rPr>
                <w:rFonts w:ascii="Arial" w:eastAsia="Times New Roman" w:hAnsi="Arial" w:cs="Arial"/>
                <w:sz w:val="20"/>
                <w:szCs w:val="20"/>
                <w:lang w:val="nl-NL" w:eastAsia="nl-NL" w:bidi="ar-SA"/>
              </w:rPr>
              <w:t> </w:t>
            </w:r>
          </w:p>
        </w:tc>
        <w:tc>
          <w:tcPr>
            <w:tcW w:w="1420" w:type="dxa"/>
            <w:tcBorders>
              <w:top w:val="nil"/>
              <w:left w:val="nil"/>
              <w:bottom w:val="single" w:sz="4" w:space="0" w:color="auto"/>
              <w:right w:val="single" w:sz="4" w:space="0" w:color="auto"/>
            </w:tcBorders>
            <w:shd w:val="clear" w:color="auto" w:fill="auto"/>
            <w:noWrap/>
            <w:vAlign w:val="bottom"/>
            <w:hideMark/>
          </w:tcPr>
          <w:p w:rsidR="00960852" w:rsidRPr="00DF4343" w:rsidRDefault="00960852" w:rsidP="00960852">
            <w:pPr>
              <w:spacing w:after="0" w:line="240" w:lineRule="auto"/>
              <w:rPr>
                <w:rFonts w:ascii="Arial" w:eastAsia="Times New Roman" w:hAnsi="Arial" w:cs="Arial"/>
                <w:sz w:val="20"/>
                <w:szCs w:val="20"/>
                <w:lang w:val="nl-NL" w:eastAsia="nl-NL" w:bidi="ar-SA"/>
              </w:rPr>
            </w:pPr>
            <w:r w:rsidRPr="00DF4343">
              <w:rPr>
                <w:rFonts w:ascii="Arial" w:eastAsia="Times New Roman" w:hAnsi="Arial" w:cs="Arial"/>
                <w:sz w:val="20"/>
                <w:szCs w:val="20"/>
                <w:lang w:val="nl-NL" w:eastAsia="nl-NL" w:bidi="ar-SA"/>
              </w:rPr>
              <w:t> </w:t>
            </w:r>
          </w:p>
        </w:tc>
        <w:tc>
          <w:tcPr>
            <w:tcW w:w="1308" w:type="dxa"/>
            <w:tcBorders>
              <w:top w:val="nil"/>
              <w:left w:val="nil"/>
              <w:bottom w:val="single" w:sz="4" w:space="0" w:color="auto"/>
              <w:right w:val="single" w:sz="4" w:space="0" w:color="auto"/>
            </w:tcBorders>
            <w:shd w:val="clear" w:color="auto" w:fill="auto"/>
            <w:noWrap/>
            <w:vAlign w:val="bottom"/>
            <w:hideMark/>
          </w:tcPr>
          <w:p w:rsidR="00960852" w:rsidRPr="00DF4343" w:rsidRDefault="00960852" w:rsidP="00960852">
            <w:pPr>
              <w:spacing w:after="0" w:line="240" w:lineRule="auto"/>
              <w:rPr>
                <w:rFonts w:ascii="Arial" w:eastAsia="Times New Roman" w:hAnsi="Arial" w:cs="Arial"/>
                <w:sz w:val="20"/>
                <w:szCs w:val="20"/>
                <w:lang w:val="nl-NL" w:eastAsia="nl-NL" w:bidi="ar-SA"/>
              </w:rPr>
            </w:pPr>
            <w:r w:rsidRPr="00DF4343">
              <w:rPr>
                <w:rFonts w:ascii="Arial" w:eastAsia="Times New Roman" w:hAnsi="Arial" w:cs="Arial"/>
                <w:sz w:val="20"/>
                <w:szCs w:val="20"/>
                <w:lang w:val="nl-NL" w:eastAsia="nl-NL" w:bidi="ar-SA"/>
              </w:rPr>
              <w:t> </w:t>
            </w:r>
          </w:p>
        </w:tc>
      </w:tr>
      <w:tr w:rsidR="00960852" w:rsidRPr="00DF4343" w:rsidTr="00960852">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960852" w:rsidRPr="00DF4343" w:rsidRDefault="00960852" w:rsidP="00960852">
            <w:pPr>
              <w:spacing w:after="0" w:line="240" w:lineRule="auto"/>
              <w:rPr>
                <w:rFonts w:ascii="Arial" w:eastAsia="Times New Roman" w:hAnsi="Arial" w:cs="Arial"/>
                <w:sz w:val="20"/>
                <w:szCs w:val="20"/>
                <w:lang w:val="nl-NL" w:eastAsia="nl-NL" w:bidi="ar-SA"/>
              </w:rPr>
            </w:pPr>
            <w:r w:rsidRPr="00DF4343">
              <w:rPr>
                <w:rFonts w:ascii="Arial" w:eastAsia="Times New Roman" w:hAnsi="Arial" w:cs="Arial"/>
                <w:sz w:val="20"/>
                <w:szCs w:val="20"/>
                <w:lang w:val="nl-NL" w:eastAsia="nl-NL" w:bidi="ar-SA"/>
              </w:rPr>
              <w:t xml:space="preserve"> </w:t>
            </w:r>
            <w:proofErr w:type="spellStart"/>
            <w:r w:rsidRPr="00DF4343">
              <w:rPr>
                <w:rFonts w:ascii="Arial" w:eastAsia="Times New Roman" w:hAnsi="Arial" w:cs="Arial"/>
                <w:sz w:val="20"/>
                <w:szCs w:val="20"/>
                <w:lang w:val="nl-NL" w:eastAsia="nl-NL" w:bidi="ar-SA"/>
              </w:rPr>
              <w:t>Sum</w:t>
            </w:r>
            <w:proofErr w:type="spellEnd"/>
          </w:p>
        </w:tc>
        <w:tc>
          <w:tcPr>
            <w:tcW w:w="1420" w:type="dxa"/>
            <w:tcBorders>
              <w:top w:val="nil"/>
              <w:left w:val="nil"/>
              <w:bottom w:val="single" w:sz="4" w:space="0" w:color="auto"/>
              <w:right w:val="single" w:sz="4" w:space="0" w:color="auto"/>
            </w:tcBorders>
            <w:shd w:val="clear" w:color="auto" w:fill="auto"/>
            <w:noWrap/>
            <w:vAlign w:val="bottom"/>
            <w:hideMark/>
          </w:tcPr>
          <w:p w:rsidR="00960852" w:rsidRPr="00DF4343" w:rsidRDefault="00960852" w:rsidP="00960852">
            <w:pPr>
              <w:spacing w:after="0" w:line="240" w:lineRule="auto"/>
              <w:jc w:val="right"/>
              <w:rPr>
                <w:rFonts w:ascii="Arial" w:eastAsia="Times New Roman" w:hAnsi="Arial" w:cs="Arial"/>
                <w:sz w:val="20"/>
                <w:szCs w:val="20"/>
                <w:lang w:val="nl-NL" w:eastAsia="nl-NL" w:bidi="ar-SA"/>
              </w:rPr>
            </w:pPr>
            <w:r w:rsidRPr="00DF4343">
              <w:rPr>
                <w:rFonts w:ascii="Arial" w:eastAsia="Times New Roman" w:hAnsi="Arial" w:cs="Arial"/>
                <w:sz w:val="20"/>
                <w:szCs w:val="20"/>
                <w:lang w:val="nl-NL" w:eastAsia="nl-NL" w:bidi="ar-SA"/>
              </w:rPr>
              <w:t>3740289</w:t>
            </w:r>
          </w:p>
        </w:tc>
        <w:tc>
          <w:tcPr>
            <w:tcW w:w="1308" w:type="dxa"/>
            <w:tcBorders>
              <w:top w:val="nil"/>
              <w:left w:val="nil"/>
              <w:bottom w:val="single" w:sz="4" w:space="0" w:color="auto"/>
              <w:right w:val="single" w:sz="4" w:space="0" w:color="auto"/>
            </w:tcBorders>
            <w:shd w:val="clear" w:color="auto" w:fill="auto"/>
            <w:noWrap/>
            <w:vAlign w:val="bottom"/>
            <w:hideMark/>
          </w:tcPr>
          <w:p w:rsidR="00960852" w:rsidRPr="00DF4343" w:rsidRDefault="00960852" w:rsidP="00960852">
            <w:pPr>
              <w:spacing w:after="0" w:line="240" w:lineRule="auto"/>
              <w:jc w:val="right"/>
              <w:rPr>
                <w:rFonts w:ascii="Arial" w:eastAsia="Times New Roman" w:hAnsi="Arial" w:cs="Arial"/>
                <w:sz w:val="20"/>
                <w:szCs w:val="20"/>
                <w:lang w:val="nl-NL" w:eastAsia="nl-NL" w:bidi="ar-SA"/>
              </w:rPr>
            </w:pPr>
            <w:r w:rsidRPr="00DF4343">
              <w:rPr>
                <w:rFonts w:ascii="Arial" w:eastAsia="Times New Roman" w:hAnsi="Arial" w:cs="Arial"/>
                <w:sz w:val="20"/>
                <w:szCs w:val="20"/>
                <w:lang w:val="nl-NL" w:eastAsia="nl-NL" w:bidi="ar-SA"/>
              </w:rPr>
              <w:t>949209</w:t>
            </w:r>
          </w:p>
        </w:tc>
      </w:tr>
      <w:tr w:rsidR="00960852" w:rsidRPr="00DF4343" w:rsidTr="00960852">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960852" w:rsidRPr="00DF4343" w:rsidRDefault="00960852" w:rsidP="00960852">
            <w:pPr>
              <w:spacing w:after="0" w:line="240" w:lineRule="auto"/>
              <w:rPr>
                <w:rFonts w:ascii="Arial" w:eastAsia="Times New Roman" w:hAnsi="Arial" w:cs="Arial"/>
                <w:sz w:val="20"/>
                <w:szCs w:val="20"/>
                <w:lang w:val="nl-NL" w:eastAsia="nl-NL" w:bidi="ar-SA"/>
              </w:rPr>
            </w:pPr>
            <w:r w:rsidRPr="00DF4343">
              <w:rPr>
                <w:rFonts w:ascii="Arial" w:eastAsia="Times New Roman" w:hAnsi="Arial" w:cs="Arial"/>
                <w:sz w:val="20"/>
                <w:szCs w:val="20"/>
                <w:lang w:val="nl-NL" w:eastAsia="nl-NL" w:bidi="ar-SA"/>
              </w:rPr>
              <w:t xml:space="preserve"> </w:t>
            </w:r>
            <w:proofErr w:type="spellStart"/>
            <w:r w:rsidRPr="00DF4343">
              <w:rPr>
                <w:rFonts w:ascii="Arial" w:eastAsia="Times New Roman" w:hAnsi="Arial" w:cs="Arial"/>
                <w:sz w:val="20"/>
                <w:szCs w:val="20"/>
                <w:lang w:val="nl-NL" w:eastAsia="nl-NL" w:bidi="ar-SA"/>
              </w:rPr>
              <w:t>Sum</w:t>
            </w:r>
            <w:proofErr w:type="spellEnd"/>
            <w:r w:rsidRPr="00DF4343">
              <w:rPr>
                <w:rFonts w:ascii="Arial" w:eastAsia="Times New Roman" w:hAnsi="Arial" w:cs="Arial"/>
                <w:sz w:val="20"/>
                <w:szCs w:val="20"/>
                <w:lang w:val="nl-NL" w:eastAsia="nl-NL" w:bidi="ar-SA"/>
              </w:rPr>
              <w:t xml:space="preserve"> </w:t>
            </w:r>
            <w:proofErr w:type="spellStart"/>
            <w:r w:rsidRPr="00DF4343">
              <w:rPr>
                <w:rFonts w:ascii="Arial" w:eastAsia="Times New Roman" w:hAnsi="Arial" w:cs="Arial"/>
                <w:sz w:val="20"/>
                <w:szCs w:val="20"/>
                <w:lang w:val="nl-NL" w:eastAsia="nl-NL" w:bidi="ar-SA"/>
              </w:rPr>
              <w:t>Sq</w:t>
            </w:r>
            <w:proofErr w:type="spellEnd"/>
            <w:r w:rsidRPr="00DF4343">
              <w:rPr>
                <w:rFonts w:ascii="Arial" w:eastAsia="Times New Roman" w:hAnsi="Arial" w:cs="Arial"/>
                <w:sz w:val="20"/>
                <w:szCs w:val="20"/>
                <w:lang w:val="nl-NL" w:eastAsia="nl-NL" w:bidi="ar-SA"/>
              </w:rPr>
              <w:t xml:space="preserve">. </w:t>
            </w:r>
            <w:proofErr w:type="spellStart"/>
            <w:r w:rsidRPr="00DF4343">
              <w:rPr>
                <w:rFonts w:ascii="Arial" w:eastAsia="Times New Roman" w:hAnsi="Arial" w:cs="Arial"/>
                <w:sz w:val="20"/>
                <w:szCs w:val="20"/>
                <w:lang w:val="nl-NL" w:eastAsia="nl-NL" w:bidi="ar-SA"/>
              </w:rPr>
              <w:t>Dev</w:t>
            </w:r>
            <w:proofErr w:type="spellEnd"/>
            <w:r w:rsidRPr="00DF4343">
              <w:rPr>
                <w:rFonts w:ascii="Arial" w:eastAsia="Times New Roman" w:hAnsi="Arial" w:cs="Arial"/>
                <w:sz w:val="20"/>
                <w:szCs w:val="20"/>
                <w:lang w:val="nl-NL" w:eastAsia="nl-NL" w:bidi="ar-SA"/>
              </w:rPr>
              <w:t>.</w:t>
            </w:r>
          </w:p>
        </w:tc>
        <w:tc>
          <w:tcPr>
            <w:tcW w:w="1420" w:type="dxa"/>
            <w:tcBorders>
              <w:top w:val="nil"/>
              <w:left w:val="nil"/>
              <w:bottom w:val="single" w:sz="4" w:space="0" w:color="auto"/>
              <w:right w:val="single" w:sz="4" w:space="0" w:color="auto"/>
            </w:tcBorders>
            <w:shd w:val="clear" w:color="auto" w:fill="auto"/>
            <w:noWrap/>
            <w:vAlign w:val="bottom"/>
            <w:hideMark/>
          </w:tcPr>
          <w:p w:rsidR="00960852" w:rsidRPr="00DF4343" w:rsidRDefault="00960852" w:rsidP="00960852">
            <w:pPr>
              <w:spacing w:after="0" w:line="240" w:lineRule="auto"/>
              <w:jc w:val="right"/>
              <w:rPr>
                <w:rFonts w:ascii="Arial" w:eastAsia="Times New Roman" w:hAnsi="Arial" w:cs="Arial"/>
                <w:sz w:val="20"/>
                <w:szCs w:val="20"/>
                <w:lang w:val="nl-NL" w:eastAsia="nl-NL" w:bidi="ar-SA"/>
              </w:rPr>
            </w:pPr>
            <w:r w:rsidRPr="00DF4343">
              <w:rPr>
                <w:rFonts w:ascii="Arial" w:eastAsia="Times New Roman" w:hAnsi="Arial" w:cs="Arial"/>
                <w:sz w:val="20"/>
                <w:szCs w:val="20"/>
                <w:lang w:val="nl-NL" w:eastAsia="nl-NL" w:bidi="ar-SA"/>
              </w:rPr>
              <w:t>109000000</w:t>
            </w:r>
          </w:p>
        </w:tc>
        <w:tc>
          <w:tcPr>
            <w:tcW w:w="1308" w:type="dxa"/>
            <w:tcBorders>
              <w:top w:val="nil"/>
              <w:left w:val="nil"/>
              <w:bottom w:val="single" w:sz="4" w:space="0" w:color="auto"/>
              <w:right w:val="single" w:sz="4" w:space="0" w:color="auto"/>
            </w:tcBorders>
            <w:shd w:val="clear" w:color="auto" w:fill="auto"/>
            <w:noWrap/>
            <w:vAlign w:val="bottom"/>
            <w:hideMark/>
          </w:tcPr>
          <w:p w:rsidR="00960852" w:rsidRPr="00DF4343" w:rsidRDefault="00960852" w:rsidP="00960852">
            <w:pPr>
              <w:spacing w:after="0" w:line="240" w:lineRule="auto"/>
              <w:jc w:val="right"/>
              <w:rPr>
                <w:rFonts w:ascii="Arial" w:eastAsia="Times New Roman" w:hAnsi="Arial" w:cs="Arial"/>
                <w:sz w:val="20"/>
                <w:szCs w:val="20"/>
                <w:lang w:val="nl-NL" w:eastAsia="nl-NL" w:bidi="ar-SA"/>
              </w:rPr>
            </w:pPr>
            <w:r w:rsidRPr="00DF4343">
              <w:rPr>
                <w:rFonts w:ascii="Arial" w:eastAsia="Times New Roman" w:hAnsi="Arial" w:cs="Arial"/>
                <w:sz w:val="20"/>
                <w:szCs w:val="20"/>
                <w:lang w:val="nl-NL" w:eastAsia="nl-NL" w:bidi="ar-SA"/>
              </w:rPr>
              <w:t>13758030</w:t>
            </w:r>
          </w:p>
        </w:tc>
      </w:tr>
      <w:tr w:rsidR="00960852" w:rsidRPr="00DF4343" w:rsidTr="00960852">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960852" w:rsidRPr="00DF4343" w:rsidRDefault="00960852" w:rsidP="00960852">
            <w:pPr>
              <w:spacing w:after="0" w:line="240" w:lineRule="auto"/>
              <w:rPr>
                <w:rFonts w:ascii="Arial" w:eastAsia="Times New Roman" w:hAnsi="Arial" w:cs="Arial"/>
                <w:sz w:val="20"/>
                <w:szCs w:val="20"/>
                <w:lang w:val="nl-NL" w:eastAsia="nl-NL" w:bidi="ar-SA"/>
              </w:rPr>
            </w:pPr>
            <w:r w:rsidRPr="00DF4343">
              <w:rPr>
                <w:rFonts w:ascii="Arial" w:eastAsia="Times New Roman" w:hAnsi="Arial" w:cs="Arial"/>
                <w:sz w:val="20"/>
                <w:szCs w:val="20"/>
                <w:lang w:val="nl-NL" w:eastAsia="nl-NL" w:bidi="ar-SA"/>
              </w:rPr>
              <w:t> </w:t>
            </w:r>
          </w:p>
        </w:tc>
        <w:tc>
          <w:tcPr>
            <w:tcW w:w="1420" w:type="dxa"/>
            <w:tcBorders>
              <w:top w:val="nil"/>
              <w:left w:val="nil"/>
              <w:bottom w:val="single" w:sz="4" w:space="0" w:color="auto"/>
              <w:right w:val="single" w:sz="4" w:space="0" w:color="auto"/>
            </w:tcBorders>
            <w:shd w:val="clear" w:color="auto" w:fill="auto"/>
            <w:noWrap/>
            <w:vAlign w:val="bottom"/>
            <w:hideMark/>
          </w:tcPr>
          <w:p w:rsidR="00960852" w:rsidRPr="00DF4343" w:rsidRDefault="00960852" w:rsidP="00960852">
            <w:pPr>
              <w:spacing w:after="0" w:line="240" w:lineRule="auto"/>
              <w:rPr>
                <w:rFonts w:ascii="Arial" w:eastAsia="Times New Roman" w:hAnsi="Arial" w:cs="Arial"/>
                <w:sz w:val="20"/>
                <w:szCs w:val="20"/>
                <w:lang w:val="nl-NL" w:eastAsia="nl-NL" w:bidi="ar-SA"/>
              </w:rPr>
            </w:pPr>
            <w:r w:rsidRPr="00DF4343">
              <w:rPr>
                <w:rFonts w:ascii="Arial" w:eastAsia="Times New Roman" w:hAnsi="Arial" w:cs="Arial"/>
                <w:sz w:val="20"/>
                <w:szCs w:val="20"/>
                <w:lang w:val="nl-NL" w:eastAsia="nl-NL" w:bidi="ar-SA"/>
              </w:rPr>
              <w:t> </w:t>
            </w:r>
          </w:p>
        </w:tc>
        <w:tc>
          <w:tcPr>
            <w:tcW w:w="1308" w:type="dxa"/>
            <w:tcBorders>
              <w:top w:val="nil"/>
              <w:left w:val="nil"/>
              <w:bottom w:val="single" w:sz="4" w:space="0" w:color="auto"/>
              <w:right w:val="single" w:sz="4" w:space="0" w:color="auto"/>
            </w:tcBorders>
            <w:shd w:val="clear" w:color="auto" w:fill="auto"/>
            <w:noWrap/>
            <w:vAlign w:val="bottom"/>
            <w:hideMark/>
          </w:tcPr>
          <w:p w:rsidR="00960852" w:rsidRPr="00DF4343" w:rsidRDefault="00960852" w:rsidP="00960852">
            <w:pPr>
              <w:spacing w:after="0" w:line="240" w:lineRule="auto"/>
              <w:rPr>
                <w:rFonts w:ascii="Arial" w:eastAsia="Times New Roman" w:hAnsi="Arial" w:cs="Arial"/>
                <w:sz w:val="20"/>
                <w:szCs w:val="20"/>
                <w:lang w:val="nl-NL" w:eastAsia="nl-NL" w:bidi="ar-SA"/>
              </w:rPr>
            </w:pPr>
            <w:r w:rsidRPr="00DF4343">
              <w:rPr>
                <w:rFonts w:ascii="Arial" w:eastAsia="Times New Roman" w:hAnsi="Arial" w:cs="Arial"/>
                <w:sz w:val="20"/>
                <w:szCs w:val="20"/>
                <w:lang w:val="nl-NL" w:eastAsia="nl-NL" w:bidi="ar-SA"/>
              </w:rPr>
              <w:t> </w:t>
            </w:r>
          </w:p>
        </w:tc>
      </w:tr>
      <w:tr w:rsidR="00960852" w:rsidRPr="00DF4343" w:rsidTr="00960852">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960852" w:rsidRPr="00DF4343" w:rsidRDefault="00960852" w:rsidP="00960852">
            <w:pPr>
              <w:spacing w:after="0" w:line="240" w:lineRule="auto"/>
              <w:rPr>
                <w:rFonts w:ascii="Arial" w:eastAsia="Times New Roman" w:hAnsi="Arial" w:cs="Arial"/>
                <w:sz w:val="20"/>
                <w:szCs w:val="20"/>
                <w:lang w:val="nl-NL" w:eastAsia="nl-NL" w:bidi="ar-SA"/>
              </w:rPr>
            </w:pPr>
            <w:r w:rsidRPr="00DF4343">
              <w:rPr>
                <w:rFonts w:ascii="Arial" w:eastAsia="Times New Roman" w:hAnsi="Arial" w:cs="Arial"/>
                <w:sz w:val="20"/>
                <w:szCs w:val="20"/>
                <w:lang w:val="nl-NL" w:eastAsia="nl-NL" w:bidi="ar-SA"/>
              </w:rPr>
              <w:t xml:space="preserve"> </w:t>
            </w:r>
            <w:proofErr w:type="spellStart"/>
            <w:r w:rsidRPr="00DF4343">
              <w:rPr>
                <w:rFonts w:ascii="Arial" w:eastAsia="Times New Roman" w:hAnsi="Arial" w:cs="Arial"/>
                <w:sz w:val="20"/>
                <w:szCs w:val="20"/>
                <w:lang w:val="nl-NL" w:eastAsia="nl-NL" w:bidi="ar-SA"/>
              </w:rPr>
              <w:t>Observations</w:t>
            </w:r>
            <w:proofErr w:type="spellEnd"/>
          </w:p>
        </w:tc>
        <w:tc>
          <w:tcPr>
            <w:tcW w:w="1420" w:type="dxa"/>
            <w:tcBorders>
              <w:top w:val="nil"/>
              <w:left w:val="nil"/>
              <w:bottom w:val="single" w:sz="4" w:space="0" w:color="auto"/>
              <w:right w:val="single" w:sz="4" w:space="0" w:color="auto"/>
            </w:tcBorders>
            <w:shd w:val="clear" w:color="auto" w:fill="auto"/>
            <w:noWrap/>
            <w:vAlign w:val="bottom"/>
            <w:hideMark/>
          </w:tcPr>
          <w:p w:rsidR="00960852" w:rsidRPr="00DF4343" w:rsidRDefault="00960852" w:rsidP="00960852">
            <w:pPr>
              <w:spacing w:after="0" w:line="240" w:lineRule="auto"/>
              <w:jc w:val="right"/>
              <w:rPr>
                <w:rFonts w:ascii="Arial" w:eastAsia="Times New Roman" w:hAnsi="Arial" w:cs="Arial"/>
                <w:sz w:val="20"/>
                <w:szCs w:val="20"/>
                <w:lang w:val="nl-NL" w:eastAsia="nl-NL" w:bidi="ar-SA"/>
              </w:rPr>
            </w:pPr>
            <w:r w:rsidRPr="00DF4343">
              <w:rPr>
                <w:rFonts w:ascii="Arial" w:eastAsia="Times New Roman" w:hAnsi="Arial" w:cs="Arial"/>
                <w:sz w:val="20"/>
                <w:szCs w:val="20"/>
                <w:lang w:val="nl-NL" w:eastAsia="nl-NL" w:bidi="ar-SA"/>
              </w:rPr>
              <w:t>3130</w:t>
            </w:r>
          </w:p>
        </w:tc>
        <w:tc>
          <w:tcPr>
            <w:tcW w:w="1308" w:type="dxa"/>
            <w:tcBorders>
              <w:top w:val="nil"/>
              <w:left w:val="nil"/>
              <w:bottom w:val="single" w:sz="4" w:space="0" w:color="auto"/>
              <w:right w:val="single" w:sz="4" w:space="0" w:color="auto"/>
            </w:tcBorders>
            <w:shd w:val="clear" w:color="auto" w:fill="auto"/>
            <w:noWrap/>
            <w:vAlign w:val="bottom"/>
            <w:hideMark/>
          </w:tcPr>
          <w:p w:rsidR="00960852" w:rsidRPr="00DF4343" w:rsidRDefault="00960852" w:rsidP="00960852">
            <w:pPr>
              <w:spacing w:after="0" w:line="240" w:lineRule="auto"/>
              <w:jc w:val="right"/>
              <w:rPr>
                <w:rFonts w:ascii="Arial" w:eastAsia="Times New Roman" w:hAnsi="Arial" w:cs="Arial"/>
                <w:sz w:val="20"/>
                <w:szCs w:val="20"/>
                <w:lang w:val="nl-NL" w:eastAsia="nl-NL" w:bidi="ar-SA"/>
              </w:rPr>
            </w:pPr>
            <w:r w:rsidRPr="00DF4343">
              <w:rPr>
                <w:rFonts w:ascii="Arial" w:eastAsia="Times New Roman" w:hAnsi="Arial" w:cs="Arial"/>
                <w:sz w:val="20"/>
                <w:szCs w:val="20"/>
                <w:lang w:val="nl-NL" w:eastAsia="nl-NL" w:bidi="ar-SA"/>
              </w:rPr>
              <w:t>3130</w:t>
            </w:r>
          </w:p>
        </w:tc>
      </w:tr>
    </w:tbl>
    <w:p w:rsidR="00960852" w:rsidRDefault="00960852" w:rsidP="00960852">
      <w:pPr>
        <w:pStyle w:val="NoSpacing"/>
        <w:jc w:val="both"/>
      </w:pPr>
    </w:p>
    <w:p w:rsidR="00960852" w:rsidRDefault="00960852" w:rsidP="00960852">
      <w:pPr>
        <w:pStyle w:val="NoSpacing"/>
        <w:jc w:val="both"/>
      </w:pPr>
    </w:p>
    <w:p w:rsidR="00960852" w:rsidRDefault="00960852" w:rsidP="00960852">
      <w:pPr>
        <w:pStyle w:val="NoSpacing"/>
      </w:pPr>
      <w:r>
        <w:t xml:space="preserve">Figure </w:t>
      </w:r>
      <w:fldSimple w:instr=" SEQ Figuur \* ARABIC ">
        <w:r>
          <w:rPr>
            <w:noProof/>
          </w:rPr>
          <w:t>2</w:t>
        </w:r>
      </w:fldSimple>
      <w:r>
        <w:t xml:space="preserve">: Stock market </w:t>
      </w:r>
      <w:r w:rsidR="009E6938">
        <w:t>indices</w:t>
      </w:r>
    </w:p>
    <w:p w:rsidR="00960852" w:rsidRDefault="00960852" w:rsidP="00960852">
      <w:pPr>
        <w:pStyle w:val="NoSpacing"/>
        <w:jc w:val="both"/>
      </w:pPr>
      <w:r>
        <w:rPr>
          <w:noProof/>
          <w:lang w:bidi="ar-SA"/>
        </w:rPr>
        <w:drawing>
          <wp:inline distT="0" distB="0" distL="0" distR="0">
            <wp:extent cx="5759450" cy="2038985"/>
            <wp:effectExtent l="19050" t="0" r="0" b="0"/>
            <wp:docPr id="3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759450" cy="2038985"/>
                    </a:xfrm>
                    <a:prstGeom prst="rect">
                      <a:avLst/>
                    </a:prstGeom>
                    <a:noFill/>
                    <a:ln w="9525">
                      <a:noFill/>
                      <a:miter lim="800000"/>
                      <a:headEnd/>
                      <a:tailEnd/>
                    </a:ln>
                  </pic:spPr>
                </pic:pic>
              </a:graphicData>
            </a:graphic>
          </wp:inline>
        </w:drawing>
      </w:r>
    </w:p>
    <w:p w:rsidR="00960852" w:rsidRDefault="00960852" w:rsidP="00960852">
      <w:pPr>
        <w:pStyle w:val="NoSpacing"/>
        <w:jc w:val="both"/>
      </w:pPr>
      <w:r>
        <w:t xml:space="preserve">Most existing researches are based on the relationship between broad stock indices and the exchange rates, this thesis </w:t>
      </w:r>
      <w:r w:rsidR="000E18B7">
        <w:t>distinct</w:t>
      </w:r>
      <w:r>
        <w:t xml:space="preserve"> itself with the tests on sector indices. Because a possible relationship found between a broad market index and a currency says nothing about individual companies. The analysis with sector indices could explain more about which kind of companies are influenced by or influence the exchange rate. Ten different sectors are used:</w:t>
      </w:r>
    </w:p>
    <w:p w:rsidR="00960852" w:rsidRDefault="00960852" w:rsidP="00960852">
      <w:pPr>
        <w:pStyle w:val="NoSpacing"/>
        <w:jc w:val="both"/>
      </w:pPr>
    </w:p>
    <w:p w:rsidR="00CD606C" w:rsidRDefault="00CD606C" w:rsidP="00960852">
      <w:pPr>
        <w:pStyle w:val="NoSpacing"/>
        <w:jc w:val="both"/>
      </w:pPr>
    </w:p>
    <w:p w:rsidR="00CD606C" w:rsidRDefault="00CD606C" w:rsidP="00960852">
      <w:pPr>
        <w:pStyle w:val="NoSpacing"/>
        <w:jc w:val="both"/>
      </w:pPr>
    </w:p>
    <w:p w:rsidR="00CD606C" w:rsidRDefault="00CD606C" w:rsidP="00960852">
      <w:pPr>
        <w:pStyle w:val="NoSpacing"/>
        <w:jc w:val="both"/>
      </w:pPr>
    </w:p>
    <w:p w:rsidR="00CD606C" w:rsidRDefault="00CD606C" w:rsidP="00960852">
      <w:pPr>
        <w:pStyle w:val="NoSpacing"/>
        <w:jc w:val="both"/>
      </w:pPr>
    </w:p>
    <w:p w:rsidR="00CD606C" w:rsidRDefault="00CD606C" w:rsidP="00960852">
      <w:pPr>
        <w:pStyle w:val="NoSpacing"/>
        <w:jc w:val="both"/>
      </w:pPr>
    </w:p>
    <w:p w:rsidR="00CD606C" w:rsidRDefault="00CD606C" w:rsidP="00960852">
      <w:pPr>
        <w:pStyle w:val="NoSpacing"/>
        <w:jc w:val="both"/>
      </w:pPr>
    </w:p>
    <w:p w:rsidR="00CD606C" w:rsidRDefault="00CD606C" w:rsidP="00960852">
      <w:pPr>
        <w:pStyle w:val="NoSpacing"/>
        <w:jc w:val="both"/>
      </w:pPr>
    </w:p>
    <w:p w:rsidR="00CD606C" w:rsidRDefault="00CD606C" w:rsidP="00960852">
      <w:pPr>
        <w:pStyle w:val="NoSpacing"/>
        <w:jc w:val="both"/>
      </w:pPr>
    </w:p>
    <w:p w:rsidR="00CD606C" w:rsidRDefault="00CD606C" w:rsidP="00960852">
      <w:pPr>
        <w:pStyle w:val="NoSpacing"/>
        <w:jc w:val="both"/>
      </w:pPr>
    </w:p>
    <w:p w:rsidR="00CD606C" w:rsidRDefault="00CD606C" w:rsidP="00960852">
      <w:pPr>
        <w:pStyle w:val="NoSpacing"/>
        <w:jc w:val="both"/>
      </w:pPr>
    </w:p>
    <w:p w:rsidR="00BF49CF" w:rsidRDefault="009E6938" w:rsidP="00BF49CF">
      <w:pPr>
        <w:pStyle w:val="NoSpacing"/>
      </w:pPr>
      <w:r>
        <w:lastRenderedPageBreak/>
        <w:t>Table</w:t>
      </w:r>
      <w:r w:rsidR="00CD606C">
        <w:t xml:space="preserve"> 4</w:t>
      </w:r>
      <w:r>
        <w:t>: S</w:t>
      </w:r>
      <w:r w:rsidR="00BF49CF">
        <w:t>ectors</w:t>
      </w:r>
    </w:p>
    <w:tbl>
      <w:tblPr>
        <w:tblW w:w="2188" w:type="dxa"/>
        <w:tblInd w:w="55" w:type="dxa"/>
        <w:tblCellMar>
          <w:left w:w="70" w:type="dxa"/>
          <w:right w:w="70" w:type="dxa"/>
        </w:tblCellMar>
        <w:tblLook w:val="04A0"/>
      </w:tblPr>
      <w:tblGrid>
        <w:gridCol w:w="2188"/>
      </w:tblGrid>
      <w:tr w:rsidR="00960852" w:rsidRPr="007F012F" w:rsidTr="00960852">
        <w:trPr>
          <w:trHeight w:val="285"/>
        </w:trPr>
        <w:tc>
          <w:tcPr>
            <w:tcW w:w="2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0852" w:rsidRPr="007F012F" w:rsidRDefault="00960852" w:rsidP="00960852">
            <w:pPr>
              <w:spacing w:after="0" w:line="240" w:lineRule="auto"/>
              <w:jc w:val="both"/>
              <w:rPr>
                <w:rFonts w:ascii="Cambria" w:eastAsia="Times New Roman" w:hAnsi="Cambria" w:cs="Arial"/>
                <w:lang w:val="nl-NL" w:eastAsia="nl-NL" w:bidi="ar-SA"/>
              </w:rPr>
            </w:pPr>
            <w:r w:rsidRPr="007F012F">
              <w:rPr>
                <w:rFonts w:ascii="Cambria" w:eastAsia="Times New Roman" w:hAnsi="Cambria" w:cs="Arial"/>
                <w:lang w:eastAsia="nl-NL" w:bidi="ar-SA"/>
              </w:rPr>
              <w:t>Basic Materials</w:t>
            </w:r>
          </w:p>
        </w:tc>
      </w:tr>
      <w:tr w:rsidR="00960852" w:rsidRPr="007F012F" w:rsidTr="00960852">
        <w:trPr>
          <w:trHeight w:val="285"/>
        </w:trPr>
        <w:tc>
          <w:tcPr>
            <w:tcW w:w="2188" w:type="dxa"/>
            <w:tcBorders>
              <w:top w:val="nil"/>
              <w:left w:val="single" w:sz="4" w:space="0" w:color="auto"/>
              <w:bottom w:val="single" w:sz="4" w:space="0" w:color="auto"/>
              <w:right w:val="single" w:sz="4" w:space="0" w:color="auto"/>
            </w:tcBorders>
            <w:shd w:val="clear" w:color="auto" w:fill="auto"/>
            <w:noWrap/>
            <w:vAlign w:val="bottom"/>
            <w:hideMark/>
          </w:tcPr>
          <w:p w:rsidR="00960852" w:rsidRPr="007F012F" w:rsidRDefault="00960852" w:rsidP="00960852">
            <w:pPr>
              <w:spacing w:after="0" w:line="240" w:lineRule="auto"/>
              <w:jc w:val="both"/>
              <w:rPr>
                <w:rFonts w:ascii="Cambria" w:eastAsia="Times New Roman" w:hAnsi="Cambria" w:cs="Arial"/>
                <w:lang w:val="nl-NL" w:eastAsia="nl-NL" w:bidi="ar-SA"/>
              </w:rPr>
            </w:pPr>
            <w:r w:rsidRPr="007F012F">
              <w:rPr>
                <w:rFonts w:ascii="Cambria" w:eastAsia="Times New Roman" w:hAnsi="Cambria" w:cs="Arial"/>
                <w:lang w:eastAsia="nl-NL" w:bidi="ar-SA"/>
              </w:rPr>
              <w:t>Consumer Services</w:t>
            </w:r>
          </w:p>
        </w:tc>
      </w:tr>
      <w:tr w:rsidR="00960852" w:rsidRPr="007F012F" w:rsidTr="00960852">
        <w:trPr>
          <w:trHeight w:val="285"/>
        </w:trPr>
        <w:tc>
          <w:tcPr>
            <w:tcW w:w="2188" w:type="dxa"/>
            <w:tcBorders>
              <w:top w:val="nil"/>
              <w:left w:val="single" w:sz="4" w:space="0" w:color="auto"/>
              <w:bottom w:val="single" w:sz="4" w:space="0" w:color="auto"/>
              <w:right w:val="single" w:sz="4" w:space="0" w:color="auto"/>
            </w:tcBorders>
            <w:shd w:val="clear" w:color="auto" w:fill="auto"/>
            <w:noWrap/>
            <w:vAlign w:val="bottom"/>
            <w:hideMark/>
          </w:tcPr>
          <w:p w:rsidR="00960852" w:rsidRPr="007F012F" w:rsidRDefault="00960852" w:rsidP="00960852">
            <w:pPr>
              <w:spacing w:after="0" w:line="240" w:lineRule="auto"/>
              <w:jc w:val="both"/>
              <w:rPr>
                <w:rFonts w:ascii="Cambria" w:eastAsia="Times New Roman" w:hAnsi="Cambria" w:cs="Arial"/>
                <w:lang w:val="nl-NL" w:eastAsia="nl-NL" w:bidi="ar-SA"/>
              </w:rPr>
            </w:pPr>
            <w:r w:rsidRPr="007F012F">
              <w:rPr>
                <w:rFonts w:ascii="Cambria" w:eastAsia="Times New Roman" w:hAnsi="Cambria" w:cs="Arial"/>
                <w:lang w:eastAsia="nl-NL" w:bidi="ar-SA"/>
              </w:rPr>
              <w:t>Consumer Goods</w:t>
            </w:r>
          </w:p>
        </w:tc>
      </w:tr>
      <w:tr w:rsidR="00960852" w:rsidRPr="007F012F" w:rsidTr="00960852">
        <w:trPr>
          <w:trHeight w:val="285"/>
        </w:trPr>
        <w:tc>
          <w:tcPr>
            <w:tcW w:w="2188" w:type="dxa"/>
            <w:tcBorders>
              <w:top w:val="nil"/>
              <w:left w:val="single" w:sz="4" w:space="0" w:color="auto"/>
              <w:bottom w:val="single" w:sz="4" w:space="0" w:color="auto"/>
              <w:right w:val="single" w:sz="4" w:space="0" w:color="auto"/>
            </w:tcBorders>
            <w:shd w:val="clear" w:color="auto" w:fill="auto"/>
            <w:noWrap/>
            <w:vAlign w:val="bottom"/>
            <w:hideMark/>
          </w:tcPr>
          <w:p w:rsidR="00960852" w:rsidRPr="007F012F" w:rsidRDefault="00960852" w:rsidP="00960852">
            <w:pPr>
              <w:spacing w:after="0" w:line="240" w:lineRule="auto"/>
              <w:jc w:val="both"/>
              <w:rPr>
                <w:rFonts w:ascii="Cambria" w:eastAsia="Times New Roman" w:hAnsi="Cambria" w:cs="Arial"/>
                <w:lang w:val="nl-NL" w:eastAsia="nl-NL" w:bidi="ar-SA"/>
              </w:rPr>
            </w:pPr>
            <w:r w:rsidRPr="007F012F">
              <w:rPr>
                <w:rFonts w:ascii="Cambria" w:eastAsia="Times New Roman" w:hAnsi="Cambria" w:cs="Arial"/>
                <w:lang w:eastAsia="nl-NL" w:bidi="ar-SA"/>
              </w:rPr>
              <w:t>Oil &amp; Gas</w:t>
            </w:r>
          </w:p>
        </w:tc>
      </w:tr>
      <w:tr w:rsidR="00960852" w:rsidRPr="007F012F" w:rsidTr="00960852">
        <w:trPr>
          <w:trHeight w:val="285"/>
        </w:trPr>
        <w:tc>
          <w:tcPr>
            <w:tcW w:w="2188" w:type="dxa"/>
            <w:tcBorders>
              <w:top w:val="nil"/>
              <w:left w:val="single" w:sz="4" w:space="0" w:color="auto"/>
              <w:bottom w:val="single" w:sz="4" w:space="0" w:color="auto"/>
              <w:right w:val="single" w:sz="4" w:space="0" w:color="auto"/>
            </w:tcBorders>
            <w:shd w:val="clear" w:color="auto" w:fill="auto"/>
            <w:noWrap/>
            <w:vAlign w:val="bottom"/>
            <w:hideMark/>
          </w:tcPr>
          <w:p w:rsidR="00960852" w:rsidRPr="007F012F" w:rsidRDefault="00960852" w:rsidP="00960852">
            <w:pPr>
              <w:spacing w:after="0" w:line="240" w:lineRule="auto"/>
              <w:jc w:val="both"/>
              <w:rPr>
                <w:rFonts w:ascii="Cambria" w:eastAsia="Times New Roman" w:hAnsi="Cambria" w:cs="Arial"/>
                <w:lang w:val="nl-NL" w:eastAsia="nl-NL" w:bidi="ar-SA"/>
              </w:rPr>
            </w:pPr>
            <w:r w:rsidRPr="007F012F">
              <w:rPr>
                <w:rFonts w:ascii="Cambria" w:eastAsia="Times New Roman" w:hAnsi="Cambria" w:cs="Arial"/>
                <w:lang w:eastAsia="nl-NL" w:bidi="ar-SA"/>
              </w:rPr>
              <w:t>Financials</w:t>
            </w:r>
          </w:p>
        </w:tc>
      </w:tr>
      <w:tr w:rsidR="00960852" w:rsidRPr="007F012F" w:rsidTr="00960852">
        <w:trPr>
          <w:trHeight w:val="285"/>
        </w:trPr>
        <w:tc>
          <w:tcPr>
            <w:tcW w:w="2188" w:type="dxa"/>
            <w:tcBorders>
              <w:top w:val="nil"/>
              <w:left w:val="single" w:sz="4" w:space="0" w:color="auto"/>
              <w:bottom w:val="single" w:sz="4" w:space="0" w:color="auto"/>
              <w:right w:val="single" w:sz="4" w:space="0" w:color="auto"/>
            </w:tcBorders>
            <w:shd w:val="clear" w:color="auto" w:fill="auto"/>
            <w:noWrap/>
            <w:vAlign w:val="bottom"/>
            <w:hideMark/>
          </w:tcPr>
          <w:p w:rsidR="00960852" w:rsidRPr="007F012F" w:rsidRDefault="00960852" w:rsidP="00960852">
            <w:pPr>
              <w:spacing w:after="0" w:line="240" w:lineRule="auto"/>
              <w:jc w:val="both"/>
              <w:rPr>
                <w:rFonts w:ascii="Cambria" w:eastAsia="Times New Roman" w:hAnsi="Cambria" w:cs="Arial"/>
                <w:lang w:val="nl-NL" w:eastAsia="nl-NL" w:bidi="ar-SA"/>
              </w:rPr>
            </w:pPr>
            <w:r w:rsidRPr="007F012F">
              <w:rPr>
                <w:rFonts w:ascii="Cambria" w:eastAsia="Times New Roman" w:hAnsi="Cambria" w:cs="Arial"/>
                <w:lang w:eastAsia="nl-NL" w:bidi="ar-SA"/>
              </w:rPr>
              <w:t>Health Care</w:t>
            </w:r>
          </w:p>
        </w:tc>
      </w:tr>
      <w:tr w:rsidR="00960852" w:rsidRPr="007F012F" w:rsidTr="00960852">
        <w:trPr>
          <w:trHeight w:val="285"/>
        </w:trPr>
        <w:tc>
          <w:tcPr>
            <w:tcW w:w="2188" w:type="dxa"/>
            <w:tcBorders>
              <w:top w:val="nil"/>
              <w:left w:val="single" w:sz="4" w:space="0" w:color="auto"/>
              <w:bottom w:val="single" w:sz="4" w:space="0" w:color="auto"/>
              <w:right w:val="single" w:sz="4" w:space="0" w:color="auto"/>
            </w:tcBorders>
            <w:shd w:val="clear" w:color="auto" w:fill="auto"/>
            <w:noWrap/>
            <w:vAlign w:val="bottom"/>
            <w:hideMark/>
          </w:tcPr>
          <w:p w:rsidR="00960852" w:rsidRPr="007F012F" w:rsidRDefault="00960852" w:rsidP="00960852">
            <w:pPr>
              <w:spacing w:after="0" w:line="240" w:lineRule="auto"/>
              <w:jc w:val="both"/>
              <w:rPr>
                <w:rFonts w:ascii="Cambria" w:eastAsia="Times New Roman" w:hAnsi="Cambria" w:cs="Arial"/>
                <w:lang w:val="nl-NL" w:eastAsia="nl-NL" w:bidi="ar-SA"/>
              </w:rPr>
            </w:pPr>
            <w:r w:rsidRPr="007F012F">
              <w:rPr>
                <w:rFonts w:ascii="Cambria" w:eastAsia="Times New Roman" w:hAnsi="Cambria" w:cs="Arial"/>
                <w:lang w:eastAsia="nl-NL" w:bidi="ar-SA"/>
              </w:rPr>
              <w:t>Industrials</w:t>
            </w:r>
          </w:p>
        </w:tc>
      </w:tr>
      <w:tr w:rsidR="00960852" w:rsidRPr="007F012F" w:rsidTr="00960852">
        <w:trPr>
          <w:trHeight w:val="285"/>
        </w:trPr>
        <w:tc>
          <w:tcPr>
            <w:tcW w:w="2188" w:type="dxa"/>
            <w:tcBorders>
              <w:top w:val="nil"/>
              <w:left w:val="single" w:sz="4" w:space="0" w:color="auto"/>
              <w:bottom w:val="single" w:sz="4" w:space="0" w:color="auto"/>
              <w:right w:val="single" w:sz="4" w:space="0" w:color="auto"/>
            </w:tcBorders>
            <w:shd w:val="clear" w:color="auto" w:fill="auto"/>
            <w:noWrap/>
            <w:vAlign w:val="bottom"/>
            <w:hideMark/>
          </w:tcPr>
          <w:p w:rsidR="00960852" w:rsidRPr="007F012F" w:rsidRDefault="00960852" w:rsidP="00960852">
            <w:pPr>
              <w:spacing w:after="0" w:line="240" w:lineRule="auto"/>
              <w:jc w:val="both"/>
              <w:rPr>
                <w:rFonts w:ascii="Cambria" w:eastAsia="Times New Roman" w:hAnsi="Cambria" w:cs="Arial"/>
                <w:lang w:val="nl-NL" w:eastAsia="nl-NL" w:bidi="ar-SA"/>
              </w:rPr>
            </w:pPr>
            <w:r w:rsidRPr="007F012F">
              <w:rPr>
                <w:rFonts w:ascii="Cambria" w:eastAsia="Times New Roman" w:hAnsi="Cambria" w:cs="Arial"/>
                <w:lang w:eastAsia="nl-NL" w:bidi="ar-SA"/>
              </w:rPr>
              <w:t>Technology</w:t>
            </w:r>
          </w:p>
        </w:tc>
      </w:tr>
      <w:tr w:rsidR="00960852" w:rsidRPr="007F012F" w:rsidTr="00960852">
        <w:trPr>
          <w:trHeight w:val="285"/>
        </w:trPr>
        <w:tc>
          <w:tcPr>
            <w:tcW w:w="2188" w:type="dxa"/>
            <w:tcBorders>
              <w:top w:val="nil"/>
              <w:left w:val="single" w:sz="4" w:space="0" w:color="auto"/>
              <w:bottom w:val="single" w:sz="4" w:space="0" w:color="auto"/>
              <w:right w:val="single" w:sz="4" w:space="0" w:color="auto"/>
            </w:tcBorders>
            <w:shd w:val="clear" w:color="auto" w:fill="auto"/>
            <w:noWrap/>
            <w:vAlign w:val="bottom"/>
            <w:hideMark/>
          </w:tcPr>
          <w:p w:rsidR="00960852" w:rsidRPr="007F012F" w:rsidRDefault="00960852" w:rsidP="00960852">
            <w:pPr>
              <w:spacing w:after="0" w:line="240" w:lineRule="auto"/>
              <w:jc w:val="both"/>
              <w:rPr>
                <w:rFonts w:ascii="Cambria" w:eastAsia="Times New Roman" w:hAnsi="Cambria" w:cs="Arial"/>
                <w:lang w:val="nl-NL" w:eastAsia="nl-NL" w:bidi="ar-SA"/>
              </w:rPr>
            </w:pPr>
            <w:r w:rsidRPr="007F012F">
              <w:rPr>
                <w:rFonts w:ascii="Cambria" w:eastAsia="Times New Roman" w:hAnsi="Cambria" w:cs="Arial"/>
                <w:lang w:eastAsia="nl-NL" w:bidi="ar-SA"/>
              </w:rPr>
              <w:t>Telecommunications</w:t>
            </w:r>
          </w:p>
        </w:tc>
      </w:tr>
      <w:tr w:rsidR="00960852" w:rsidRPr="007F012F" w:rsidTr="00960852">
        <w:trPr>
          <w:trHeight w:val="285"/>
        </w:trPr>
        <w:tc>
          <w:tcPr>
            <w:tcW w:w="2188" w:type="dxa"/>
            <w:tcBorders>
              <w:top w:val="nil"/>
              <w:left w:val="single" w:sz="4" w:space="0" w:color="auto"/>
              <w:bottom w:val="single" w:sz="4" w:space="0" w:color="auto"/>
              <w:right w:val="single" w:sz="4" w:space="0" w:color="auto"/>
            </w:tcBorders>
            <w:shd w:val="clear" w:color="auto" w:fill="auto"/>
            <w:noWrap/>
            <w:vAlign w:val="bottom"/>
            <w:hideMark/>
          </w:tcPr>
          <w:p w:rsidR="00960852" w:rsidRPr="007F012F" w:rsidRDefault="00960852" w:rsidP="00960852">
            <w:pPr>
              <w:spacing w:after="0" w:line="240" w:lineRule="auto"/>
              <w:jc w:val="both"/>
              <w:rPr>
                <w:rFonts w:ascii="Cambria" w:eastAsia="Times New Roman" w:hAnsi="Cambria" w:cs="Arial"/>
                <w:lang w:val="nl-NL" w:eastAsia="nl-NL" w:bidi="ar-SA"/>
              </w:rPr>
            </w:pPr>
            <w:r w:rsidRPr="007F012F">
              <w:rPr>
                <w:rFonts w:ascii="Cambria" w:eastAsia="Times New Roman" w:hAnsi="Cambria" w:cs="Arial"/>
                <w:lang w:eastAsia="nl-NL" w:bidi="ar-SA"/>
              </w:rPr>
              <w:t>Utilities</w:t>
            </w:r>
          </w:p>
        </w:tc>
      </w:tr>
    </w:tbl>
    <w:p w:rsidR="00960852" w:rsidRDefault="00960852" w:rsidP="00960852">
      <w:pPr>
        <w:pStyle w:val="NoSpacing"/>
        <w:ind w:left="45"/>
        <w:jc w:val="both"/>
      </w:pPr>
      <w:r>
        <w:tab/>
      </w:r>
    </w:p>
    <w:p w:rsidR="00960852" w:rsidRDefault="000E18B7" w:rsidP="00960852">
      <w:pPr>
        <w:pStyle w:val="NoSpacing"/>
        <w:jc w:val="both"/>
      </w:pPr>
      <w:r>
        <w:t xml:space="preserve">The </w:t>
      </w:r>
      <w:r w:rsidR="00960852">
        <w:t xml:space="preserve">US sector indices are from the Dow Jones, for the indices of European sectors the </w:t>
      </w:r>
      <w:proofErr w:type="spellStart"/>
      <w:r w:rsidR="00960852">
        <w:t>Stoxx</w:t>
      </w:r>
      <w:proofErr w:type="spellEnd"/>
      <w:r w:rsidR="00960852">
        <w:t xml:space="preserve"> indices are used. The full names of the indices, the descriptive statistics and graphs are all included in the appendix. Further, the appendix contains 2 correlation tables of the sectors. The correlations of the sectors with the exchange rates are exhibit in table</w:t>
      </w:r>
      <w:r>
        <w:t xml:space="preserve"> </w:t>
      </w:r>
      <w:r w:rsidR="006E6BCF">
        <w:t>5</w:t>
      </w:r>
      <w:r>
        <w:t>.</w:t>
      </w:r>
      <w:r w:rsidR="00960852">
        <w:t xml:space="preserve"> Correlations give an understanding of the behavior of the two variables. Looking at the correlations between sectors and the exchange rates, a negative correlation is seen for all European sectors </w:t>
      </w:r>
      <w:r>
        <w:t>with</w:t>
      </w:r>
      <w:r w:rsidR="00960852">
        <w:t xml:space="preserve"> the CHF/EUR, with correlations ranging from -0,11 to -0,48. </w:t>
      </w:r>
      <w:r w:rsidR="00960852" w:rsidRPr="00C97ABB">
        <w:rPr>
          <w:color w:val="FF0000"/>
        </w:rPr>
        <w:t xml:space="preserve">The exchange rates are used as the value of </w:t>
      </w:r>
      <w:r w:rsidR="00C97ABB" w:rsidRPr="00C97ABB">
        <w:rPr>
          <w:color w:val="FF0000"/>
        </w:rPr>
        <w:t xml:space="preserve">one unit of </w:t>
      </w:r>
      <w:r w:rsidR="00960852" w:rsidRPr="00C97ABB">
        <w:rPr>
          <w:color w:val="FF0000"/>
        </w:rPr>
        <w:t xml:space="preserve">the foreign currency, denoted in the home currency. This means that an increase (decrease) in the CHF/EUR is </w:t>
      </w:r>
      <w:r w:rsidR="006E6BCF" w:rsidRPr="00C97ABB">
        <w:rPr>
          <w:color w:val="FF0000"/>
        </w:rPr>
        <w:t>depreciation</w:t>
      </w:r>
      <w:r w:rsidR="00960852" w:rsidRPr="00C97ABB">
        <w:rPr>
          <w:color w:val="FF0000"/>
        </w:rPr>
        <w:t xml:space="preserve"> (</w:t>
      </w:r>
      <w:r w:rsidR="00C97ABB">
        <w:rPr>
          <w:color w:val="FF0000"/>
        </w:rPr>
        <w:t>appreciation</w:t>
      </w:r>
      <w:r w:rsidR="00960852" w:rsidRPr="00C97ABB">
        <w:rPr>
          <w:color w:val="FF0000"/>
        </w:rPr>
        <w:t xml:space="preserve">) of the euro. So a negative correlation of -1 means that the stock index increase </w:t>
      </w:r>
      <w:r w:rsidRPr="00C97ABB">
        <w:rPr>
          <w:color w:val="FF0000"/>
        </w:rPr>
        <w:t>with the same level when</w:t>
      </w:r>
      <w:r w:rsidR="00960852" w:rsidRPr="00C97ABB">
        <w:rPr>
          <w:color w:val="FF0000"/>
        </w:rPr>
        <w:t xml:space="preserve"> the euro appreciates. </w:t>
      </w:r>
      <w:r w:rsidR="00960852">
        <w:t>The correlations between European sectors and the USD/EUR give more diverse results, with correlations ranging from -0</w:t>
      </w:r>
      <w:proofErr w:type="gramStart"/>
      <w:r w:rsidR="00960852">
        <w:t>,59</w:t>
      </w:r>
      <w:proofErr w:type="gramEnd"/>
      <w:r w:rsidR="00960852">
        <w:t xml:space="preserve"> to 0,61. </w:t>
      </w:r>
    </w:p>
    <w:p w:rsidR="00960852" w:rsidRDefault="00960852" w:rsidP="00960852">
      <w:pPr>
        <w:pStyle w:val="NoSpacing"/>
        <w:jc w:val="both"/>
      </w:pPr>
    </w:p>
    <w:p w:rsidR="008D0A55" w:rsidRDefault="008D0A55" w:rsidP="008D0A55">
      <w:pPr>
        <w:pStyle w:val="NoSpacing"/>
      </w:pPr>
      <w:r>
        <w:t>Table</w:t>
      </w:r>
      <w:r w:rsidR="00CD606C">
        <w:t xml:space="preserve"> 5</w:t>
      </w:r>
      <w:r>
        <w:t xml:space="preserve">: Correlations between market indices and exchange rates </w:t>
      </w:r>
    </w:p>
    <w:tbl>
      <w:tblPr>
        <w:tblW w:w="5760" w:type="dxa"/>
        <w:tblInd w:w="53" w:type="dxa"/>
        <w:tblCellMar>
          <w:left w:w="70" w:type="dxa"/>
          <w:right w:w="70" w:type="dxa"/>
        </w:tblCellMar>
        <w:tblLook w:val="04A0"/>
      </w:tblPr>
      <w:tblGrid>
        <w:gridCol w:w="960"/>
        <w:gridCol w:w="960"/>
        <w:gridCol w:w="960"/>
        <w:gridCol w:w="960"/>
        <w:gridCol w:w="960"/>
        <w:gridCol w:w="960"/>
      </w:tblGrid>
      <w:tr w:rsidR="00960852" w:rsidRPr="00357346" w:rsidTr="00960852">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0852" w:rsidRPr="00357346" w:rsidRDefault="00960852" w:rsidP="00960852">
            <w:pPr>
              <w:spacing w:after="0" w:line="240" w:lineRule="auto"/>
              <w:rPr>
                <w:rFonts w:ascii="Arial" w:eastAsia="Times New Roman" w:hAnsi="Arial" w:cs="Arial"/>
                <w:b/>
                <w:bCs/>
                <w:sz w:val="20"/>
                <w:szCs w:val="20"/>
                <w:lang w:val="nl-NL" w:eastAsia="nl-NL" w:bidi="ar-SA"/>
              </w:rPr>
            </w:pPr>
            <w:r>
              <w:rPr>
                <w:rFonts w:ascii="Arial" w:eastAsia="Times New Roman" w:hAnsi="Arial" w:cs="Arial"/>
                <w:b/>
                <w:bCs/>
                <w:sz w:val="20"/>
                <w:szCs w:val="20"/>
                <w:lang w:val="nl-NL" w:eastAsia="nl-NL" w:bidi="ar-SA"/>
              </w:rPr>
              <w:t>US</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60852" w:rsidRPr="00357346" w:rsidRDefault="00960852" w:rsidP="00960852">
            <w:pPr>
              <w:spacing w:after="0" w:line="240" w:lineRule="auto"/>
              <w:rPr>
                <w:rFonts w:ascii="Arial" w:eastAsia="Times New Roman" w:hAnsi="Arial" w:cs="Arial"/>
                <w:b/>
                <w:bCs/>
                <w:sz w:val="20"/>
                <w:szCs w:val="20"/>
                <w:lang w:val="nl-NL" w:eastAsia="nl-NL" w:bidi="ar-SA"/>
              </w:rPr>
            </w:pPr>
            <w:r w:rsidRPr="00357346">
              <w:rPr>
                <w:rFonts w:ascii="Arial" w:eastAsia="Times New Roman" w:hAnsi="Arial" w:cs="Arial"/>
                <w:b/>
                <w:bCs/>
                <w:sz w:val="20"/>
                <w:szCs w:val="20"/>
                <w:lang w:val="nl-NL" w:eastAsia="nl-NL" w:bidi="ar-SA"/>
              </w:rPr>
              <w:t>E/D</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60852" w:rsidRPr="00357346" w:rsidRDefault="00960852" w:rsidP="00960852">
            <w:pPr>
              <w:spacing w:after="0" w:line="240" w:lineRule="auto"/>
              <w:rPr>
                <w:rFonts w:ascii="Arial" w:eastAsia="Times New Roman" w:hAnsi="Arial" w:cs="Arial"/>
                <w:b/>
                <w:bCs/>
                <w:sz w:val="20"/>
                <w:szCs w:val="20"/>
                <w:lang w:val="nl-NL" w:eastAsia="nl-NL" w:bidi="ar-SA"/>
              </w:rPr>
            </w:pPr>
            <w:r w:rsidRPr="00357346">
              <w:rPr>
                <w:rFonts w:ascii="Arial" w:eastAsia="Times New Roman" w:hAnsi="Arial" w:cs="Arial"/>
                <w:b/>
                <w:bCs/>
                <w:sz w:val="20"/>
                <w:szCs w:val="20"/>
                <w:lang w:val="nl-NL" w:eastAsia="nl-NL" w:bidi="ar-SA"/>
              </w:rPr>
              <w:t>CHF/D</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60852" w:rsidRPr="00357346" w:rsidRDefault="00960852" w:rsidP="00960852">
            <w:pPr>
              <w:spacing w:after="0" w:line="240" w:lineRule="auto"/>
              <w:rPr>
                <w:rFonts w:ascii="Arial" w:eastAsia="Times New Roman" w:hAnsi="Arial" w:cs="Arial"/>
                <w:b/>
                <w:bCs/>
                <w:sz w:val="20"/>
                <w:szCs w:val="20"/>
                <w:lang w:val="nl-NL" w:eastAsia="nl-NL" w:bidi="ar-SA"/>
              </w:rPr>
            </w:pPr>
            <w:proofErr w:type="spellStart"/>
            <w:r>
              <w:rPr>
                <w:rFonts w:ascii="Arial" w:eastAsia="Times New Roman" w:hAnsi="Arial" w:cs="Arial"/>
                <w:b/>
                <w:bCs/>
                <w:sz w:val="20"/>
                <w:szCs w:val="20"/>
                <w:lang w:val="nl-NL" w:eastAsia="nl-NL" w:bidi="ar-SA"/>
              </w:rPr>
              <w:t>Europe</w:t>
            </w:r>
            <w:proofErr w:type="spellEnd"/>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60852" w:rsidRPr="00357346" w:rsidRDefault="00960852" w:rsidP="00960852">
            <w:pPr>
              <w:spacing w:after="0" w:line="240" w:lineRule="auto"/>
              <w:rPr>
                <w:rFonts w:ascii="Arial" w:eastAsia="Times New Roman" w:hAnsi="Arial" w:cs="Arial"/>
                <w:b/>
                <w:bCs/>
                <w:sz w:val="20"/>
                <w:szCs w:val="20"/>
                <w:lang w:val="nl-NL" w:eastAsia="nl-NL" w:bidi="ar-SA"/>
              </w:rPr>
            </w:pPr>
            <w:r w:rsidRPr="00357346">
              <w:rPr>
                <w:rFonts w:ascii="Arial" w:eastAsia="Times New Roman" w:hAnsi="Arial" w:cs="Arial"/>
                <w:b/>
                <w:bCs/>
                <w:sz w:val="20"/>
                <w:szCs w:val="20"/>
                <w:lang w:val="nl-NL" w:eastAsia="nl-NL" w:bidi="ar-SA"/>
              </w:rPr>
              <w:t>CHF/E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60852" w:rsidRPr="00357346" w:rsidRDefault="00960852" w:rsidP="00960852">
            <w:pPr>
              <w:spacing w:after="0" w:line="240" w:lineRule="auto"/>
              <w:rPr>
                <w:rFonts w:ascii="Arial" w:eastAsia="Times New Roman" w:hAnsi="Arial" w:cs="Arial"/>
                <w:b/>
                <w:bCs/>
                <w:sz w:val="20"/>
                <w:szCs w:val="20"/>
                <w:lang w:val="nl-NL" w:eastAsia="nl-NL" w:bidi="ar-SA"/>
              </w:rPr>
            </w:pPr>
            <w:r w:rsidRPr="00357346">
              <w:rPr>
                <w:rFonts w:ascii="Arial" w:eastAsia="Times New Roman" w:hAnsi="Arial" w:cs="Arial"/>
                <w:b/>
                <w:bCs/>
                <w:sz w:val="20"/>
                <w:szCs w:val="20"/>
                <w:lang w:val="nl-NL" w:eastAsia="nl-NL" w:bidi="ar-SA"/>
              </w:rPr>
              <w:t>D/E</w:t>
            </w:r>
          </w:p>
        </w:tc>
      </w:tr>
      <w:tr w:rsidR="00960852" w:rsidRPr="00357346" w:rsidTr="00960852">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60852" w:rsidRPr="00357346" w:rsidRDefault="00960852" w:rsidP="00960852">
            <w:pPr>
              <w:spacing w:after="0" w:line="240" w:lineRule="auto"/>
              <w:rPr>
                <w:rFonts w:ascii="Arial" w:eastAsia="Times New Roman" w:hAnsi="Arial" w:cs="Arial"/>
                <w:b/>
                <w:bCs/>
                <w:sz w:val="20"/>
                <w:szCs w:val="20"/>
                <w:lang w:val="nl-NL" w:eastAsia="nl-NL" w:bidi="ar-SA"/>
              </w:rPr>
            </w:pPr>
            <w:r w:rsidRPr="00357346">
              <w:rPr>
                <w:rFonts w:ascii="Arial" w:eastAsia="Times New Roman" w:hAnsi="Arial" w:cs="Arial"/>
                <w:b/>
                <w:bCs/>
                <w:sz w:val="20"/>
                <w:szCs w:val="20"/>
                <w:lang w:val="nl-NL" w:eastAsia="nl-NL" w:bidi="ar-SA"/>
              </w:rPr>
              <w:t>UT</w:t>
            </w:r>
          </w:p>
        </w:tc>
        <w:tc>
          <w:tcPr>
            <w:tcW w:w="960" w:type="dxa"/>
            <w:tcBorders>
              <w:top w:val="nil"/>
              <w:left w:val="nil"/>
              <w:bottom w:val="single" w:sz="4" w:space="0" w:color="auto"/>
              <w:right w:val="single" w:sz="4" w:space="0" w:color="auto"/>
            </w:tcBorders>
            <w:shd w:val="clear" w:color="auto" w:fill="auto"/>
            <w:noWrap/>
            <w:vAlign w:val="bottom"/>
            <w:hideMark/>
          </w:tcPr>
          <w:p w:rsidR="00960852" w:rsidRPr="00357346" w:rsidRDefault="00960852" w:rsidP="00960852">
            <w:pPr>
              <w:spacing w:after="0" w:line="240" w:lineRule="auto"/>
              <w:jc w:val="right"/>
              <w:rPr>
                <w:rFonts w:ascii="Arial" w:eastAsia="Times New Roman" w:hAnsi="Arial" w:cs="Arial"/>
                <w:sz w:val="20"/>
                <w:szCs w:val="20"/>
                <w:lang w:val="nl-NL" w:eastAsia="nl-NL" w:bidi="ar-SA"/>
              </w:rPr>
            </w:pPr>
            <w:r w:rsidRPr="00357346">
              <w:rPr>
                <w:rFonts w:ascii="Arial" w:eastAsia="Times New Roman" w:hAnsi="Arial" w:cs="Arial"/>
                <w:sz w:val="20"/>
                <w:szCs w:val="20"/>
                <w:lang w:val="nl-NL" w:eastAsia="nl-NL" w:bidi="ar-SA"/>
              </w:rPr>
              <w:t>0,44</w:t>
            </w:r>
          </w:p>
        </w:tc>
        <w:tc>
          <w:tcPr>
            <w:tcW w:w="960" w:type="dxa"/>
            <w:tcBorders>
              <w:top w:val="nil"/>
              <w:left w:val="nil"/>
              <w:bottom w:val="single" w:sz="4" w:space="0" w:color="auto"/>
              <w:right w:val="single" w:sz="4" w:space="0" w:color="auto"/>
            </w:tcBorders>
            <w:shd w:val="clear" w:color="auto" w:fill="auto"/>
            <w:noWrap/>
            <w:vAlign w:val="bottom"/>
            <w:hideMark/>
          </w:tcPr>
          <w:p w:rsidR="00960852" w:rsidRPr="00357346" w:rsidRDefault="00960852" w:rsidP="00960852">
            <w:pPr>
              <w:spacing w:after="0" w:line="240" w:lineRule="auto"/>
              <w:jc w:val="right"/>
              <w:rPr>
                <w:rFonts w:ascii="Arial" w:eastAsia="Times New Roman" w:hAnsi="Arial" w:cs="Arial"/>
                <w:sz w:val="20"/>
                <w:szCs w:val="20"/>
                <w:lang w:val="nl-NL" w:eastAsia="nl-NL" w:bidi="ar-SA"/>
              </w:rPr>
            </w:pPr>
            <w:r w:rsidRPr="00357346">
              <w:rPr>
                <w:rFonts w:ascii="Arial" w:eastAsia="Times New Roman" w:hAnsi="Arial" w:cs="Arial"/>
                <w:sz w:val="20"/>
                <w:szCs w:val="20"/>
                <w:lang w:val="nl-NL" w:eastAsia="nl-NL" w:bidi="ar-SA"/>
              </w:rPr>
              <w:t>0,31</w:t>
            </w:r>
          </w:p>
        </w:tc>
        <w:tc>
          <w:tcPr>
            <w:tcW w:w="960" w:type="dxa"/>
            <w:tcBorders>
              <w:top w:val="nil"/>
              <w:left w:val="nil"/>
              <w:bottom w:val="single" w:sz="4" w:space="0" w:color="auto"/>
              <w:right w:val="single" w:sz="4" w:space="0" w:color="auto"/>
            </w:tcBorders>
            <w:shd w:val="clear" w:color="auto" w:fill="auto"/>
            <w:noWrap/>
            <w:vAlign w:val="bottom"/>
            <w:hideMark/>
          </w:tcPr>
          <w:p w:rsidR="00960852" w:rsidRPr="00357346" w:rsidRDefault="00960852" w:rsidP="00960852">
            <w:pPr>
              <w:spacing w:after="0" w:line="240" w:lineRule="auto"/>
              <w:rPr>
                <w:rFonts w:ascii="Arial" w:eastAsia="Times New Roman" w:hAnsi="Arial" w:cs="Arial"/>
                <w:b/>
                <w:bCs/>
                <w:sz w:val="20"/>
                <w:szCs w:val="20"/>
                <w:lang w:val="nl-NL" w:eastAsia="nl-NL" w:bidi="ar-SA"/>
              </w:rPr>
            </w:pPr>
            <w:r w:rsidRPr="00357346">
              <w:rPr>
                <w:rFonts w:ascii="Arial" w:eastAsia="Times New Roman" w:hAnsi="Arial" w:cs="Arial"/>
                <w:b/>
                <w:bCs/>
                <w:sz w:val="20"/>
                <w:szCs w:val="20"/>
                <w:lang w:val="nl-NL" w:eastAsia="nl-NL" w:bidi="ar-SA"/>
              </w:rPr>
              <w:t>BASICR</w:t>
            </w:r>
          </w:p>
        </w:tc>
        <w:tc>
          <w:tcPr>
            <w:tcW w:w="960" w:type="dxa"/>
            <w:tcBorders>
              <w:top w:val="nil"/>
              <w:left w:val="nil"/>
              <w:bottom w:val="single" w:sz="4" w:space="0" w:color="auto"/>
              <w:right w:val="single" w:sz="4" w:space="0" w:color="auto"/>
            </w:tcBorders>
            <w:shd w:val="clear" w:color="auto" w:fill="auto"/>
            <w:noWrap/>
            <w:vAlign w:val="bottom"/>
            <w:hideMark/>
          </w:tcPr>
          <w:p w:rsidR="00960852" w:rsidRPr="00357346" w:rsidRDefault="00960852" w:rsidP="00960852">
            <w:pPr>
              <w:spacing w:after="0" w:line="240" w:lineRule="auto"/>
              <w:jc w:val="right"/>
              <w:rPr>
                <w:rFonts w:ascii="Arial" w:eastAsia="Times New Roman" w:hAnsi="Arial" w:cs="Arial"/>
                <w:sz w:val="20"/>
                <w:szCs w:val="20"/>
                <w:lang w:val="nl-NL" w:eastAsia="nl-NL" w:bidi="ar-SA"/>
              </w:rPr>
            </w:pPr>
            <w:r w:rsidRPr="00357346">
              <w:rPr>
                <w:rFonts w:ascii="Arial" w:eastAsia="Times New Roman" w:hAnsi="Arial" w:cs="Arial"/>
                <w:sz w:val="20"/>
                <w:szCs w:val="20"/>
                <w:lang w:val="nl-NL" w:eastAsia="nl-NL" w:bidi="ar-SA"/>
              </w:rPr>
              <w:t>-0,36</w:t>
            </w:r>
          </w:p>
        </w:tc>
        <w:tc>
          <w:tcPr>
            <w:tcW w:w="960" w:type="dxa"/>
            <w:tcBorders>
              <w:top w:val="nil"/>
              <w:left w:val="nil"/>
              <w:bottom w:val="single" w:sz="4" w:space="0" w:color="auto"/>
              <w:right w:val="single" w:sz="4" w:space="0" w:color="auto"/>
            </w:tcBorders>
            <w:shd w:val="clear" w:color="auto" w:fill="auto"/>
            <w:noWrap/>
            <w:vAlign w:val="bottom"/>
            <w:hideMark/>
          </w:tcPr>
          <w:p w:rsidR="00960852" w:rsidRPr="00357346" w:rsidRDefault="00960852" w:rsidP="00960852">
            <w:pPr>
              <w:spacing w:after="0" w:line="240" w:lineRule="auto"/>
              <w:jc w:val="right"/>
              <w:rPr>
                <w:rFonts w:ascii="Arial" w:eastAsia="Times New Roman" w:hAnsi="Arial" w:cs="Arial"/>
                <w:sz w:val="20"/>
                <w:szCs w:val="20"/>
                <w:lang w:val="nl-NL" w:eastAsia="nl-NL" w:bidi="ar-SA"/>
              </w:rPr>
            </w:pPr>
            <w:r w:rsidRPr="00357346">
              <w:rPr>
                <w:rFonts w:ascii="Arial" w:eastAsia="Times New Roman" w:hAnsi="Arial" w:cs="Arial"/>
                <w:sz w:val="20"/>
                <w:szCs w:val="20"/>
                <w:lang w:val="nl-NL" w:eastAsia="nl-NL" w:bidi="ar-SA"/>
              </w:rPr>
              <w:t>-0,59</w:t>
            </w:r>
          </w:p>
        </w:tc>
      </w:tr>
      <w:tr w:rsidR="00960852" w:rsidRPr="00357346" w:rsidTr="00960852">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60852" w:rsidRPr="00357346" w:rsidRDefault="00960852" w:rsidP="00960852">
            <w:pPr>
              <w:spacing w:after="0" w:line="240" w:lineRule="auto"/>
              <w:rPr>
                <w:rFonts w:ascii="Arial" w:eastAsia="Times New Roman" w:hAnsi="Arial" w:cs="Arial"/>
                <w:b/>
                <w:bCs/>
                <w:sz w:val="20"/>
                <w:szCs w:val="20"/>
                <w:lang w:val="nl-NL" w:eastAsia="nl-NL" w:bidi="ar-SA"/>
              </w:rPr>
            </w:pPr>
            <w:r w:rsidRPr="00357346">
              <w:rPr>
                <w:rFonts w:ascii="Arial" w:eastAsia="Times New Roman" w:hAnsi="Arial" w:cs="Arial"/>
                <w:b/>
                <w:bCs/>
                <w:sz w:val="20"/>
                <w:szCs w:val="20"/>
                <w:lang w:val="nl-NL" w:eastAsia="nl-NL" w:bidi="ar-SA"/>
              </w:rPr>
              <w:t>TEL</w:t>
            </w:r>
          </w:p>
        </w:tc>
        <w:tc>
          <w:tcPr>
            <w:tcW w:w="960" w:type="dxa"/>
            <w:tcBorders>
              <w:top w:val="nil"/>
              <w:left w:val="nil"/>
              <w:bottom w:val="single" w:sz="4" w:space="0" w:color="auto"/>
              <w:right w:val="single" w:sz="4" w:space="0" w:color="auto"/>
            </w:tcBorders>
            <w:shd w:val="clear" w:color="auto" w:fill="auto"/>
            <w:noWrap/>
            <w:vAlign w:val="bottom"/>
            <w:hideMark/>
          </w:tcPr>
          <w:p w:rsidR="00960852" w:rsidRPr="00357346" w:rsidRDefault="00960852" w:rsidP="00960852">
            <w:pPr>
              <w:spacing w:after="0" w:line="240" w:lineRule="auto"/>
              <w:jc w:val="right"/>
              <w:rPr>
                <w:rFonts w:ascii="Arial" w:eastAsia="Times New Roman" w:hAnsi="Arial" w:cs="Arial"/>
                <w:sz w:val="20"/>
                <w:szCs w:val="20"/>
                <w:lang w:val="nl-NL" w:eastAsia="nl-NL" w:bidi="ar-SA"/>
              </w:rPr>
            </w:pPr>
            <w:r w:rsidRPr="00357346">
              <w:rPr>
                <w:rFonts w:ascii="Arial" w:eastAsia="Times New Roman" w:hAnsi="Arial" w:cs="Arial"/>
                <w:sz w:val="20"/>
                <w:szCs w:val="20"/>
                <w:lang w:val="nl-NL" w:eastAsia="nl-NL" w:bidi="ar-SA"/>
              </w:rPr>
              <w:t>-0,45</w:t>
            </w:r>
          </w:p>
        </w:tc>
        <w:tc>
          <w:tcPr>
            <w:tcW w:w="960" w:type="dxa"/>
            <w:tcBorders>
              <w:top w:val="nil"/>
              <w:left w:val="nil"/>
              <w:bottom w:val="single" w:sz="4" w:space="0" w:color="auto"/>
              <w:right w:val="single" w:sz="4" w:space="0" w:color="auto"/>
            </w:tcBorders>
            <w:shd w:val="clear" w:color="auto" w:fill="auto"/>
            <w:noWrap/>
            <w:vAlign w:val="bottom"/>
            <w:hideMark/>
          </w:tcPr>
          <w:p w:rsidR="00960852" w:rsidRPr="00357346" w:rsidRDefault="00960852" w:rsidP="00960852">
            <w:pPr>
              <w:spacing w:after="0" w:line="240" w:lineRule="auto"/>
              <w:jc w:val="right"/>
              <w:rPr>
                <w:rFonts w:ascii="Arial" w:eastAsia="Times New Roman" w:hAnsi="Arial" w:cs="Arial"/>
                <w:sz w:val="20"/>
                <w:szCs w:val="20"/>
                <w:lang w:val="nl-NL" w:eastAsia="nl-NL" w:bidi="ar-SA"/>
              </w:rPr>
            </w:pPr>
            <w:r w:rsidRPr="00357346">
              <w:rPr>
                <w:rFonts w:ascii="Arial" w:eastAsia="Times New Roman" w:hAnsi="Arial" w:cs="Arial"/>
                <w:sz w:val="20"/>
                <w:szCs w:val="20"/>
                <w:lang w:val="nl-NL" w:eastAsia="nl-NL" w:bidi="ar-SA"/>
              </w:rPr>
              <w:t>-0,57</w:t>
            </w:r>
          </w:p>
        </w:tc>
        <w:tc>
          <w:tcPr>
            <w:tcW w:w="960" w:type="dxa"/>
            <w:tcBorders>
              <w:top w:val="nil"/>
              <w:left w:val="nil"/>
              <w:bottom w:val="single" w:sz="4" w:space="0" w:color="auto"/>
              <w:right w:val="single" w:sz="4" w:space="0" w:color="auto"/>
            </w:tcBorders>
            <w:shd w:val="clear" w:color="auto" w:fill="auto"/>
            <w:noWrap/>
            <w:vAlign w:val="bottom"/>
            <w:hideMark/>
          </w:tcPr>
          <w:p w:rsidR="00960852" w:rsidRPr="00357346" w:rsidRDefault="00960852" w:rsidP="00960852">
            <w:pPr>
              <w:spacing w:after="0" w:line="240" w:lineRule="auto"/>
              <w:rPr>
                <w:rFonts w:ascii="Arial" w:eastAsia="Times New Roman" w:hAnsi="Arial" w:cs="Arial"/>
                <w:b/>
                <w:bCs/>
                <w:sz w:val="20"/>
                <w:szCs w:val="20"/>
                <w:lang w:val="nl-NL" w:eastAsia="nl-NL" w:bidi="ar-SA"/>
              </w:rPr>
            </w:pPr>
            <w:r w:rsidRPr="00357346">
              <w:rPr>
                <w:rFonts w:ascii="Arial" w:eastAsia="Times New Roman" w:hAnsi="Arial" w:cs="Arial"/>
                <w:b/>
                <w:bCs/>
                <w:sz w:val="20"/>
                <w:szCs w:val="20"/>
                <w:lang w:val="nl-NL" w:eastAsia="nl-NL" w:bidi="ar-SA"/>
              </w:rPr>
              <w:t>CGDS</w:t>
            </w:r>
          </w:p>
        </w:tc>
        <w:tc>
          <w:tcPr>
            <w:tcW w:w="960" w:type="dxa"/>
            <w:tcBorders>
              <w:top w:val="nil"/>
              <w:left w:val="nil"/>
              <w:bottom w:val="single" w:sz="4" w:space="0" w:color="auto"/>
              <w:right w:val="single" w:sz="4" w:space="0" w:color="auto"/>
            </w:tcBorders>
            <w:shd w:val="clear" w:color="auto" w:fill="auto"/>
            <w:noWrap/>
            <w:vAlign w:val="bottom"/>
            <w:hideMark/>
          </w:tcPr>
          <w:p w:rsidR="00960852" w:rsidRPr="00357346" w:rsidRDefault="00960852" w:rsidP="00960852">
            <w:pPr>
              <w:spacing w:after="0" w:line="240" w:lineRule="auto"/>
              <w:jc w:val="right"/>
              <w:rPr>
                <w:rFonts w:ascii="Arial" w:eastAsia="Times New Roman" w:hAnsi="Arial" w:cs="Arial"/>
                <w:sz w:val="20"/>
                <w:szCs w:val="20"/>
                <w:lang w:val="nl-NL" w:eastAsia="nl-NL" w:bidi="ar-SA"/>
              </w:rPr>
            </w:pPr>
            <w:r w:rsidRPr="00357346">
              <w:rPr>
                <w:rFonts w:ascii="Arial" w:eastAsia="Times New Roman" w:hAnsi="Arial" w:cs="Arial"/>
                <w:sz w:val="20"/>
                <w:szCs w:val="20"/>
                <w:lang w:val="nl-NL" w:eastAsia="nl-NL" w:bidi="ar-SA"/>
              </w:rPr>
              <w:t>-0,16</w:t>
            </w:r>
          </w:p>
        </w:tc>
        <w:tc>
          <w:tcPr>
            <w:tcW w:w="960" w:type="dxa"/>
            <w:tcBorders>
              <w:top w:val="nil"/>
              <w:left w:val="nil"/>
              <w:bottom w:val="single" w:sz="4" w:space="0" w:color="auto"/>
              <w:right w:val="single" w:sz="4" w:space="0" w:color="auto"/>
            </w:tcBorders>
            <w:shd w:val="clear" w:color="auto" w:fill="auto"/>
            <w:noWrap/>
            <w:vAlign w:val="bottom"/>
            <w:hideMark/>
          </w:tcPr>
          <w:p w:rsidR="00960852" w:rsidRPr="00357346" w:rsidRDefault="00960852" w:rsidP="00960852">
            <w:pPr>
              <w:spacing w:after="0" w:line="240" w:lineRule="auto"/>
              <w:jc w:val="right"/>
              <w:rPr>
                <w:rFonts w:ascii="Arial" w:eastAsia="Times New Roman" w:hAnsi="Arial" w:cs="Arial"/>
                <w:sz w:val="20"/>
                <w:szCs w:val="20"/>
                <w:lang w:val="nl-NL" w:eastAsia="nl-NL" w:bidi="ar-SA"/>
              </w:rPr>
            </w:pPr>
            <w:r w:rsidRPr="00357346">
              <w:rPr>
                <w:rFonts w:ascii="Arial" w:eastAsia="Times New Roman" w:hAnsi="Arial" w:cs="Arial"/>
                <w:sz w:val="20"/>
                <w:szCs w:val="20"/>
                <w:lang w:val="nl-NL" w:eastAsia="nl-NL" w:bidi="ar-SA"/>
              </w:rPr>
              <w:t>-0,27</w:t>
            </w:r>
          </w:p>
        </w:tc>
      </w:tr>
      <w:tr w:rsidR="00960852" w:rsidRPr="00357346" w:rsidTr="00960852">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60852" w:rsidRPr="00357346" w:rsidRDefault="00960852" w:rsidP="00960852">
            <w:pPr>
              <w:spacing w:after="0" w:line="240" w:lineRule="auto"/>
              <w:rPr>
                <w:rFonts w:ascii="Arial" w:eastAsia="Times New Roman" w:hAnsi="Arial" w:cs="Arial"/>
                <w:b/>
                <w:bCs/>
                <w:sz w:val="20"/>
                <w:szCs w:val="20"/>
                <w:lang w:val="nl-NL" w:eastAsia="nl-NL" w:bidi="ar-SA"/>
              </w:rPr>
            </w:pPr>
            <w:r w:rsidRPr="00357346">
              <w:rPr>
                <w:rFonts w:ascii="Arial" w:eastAsia="Times New Roman" w:hAnsi="Arial" w:cs="Arial"/>
                <w:b/>
                <w:bCs/>
                <w:sz w:val="20"/>
                <w:szCs w:val="20"/>
                <w:lang w:val="nl-NL" w:eastAsia="nl-NL" w:bidi="ar-SA"/>
              </w:rPr>
              <w:t>TECH</w:t>
            </w:r>
          </w:p>
        </w:tc>
        <w:tc>
          <w:tcPr>
            <w:tcW w:w="960" w:type="dxa"/>
            <w:tcBorders>
              <w:top w:val="nil"/>
              <w:left w:val="nil"/>
              <w:bottom w:val="single" w:sz="4" w:space="0" w:color="auto"/>
              <w:right w:val="single" w:sz="4" w:space="0" w:color="auto"/>
            </w:tcBorders>
            <w:shd w:val="clear" w:color="auto" w:fill="auto"/>
            <w:noWrap/>
            <w:vAlign w:val="bottom"/>
            <w:hideMark/>
          </w:tcPr>
          <w:p w:rsidR="00960852" w:rsidRPr="00357346" w:rsidRDefault="00960852" w:rsidP="00960852">
            <w:pPr>
              <w:spacing w:after="0" w:line="240" w:lineRule="auto"/>
              <w:jc w:val="right"/>
              <w:rPr>
                <w:rFonts w:ascii="Arial" w:eastAsia="Times New Roman" w:hAnsi="Arial" w:cs="Arial"/>
                <w:sz w:val="20"/>
                <w:szCs w:val="20"/>
                <w:lang w:val="nl-NL" w:eastAsia="nl-NL" w:bidi="ar-SA"/>
              </w:rPr>
            </w:pPr>
            <w:r w:rsidRPr="00357346">
              <w:rPr>
                <w:rFonts w:ascii="Arial" w:eastAsia="Times New Roman" w:hAnsi="Arial" w:cs="Arial"/>
                <w:sz w:val="20"/>
                <w:szCs w:val="20"/>
                <w:lang w:val="nl-NL" w:eastAsia="nl-NL" w:bidi="ar-SA"/>
              </w:rPr>
              <w:t>-0,33</w:t>
            </w:r>
          </w:p>
        </w:tc>
        <w:tc>
          <w:tcPr>
            <w:tcW w:w="960" w:type="dxa"/>
            <w:tcBorders>
              <w:top w:val="nil"/>
              <w:left w:val="nil"/>
              <w:bottom w:val="single" w:sz="4" w:space="0" w:color="auto"/>
              <w:right w:val="single" w:sz="4" w:space="0" w:color="auto"/>
            </w:tcBorders>
            <w:shd w:val="clear" w:color="auto" w:fill="auto"/>
            <w:noWrap/>
            <w:vAlign w:val="bottom"/>
            <w:hideMark/>
          </w:tcPr>
          <w:p w:rsidR="00960852" w:rsidRPr="00357346" w:rsidRDefault="00960852" w:rsidP="00960852">
            <w:pPr>
              <w:spacing w:after="0" w:line="240" w:lineRule="auto"/>
              <w:jc w:val="right"/>
              <w:rPr>
                <w:rFonts w:ascii="Arial" w:eastAsia="Times New Roman" w:hAnsi="Arial" w:cs="Arial"/>
                <w:sz w:val="20"/>
                <w:szCs w:val="20"/>
                <w:lang w:val="nl-NL" w:eastAsia="nl-NL" w:bidi="ar-SA"/>
              </w:rPr>
            </w:pPr>
            <w:r w:rsidRPr="00357346">
              <w:rPr>
                <w:rFonts w:ascii="Arial" w:eastAsia="Times New Roman" w:hAnsi="Arial" w:cs="Arial"/>
                <w:sz w:val="20"/>
                <w:szCs w:val="20"/>
                <w:lang w:val="nl-NL" w:eastAsia="nl-NL" w:bidi="ar-SA"/>
              </w:rPr>
              <w:t>-0,39</w:t>
            </w:r>
          </w:p>
        </w:tc>
        <w:tc>
          <w:tcPr>
            <w:tcW w:w="960" w:type="dxa"/>
            <w:tcBorders>
              <w:top w:val="nil"/>
              <w:left w:val="nil"/>
              <w:bottom w:val="single" w:sz="4" w:space="0" w:color="auto"/>
              <w:right w:val="single" w:sz="4" w:space="0" w:color="auto"/>
            </w:tcBorders>
            <w:shd w:val="clear" w:color="auto" w:fill="auto"/>
            <w:noWrap/>
            <w:vAlign w:val="bottom"/>
            <w:hideMark/>
          </w:tcPr>
          <w:p w:rsidR="00960852" w:rsidRPr="00357346" w:rsidRDefault="00960852" w:rsidP="00960852">
            <w:pPr>
              <w:spacing w:after="0" w:line="240" w:lineRule="auto"/>
              <w:rPr>
                <w:rFonts w:ascii="Arial" w:eastAsia="Times New Roman" w:hAnsi="Arial" w:cs="Arial"/>
                <w:b/>
                <w:bCs/>
                <w:sz w:val="20"/>
                <w:szCs w:val="20"/>
                <w:lang w:val="nl-NL" w:eastAsia="nl-NL" w:bidi="ar-SA"/>
              </w:rPr>
            </w:pPr>
            <w:r w:rsidRPr="00357346">
              <w:rPr>
                <w:rFonts w:ascii="Arial" w:eastAsia="Times New Roman" w:hAnsi="Arial" w:cs="Arial"/>
                <w:b/>
                <w:bCs/>
                <w:sz w:val="20"/>
                <w:szCs w:val="20"/>
                <w:lang w:val="nl-NL" w:eastAsia="nl-NL" w:bidi="ar-SA"/>
              </w:rPr>
              <w:t>CSVS</w:t>
            </w:r>
          </w:p>
        </w:tc>
        <w:tc>
          <w:tcPr>
            <w:tcW w:w="960" w:type="dxa"/>
            <w:tcBorders>
              <w:top w:val="nil"/>
              <w:left w:val="nil"/>
              <w:bottom w:val="single" w:sz="4" w:space="0" w:color="auto"/>
              <w:right w:val="single" w:sz="4" w:space="0" w:color="auto"/>
            </w:tcBorders>
            <w:shd w:val="clear" w:color="auto" w:fill="auto"/>
            <w:noWrap/>
            <w:vAlign w:val="bottom"/>
            <w:hideMark/>
          </w:tcPr>
          <w:p w:rsidR="00960852" w:rsidRPr="00357346" w:rsidRDefault="00960852" w:rsidP="00960852">
            <w:pPr>
              <w:spacing w:after="0" w:line="240" w:lineRule="auto"/>
              <w:jc w:val="right"/>
              <w:rPr>
                <w:rFonts w:ascii="Arial" w:eastAsia="Times New Roman" w:hAnsi="Arial" w:cs="Arial"/>
                <w:sz w:val="20"/>
                <w:szCs w:val="20"/>
                <w:lang w:val="nl-NL" w:eastAsia="nl-NL" w:bidi="ar-SA"/>
              </w:rPr>
            </w:pPr>
            <w:r w:rsidRPr="00357346">
              <w:rPr>
                <w:rFonts w:ascii="Arial" w:eastAsia="Times New Roman" w:hAnsi="Arial" w:cs="Arial"/>
                <w:sz w:val="20"/>
                <w:szCs w:val="20"/>
                <w:lang w:val="nl-NL" w:eastAsia="nl-NL" w:bidi="ar-SA"/>
              </w:rPr>
              <w:t>-0,36</w:t>
            </w:r>
          </w:p>
        </w:tc>
        <w:tc>
          <w:tcPr>
            <w:tcW w:w="960" w:type="dxa"/>
            <w:tcBorders>
              <w:top w:val="nil"/>
              <w:left w:val="nil"/>
              <w:bottom w:val="single" w:sz="4" w:space="0" w:color="auto"/>
              <w:right w:val="single" w:sz="4" w:space="0" w:color="auto"/>
            </w:tcBorders>
            <w:shd w:val="clear" w:color="auto" w:fill="auto"/>
            <w:noWrap/>
            <w:vAlign w:val="bottom"/>
            <w:hideMark/>
          </w:tcPr>
          <w:p w:rsidR="00960852" w:rsidRPr="00357346" w:rsidRDefault="00960852" w:rsidP="00960852">
            <w:pPr>
              <w:spacing w:after="0" w:line="240" w:lineRule="auto"/>
              <w:jc w:val="right"/>
              <w:rPr>
                <w:rFonts w:ascii="Arial" w:eastAsia="Times New Roman" w:hAnsi="Arial" w:cs="Arial"/>
                <w:sz w:val="20"/>
                <w:szCs w:val="20"/>
                <w:lang w:val="nl-NL" w:eastAsia="nl-NL" w:bidi="ar-SA"/>
              </w:rPr>
            </w:pPr>
            <w:r w:rsidRPr="00357346">
              <w:rPr>
                <w:rFonts w:ascii="Arial" w:eastAsia="Times New Roman" w:hAnsi="Arial" w:cs="Arial"/>
                <w:sz w:val="20"/>
                <w:szCs w:val="20"/>
                <w:lang w:val="nl-NL" w:eastAsia="nl-NL" w:bidi="ar-SA"/>
              </w:rPr>
              <w:t>0,58</w:t>
            </w:r>
          </w:p>
        </w:tc>
      </w:tr>
      <w:tr w:rsidR="00960852" w:rsidRPr="00357346" w:rsidTr="00960852">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60852" w:rsidRPr="00357346" w:rsidRDefault="00960852" w:rsidP="00960852">
            <w:pPr>
              <w:spacing w:after="0" w:line="240" w:lineRule="auto"/>
              <w:rPr>
                <w:rFonts w:ascii="Arial" w:eastAsia="Times New Roman" w:hAnsi="Arial" w:cs="Arial"/>
                <w:b/>
                <w:bCs/>
                <w:sz w:val="20"/>
                <w:szCs w:val="20"/>
                <w:lang w:val="nl-NL" w:eastAsia="nl-NL" w:bidi="ar-SA"/>
              </w:rPr>
            </w:pPr>
            <w:r w:rsidRPr="00357346">
              <w:rPr>
                <w:rFonts w:ascii="Arial" w:eastAsia="Times New Roman" w:hAnsi="Arial" w:cs="Arial"/>
                <w:b/>
                <w:bCs/>
                <w:sz w:val="20"/>
                <w:szCs w:val="20"/>
                <w:lang w:val="nl-NL" w:eastAsia="nl-NL" w:bidi="ar-SA"/>
              </w:rPr>
              <w:t>OIG</w:t>
            </w:r>
          </w:p>
        </w:tc>
        <w:tc>
          <w:tcPr>
            <w:tcW w:w="960" w:type="dxa"/>
            <w:tcBorders>
              <w:top w:val="nil"/>
              <w:left w:val="nil"/>
              <w:bottom w:val="single" w:sz="4" w:space="0" w:color="auto"/>
              <w:right w:val="single" w:sz="4" w:space="0" w:color="auto"/>
            </w:tcBorders>
            <w:shd w:val="clear" w:color="auto" w:fill="auto"/>
            <w:noWrap/>
            <w:vAlign w:val="bottom"/>
            <w:hideMark/>
          </w:tcPr>
          <w:p w:rsidR="00960852" w:rsidRPr="00357346" w:rsidRDefault="00960852" w:rsidP="00960852">
            <w:pPr>
              <w:spacing w:after="0" w:line="240" w:lineRule="auto"/>
              <w:jc w:val="right"/>
              <w:rPr>
                <w:rFonts w:ascii="Arial" w:eastAsia="Times New Roman" w:hAnsi="Arial" w:cs="Arial"/>
                <w:sz w:val="20"/>
                <w:szCs w:val="20"/>
                <w:lang w:val="nl-NL" w:eastAsia="nl-NL" w:bidi="ar-SA"/>
              </w:rPr>
            </w:pPr>
            <w:r w:rsidRPr="00357346">
              <w:rPr>
                <w:rFonts w:ascii="Arial" w:eastAsia="Times New Roman" w:hAnsi="Arial" w:cs="Arial"/>
                <w:sz w:val="20"/>
                <w:szCs w:val="20"/>
                <w:lang w:val="nl-NL" w:eastAsia="nl-NL" w:bidi="ar-SA"/>
              </w:rPr>
              <w:t>0,83</w:t>
            </w:r>
          </w:p>
        </w:tc>
        <w:tc>
          <w:tcPr>
            <w:tcW w:w="960" w:type="dxa"/>
            <w:tcBorders>
              <w:top w:val="nil"/>
              <w:left w:val="nil"/>
              <w:bottom w:val="single" w:sz="4" w:space="0" w:color="auto"/>
              <w:right w:val="single" w:sz="4" w:space="0" w:color="auto"/>
            </w:tcBorders>
            <w:shd w:val="clear" w:color="auto" w:fill="auto"/>
            <w:noWrap/>
            <w:vAlign w:val="bottom"/>
            <w:hideMark/>
          </w:tcPr>
          <w:p w:rsidR="00960852" w:rsidRPr="00357346" w:rsidRDefault="00960852" w:rsidP="00960852">
            <w:pPr>
              <w:spacing w:after="0" w:line="240" w:lineRule="auto"/>
              <w:jc w:val="right"/>
              <w:rPr>
                <w:rFonts w:ascii="Arial" w:eastAsia="Times New Roman" w:hAnsi="Arial" w:cs="Arial"/>
                <w:sz w:val="20"/>
                <w:szCs w:val="20"/>
                <w:lang w:val="nl-NL" w:eastAsia="nl-NL" w:bidi="ar-SA"/>
              </w:rPr>
            </w:pPr>
            <w:r w:rsidRPr="00357346">
              <w:rPr>
                <w:rFonts w:ascii="Arial" w:eastAsia="Times New Roman" w:hAnsi="Arial" w:cs="Arial"/>
                <w:sz w:val="20"/>
                <w:szCs w:val="20"/>
                <w:lang w:val="nl-NL" w:eastAsia="nl-NL" w:bidi="ar-SA"/>
              </w:rPr>
              <w:t>0,77</w:t>
            </w:r>
          </w:p>
        </w:tc>
        <w:tc>
          <w:tcPr>
            <w:tcW w:w="960" w:type="dxa"/>
            <w:tcBorders>
              <w:top w:val="nil"/>
              <w:left w:val="nil"/>
              <w:bottom w:val="single" w:sz="4" w:space="0" w:color="auto"/>
              <w:right w:val="single" w:sz="4" w:space="0" w:color="auto"/>
            </w:tcBorders>
            <w:shd w:val="clear" w:color="auto" w:fill="auto"/>
            <w:noWrap/>
            <w:vAlign w:val="bottom"/>
            <w:hideMark/>
          </w:tcPr>
          <w:p w:rsidR="00960852" w:rsidRPr="00357346" w:rsidRDefault="00960852" w:rsidP="00960852">
            <w:pPr>
              <w:spacing w:after="0" w:line="240" w:lineRule="auto"/>
              <w:rPr>
                <w:rFonts w:ascii="Arial" w:eastAsia="Times New Roman" w:hAnsi="Arial" w:cs="Arial"/>
                <w:b/>
                <w:bCs/>
                <w:sz w:val="20"/>
                <w:szCs w:val="20"/>
                <w:lang w:val="nl-NL" w:eastAsia="nl-NL" w:bidi="ar-SA"/>
              </w:rPr>
            </w:pPr>
            <w:r w:rsidRPr="00357346">
              <w:rPr>
                <w:rFonts w:ascii="Arial" w:eastAsia="Times New Roman" w:hAnsi="Arial" w:cs="Arial"/>
                <w:b/>
                <w:bCs/>
                <w:sz w:val="20"/>
                <w:szCs w:val="20"/>
                <w:lang w:val="nl-NL" w:eastAsia="nl-NL" w:bidi="ar-SA"/>
              </w:rPr>
              <w:t>FSVS</w:t>
            </w:r>
          </w:p>
        </w:tc>
        <w:tc>
          <w:tcPr>
            <w:tcW w:w="960" w:type="dxa"/>
            <w:tcBorders>
              <w:top w:val="nil"/>
              <w:left w:val="nil"/>
              <w:bottom w:val="single" w:sz="4" w:space="0" w:color="auto"/>
              <w:right w:val="single" w:sz="4" w:space="0" w:color="auto"/>
            </w:tcBorders>
            <w:shd w:val="clear" w:color="auto" w:fill="auto"/>
            <w:noWrap/>
            <w:vAlign w:val="bottom"/>
            <w:hideMark/>
          </w:tcPr>
          <w:p w:rsidR="00960852" w:rsidRPr="00357346" w:rsidRDefault="00960852" w:rsidP="00960852">
            <w:pPr>
              <w:spacing w:after="0" w:line="240" w:lineRule="auto"/>
              <w:jc w:val="right"/>
              <w:rPr>
                <w:rFonts w:ascii="Arial" w:eastAsia="Times New Roman" w:hAnsi="Arial" w:cs="Arial"/>
                <w:sz w:val="20"/>
                <w:szCs w:val="20"/>
                <w:lang w:val="nl-NL" w:eastAsia="nl-NL" w:bidi="ar-SA"/>
              </w:rPr>
            </w:pPr>
            <w:r w:rsidRPr="00357346">
              <w:rPr>
                <w:rFonts w:ascii="Arial" w:eastAsia="Times New Roman" w:hAnsi="Arial" w:cs="Arial"/>
                <w:sz w:val="20"/>
                <w:szCs w:val="20"/>
                <w:lang w:val="nl-NL" w:eastAsia="nl-NL" w:bidi="ar-SA"/>
              </w:rPr>
              <w:t>-0,49</w:t>
            </w:r>
          </w:p>
        </w:tc>
        <w:tc>
          <w:tcPr>
            <w:tcW w:w="960" w:type="dxa"/>
            <w:tcBorders>
              <w:top w:val="nil"/>
              <w:left w:val="nil"/>
              <w:bottom w:val="single" w:sz="4" w:space="0" w:color="auto"/>
              <w:right w:val="single" w:sz="4" w:space="0" w:color="auto"/>
            </w:tcBorders>
            <w:shd w:val="clear" w:color="auto" w:fill="auto"/>
            <w:noWrap/>
            <w:vAlign w:val="bottom"/>
            <w:hideMark/>
          </w:tcPr>
          <w:p w:rsidR="00960852" w:rsidRPr="00357346" w:rsidRDefault="00960852" w:rsidP="00960852">
            <w:pPr>
              <w:spacing w:after="0" w:line="240" w:lineRule="auto"/>
              <w:jc w:val="right"/>
              <w:rPr>
                <w:rFonts w:ascii="Arial" w:eastAsia="Times New Roman" w:hAnsi="Arial" w:cs="Arial"/>
                <w:sz w:val="20"/>
                <w:szCs w:val="20"/>
                <w:lang w:val="nl-NL" w:eastAsia="nl-NL" w:bidi="ar-SA"/>
              </w:rPr>
            </w:pPr>
            <w:r w:rsidRPr="00357346">
              <w:rPr>
                <w:rFonts w:ascii="Arial" w:eastAsia="Times New Roman" w:hAnsi="Arial" w:cs="Arial"/>
                <w:sz w:val="20"/>
                <w:szCs w:val="20"/>
                <w:lang w:val="nl-NL" w:eastAsia="nl-NL" w:bidi="ar-SA"/>
              </w:rPr>
              <w:t>-0,21</w:t>
            </w:r>
          </w:p>
        </w:tc>
      </w:tr>
      <w:tr w:rsidR="00960852" w:rsidRPr="00357346" w:rsidTr="00960852">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60852" w:rsidRPr="00357346" w:rsidRDefault="00960852" w:rsidP="00960852">
            <w:pPr>
              <w:spacing w:after="0" w:line="240" w:lineRule="auto"/>
              <w:rPr>
                <w:rFonts w:ascii="Arial" w:eastAsia="Times New Roman" w:hAnsi="Arial" w:cs="Arial"/>
                <w:b/>
                <w:bCs/>
                <w:sz w:val="20"/>
                <w:szCs w:val="20"/>
                <w:lang w:val="nl-NL" w:eastAsia="nl-NL" w:bidi="ar-SA"/>
              </w:rPr>
            </w:pPr>
            <w:r w:rsidRPr="00357346">
              <w:rPr>
                <w:rFonts w:ascii="Arial" w:eastAsia="Times New Roman" w:hAnsi="Arial" w:cs="Arial"/>
                <w:b/>
                <w:bCs/>
                <w:sz w:val="20"/>
                <w:szCs w:val="20"/>
                <w:lang w:val="nl-NL" w:eastAsia="nl-NL" w:bidi="ar-SA"/>
              </w:rPr>
              <w:t>IND</w:t>
            </w:r>
          </w:p>
        </w:tc>
        <w:tc>
          <w:tcPr>
            <w:tcW w:w="960" w:type="dxa"/>
            <w:tcBorders>
              <w:top w:val="nil"/>
              <w:left w:val="nil"/>
              <w:bottom w:val="single" w:sz="4" w:space="0" w:color="auto"/>
              <w:right w:val="single" w:sz="4" w:space="0" w:color="auto"/>
            </w:tcBorders>
            <w:shd w:val="clear" w:color="auto" w:fill="auto"/>
            <w:noWrap/>
            <w:vAlign w:val="bottom"/>
            <w:hideMark/>
          </w:tcPr>
          <w:p w:rsidR="00960852" w:rsidRPr="00357346" w:rsidRDefault="00960852" w:rsidP="00960852">
            <w:pPr>
              <w:spacing w:after="0" w:line="240" w:lineRule="auto"/>
              <w:jc w:val="right"/>
              <w:rPr>
                <w:rFonts w:ascii="Arial" w:eastAsia="Times New Roman" w:hAnsi="Arial" w:cs="Arial"/>
                <w:sz w:val="20"/>
                <w:szCs w:val="20"/>
                <w:lang w:val="nl-NL" w:eastAsia="nl-NL" w:bidi="ar-SA"/>
              </w:rPr>
            </w:pPr>
            <w:r w:rsidRPr="00357346">
              <w:rPr>
                <w:rFonts w:ascii="Arial" w:eastAsia="Times New Roman" w:hAnsi="Arial" w:cs="Arial"/>
                <w:sz w:val="20"/>
                <w:szCs w:val="20"/>
                <w:lang w:val="nl-NL" w:eastAsia="nl-NL" w:bidi="ar-SA"/>
              </w:rPr>
              <w:t>0,33</w:t>
            </w:r>
          </w:p>
        </w:tc>
        <w:tc>
          <w:tcPr>
            <w:tcW w:w="960" w:type="dxa"/>
            <w:tcBorders>
              <w:top w:val="nil"/>
              <w:left w:val="nil"/>
              <w:bottom w:val="single" w:sz="4" w:space="0" w:color="auto"/>
              <w:right w:val="single" w:sz="4" w:space="0" w:color="auto"/>
            </w:tcBorders>
            <w:shd w:val="clear" w:color="auto" w:fill="auto"/>
            <w:noWrap/>
            <w:vAlign w:val="bottom"/>
            <w:hideMark/>
          </w:tcPr>
          <w:p w:rsidR="00960852" w:rsidRPr="00357346" w:rsidRDefault="00960852" w:rsidP="00960852">
            <w:pPr>
              <w:spacing w:after="0" w:line="240" w:lineRule="auto"/>
              <w:jc w:val="right"/>
              <w:rPr>
                <w:rFonts w:ascii="Arial" w:eastAsia="Times New Roman" w:hAnsi="Arial" w:cs="Arial"/>
                <w:sz w:val="20"/>
                <w:szCs w:val="20"/>
                <w:lang w:val="nl-NL" w:eastAsia="nl-NL" w:bidi="ar-SA"/>
              </w:rPr>
            </w:pPr>
            <w:r w:rsidRPr="00357346">
              <w:rPr>
                <w:rFonts w:ascii="Arial" w:eastAsia="Times New Roman" w:hAnsi="Arial" w:cs="Arial"/>
                <w:sz w:val="20"/>
                <w:szCs w:val="20"/>
                <w:lang w:val="nl-NL" w:eastAsia="nl-NL" w:bidi="ar-SA"/>
              </w:rPr>
              <w:t>0,19</w:t>
            </w:r>
          </w:p>
        </w:tc>
        <w:tc>
          <w:tcPr>
            <w:tcW w:w="960" w:type="dxa"/>
            <w:tcBorders>
              <w:top w:val="nil"/>
              <w:left w:val="nil"/>
              <w:bottom w:val="single" w:sz="4" w:space="0" w:color="auto"/>
              <w:right w:val="single" w:sz="4" w:space="0" w:color="auto"/>
            </w:tcBorders>
            <w:shd w:val="clear" w:color="auto" w:fill="auto"/>
            <w:noWrap/>
            <w:vAlign w:val="bottom"/>
            <w:hideMark/>
          </w:tcPr>
          <w:p w:rsidR="00960852" w:rsidRPr="00357346" w:rsidRDefault="00960852" w:rsidP="00960852">
            <w:pPr>
              <w:spacing w:after="0" w:line="240" w:lineRule="auto"/>
              <w:rPr>
                <w:rFonts w:ascii="Arial" w:eastAsia="Times New Roman" w:hAnsi="Arial" w:cs="Arial"/>
                <w:b/>
                <w:bCs/>
                <w:sz w:val="20"/>
                <w:szCs w:val="20"/>
                <w:lang w:val="nl-NL" w:eastAsia="nl-NL" w:bidi="ar-SA"/>
              </w:rPr>
            </w:pPr>
            <w:r w:rsidRPr="00357346">
              <w:rPr>
                <w:rFonts w:ascii="Arial" w:eastAsia="Times New Roman" w:hAnsi="Arial" w:cs="Arial"/>
                <w:b/>
                <w:bCs/>
                <w:sz w:val="20"/>
                <w:szCs w:val="20"/>
                <w:lang w:val="nl-NL" w:eastAsia="nl-NL" w:bidi="ar-SA"/>
              </w:rPr>
              <w:t>HC</w:t>
            </w:r>
          </w:p>
        </w:tc>
        <w:tc>
          <w:tcPr>
            <w:tcW w:w="960" w:type="dxa"/>
            <w:tcBorders>
              <w:top w:val="nil"/>
              <w:left w:val="nil"/>
              <w:bottom w:val="single" w:sz="4" w:space="0" w:color="auto"/>
              <w:right w:val="single" w:sz="4" w:space="0" w:color="auto"/>
            </w:tcBorders>
            <w:shd w:val="clear" w:color="auto" w:fill="auto"/>
            <w:noWrap/>
            <w:vAlign w:val="bottom"/>
            <w:hideMark/>
          </w:tcPr>
          <w:p w:rsidR="00960852" w:rsidRPr="00357346" w:rsidRDefault="00960852" w:rsidP="00960852">
            <w:pPr>
              <w:spacing w:after="0" w:line="240" w:lineRule="auto"/>
              <w:jc w:val="right"/>
              <w:rPr>
                <w:rFonts w:ascii="Arial" w:eastAsia="Times New Roman" w:hAnsi="Arial" w:cs="Arial"/>
                <w:sz w:val="20"/>
                <w:szCs w:val="20"/>
                <w:lang w:val="nl-NL" w:eastAsia="nl-NL" w:bidi="ar-SA"/>
              </w:rPr>
            </w:pPr>
            <w:r w:rsidRPr="00357346">
              <w:rPr>
                <w:rFonts w:ascii="Arial" w:eastAsia="Times New Roman" w:hAnsi="Arial" w:cs="Arial"/>
                <w:sz w:val="20"/>
                <w:szCs w:val="20"/>
                <w:lang w:val="nl-NL" w:eastAsia="nl-NL" w:bidi="ar-SA"/>
              </w:rPr>
              <w:t>-0,11</w:t>
            </w:r>
          </w:p>
        </w:tc>
        <w:tc>
          <w:tcPr>
            <w:tcW w:w="960" w:type="dxa"/>
            <w:tcBorders>
              <w:top w:val="nil"/>
              <w:left w:val="nil"/>
              <w:bottom w:val="single" w:sz="4" w:space="0" w:color="auto"/>
              <w:right w:val="single" w:sz="4" w:space="0" w:color="auto"/>
            </w:tcBorders>
            <w:shd w:val="clear" w:color="auto" w:fill="auto"/>
            <w:noWrap/>
            <w:vAlign w:val="bottom"/>
            <w:hideMark/>
          </w:tcPr>
          <w:p w:rsidR="00960852" w:rsidRPr="00357346" w:rsidRDefault="00960852" w:rsidP="00960852">
            <w:pPr>
              <w:spacing w:after="0" w:line="240" w:lineRule="auto"/>
              <w:jc w:val="right"/>
              <w:rPr>
                <w:rFonts w:ascii="Arial" w:eastAsia="Times New Roman" w:hAnsi="Arial" w:cs="Arial"/>
                <w:sz w:val="20"/>
                <w:szCs w:val="20"/>
                <w:lang w:val="nl-NL" w:eastAsia="nl-NL" w:bidi="ar-SA"/>
              </w:rPr>
            </w:pPr>
            <w:r w:rsidRPr="00357346">
              <w:rPr>
                <w:rFonts w:ascii="Arial" w:eastAsia="Times New Roman" w:hAnsi="Arial" w:cs="Arial"/>
                <w:sz w:val="20"/>
                <w:szCs w:val="20"/>
                <w:lang w:val="nl-NL" w:eastAsia="nl-NL" w:bidi="ar-SA"/>
              </w:rPr>
              <w:t>-0,20</w:t>
            </w:r>
          </w:p>
        </w:tc>
      </w:tr>
      <w:tr w:rsidR="00960852" w:rsidRPr="00357346" w:rsidTr="00960852">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60852" w:rsidRPr="00357346" w:rsidRDefault="00960852" w:rsidP="00960852">
            <w:pPr>
              <w:spacing w:after="0" w:line="240" w:lineRule="auto"/>
              <w:rPr>
                <w:rFonts w:ascii="Arial" w:eastAsia="Times New Roman" w:hAnsi="Arial" w:cs="Arial"/>
                <w:b/>
                <w:bCs/>
                <w:sz w:val="20"/>
                <w:szCs w:val="20"/>
                <w:lang w:val="nl-NL" w:eastAsia="nl-NL" w:bidi="ar-SA"/>
              </w:rPr>
            </w:pPr>
            <w:r w:rsidRPr="00357346">
              <w:rPr>
                <w:rFonts w:ascii="Arial" w:eastAsia="Times New Roman" w:hAnsi="Arial" w:cs="Arial"/>
                <w:b/>
                <w:bCs/>
                <w:sz w:val="20"/>
                <w:szCs w:val="20"/>
                <w:lang w:val="nl-NL" w:eastAsia="nl-NL" w:bidi="ar-SA"/>
              </w:rPr>
              <w:t>HC</w:t>
            </w:r>
          </w:p>
        </w:tc>
        <w:tc>
          <w:tcPr>
            <w:tcW w:w="960" w:type="dxa"/>
            <w:tcBorders>
              <w:top w:val="nil"/>
              <w:left w:val="nil"/>
              <w:bottom w:val="single" w:sz="4" w:space="0" w:color="auto"/>
              <w:right w:val="single" w:sz="4" w:space="0" w:color="auto"/>
            </w:tcBorders>
            <w:shd w:val="clear" w:color="auto" w:fill="auto"/>
            <w:noWrap/>
            <w:vAlign w:val="bottom"/>
            <w:hideMark/>
          </w:tcPr>
          <w:p w:rsidR="00960852" w:rsidRPr="00357346" w:rsidRDefault="00960852" w:rsidP="00960852">
            <w:pPr>
              <w:spacing w:after="0" w:line="240" w:lineRule="auto"/>
              <w:jc w:val="right"/>
              <w:rPr>
                <w:rFonts w:ascii="Arial" w:eastAsia="Times New Roman" w:hAnsi="Arial" w:cs="Arial"/>
                <w:sz w:val="20"/>
                <w:szCs w:val="20"/>
                <w:lang w:val="nl-NL" w:eastAsia="nl-NL" w:bidi="ar-SA"/>
              </w:rPr>
            </w:pPr>
            <w:r w:rsidRPr="00357346">
              <w:rPr>
                <w:rFonts w:ascii="Arial" w:eastAsia="Times New Roman" w:hAnsi="Arial" w:cs="Arial"/>
                <w:sz w:val="20"/>
                <w:szCs w:val="20"/>
                <w:lang w:val="nl-NL" w:eastAsia="nl-NL" w:bidi="ar-SA"/>
              </w:rPr>
              <w:t>0,29</w:t>
            </w:r>
          </w:p>
        </w:tc>
        <w:tc>
          <w:tcPr>
            <w:tcW w:w="960" w:type="dxa"/>
            <w:tcBorders>
              <w:top w:val="nil"/>
              <w:left w:val="nil"/>
              <w:bottom w:val="single" w:sz="4" w:space="0" w:color="auto"/>
              <w:right w:val="single" w:sz="4" w:space="0" w:color="auto"/>
            </w:tcBorders>
            <w:shd w:val="clear" w:color="auto" w:fill="auto"/>
            <w:noWrap/>
            <w:vAlign w:val="bottom"/>
            <w:hideMark/>
          </w:tcPr>
          <w:p w:rsidR="00960852" w:rsidRPr="00357346" w:rsidRDefault="00960852" w:rsidP="00960852">
            <w:pPr>
              <w:spacing w:after="0" w:line="240" w:lineRule="auto"/>
              <w:jc w:val="right"/>
              <w:rPr>
                <w:rFonts w:ascii="Arial" w:eastAsia="Times New Roman" w:hAnsi="Arial" w:cs="Arial"/>
                <w:sz w:val="20"/>
                <w:szCs w:val="20"/>
                <w:lang w:val="nl-NL" w:eastAsia="nl-NL" w:bidi="ar-SA"/>
              </w:rPr>
            </w:pPr>
            <w:r w:rsidRPr="00357346">
              <w:rPr>
                <w:rFonts w:ascii="Arial" w:eastAsia="Times New Roman" w:hAnsi="Arial" w:cs="Arial"/>
                <w:sz w:val="20"/>
                <w:szCs w:val="20"/>
                <w:lang w:val="nl-NL" w:eastAsia="nl-NL" w:bidi="ar-SA"/>
              </w:rPr>
              <w:t>0,21</w:t>
            </w:r>
          </w:p>
        </w:tc>
        <w:tc>
          <w:tcPr>
            <w:tcW w:w="960" w:type="dxa"/>
            <w:tcBorders>
              <w:top w:val="nil"/>
              <w:left w:val="nil"/>
              <w:bottom w:val="single" w:sz="4" w:space="0" w:color="auto"/>
              <w:right w:val="single" w:sz="4" w:space="0" w:color="auto"/>
            </w:tcBorders>
            <w:shd w:val="clear" w:color="auto" w:fill="auto"/>
            <w:noWrap/>
            <w:vAlign w:val="bottom"/>
            <w:hideMark/>
          </w:tcPr>
          <w:p w:rsidR="00960852" w:rsidRPr="00357346" w:rsidRDefault="00960852" w:rsidP="00960852">
            <w:pPr>
              <w:spacing w:after="0" w:line="240" w:lineRule="auto"/>
              <w:rPr>
                <w:rFonts w:ascii="Arial" w:eastAsia="Times New Roman" w:hAnsi="Arial" w:cs="Arial"/>
                <w:b/>
                <w:bCs/>
                <w:sz w:val="20"/>
                <w:szCs w:val="20"/>
                <w:lang w:val="nl-NL" w:eastAsia="nl-NL" w:bidi="ar-SA"/>
              </w:rPr>
            </w:pPr>
            <w:r w:rsidRPr="00357346">
              <w:rPr>
                <w:rFonts w:ascii="Arial" w:eastAsia="Times New Roman" w:hAnsi="Arial" w:cs="Arial"/>
                <w:b/>
                <w:bCs/>
                <w:sz w:val="20"/>
                <w:szCs w:val="20"/>
                <w:lang w:val="nl-NL" w:eastAsia="nl-NL" w:bidi="ar-SA"/>
              </w:rPr>
              <w:t>IND</w:t>
            </w:r>
          </w:p>
        </w:tc>
        <w:tc>
          <w:tcPr>
            <w:tcW w:w="960" w:type="dxa"/>
            <w:tcBorders>
              <w:top w:val="nil"/>
              <w:left w:val="nil"/>
              <w:bottom w:val="single" w:sz="4" w:space="0" w:color="auto"/>
              <w:right w:val="single" w:sz="4" w:space="0" w:color="auto"/>
            </w:tcBorders>
            <w:shd w:val="clear" w:color="auto" w:fill="auto"/>
            <w:noWrap/>
            <w:vAlign w:val="bottom"/>
            <w:hideMark/>
          </w:tcPr>
          <w:p w:rsidR="00960852" w:rsidRPr="00357346" w:rsidRDefault="00960852" w:rsidP="00960852">
            <w:pPr>
              <w:spacing w:after="0" w:line="240" w:lineRule="auto"/>
              <w:jc w:val="right"/>
              <w:rPr>
                <w:rFonts w:ascii="Arial" w:eastAsia="Times New Roman" w:hAnsi="Arial" w:cs="Arial"/>
                <w:sz w:val="20"/>
                <w:szCs w:val="20"/>
                <w:lang w:val="nl-NL" w:eastAsia="nl-NL" w:bidi="ar-SA"/>
              </w:rPr>
            </w:pPr>
            <w:r w:rsidRPr="00357346">
              <w:rPr>
                <w:rFonts w:ascii="Arial" w:eastAsia="Times New Roman" w:hAnsi="Arial" w:cs="Arial"/>
                <w:sz w:val="20"/>
                <w:szCs w:val="20"/>
                <w:lang w:val="nl-NL" w:eastAsia="nl-NL" w:bidi="ar-SA"/>
              </w:rPr>
              <w:t>-0,22</w:t>
            </w:r>
          </w:p>
        </w:tc>
        <w:tc>
          <w:tcPr>
            <w:tcW w:w="960" w:type="dxa"/>
            <w:tcBorders>
              <w:top w:val="nil"/>
              <w:left w:val="nil"/>
              <w:bottom w:val="single" w:sz="4" w:space="0" w:color="auto"/>
              <w:right w:val="single" w:sz="4" w:space="0" w:color="auto"/>
            </w:tcBorders>
            <w:shd w:val="clear" w:color="auto" w:fill="auto"/>
            <w:noWrap/>
            <w:vAlign w:val="bottom"/>
            <w:hideMark/>
          </w:tcPr>
          <w:p w:rsidR="00960852" w:rsidRPr="00357346" w:rsidRDefault="00960852" w:rsidP="00960852">
            <w:pPr>
              <w:spacing w:after="0" w:line="240" w:lineRule="auto"/>
              <w:jc w:val="right"/>
              <w:rPr>
                <w:rFonts w:ascii="Arial" w:eastAsia="Times New Roman" w:hAnsi="Arial" w:cs="Arial"/>
                <w:sz w:val="20"/>
                <w:szCs w:val="20"/>
                <w:lang w:val="nl-NL" w:eastAsia="nl-NL" w:bidi="ar-SA"/>
              </w:rPr>
            </w:pPr>
            <w:r w:rsidRPr="00357346">
              <w:rPr>
                <w:rFonts w:ascii="Arial" w:eastAsia="Times New Roman" w:hAnsi="Arial" w:cs="Arial"/>
                <w:sz w:val="20"/>
                <w:szCs w:val="20"/>
                <w:lang w:val="nl-NL" w:eastAsia="nl-NL" w:bidi="ar-SA"/>
              </w:rPr>
              <w:t>-0,21</w:t>
            </w:r>
          </w:p>
        </w:tc>
      </w:tr>
      <w:tr w:rsidR="00960852" w:rsidRPr="00357346" w:rsidTr="00960852">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60852" w:rsidRPr="00357346" w:rsidRDefault="00960852" w:rsidP="00960852">
            <w:pPr>
              <w:spacing w:after="0" w:line="240" w:lineRule="auto"/>
              <w:rPr>
                <w:rFonts w:ascii="Arial" w:eastAsia="Times New Roman" w:hAnsi="Arial" w:cs="Arial"/>
                <w:b/>
                <w:bCs/>
                <w:sz w:val="20"/>
                <w:szCs w:val="20"/>
                <w:lang w:val="nl-NL" w:eastAsia="nl-NL" w:bidi="ar-SA"/>
              </w:rPr>
            </w:pPr>
            <w:r w:rsidRPr="00357346">
              <w:rPr>
                <w:rFonts w:ascii="Arial" w:eastAsia="Times New Roman" w:hAnsi="Arial" w:cs="Arial"/>
                <w:b/>
                <w:bCs/>
                <w:sz w:val="20"/>
                <w:szCs w:val="20"/>
                <w:lang w:val="nl-NL" w:eastAsia="nl-NL" w:bidi="ar-SA"/>
              </w:rPr>
              <w:t>FSVS</w:t>
            </w:r>
          </w:p>
        </w:tc>
        <w:tc>
          <w:tcPr>
            <w:tcW w:w="960" w:type="dxa"/>
            <w:tcBorders>
              <w:top w:val="nil"/>
              <w:left w:val="nil"/>
              <w:bottom w:val="single" w:sz="4" w:space="0" w:color="auto"/>
              <w:right w:val="single" w:sz="4" w:space="0" w:color="auto"/>
            </w:tcBorders>
            <w:shd w:val="clear" w:color="auto" w:fill="auto"/>
            <w:noWrap/>
            <w:vAlign w:val="bottom"/>
            <w:hideMark/>
          </w:tcPr>
          <w:p w:rsidR="00960852" w:rsidRPr="00357346" w:rsidRDefault="00960852" w:rsidP="00960852">
            <w:pPr>
              <w:spacing w:after="0" w:line="240" w:lineRule="auto"/>
              <w:jc w:val="right"/>
              <w:rPr>
                <w:rFonts w:ascii="Arial" w:eastAsia="Times New Roman" w:hAnsi="Arial" w:cs="Arial"/>
                <w:sz w:val="20"/>
                <w:szCs w:val="20"/>
                <w:lang w:val="nl-NL" w:eastAsia="nl-NL" w:bidi="ar-SA"/>
              </w:rPr>
            </w:pPr>
            <w:r w:rsidRPr="00357346">
              <w:rPr>
                <w:rFonts w:ascii="Arial" w:eastAsia="Times New Roman" w:hAnsi="Arial" w:cs="Arial"/>
                <w:sz w:val="20"/>
                <w:szCs w:val="20"/>
                <w:lang w:val="nl-NL" w:eastAsia="nl-NL" w:bidi="ar-SA"/>
              </w:rPr>
              <w:t>0,13</w:t>
            </w:r>
          </w:p>
        </w:tc>
        <w:tc>
          <w:tcPr>
            <w:tcW w:w="960" w:type="dxa"/>
            <w:tcBorders>
              <w:top w:val="nil"/>
              <w:left w:val="nil"/>
              <w:bottom w:val="single" w:sz="4" w:space="0" w:color="auto"/>
              <w:right w:val="single" w:sz="4" w:space="0" w:color="auto"/>
            </w:tcBorders>
            <w:shd w:val="clear" w:color="auto" w:fill="auto"/>
            <w:noWrap/>
            <w:vAlign w:val="bottom"/>
            <w:hideMark/>
          </w:tcPr>
          <w:p w:rsidR="00960852" w:rsidRPr="00357346" w:rsidRDefault="00960852" w:rsidP="00960852">
            <w:pPr>
              <w:spacing w:after="0" w:line="240" w:lineRule="auto"/>
              <w:jc w:val="right"/>
              <w:rPr>
                <w:rFonts w:ascii="Arial" w:eastAsia="Times New Roman" w:hAnsi="Arial" w:cs="Arial"/>
                <w:sz w:val="20"/>
                <w:szCs w:val="20"/>
                <w:lang w:val="nl-NL" w:eastAsia="nl-NL" w:bidi="ar-SA"/>
              </w:rPr>
            </w:pPr>
            <w:r w:rsidRPr="00357346">
              <w:rPr>
                <w:rFonts w:ascii="Arial" w:eastAsia="Times New Roman" w:hAnsi="Arial" w:cs="Arial"/>
                <w:sz w:val="20"/>
                <w:szCs w:val="20"/>
                <w:lang w:val="nl-NL" w:eastAsia="nl-NL" w:bidi="ar-SA"/>
              </w:rPr>
              <w:t>-0,05</w:t>
            </w:r>
          </w:p>
        </w:tc>
        <w:tc>
          <w:tcPr>
            <w:tcW w:w="960" w:type="dxa"/>
            <w:tcBorders>
              <w:top w:val="nil"/>
              <w:left w:val="nil"/>
              <w:bottom w:val="single" w:sz="4" w:space="0" w:color="auto"/>
              <w:right w:val="single" w:sz="4" w:space="0" w:color="auto"/>
            </w:tcBorders>
            <w:shd w:val="clear" w:color="auto" w:fill="auto"/>
            <w:noWrap/>
            <w:vAlign w:val="bottom"/>
            <w:hideMark/>
          </w:tcPr>
          <w:p w:rsidR="00960852" w:rsidRPr="00357346" w:rsidRDefault="00960852" w:rsidP="00960852">
            <w:pPr>
              <w:spacing w:after="0" w:line="240" w:lineRule="auto"/>
              <w:rPr>
                <w:rFonts w:ascii="Arial" w:eastAsia="Times New Roman" w:hAnsi="Arial" w:cs="Arial"/>
                <w:b/>
                <w:bCs/>
                <w:sz w:val="20"/>
                <w:szCs w:val="20"/>
                <w:lang w:val="nl-NL" w:eastAsia="nl-NL" w:bidi="ar-SA"/>
              </w:rPr>
            </w:pPr>
            <w:r w:rsidRPr="00357346">
              <w:rPr>
                <w:rFonts w:ascii="Arial" w:eastAsia="Times New Roman" w:hAnsi="Arial" w:cs="Arial"/>
                <w:b/>
                <w:bCs/>
                <w:sz w:val="20"/>
                <w:szCs w:val="20"/>
                <w:lang w:val="nl-NL" w:eastAsia="nl-NL" w:bidi="ar-SA"/>
              </w:rPr>
              <w:t>OG</w:t>
            </w:r>
          </w:p>
        </w:tc>
        <w:tc>
          <w:tcPr>
            <w:tcW w:w="960" w:type="dxa"/>
            <w:tcBorders>
              <w:top w:val="nil"/>
              <w:left w:val="nil"/>
              <w:bottom w:val="single" w:sz="4" w:space="0" w:color="auto"/>
              <w:right w:val="single" w:sz="4" w:space="0" w:color="auto"/>
            </w:tcBorders>
            <w:shd w:val="clear" w:color="auto" w:fill="auto"/>
            <w:noWrap/>
            <w:vAlign w:val="bottom"/>
            <w:hideMark/>
          </w:tcPr>
          <w:p w:rsidR="00960852" w:rsidRPr="00357346" w:rsidRDefault="00960852" w:rsidP="00960852">
            <w:pPr>
              <w:spacing w:after="0" w:line="240" w:lineRule="auto"/>
              <w:jc w:val="right"/>
              <w:rPr>
                <w:rFonts w:ascii="Arial" w:eastAsia="Times New Roman" w:hAnsi="Arial" w:cs="Arial"/>
                <w:sz w:val="20"/>
                <w:szCs w:val="20"/>
                <w:lang w:val="nl-NL" w:eastAsia="nl-NL" w:bidi="ar-SA"/>
              </w:rPr>
            </w:pPr>
            <w:r w:rsidRPr="00357346">
              <w:rPr>
                <w:rFonts w:ascii="Arial" w:eastAsia="Times New Roman" w:hAnsi="Arial" w:cs="Arial"/>
                <w:sz w:val="20"/>
                <w:szCs w:val="20"/>
                <w:lang w:val="nl-NL" w:eastAsia="nl-NL" w:bidi="ar-SA"/>
              </w:rPr>
              <w:t>-0,47</w:t>
            </w:r>
          </w:p>
        </w:tc>
        <w:tc>
          <w:tcPr>
            <w:tcW w:w="960" w:type="dxa"/>
            <w:tcBorders>
              <w:top w:val="nil"/>
              <w:left w:val="nil"/>
              <w:bottom w:val="single" w:sz="4" w:space="0" w:color="auto"/>
              <w:right w:val="single" w:sz="4" w:space="0" w:color="auto"/>
            </w:tcBorders>
            <w:shd w:val="clear" w:color="auto" w:fill="auto"/>
            <w:noWrap/>
            <w:vAlign w:val="bottom"/>
            <w:hideMark/>
          </w:tcPr>
          <w:p w:rsidR="00960852" w:rsidRPr="00357346" w:rsidRDefault="00960852" w:rsidP="00960852">
            <w:pPr>
              <w:spacing w:after="0" w:line="240" w:lineRule="auto"/>
              <w:jc w:val="right"/>
              <w:rPr>
                <w:rFonts w:ascii="Arial" w:eastAsia="Times New Roman" w:hAnsi="Arial" w:cs="Arial"/>
                <w:sz w:val="20"/>
                <w:szCs w:val="20"/>
                <w:lang w:val="nl-NL" w:eastAsia="nl-NL" w:bidi="ar-SA"/>
              </w:rPr>
            </w:pPr>
            <w:r w:rsidRPr="00357346">
              <w:rPr>
                <w:rFonts w:ascii="Arial" w:eastAsia="Times New Roman" w:hAnsi="Arial" w:cs="Arial"/>
                <w:sz w:val="20"/>
                <w:szCs w:val="20"/>
                <w:lang w:val="nl-NL" w:eastAsia="nl-NL" w:bidi="ar-SA"/>
              </w:rPr>
              <w:t>-0,29</w:t>
            </w:r>
          </w:p>
        </w:tc>
      </w:tr>
      <w:tr w:rsidR="00960852" w:rsidRPr="00357346" w:rsidTr="00960852">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60852" w:rsidRPr="00357346" w:rsidRDefault="00960852" w:rsidP="00960852">
            <w:pPr>
              <w:spacing w:after="0" w:line="240" w:lineRule="auto"/>
              <w:rPr>
                <w:rFonts w:ascii="Arial" w:eastAsia="Times New Roman" w:hAnsi="Arial" w:cs="Arial"/>
                <w:b/>
                <w:bCs/>
                <w:sz w:val="20"/>
                <w:szCs w:val="20"/>
                <w:lang w:val="nl-NL" w:eastAsia="nl-NL" w:bidi="ar-SA"/>
              </w:rPr>
            </w:pPr>
            <w:r w:rsidRPr="00357346">
              <w:rPr>
                <w:rFonts w:ascii="Arial" w:eastAsia="Times New Roman" w:hAnsi="Arial" w:cs="Arial"/>
                <w:b/>
                <w:bCs/>
                <w:sz w:val="20"/>
                <w:szCs w:val="20"/>
                <w:lang w:val="nl-NL" w:eastAsia="nl-NL" w:bidi="ar-SA"/>
              </w:rPr>
              <w:t>CS</w:t>
            </w:r>
          </w:p>
        </w:tc>
        <w:tc>
          <w:tcPr>
            <w:tcW w:w="960" w:type="dxa"/>
            <w:tcBorders>
              <w:top w:val="nil"/>
              <w:left w:val="nil"/>
              <w:bottom w:val="single" w:sz="4" w:space="0" w:color="auto"/>
              <w:right w:val="single" w:sz="4" w:space="0" w:color="auto"/>
            </w:tcBorders>
            <w:shd w:val="clear" w:color="auto" w:fill="auto"/>
            <w:noWrap/>
            <w:vAlign w:val="bottom"/>
            <w:hideMark/>
          </w:tcPr>
          <w:p w:rsidR="00960852" w:rsidRPr="00357346" w:rsidRDefault="00960852" w:rsidP="00960852">
            <w:pPr>
              <w:spacing w:after="0" w:line="240" w:lineRule="auto"/>
              <w:jc w:val="right"/>
              <w:rPr>
                <w:rFonts w:ascii="Arial" w:eastAsia="Times New Roman" w:hAnsi="Arial" w:cs="Arial"/>
                <w:sz w:val="20"/>
                <w:szCs w:val="20"/>
                <w:lang w:val="nl-NL" w:eastAsia="nl-NL" w:bidi="ar-SA"/>
              </w:rPr>
            </w:pPr>
            <w:r w:rsidRPr="00357346">
              <w:rPr>
                <w:rFonts w:ascii="Arial" w:eastAsia="Times New Roman" w:hAnsi="Arial" w:cs="Arial"/>
                <w:sz w:val="20"/>
                <w:szCs w:val="20"/>
                <w:lang w:val="nl-NL" w:eastAsia="nl-NL" w:bidi="ar-SA"/>
              </w:rPr>
              <w:t>0,02</w:t>
            </w:r>
          </w:p>
        </w:tc>
        <w:tc>
          <w:tcPr>
            <w:tcW w:w="960" w:type="dxa"/>
            <w:tcBorders>
              <w:top w:val="nil"/>
              <w:left w:val="nil"/>
              <w:bottom w:val="single" w:sz="4" w:space="0" w:color="auto"/>
              <w:right w:val="single" w:sz="4" w:space="0" w:color="auto"/>
            </w:tcBorders>
            <w:shd w:val="clear" w:color="auto" w:fill="auto"/>
            <w:noWrap/>
            <w:vAlign w:val="bottom"/>
            <w:hideMark/>
          </w:tcPr>
          <w:p w:rsidR="00960852" w:rsidRPr="00357346" w:rsidRDefault="00960852" w:rsidP="00960852">
            <w:pPr>
              <w:spacing w:after="0" w:line="240" w:lineRule="auto"/>
              <w:jc w:val="right"/>
              <w:rPr>
                <w:rFonts w:ascii="Arial" w:eastAsia="Times New Roman" w:hAnsi="Arial" w:cs="Arial"/>
                <w:sz w:val="20"/>
                <w:szCs w:val="20"/>
                <w:lang w:val="nl-NL" w:eastAsia="nl-NL" w:bidi="ar-SA"/>
              </w:rPr>
            </w:pPr>
            <w:r w:rsidRPr="00357346">
              <w:rPr>
                <w:rFonts w:ascii="Arial" w:eastAsia="Times New Roman" w:hAnsi="Arial" w:cs="Arial"/>
                <w:sz w:val="20"/>
                <w:szCs w:val="20"/>
                <w:lang w:val="nl-NL" w:eastAsia="nl-NL" w:bidi="ar-SA"/>
              </w:rPr>
              <w:t>-0,09</w:t>
            </w:r>
          </w:p>
        </w:tc>
        <w:tc>
          <w:tcPr>
            <w:tcW w:w="960" w:type="dxa"/>
            <w:tcBorders>
              <w:top w:val="nil"/>
              <w:left w:val="nil"/>
              <w:bottom w:val="single" w:sz="4" w:space="0" w:color="auto"/>
              <w:right w:val="single" w:sz="4" w:space="0" w:color="auto"/>
            </w:tcBorders>
            <w:shd w:val="clear" w:color="auto" w:fill="auto"/>
            <w:noWrap/>
            <w:vAlign w:val="bottom"/>
            <w:hideMark/>
          </w:tcPr>
          <w:p w:rsidR="00960852" w:rsidRPr="00357346" w:rsidRDefault="00960852" w:rsidP="00960852">
            <w:pPr>
              <w:spacing w:after="0" w:line="240" w:lineRule="auto"/>
              <w:rPr>
                <w:rFonts w:ascii="Arial" w:eastAsia="Times New Roman" w:hAnsi="Arial" w:cs="Arial"/>
                <w:b/>
                <w:bCs/>
                <w:sz w:val="20"/>
                <w:szCs w:val="20"/>
                <w:lang w:val="nl-NL" w:eastAsia="nl-NL" w:bidi="ar-SA"/>
              </w:rPr>
            </w:pPr>
            <w:r w:rsidRPr="00357346">
              <w:rPr>
                <w:rFonts w:ascii="Arial" w:eastAsia="Times New Roman" w:hAnsi="Arial" w:cs="Arial"/>
                <w:b/>
                <w:bCs/>
                <w:sz w:val="20"/>
                <w:szCs w:val="20"/>
                <w:lang w:val="nl-NL" w:eastAsia="nl-NL" w:bidi="ar-SA"/>
              </w:rPr>
              <w:t>EU</w:t>
            </w:r>
          </w:p>
        </w:tc>
        <w:tc>
          <w:tcPr>
            <w:tcW w:w="960" w:type="dxa"/>
            <w:tcBorders>
              <w:top w:val="nil"/>
              <w:left w:val="nil"/>
              <w:bottom w:val="single" w:sz="4" w:space="0" w:color="auto"/>
              <w:right w:val="single" w:sz="4" w:space="0" w:color="auto"/>
            </w:tcBorders>
            <w:shd w:val="clear" w:color="auto" w:fill="auto"/>
            <w:noWrap/>
            <w:vAlign w:val="bottom"/>
            <w:hideMark/>
          </w:tcPr>
          <w:p w:rsidR="00960852" w:rsidRPr="00357346" w:rsidRDefault="00960852" w:rsidP="00960852">
            <w:pPr>
              <w:spacing w:after="0" w:line="240" w:lineRule="auto"/>
              <w:jc w:val="right"/>
              <w:rPr>
                <w:rFonts w:ascii="Arial" w:eastAsia="Times New Roman" w:hAnsi="Arial" w:cs="Arial"/>
                <w:sz w:val="20"/>
                <w:szCs w:val="20"/>
                <w:lang w:val="nl-NL" w:eastAsia="nl-NL" w:bidi="ar-SA"/>
              </w:rPr>
            </w:pPr>
            <w:r w:rsidRPr="00357346">
              <w:rPr>
                <w:rFonts w:ascii="Arial" w:eastAsia="Times New Roman" w:hAnsi="Arial" w:cs="Arial"/>
                <w:sz w:val="20"/>
                <w:szCs w:val="20"/>
                <w:lang w:val="nl-NL" w:eastAsia="nl-NL" w:bidi="ar-SA"/>
              </w:rPr>
              <w:t>-0,48</w:t>
            </w:r>
          </w:p>
        </w:tc>
        <w:tc>
          <w:tcPr>
            <w:tcW w:w="960" w:type="dxa"/>
            <w:tcBorders>
              <w:top w:val="nil"/>
              <w:left w:val="nil"/>
              <w:bottom w:val="single" w:sz="4" w:space="0" w:color="auto"/>
              <w:right w:val="single" w:sz="4" w:space="0" w:color="auto"/>
            </w:tcBorders>
            <w:shd w:val="clear" w:color="auto" w:fill="auto"/>
            <w:noWrap/>
            <w:vAlign w:val="bottom"/>
            <w:hideMark/>
          </w:tcPr>
          <w:p w:rsidR="00960852" w:rsidRPr="00357346" w:rsidRDefault="00960852" w:rsidP="00960852">
            <w:pPr>
              <w:spacing w:after="0" w:line="240" w:lineRule="auto"/>
              <w:jc w:val="right"/>
              <w:rPr>
                <w:rFonts w:ascii="Arial" w:eastAsia="Times New Roman" w:hAnsi="Arial" w:cs="Arial"/>
                <w:sz w:val="20"/>
                <w:szCs w:val="20"/>
                <w:lang w:val="nl-NL" w:eastAsia="nl-NL" w:bidi="ar-SA"/>
              </w:rPr>
            </w:pPr>
            <w:r w:rsidRPr="00357346">
              <w:rPr>
                <w:rFonts w:ascii="Arial" w:eastAsia="Times New Roman" w:hAnsi="Arial" w:cs="Arial"/>
                <w:sz w:val="20"/>
                <w:szCs w:val="20"/>
                <w:lang w:val="nl-NL" w:eastAsia="nl-NL" w:bidi="ar-SA"/>
              </w:rPr>
              <w:t>0,07</w:t>
            </w:r>
          </w:p>
        </w:tc>
      </w:tr>
      <w:tr w:rsidR="00960852" w:rsidRPr="00357346" w:rsidTr="00960852">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60852" w:rsidRPr="00357346" w:rsidRDefault="00960852" w:rsidP="00960852">
            <w:pPr>
              <w:spacing w:after="0" w:line="240" w:lineRule="auto"/>
              <w:rPr>
                <w:rFonts w:ascii="Arial" w:eastAsia="Times New Roman" w:hAnsi="Arial" w:cs="Arial"/>
                <w:b/>
                <w:bCs/>
                <w:sz w:val="20"/>
                <w:szCs w:val="20"/>
                <w:lang w:val="nl-NL" w:eastAsia="nl-NL" w:bidi="ar-SA"/>
              </w:rPr>
            </w:pPr>
            <w:r w:rsidRPr="00357346">
              <w:rPr>
                <w:rFonts w:ascii="Arial" w:eastAsia="Times New Roman" w:hAnsi="Arial" w:cs="Arial"/>
                <w:b/>
                <w:bCs/>
                <w:sz w:val="20"/>
                <w:szCs w:val="20"/>
                <w:lang w:val="nl-NL" w:eastAsia="nl-NL" w:bidi="ar-SA"/>
              </w:rPr>
              <w:t>CGDS</w:t>
            </w:r>
          </w:p>
        </w:tc>
        <w:tc>
          <w:tcPr>
            <w:tcW w:w="960" w:type="dxa"/>
            <w:tcBorders>
              <w:top w:val="nil"/>
              <w:left w:val="nil"/>
              <w:bottom w:val="single" w:sz="4" w:space="0" w:color="auto"/>
              <w:right w:val="single" w:sz="4" w:space="0" w:color="auto"/>
            </w:tcBorders>
            <w:shd w:val="clear" w:color="auto" w:fill="auto"/>
            <w:noWrap/>
            <w:vAlign w:val="bottom"/>
            <w:hideMark/>
          </w:tcPr>
          <w:p w:rsidR="00960852" w:rsidRPr="00357346" w:rsidRDefault="00960852" w:rsidP="00960852">
            <w:pPr>
              <w:spacing w:after="0" w:line="240" w:lineRule="auto"/>
              <w:jc w:val="right"/>
              <w:rPr>
                <w:rFonts w:ascii="Arial" w:eastAsia="Times New Roman" w:hAnsi="Arial" w:cs="Arial"/>
                <w:sz w:val="20"/>
                <w:szCs w:val="20"/>
                <w:lang w:val="nl-NL" w:eastAsia="nl-NL" w:bidi="ar-SA"/>
              </w:rPr>
            </w:pPr>
            <w:r w:rsidRPr="00357346">
              <w:rPr>
                <w:rFonts w:ascii="Arial" w:eastAsia="Times New Roman" w:hAnsi="Arial" w:cs="Arial"/>
                <w:sz w:val="20"/>
                <w:szCs w:val="20"/>
                <w:lang w:val="nl-NL" w:eastAsia="nl-NL" w:bidi="ar-SA"/>
              </w:rPr>
              <w:t>0,78</w:t>
            </w:r>
          </w:p>
        </w:tc>
        <w:tc>
          <w:tcPr>
            <w:tcW w:w="960" w:type="dxa"/>
            <w:tcBorders>
              <w:top w:val="nil"/>
              <w:left w:val="nil"/>
              <w:bottom w:val="single" w:sz="4" w:space="0" w:color="auto"/>
              <w:right w:val="single" w:sz="4" w:space="0" w:color="auto"/>
            </w:tcBorders>
            <w:shd w:val="clear" w:color="auto" w:fill="auto"/>
            <w:noWrap/>
            <w:vAlign w:val="bottom"/>
            <w:hideMark/>
          </w:tcPr>
          <w:p w:rsidR="00960852" w:rsidRPr="00357346" w:rsidRDefault="00960852" w:rsidP="00960852">
            <w:pPr>
              <w:spacing w:after="0" w:line="240" w:lineRule="auto"/>
              <w:jc w:val="right"/>
              <w:rPr>
                <w:rFonts w:ascii="Arial" w:eastAsia="Times New Roman" w:hAnsi="Arial" w:cs="Arial"/>
                <w:sz w:val="20"/>
                <w:szCs w:val="20"/>
                <w:lang w:val="nl-NL" w:eastAsia="nl-NL" w:bidi="ar-SA"/>
              </w:rPr>
            </w:pPr>
            <w:r w:rsidRPr="00357346">
              <w:rPr>
                <w:rFonts w:ascii="Arial" w:eastAsia="Times New Roman" w:hAnsi="Arial" w:cs="Arial"/>
                <w:sz w:val="20"/>
                <w:szCs w:val="20"/>
                <w:lang w:val="nl-NL" w:eastAsia="nl-NL" w:bidi="ar-SA"/>
              </w:rPr>
              <w:t>0,73</w:t>
            </w:r>
          </w:p>
        </w:tc>
        <w:tc>
          <w:tcPr>
            <w:tcW w:w="960" w:type="dxa"/>
            <w:tcBorders>
              <w:top w:val="nil"/>
              <w:left w:val="nil"/>
              <w:bottom w:val="single" w:sz="4" w:space="0" w:color="auto"/>
              <w:right w:val="single" w:sz="4" w:space="0" w:color="auto"/>
            </w:tcBorders>
            <w:shd w:val="clear" w:color="auto" w:fill="auto"/>
            <w:noWrap/>
            <w:vAlign w:val="bottom"/>
            <w:hideMark/>
          </w:tcPr>
          <w:p w:rsidR="00960852" w:rsidRPr="00357346" w:rsidRDefault="00960852" w:rsidP="00960852">
            <w:pPr>
              <w:spacing w:after="0" w:line="240" w:lineRule="auto"/>
              <w:rPr>
                <w:rFonts w:ascii="Arial" w:eastAsia="Times New Roman" w:hAnsi="Arial" w:cs="Arial"/>
                <w:b/>
                <w:bCs/>
                <w:sz w:val="20"/>
                <w:szCs w:val="20"/>
                <w:lang w:val="nl-NL" w:eastAsia="nl-NL" w:bidi="ar-SA"/>
              </w:rPr>
            </w:pPr>
            <w:r w:rsidRPr="00357346">
              <w:rPr>
                <w:rFonts w:ascii="Arial" w:eastAsia="Times New Roman" w:hAnsi="Arial" w:cs="Arial"/>
                <w:b/>
                <w:bCs/>
                <w:sz w:val="20"/>
                <w:szCs w:val="20"/>
                <w:lang w:val="nl-NL" w:eastAsia="nl-NL" w:bidi="ar-SA"/>
              </w:rPr>
              <w:t>TECH</w:t>
            </w:r>
          </w:p>
        </w:tc>
        <w:tc>
          <w:tcPr>
            <w:tcW w:w="960" w:type="dxa"/>
            <w:tcBorders>
              <w:top w:val="nil"/>
              <w:left w:val="nil"/>
              <w:bottom w:val="single" w:sz="4" w:space="0" w:color="auto"/>
              <w:right w:val="single" w:sz="4" w:space="0" w:color="auto"/>
            </w:tcBorders>
            <w:shd w:val="clear" w:color="auto" w:fill="auto"/>
            <w:noWrap/>
            <w:vAlign w:val="bottom"/>
            <w:hideMark/>
          </w:tcPr>
          <w:p w:rsidR="00960852" w:rsidRPr="00357346" w:rsidRDefault="00960852" w:rsidP="00960852">
            <w:pPr>
              <w:spacing w:after="0" w:line="240" w:lineRule="auto"/>
              <w:jc w:val="right"/>
              <w:rPr>
                <w:rFonts w:ascii="Arial" w:eastAsia="Times New Roman" w:hAnsi="Arial" w:cs="Arial"/>
                <w:sz w:val="20"/>
                <w:szCs w:val="20"/>
                <w:lang w:val="nl-NL" w:eastAsia="nl-NL" w:bidi="ar-SA"/>
              </w:rPr>
            </w:pPr>
            <w:r w:rsidRPr="00357346">
              <w:rPr>
                <w:rFonts w:ascii="Arial" w:eastAsia="Times New Roman" w:hAnsi="Arial" w:cs="Arial"/>
                <w:sz w:val="20"/>
                <w:szCs w:val="20"/>
                <w:lang w:val="nl-NL" w:eastAsia="nl-NL" w:bidi="ar-SA"/>
              </w:rPr>
              <w:t>-0,27</w:t>
            </w:r>
          </w:p>
        </w:tc>
        <w:tc>
          <w:tcPr>
            <w:tcW w:w="960" w:type="dxa"/>
            <w:tcBorders>
              <w:top w:val="nil"/>
              <w:left w:val="nil"/>
              <w:bottom w:val="single" w:sz="4" w:space="0" w:color="auto"/>
              <w:right w:val="single" w:sz="4" w:space="0" w:color="auto"/>
            </w:tcBorders>
            <w:shd w:val="clear" w:color="auto" w:fill="auto"/>
            <w:noWrap/>
            <w:vAlign w:val="bottom"/>
            <w:hideMark/>
          </w:tcPr>
          <w:p w:rsidR="00960852" w:rsidRPr="00357346" w:rsidRDefault="00960852" w:rsidP="00960852">
            <w:pPr>
              <w:spacing w:after="0" w:line="240" w:lineRule="auto"/>
              <w:jc w:val="right"/>
              <w:rPr>
                <w:rFonts w:ascii="Arial" w:eastAsia="Times New Roman" w:hAnsi="Arial" w:cs="Arial"/>
                <w:sz w:val="20"/>
                <w:szCs w:val="20"/>
                <w:lang w:val="nl-NL" w:eastAsia="nl-NL" w:bidi="ar-SA"/>
              </w:rPr>
            </w:pPr>
            <w:r w:rsidRPr="00357346">
              <w:rPr>
                <w:rFonts w:ascii="Arial" w:eastAsia="Times New Roman" w:hAnsi="Arial" w:cs="Arial"/>
                <w:sz w:val="20"/>
                <w:szCs w:val="20"/>
                <w:lang w:val="nl-NL" w:eastAsia="nl-NL" w:bidi="ar-SA"/>
              </w:rPr>
              <w:t>0,61</w:t>
            </w:r>
          </w:p>
        </w:tc>
      </w:tr>
      <w:tr w:rsidR="00960852" w:rsidRPr="00357346" w:rsidTr="00960852">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60852" w:rsidRPr="00357346" w:rsidRDefault="00960852" w:rsidP="00960852">
            <w:pPr>
              <w:spacing w:after="0" w:line="240" w:lineRule="auto"/>
              <w:rPr>
                <w:rFonts w:ascii="Arial" w:eastAsia="Times New Roman" w:hAnsi="Arial" w:cs="Arial"/>
                <w:b/>
                <w:bCs/>
                <w:sz w:val="20"/>
                <w:szCs w:val="20"/>
                <w:lang w:val="nl-NL" w:eastAsia="nl-NL" w:bidi="ar-SA"/>
              </w:rPr>
            </w:pPr>
            <w:r w:rsidRPr="00357346">
              <w:rPr>
                <w:rFonts w:ascii="Arial" w:eastAsia="Times New Roman" w:hAnsi="Arial" w:cs="Arial"/>
                <w:b/>
                <w:bCs/>
                <w:sz w:val="20"/>
                <w:szCs w:val="20"/>
                <w:lang w:val="nl-NL" w:eastAsia="nl-NL" w:bidi="ar-SA"/>
              </w:rPr>
              <w:t>BM</w:t>
            </w:r>
          </w:p>
        </w:tc>
        <w:tc>
          <w:tcPr>
            <w:tcW w:w="960" w:type="dxa"/>
            <w:tcBorders>
              <w:top w:val="nil"/>
              <w:left w:val="nil"/>
              <w:bottom w:val="single" w:sz="4" w:space="0" w:color="auto"/>
              <w:right w:val="single" w:sz="4" w:space="0" w:color="auto"/>
            </w:tcBorders>
            <w:shd w:val="clear" w:color="auto" w:fill="auto"/>
            <w:noWrap/>
            <w:vAlign w:val="bottom"/>
            <w:hideMark/>
          </w:tcPr>
          <w:p w:rsidR="00960852" w:rsidRPr="00357346" w:rsidRDefault="00960852" w:rsidP="00960852">
            <w:pPr>
              <w:spacing w:after="0" w:line="240" w:lineRule="auto"/>
              <w:jc w:val="right"/>
              <w:rPr>
                <w:rFonts w:ascii="Arial" w:eastAsia="Times New Roman" w:hAnsi="Arial" w:cs="Arial"/>
                <w:sz w:val="20"/>
                <w:szCs w:val="20"/>
                <w:lang w:val="nl-NL" w:eastAsia="nl-NL" w:bidi="ar-SA"/>
              </w:rPr>
            </w:pPr>
            <w:r w:rsidRPr="00357346">
              <w:rPr>
                <w:rFonts w:ascii="Arial" w:eastAsia="Times New Roman" w:hAnsi="Arial" w:cs="Arial"/>
                <w:sz w:val="20"/>
                <w:szCs w:val="20"/>
                <w:lang w:val="nl-NL" w:eastAsia="nl-NL" w:bidi="ar-SA"/>
              </w:rPr>
              <w:t>0,77</w:t>
            </w:r>
          </w:p>
        </w:tc>
        <w:tc>
          <w:tcPr>
            <w:tcW w:w="960" w:type="dxa"/>
            <w:tcBorders>
              <w:top w:val="nil"/>
              <w:left w:val="nil"/>
              <w:bottom w:val="single" w:sz="4" w:space="0" w:color="auto"/>
              <w:right w:val="single" w:sz="4" w:space="0" w:color="auto"/>
            </w:tcBorders>
            <w:shd w:val="clear" w:color="auto" w:fill="auto"/>
            <w:noWrap/>
            <w:vAlign w:val="bottom"/>
            <w:hideMark/>
          </w:tcPr>
          <w:p w:rsidR="00960852" w:rsidRPr="00357346" w:rsidRDefault="00960852" w:rsidP="00960852">
            <w:pPr>
              <w:spacing w:after="0" w:line="240" w:lineRule="auto"/>
              <w:jc w:val="right"/>
              <w:rPr>
                <w:rFonts w:ascii="Arial" w:eastAsia="Times New Roman" w:hAnsi="Arial" w:cs="Arial"/>
                <w:sz w:val="20"/>
                <w:szCs w:val="20"/>
                <w:lang w:val="nl-NL" w:eastAsia="nl-NL" w:bidi="ar-SA"/>
              </w:rPr>
            </w:pPr>
            <w:r w:rsidRPr="00357346">
              <w:rPr>
                <w:rFonts w:ascii="Arial" w:eastAsia="Times New Roman" w:hAnsi="Arial" w:cs="Arial"/>
                <w:sz w:val="20"/>
                <w:szCs w:val="20"/>
                <w:lang w:val="nl-NL" w:eastAsia="nl-NL" w:bidi="ar-SA"/>
              </w:rPr>
              <w:t>0,71</w:t>
            </w:r>
          </w:p>
        </w:tc>
        <w:tc>
          <w:tcPr>
            <w:tcW w:w="960" w:type="dxa"/>
            <w:tcBorders>
              <w:top w:val="nil"/>
              <w:left w:val="nil"/>
              <w:bottom w:val="single" w:sz="4" w:space="0" w:color="auto"/>
              <w:right w:val="single" w:sz="4" w:space="0" w:color="auto"/>
            </w:tcBorders>
            <w:shd w:val="clear" w:color="auto" w:fill="auto"/>
            <w:noWrap/>
            <w:vAlign w:val="bottom"/>
            <w:hideMark/>
          </w:tcPr>
          <w:p w:rsidR="00960852" w:rsidRPr="00357346" w:rsidRDefault="00960852" w:rsidP="00960852">
            <w:pPr>
              <w:spacing w:after="0" w:line="240" w:lineRule="auto"/>
              <w:rPr>
                <w:rFonts w:ascii="Arial" w:eastAsia="Times New Roman" w:hAnsi="Arial" w:cs="Arial"/>
                <w:b/>
                <w:bCs/>
                <w:sz w:val="20"/>
                <w:szCs w:val="20"/>
                <w:lang w:val="nl-NL" w:eastAsia="nl-NL" w:bidi="ar-SA"/>
              </w:rPr>
            </w:pPr>
            <w:r w:rsidRPr="00357346">
              <w:rPr>
                <w:rFonts w:ascii="Arial" w:eastAsia="Times New Roman" w:hAnsi="Arial" w:cs="Arial"/>
                <w:b/>
                <w:bCs/>
                <w:sz w:val="20"/>
                <w:szCs w:val="20"/>
                <w:lang w:val="nl-NL" w:eastAsia="nl-NL" w:bidi="ar-SA"/>
              </w:rPr>
              <w:t>TEL</w:t>
            </w:r>
          </w:p>
        </w:tc>
        <w:tc>
          <w:tcPr>
            <w:tcW w:w="960" w:type="dxa"/>
            <w:tcBorders>
              <w:top w:val="nil"/>
              <w:left w:val="nil"/>
              <w:bottom w:val="single" w:sz="4" w:space="0" w:color="auto"/>
              <w:right w:val="single" w:sz="4" w:space="0" w:color="auto"/>
            </w:tcBorders>
            <w:shd w:val="clear" w:color="auto" w:fill="auto"/>
            <w:noWrap/>
            <w:vAlign w:val="bottom"/>
            <w:hideMark/>
          </w:tcPr>
          <w:p w:rsidR="00960852" w:rsidRPr="00357346" w:rsidRDefault="00960852" w:rsidP="00960852">
            <w:pPr>
              <w:spacing w:after="0" w:line="240" w:lineRule="auto"/>
              <w:jc w:val="right"/>
              <w:rPr>
                <w:rFonts w:ascii="Arial" w:eastAsia="Times New Roman" w:hAnsi="Arial" w:cs="Arial"/>
                <w:sz w:val="20"/>
                <w:szCs w:val="20"/>
                <w:lang w:val="nl-NL" w:eastAsia="nl-NL" w:bidi="ar-SA"/>
              </w:rPr>
            </w:pPr>
            <w:r w:rsidRPr="00357346">
              <w:rPr>
                <w:rFonts w:ascii="Arial" w:eastAsia="Times New Roman" w:hAnsi="Arial" w:cs="Arial"/>
                <w:sz w:val="20"/>
                <w:szCs w:val="20"/>
                <w:lang w:val="nl-NL" w:eastAsia="nl-NL" w:bidi="ar-SA"/>
              </w:rPr>
              <w:t>-0,33</w:t>
            </w:r>
          </w:p>
        </w:tc>
        <w:tc>
          <w:tcPr>
            <w:tcW w:w="960" w:type="dxa"/>
            <w:tcBorders>
              <w:top w:val="nil"/>
              <w:left w:val="nil"/>
              <w:bottom w:val="single" w:sz="4" w:space="0" w:color="auto"/>
              <w:right w:val="single" w:sz="4" w:space="0" w:color="auto"/>
            </w:tcBorders>
            <w:shd w:val="clear" w:color="auto" w:fill="auto"/>
            <w:noWrap/>
            <w:vAlign w:val="bottom"/>
            <w:hideMark/>
          </w:tcPr>
          <w:p w:rsidR="00960852" w:rsidRPr="00357346" w:rsidRDefault="00960852" w:rsidP="00960852">
            <w:pPr>
              <w:spacing w:after="0" w:line="240" w:lineRule="auto"/>
              <w:jc w:val="right"/>
              <w:rPr>
                <w:rFonts w:ascii="Arial" w:eastAsia="Times New Roman" w:hAnsi="Arial" w:cs="Arial"/>
                <w:sz w:val="20"/>
                <w:szCs w:val="20"/>
                <w:lang w:val="nl-NL" w:eastAsia="nl-NL" w:bidi="ar-SA"/>
              </w:rPr>
            </w:pPr>
            <w:r w:rsidRPr="00357346">
              <w:rPr>
                <w:rFonts w:ascii="Arial" w:eastAsia="Times New Roman" w:hAnsi="Arial" w:cs="Arial"/>
                <w:sz w:val="20"/>
                <w:szCs w:val="20"/>
                <w:lang w:val="nl-NL" w:eastAsia="nl-NL" w:bidi="ar-SA"/>
              </w:rPr>
              <w:t>0,40</w:t>
            </w:r>
          </w:p>
        </w:tc>
      </w:tr>
      <w:tr w:rsidR="00960852" w:rsidRPr="00357346" w:rsidTr="00960852">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60852" w:rsidRPr="00357346" w:rsidRDefault="00960852" w:rsidP="00960852">
            <w:pPr>
              <w:spacing w:after="0" w:line="240" w:lineRule="auto"/>
              <w:rPr>
                <w:rFonts w:ascii="Arial" w:eastAsia="Times New Roman" w:hAnsi="Arial" w:cs="Arial"/>
                <w:b/>
                <w:bCs/>
                <w:sz w:val="20"/>
                <w:szCs w:val="20"/>
                <w:lang w:val="nl-NL" w:eastAsia="nl-NL" w:bidi="ar-SA"/>
              </w:rPr>
            </w:pPr>
            <w:r w:rsidRPr="00357346">
              <w:rPr>
                <w:rFonts w:ascii="Arial" w:eastAsia="Times New Roman" w:hAnsi="Arial" w:cs="Arial"/>
                <w:b/>
                <w:bCs/>
                <w:sz w:val="20"/>
                <w:szCs w:val="20"/>
                <w:lang w:val="nl-NL" w:eastAsia="nl-NL" w:bidi="ar-SA"/>
              </w:rPr>
              <w:t>US</w:t>
            </w:r>
          </w:p>
        </w:tc>
        <w:tc>
          <w:tcPr>
            <w:tcW w:w="960" w:type="dxa"/>
            <w:tcBorders>
              <w:top w:val="nil"/>
              <w:left w:val="nil"/>
              <w:bottom w:val="single" w:sz="4" w:space="0" w:color="auto"/>
              <w:right w:val="single" w:sz="4" w:space="0" w:color="auto"/>
            </w:tcBorders>
            <w:shd w:val="clear" w:color="auto" w:fill="auto"/>
            <w:noWrap/>
            <w:vAlign w:val="bottom"/>
            <w:hideMark/>
          </w:tcPr>
          <w:p w:rsidR="00960852" w:rsidRPr="00357346" w:rsidRDefault="00960852" w:rsidP="00960852">
            <w:pPr>
              <w:spacing w:after="0" w:line="240" w:lineRule="auto"/>
              <w:jc w:val="right"/>
              <w:rPr>
                <w:rFonts w:ascii="Arial" w:eastAsia="Times New Roman" w:hAnsi="Arial" w:cs="Arial"/>
                <w:sz w:val="20"/>
                <w:szCs w:val="20"/>
                <w:lang w:val="nl-NL" w:eastAsia="nl-NL" w:bidi="ar-SA"/>
              </w:rPr>
            </w:pPr>
            <w:r w:rsidRPr="00357346">
              <w:rPr>
                <w:rFonts w:ascii="Arial" w:eastAsia="Times New Roman" w:hAnsi="Arial" w:cs="Arial"/>
                <w:sz w:val="20"/>
                <w:szCs w:val="20"/>
                <w:lang w:val="nl-NL" w:eastAsia="nl-NL" w:bidi="ar-SA"/>
              </w:rPr>
              <w:t>0,03</w:t>
            </w:r>
          </w:p>
        </w:tc>
        <w:tc>
          <w:tcPr>
            <w:tcW w:w="960" w:type="dxa"/>
            <w:tcBorders>
              <w:top w:val="nil"/>
              <w:left w:val="nil"/>
              <w:bottom w:val="single" w:sz="4" w:space="0" w:color="auto"/>
              <w:right w:val="single" w:sz="4" w:space="0" w:color="auto"/>
            </w:tcBorders>
            <w:shd w:val="clear" w:color="auto" w:fill="auto"/>
            <w:noWrap/>
            <w:vAlign w:val="bottom"/>
            <w:hideMark/>
          </w:tcPr>
          <w:p w:rsidR="00960852" w:rsidRPr="00357346" w:rsidRDefault="00960852" w:rsidP="00960852">
            <w:pPr>
              <w:spacing w:after="0" w:line="240" w:lineRule="auto"/>
              <w:jc w:val="right"/>
              <w:rPr>
                <w:rFonts w:ascii="Arial" w:eastAsia="Times New Roman" w:hAnsi="Arial" w:cs="Arial"/>
                <w:sz w:val="20"/>
                <w:szCs w:val="20"/>
                <w:lang w:val="nl-NL" w:eastAsia="nl-NL" w:bidi="ar-SA"/>
              </w:rPr>
            </w:pPr>
            <w:r w:rsidRPr="00357346">
              <w:rPr>
                <w:rFonts w:ascii="Arial" w:eastAsia="Times New Roman" w:hAnsi="Arial" w:cs="Arial"/>
                <w:sz w:val="20"/>
                <w:szCs w:val="20"/>
                <w:lang w:val="nl-NL" w:eastAsia="nl-NL" w:bidi="ar-SA"/>
              </w:rPr>
              <w:t>-0,14</w:t>
            </w:r>
          </w:p>
        </w:tc>
        <w:tc>
          <w:tcPr>
            <w:tcW w:w="960" w:type="dxa"/>
            <w:tcBorders>
              <w:top w:val="nil"/>
              <w:left w:val="nil"/>
              <w:bottom w:val="single" w:sz="4" w:space="0" w:color="auto"/>
              <w:right w:val="single" w:sz="4" w:space="0" w:color="auto"/>
            </w:tcBorders>
            <w:shd w:val="clear" w:color="auto" w:fill="auto"/>
            <w:noWrap/>
            <w:vAlign w:val="bottom"/>
            <w:hideMark/>
          </w:tcPr>
          <w:p w:rsidR="00960852" w:rsidRPr="00357346" w:rsidRDefault="00960852" w:rsidP="00960852">
            <w:pPr>
              <w:spacing w:after="0" w:line="240" w:lineRule="auto"/>
              <w:rPr>
                <w:rFonts w:ascii="Arial" w:eastAsia="Times New Roman" w:hAnsi="Arial" w:cs="Arial"/>
                <w:b/>
                <w:bCs/>
                <w:sz w:val="20"/>
                <w:szCs w:val="20"/>
                <w:lang w:val="nl-NL" w:eastAsia="nl-NL" w:bidi="ar-SA"/>
              </w:rPr>
            </w:pPr>
            <w:r w:rsidRPr="00357346">
              <w:rPr>
                <w:rFonts w:ascii="Arial" w:eastAsia="Times New Roman" w:hAnsi="Arial" w:cs="Arial"/>
                <w:b/>
                <w:bCs/>
                <w:sz w:val="20"/>
                <w:szCs w:val="20"/>
                <w:lang w:val="nl-NL" w:eastAsia="nl-NL" w:bidi="ar-SA"/>
              </w:rPr>
              <w:t>UT</w:t>
            </w:r>
          </w:p>
        </w:tc>
        <w:tc>
          <w:tcPr>
            <w:tcW w:w="960" w:type="dxa"/>
            <w:tcBorders>
              <w:top w:val="nil"/>
              <w:left w:val="nil"/>
              <w:bottom w:val="single" w:sz="4" w:space="0" w:color="auto"/>
              <w:right w:val="single" w:sz="4" w:space="0" w:color="auto"/>
            </w:tcBorders>
            <w:shd w:val="clear" w:color="auto" w:fill="auto"/>
            <w:noWrap/>
            <w:vAlign w:val="bottom"/>
            <w:hideMark/>
          </w:tcPr>
          <w:p w:rsidR="00960852" w:rsidRPr="00357346" w:rsidRDefault="00960852" w:rsidP="00960852">
            <w:pPr>
              <w:spacing w:after="0" w:line="240" w:lineRule="auto"/>
              <w:jc w:val="right"/>
              <w:rPr>
                <w:rFonts w:ascii="Arial" w:eastAsia="Times New Roman" w:hAnsi="Arial" w:cs="Arial"/>
                <w:sz w:val="20"/>
                <w:szCs w:val="20"/>
                <w:lang w:val="nl-NL" w:eastAsia="nl-NL" w:bidi="ar-SA"/>
              </w:rPr>
            </w:pPr>
            <w:r w:rsidRPr="00357346">
              <w:rPr>
                <w:rFonts w:ascii="Arial" w:eastAsia="Times New Roman" w:hAnsi="Arial" w:cs="Arial"/>
                <w:sz w:val="20"/>
                <w:szCs w:val="20"/>
                <w:lang w:val="nl-NL" w:eastAsia="nl-NL" w:bidi="ar-SA"/>
              </w:rPr>
              <w:t>-0,48</w:t>
            </w:r>
          </w:p>
        </w:tc>
        <w:tc>
          <w:tcPr>
            <w:tcW w:w="960" w:type="dxa"/>
            <w:tcBorders>
              <w:top w:val="nil"/>
              <w:left w:val="nil"/>
              <w:bottom w:val="single" w:sz="4" w:space="0" w:color="auto"/>
              <w:right w:val="single" w:sz="4" w:space="0" w:color="auto"/>
            </w:tcBorders>
            <w:shd w:val="clear" w:color="auto" w:fill="auto"/>
            <w:noWrap/>
            <w:vAlign w:val="bottom"/>
            <w:hideMark/>
          </w:tcPr>
          <w:p w:rsidR="00960852" w:rsidRPr="00357346" w:rsidRDefault="00960852" w:rsidP="00960852">
            <w:pPr>
              <w:spacing w:after="0" w:line="240" w:lineRule="auto"/>
              <w:jc w:val="right"/>
              <w:rPr>
                <w:rFonts w:ascii="Arial" w:eastAsia="Times New Roman" w:hAnsi="Arial" w:cs="Arial"/>
                <w:sz w:val="20"/>
                <w:szCs w:val="20"/>
                <w:lang w:val="nl-NL" w:eastAsia="nl-NL" w:bidi="ar-SA"/>
              </w:rPr>
            </w:pPr>
            <w:r w:rsidRPr="00357346">
              <w:rPr>
                <w:rFonts w:ascii="Arial" w:eastAsia="Times New Roman" w:hAnsi="Arial" w:cs="Arial"/>
                <w:sz w:val="20"/>
                <w:szCs w:val="20"/>
                <w:lang w:val="nl-NL" w:eastAsia="nl-NL" w:bidi="ar-SA"/>
              </w:rPr>
              <w:t>-0,52</w:t>
            </w:r>
          </w:p>
        </w:tc>
      </w:tr>
      <w:tr w:rsidR="00960852" w:rsidRPr="00357346" w:rsidTr="00960852">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60852" w:rsidRPr="00357346" w:rsidRDefault="00960852" w:rsidP="00960852">
            <w:pPr>
              <w:spacing w:after="0" w:line="240" w:lineRule="auto"/>
              <w:rPr>
                <w:rFonts w:ascii="Arial" w:eastAsia="Times New Roman" w:hAnsi="Arial" w:cs="Arial"/>
                <w:b/>
                <w:bCs/>
                <w:sz w:val="20"/>
                <w:szCs w:val="20"/>
                <w:lang w:val="nl-NL" w:eastAsia="nl-NL" w:bidi="ar-SA"/>
              </w:rPr>
            </w:pPr>
            <w:r w:rsidRPr="00357346">
              <w:rPr>
                <w:rFonts w:ascii="Arial" w:eastAsia="Times New Roman" w:hAnsi="Arial" w:cs="Arial"/>
                <w:b/>
                <w:bCs/>
                <w:sz w:val="20"/>
                <w:szCs w:val="20"/>
                <w:lang w:val="nl-NL" w:eastAsia="nl-NL" w:bidi="ar-SA"/>
              </w:rPr>
              <w:t>E/D</w:t>
            </w:r>
          </w:p>
        </w:tc>
        <w:tc>
          <w:tcPr>
            <w:tcW w:w="960" w:type="dxa"/>
            <w:tcBorders>
              <w:top w:val="nil"/>
              <w:left w:val="nil"/>
              <w:bottom w:val="single" w:sz="4" w:space="0" w:color="auto"/>
              <w:right w:val="single" w:sz="4" w:space="0" w:color="auto"/>
            </w:tcBorders>
            <w:shd w:val="clear" w:color="auto" w:fill="auto"/>
            <w:noWrap/>
            <w:vAlign w:val="bottom"/>
            <w:hideMark/>
          </w:tcPr>
          <w:p w:rsidR="00960852" w:rsidRPr="00357346" w:rsidRDefault="00960852" w:rsidP="00960852">
            <w:pPr>
              <w:spacing w:after="0" w:line="240" w:lineRule="auto"/>
              <w:jc w:val="right"/>
              <w:rPr>
                <w:rFonts w:ascii="Arial" w:eastAsia="Times New Roman" w:hAnsi="Arial" w:cs="Arial"/>
                <w:sz w:val="20"/>
                <w:szCs w:val="20"/>
                <w:lang w:val="nl-NL" w:eastAsia="nl-NL" w:bidi="ar-SA"/>
              </w:rPr>
            </w:pPr>
            <w:r w:rsidRPr="00357346">
              <w:rPr>
                <w:rFonts w:ascii="Arial" w:eastAsia="Times New Roman" w:hAnsi="Arial" w:cs="Arial"/>
                <w:sz w:val="20"/>
                <w:szCs w:val="20"/>
                <w:lang w:val="nl-NL" w:eastAsia="nl-NL" w:bidi="ar-SA"/>
              </w:rPr>
              <w:t>1,00</w:t>
            </w:r>
          </w:p>
        </w:tc>
        <w:tc>
          <w:tcPr>
            <w:tcW w:w="960" w:type="dxa"/>
            <w:tcBorders>
              <w:top w:val="nil"/>
              <w:left w:val="nil"/>
              <w:bottom w:val="single" w:sz="4" w:space="0" w:color="auto"/>
              <w:right w:val="single" w:sz="4" w:space="0" w:color="auto"/>
            </w:tcBorders>
            <w:shd w:val="clear" w:color="auto" w:fill="auto"/>
            <w:noWrap/>
            <w:vAlign w:val="bottom"/>
            <w:hideMark/>
          </w:tcPr>
          <w:p w:rsidR="00960852" w:rsidRPr="00357346" w:rsidRDefault="00960852" w:rsidP="00960852">
            <w:pPr>
              <w:spacing w:after="0" w:line="240" w:lineRule="auto"/>
              <w:jc w:val="right"/>
              <w:rPr>
                <w:rFonts w:ascii="Arial" w:eastAsia="Times New Roman" w:hAnsi="Arial" w:cs="Arial"/>
                <w:sz w:val="20"/>
                <w:szCs w:val="20"/>
                <w:lang w:val="nl-NL" w:eastAsia="nl-NL" w:bidi="ar-SA"/>
              </w:rPr>
            </w:pPr>
            <w:r w:rsidRPr="00357346">
              <w:rPr>
                <w:rFonts w:ascii="Arial" w:eastAsia="Times New Roman" w:hAnsi="Arial" w:cs="Arial"/>
                <w:sz w:val="20"/>
                <w:szCs w:val="20"/>
                <w:lang w:val="nl-NL" w:eastAsia="nl-NL" w:bidi="ar-SA"/>
              </w:rPr>
              <w:t>0,95</w:t>
            </w:r>
          </w:p>
        </w:tc>
        <w:tc>
          <w:tcPr>
            <w:tcW w:w="960" w:type="dxa"/>
            <w:tcBorders>
              <w:top w:val="nil"/>
              <w:left w:val="nil"/>
              <w:bottom w:val="single" w:sz="4" w:space="0" w:color="auto"/>
              <w:right w:val="single" w:sz="4" w:space="0" w:color="auto"/>
            </w:tcBorders>
            <w:shd w:val="clear" w:color="auto" w:fill="auto"/>
            <w:noWrap/>
            <w:vAlign w:val="bottom"/>
            <w:hideMark/>
          </w:tcPr>
          <w:p w:rsidR="00960852" w:rsidRPr="00357346" w:rsidRDefault="00960852" w:rsidP="00960852">
            <w:pPr>
              <w:spacing w:after="0" w:line="240" w:lineRule="auto"/>
              <w:rPr>
                <w:rFonts w:ascii="Arial" w:eastAsia="Times New Roman" w:hAnsi="Arial" w:cs="Arial"/>
                <w:b/>
                <w:bCs/>
                <w:sz w:val="20"/>
                <w:szCs w:val="20"/>
                <w:lang w:val="nl-NL" w:eastAsia="nl-NL" w:bidi="ar-SA"/>
              </w:rPr>
            </w:pPr>
            <w:r w:rsidRPr="00357346">
              <w:rPr>
                <w:rFonts w:ascii="Arial" w:eastAsia="Times New Roman" w:hAnsi="Arial" w:cs="Arial"/>
                <w:b/>
                <w:bCs/>
                <w:sz w:val="20"/>
                <w:szCs w:val="20"/>
                <w:lang w:val="nl-NL" w:eastAsia="nl-NL" w:bidi="ar-SA"/>
              </w:rPr>
              <w:t>CHF/E</w:t>
            </w:r>
          </w:p>
        </w:tc>
        <w:tc>
          <w:tcPr>
            <w:tcW w:w="960" w:type="dxa"/>
            <w:tcBorders>
              <w:top w:val="nil"/>
              <w:left w:val="nil"/>
              <w:bottom w:val="single" w:sz="4" w:space="0" w:color="auto"/>
              <w:right w:val="single" w:sz="4" w:space="0" w:color="auto"/>
            </w:tcBorders>
            <w:shd w:val="clear" w:color="auto" w:fill="auto"/>
            <w:noWrap/>
            <w:vAlign w:val="bottom"/>
            <w:hideMark/>
          </w:tcPr>
          <w:p w:rsidR="00960852" w:rsidRPr="00357346" w:rsidRDefault="00960852" w:rsidP="00960852">
            <w:pPr>
              <w:spacing w:after="0" w:line="240" w:lineRule="auto"/>
              <w:jc w:val="right"/>
              <w:rPr>
                <w:rFonts w:ascii="Arial" w:eastAsia="Times New Roman" w:hAnsi="Arial" w:cs="Arial"/>
                <w:sz w:val="20"/>
                <w:szCs w:val="20"/>
                <w:lang w:val="nl-NL" w:eastAsia="nl-NL" w:bidi="ar-SA"/>
              </w:rPr>
            </w:pPr>
            <w:r w:rsidRPr="00357346">
              <w:rPr>
                <w:rFonts w:ascii="Arial" w:eastAsia="Times New Roman" w:hAnsi="Arial" w:cs="Arial"/>
                <w:sz w:val="20"/>
                <w:szCs w:val="20"/>
                <w:lang w:val="nl-NL" w:eastAsia="nl-NL" w:bidi="ar-SA"/>
              </w:rPr>
              <w:t>1,00</w:t>
            </w:r>
          </w:p>
        </w:tc>
        <w:tc>
          <w:tcPr>
            <w:tcW w:w="960" w:type="dxa"/>
            <w:tcBorders>
              <w:top w:val="nil"/>
              <w:left w:val="nil"/>
              <w:bottom w:val="single" w:sz="4" w:space="0" w:color="auto"/>
              <w:right w:val="single" w:sz="4" w:space="0" w:color="auto"/>
            </w:tcBorders>
            <w:shd w:val="clear" w:color="auto" w:fill="auto"/>
            <w:noWrap/>
            <w:vAlign w:val="bottom"/>
            <w:hideMark/>
          </w:tcPr>
          <w:p w:rsidR="00960852" w:rsidRPr="00357346" w:rsidRDefault="00960852" w:rsidP="00960852">
            <w:pPr>
              <w:spacing w:after="0" w:line="240" w:lineRule="auto"/>
              <w:jc w:val="right"/>
              <w:rPr>
                <w:rFonts w:ascii="Arial" w:eastAsia="Times New Roman" w:hAnsi="Arial" w:cs="Arial"/>
                <w:sz w:val="20"/>
                <w:szCs w:val="20"/>
                <w:lang w:val="nl-NL" w:eastAsia="nl-NL" w:bidi="ar-SA"/>
              </w:rPr>
            </w:pPr>
            <w:r w:rsidRPr="00357346">
              <w:rPr>
                <w:rFonts w:ascii="Arial" w:eastAsia="Times New Roman" w:hAnsi="Arial" w:cs="Arial"/>
                <w:sz w:val="20"/>
                <w:szCs w:val="20"/>
                <w:lang w:val="nl-NL" w:eastAsia="nl-NL" w:bidi="ar-SA"/>
              </w:rPr>
              <w:t>0,15</w:t>
            </w:r>
          </w:p>
        </w:tc>
      </w:tr>
      <w:tr w:rsidR="00960852" w:rsidRPr="00357346" w:rsidTr="00960852">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60852" w:rsidRPr="00357346" w:rsidRDefault="00960852" w:rsidP="00960852">
            <w:pPr>
              <w:spacing w:after="0" w:line="240" w:lineRule="auto"/>
              <w:rPr>
                <w:rFonts w:ascii="Arial" w:eastAsia="Times New Roman" w:hAnsi="Arial" w:cs="Arial"/>
                <w:b/>
                <w:bCs/>
                <w:sz w:val="20"/>
                <w:szCs w:val="20"/>
                <w:lang w:val="nl-NL" w:eastAsia="nl-NL" w:bidi="ar-SA"/>
              </w:rPr>
            </w:pPr>
            <w:r w:rsidRPr="00357346">
              <w:rPr>
                <w:rFonts w:ascii="Arial" w:eastAsia="Times New Roman" w:hAnsi="Arial" w:cs="Arial"/>
                <w:b/>
                <w:bCs/>
                <w:sz w:val="20"/>
                <w:szCs w:val="20"/>
                <w:lang w:val="nl-NL" w:eastAsia="nl-NL" w:bidi="ar-SA"/>
              </w:rPr>
              <w:t>CHF/D</w:t>
            </w:r>
          </w:p>
        </w:tc>
        <w:tc>
          <w:tcPr>
            <w:tcW w:w="960" w:type="dxa"/>
            <w:tcBorders>
              <w:top w:val="nil"/>
              <w:left w:val="nil"/>
              <w:bottom w:val="single" w:sz="4" w:space="0" w:color="auto"/>
              <w:right w:val="single" w:sz="4" w:space="0" w:color="auto"/>
            </w:tcBorders>
            <w:shd w:val="clear" w:color="auto" w:fill="auto"/>
            <w:noWrap/>
            <w:vAlign w:val="bottom"/>
            <w:hideMark/>
          </w:tcPr>
          <w:p w:rsidR="00960852" w:rsidRPr="00357346" w:rsidRDefault="00960852" w:rsidP="00960852">
            <w:pPr>
              <w:spacing w:after="0" w:line="240" w:lineRule="auto"/>
              <w:jc w:val="right"/>
              <w:rPr>
                <w:rFonts w:ascii="Arial" w:eastAsia="Times New Roman" w:hAnsi="Arial" w:cs="Arial"/>
                <w:sz w:val="20"/>
                <w:szCs w:val="20"/>
                <w:lang w:val="nl-NL" w:eastAsia="nl-NL" w:bidi="ar-SA"/>
              </w:rPr>
            </w:pPr>
            <w:r w:rsidRPr="00357346">
              <w:rPr>
                <w:rFonts w:ascii="Arial" w:eastAsia="Times New Roman" w:hAnsi="Arial" w:cs="Arial"/>
                <w:sz w:val="20"/>
                <w:szCs w:val="20"/>
                <w:lang w:val="nl-NL" w:eastAsia="nl-NL" w:bidi="ar-SA"/>
              </w:rPr>
              <w:t>0,95</w:t>
            </w:r>
          </w:p>
        </w:tc>
        <w:tc>
          <w:tcPr>
            <w:tcW w:w="960" w:type="dxa"/>
            <w:tcBorders>
              <w:top w:val="nil"/>
              <w:left w:val="nil"/>
              <w:bottom w:val="single" w:sz="4" w:space="0" w:color="auto"/>
              <w:right w:val="single" w:sz="4" w:space="0" w:color="auto"/>
            </w:tcBorders>
            <w:shd w:val="clear" w:color="auto" w:fill="auto"/>
            <w:noWrap/>
            <w:vAlign w:val="bottom"/>
            <w:hideMark/>
          </w:tcPr>
          <w:p w:rsidR="00960852" w:rsidRPr="00357346" w:rsidRDefault="00960852" w:rsidP="00960852">
            <w:pPr>
              <w:spacing w:after="0" w:line="240" w:lineRule="auto"/>
              <w:jc w:val="right"/>
              <w:rPr>
                <w:rFonts w:ascii="Arial" w:eastAsia="Times New Roman" w:hAnsi="Arial" w:cs="Arial"/>
                <w:sz w:val="20"/>
                <w:szCs w:val="20"/>
                <w:lang w:val="nl-NL" w:eastAsia="nl-NL" w:bidi="ar-SA"/>
              </w:rPr>
            </w:pPr>
            <w:r w:rsidRPr="00357346">
              <w:rPr>
                <w:rFonts w:ascii="Arial" w:eastAsia="Times New Roman" w:hAnsi="Arial" w:cs="Arial"/>
                <w:sz w:val="20"/>
                <w:szCs w:val="20"/>
                <w:lang w:val="nl-NL" w:eastAsia="nl-NL" w:bidi="ar-SA"/>
              </w:rPr>
              <w:t>1,00</w:t>
            </w:r>
          </w:p>
        </w:tc>
        <w:tc>
          <w:tcPr>
            <w:tcW w:w="960" w:type="dxa"/>
            <w:tcBorders>
              <w:top w:val="nil"/>
              <w:left w:val="nil"/>
              <w:bottom w:val="single" w:sz="4" w:space="0" w:color="auto"/>
              <w:right w:val="single" w:sz="4" w:space="0" w:color="auto"/>
            </w:tcBorders>
            <w:shd w:val="clear" w:color="auto" w:fill="auto"/>
            <w:noWrap/>
            <w:vAlign w:val="bottom"/>
            <w:hideMark/>
          </w:tcPr>
          <w:p w:rsidR="00960852" w:rsidRPr="00357346" w:rsidRDefault="00960852" w:rsidP="00960852">
            <w:pPr>
              <w:spacing w:after="0" w:line="240" w:lineRule="auto"/>
              <w:rPr>
                <w:rFonts w:ascii="Arial" w:eastAsia="Times New Roman" w:hAnsi="Arial" w:cs="Arial"/>
                <w:b/>
                <w:bCs/>
                <w:sz w:val="20"/>
                <w:szCs w:val="20"/>
                <w:lang w:val="nl-NL" w:eastAsia="nl-NL" w:bidi="ar-SA"/>
              </w:rPr>
            </w:pPr>
            <w:r w:rsidRPr="00357346">
              <w:rPr>
                <w:rFonts w:ascii="Arial" w:eastAsia="Times New Roman" w:hAnsi="Arial" w:cs="Arial"/>
                <w:b/>
                <w:bCs/>
                <w:sz w:val="20"/>
                <w:szCs w:val="20"/>
                <w:lang w:val="nl-NL" w:eastAsia="nl-NL" w:bidi="ar-SA"/>
              </w:rPr>
              <w:t>D/E</w:t>
            </w:r>
          </w:p>
        </w:tc>
        <w:tc>
          <w:tcPr>
            <w:tcW w:w="960" w:type="dxa"/>
            <w:tcBorders>
              <w:top w:val="nil"/>
              <w:left w:val="nil"/>
              <w:bottom w:val="single" w:sz="4" w:space="0" w:color="auto"/>
              <w:right w:val="single" w:sz="4" w:space="0" w:color="auto"/>
            </w:tcBorders>
            <w:shd w:val="clear" w:color="auto" w:fill="auto"/>
            <w:noWrap/>
            <w:vAlign w:val="bottom"/>
            <w:hideMark/>
          </w:tcPr>
          <w:p w:rsidR="00960852" w:rsidRPr="00357346" w:rsidRDefault="00960852" w:rsidP="00960852">
            <w:pPr>
              <w:spacing w:after="0" w:line="240" w:lineRule="auto"/>
              <w:jc w:val="right"/>
              <w:rPr>
                <w:rFonts w:ascii="Arial" w:eastAsia="Times New Roman" w:hAnsi="Arial" w:cs="Arial"/>
                <w:sz w:val="20"/>
                <w:szCs w:val="20"/>
                <w:lang w:val="nl-NL" w:eastAsia="nl-NL" w:bidi="ar-SA"/>
              </w:rPr>
            </w:pPr>
            <w:r w:rsidRPr="00357346">
              <w:rPr>
                <w:rFonts w:ascii="Arial" w:eastAsia="Times New Roman" w:hAnsi="Arial" w:cs="Arial"/>
                <w:sz w:val="20"/>
                <w:szCs w:val="20"/>
                <w:lang w:val="nl-NL" w:eastAsia="nl-NL" w:bidi="ar-SA"/>
              </w:rPr>
              <w:t>0,15</w:t>
            </w:r>
          </w:p>
        </w:tc>
        <w:tc>
          <w:tcPr>
            <w:tcW w:w="960" w:type="dxa"/>
            <w:tcBorders>
              <w:top w:val="nil"/>
              <w:left w:val="nil"/>
              <w:bottom w:val="single" w:sz="4" w:space="0" w:color="auto"/>
              <w:right w:val="single" w:sz="4" w:space="0" w:color="auto"/>
            </w:tcBorders>
            <w:shd w:val="clear" w:color="auto" w:fill="auto"/>
            <w:noWrap/>
            <w:vAlign w:val="bottom"/>
            <w:hideMark/>
          </w:tcPr>
          <w:p w:rsidR="00960852" w:rsidRPr="00357346" w:rsidRDefault="00960852" w:rsidP="00960852">
            <w:pPr>
              <w:spacing w:after="0" w:line="240" w:lineRule="auto"/>
              <w:jc w:val="right"/>
              <w:rPr>
                <w:rFonts w:ascii="Arial" w:eastAsia="Times New Roman" w:hAnsi="Arial" w:cs="Arial"/>
                <w:sz w:val="20"/>
                <w:szCs w:val="20"/>
                <w:lang w:val="nl-NL" w:eastAsia="nl-NL" w:bidi="ar-SA"/>
              </w:rPr>
            </w:pPr>
            <w:r w:rsidRPr="00357346">
              <w:rPr>
                <w:rFonts w:ascii="Arial" w:eastAsia="Times New Roman" w:hAnsi="Arial" w:cs="Arial"/>
                <w:sz w:val="20"/>
                <w:szCs w:val="20"/>
                <w:lang w:val="nl-NL" w:eastAsia="nl-NL" w:bidi="ar-SA"/>
              </w:rPr>
              <w:t>1,00</w:t>
            </w:r>
          </w:p>
        </w:tc>
      </w:tr>
    </w:tbl>
    <w:p w:rsidR="00960852" w:rsidRDefault="00960852" w:rsidP="00960852">
      <w:pPr>
        <w:pStyle w:val="NoSpacing"/>
        <w:jc w:val="both"/>
      </w:pPr>
    </w:p>
    <w:p w:rsidR="00960852" w:rsidRDefault="00960852" w:rsidP="00960852">
      <w:pPr>
        <w:pStyle w:val="NoSpacing"/>
        <w:jc w:val="both"/>
      </w:pPr>
      <w:r>
        <w:t>High correlations are seen between the EUR/USD and the US sectors, especially sectors as basic materials, consumer goods and oil and gas (0</w:t>
      </w:r>
      <w:proofErr w:type="gramStart"/>
      <w:r>
        <w:t>,77</w:t>
      </w:r>
      <w:proofErr w:type="gramEnd"/>
      <w:r>
        <w:t>; 0,78; 0,83 respectively). Meaning that they take profit from a weak dollar (cheaper commodities, low oil prices), while telecom and technology (-0</w:t>
      </w:r>
      <w:proofErr w:type="gramStart"/>
      <w:r>
        <w:t>,45</w:t>
      </w:r>
      <w:proofErr w:type="gramEnd"/>
      <w:r>
        <w:t xml:space="preserve"> and -0,33) react positively on a dollar appreciation. Maybe they are less dependent on imports, and a strong dollar goes often together with strong economic results, leading to higher sales. Remarkable are the similarities between sector-EUR/USD correlations and the sector-CHF/USD correlations</w:t>
      </w:r>
      <w:r w:rsidR="000E18B7">
        <w:t xml:space="preserve">. </w:t>
      </w:r>
      <w:r>
        <w:t>The reason can be find in the high correlation between EUR/USD and CHF/USD of 0</w:t>
      </w:r>
      <w:proofErr w:type="gramStart"/>
      <w:r>
        <w:t>,95</w:t>
      </w:r>
      <w:proofErr w:type="gramEnd"/>
      <w:r>
        <w:t xml:space="preserve">, while the correlation between the two currencies denominated in the euro is only 0,15. </w:t>
      </w:r>
      <w:r w:rsidR="00534D6D">
        <w:t xml:space="preserve">Earlier we noticed similarities in the graphs between both currencies and two reasons were given. A third one is that </w:t>
      </w:r>
      <w:r w:rsidR="00534D6D">
        <w:lastRenderedPageBreak/>
        <w:t>c</w:t>
      </w:r>
      <w:r>
        <w:t>urrency trades are in 83% of the cases against the US dollar</w:t>
      </w:r>
      <w:r>
        <w:rPr>
          <w:rStyle w:val="FootnoteReference"/>
        </w:rPr>
        <w:footnoteReference w:id="5"/>
      </w:r>
      <w:r>
        <w:t xml:space="preserve">, which probably </w:t>
      </w:r>
      <w:r w:rsidR="006E6BCF">
        <w:t xml:space="preserve">has </w:t>
      </w:r>
      <w:r>
        <w:t xml:space="preserve">lead to the high correlation among different currencies denominated in the dollar. </w:t>
      </w:r>
    </w:p>
    <w:p w:rsidR="00960852" w:rsidRDefault="00960852" w:rsidP="00960852">
      <w:pPr>
        <w:pStyle w:val="NoSpacing"/>
        <w:jc w:val="both"/>
      </w:pPr>
    </w:p>
    <w:p w:rsidR="00960852" w:rsidRDefault="00960852" w:rsidP="00960852">
      <w:pPr>
        <w:pStyle w:val="NoSpacing"/>
        <w:jc w:val="both"/>
      </w:pPr>
      <w:r>
        <w:t xml:space="preserve">The correlations can be used as an indicator of the behavior of two variables relative to each other, but tells nothing about the kind of relationship. That is why causality tests are </w:t>
      </w:r>
      <w:r w:rsidR="000E18B7">
        <w:t>needed</w:t>
      </w:r>
      <w:r>
        <w:t xml:space="preserve">. The causality tests are explained in the methodology section. </w:t>
      </w:r>
    </w:p>
    <w:p w:rsidR="00960852" w:rsidRDefault="00960852" w:rsidP="00960852">
      <w:pPr>
        <w:pStyle w:val="NoSpacing"/>
        <w:jc w:val="both"/>
      </w:pPr>
    </w:p>
    <w:p w:rsidR="00960852" w:rsidRDefault="00960852" w:rsidP="00960852">
      <w:pPr>
        <w:pStyle w:val="NoSpacing"/>
        <w:jc w:val="both"/>
      </w:pPr>
    </w:p>
    <w:p w:rsidR="00960852" w:rsidRDefault="00960852" w:rsidP="00906BE1">
      <w:pPr>
        <w:pStyle w:val="Heading1"/>
      </w:pPr>
    </w:p>
    <w:p w:rsidR="00D6604F" w:rsidRDefault="00D6604F" w:rsidP="00D6604F"/>
    <w:p w:rsidR="00D6604F" w:rsidRDefault="00D6604F" w:rsidP="00D6604F"/>
    <w:p w:rsidR="00CD606C" w:rsidRDefault="00CD606C" w:rsidP="00D6604F"/>
    <w:p w:rsidR="00CD606C" w:rsidRDefault="00CD606C" w:rsidP="00D6604F"/>
    <w:p w:rsidR="00CD606C" w:rsidRDefault="00CD606C" w:rsidP="00D6604F"/>
    <w:p w:rsidR="00CD606C" w:rsidRDefault="00CD606C" w:rsidP="00D6604F"/>
    <w:p w:rsidR="00CD606C" w:rsidRDefault="00CD606C" w:rsidP="00D6604F"/>
    <w:p w:rsidR="00CD606C" w:rsidRDefault="00CD606C" w:rsidP="00D6604F"/>
    <w:p w:rsidR="00CD606C" w:rsidRDefault="00CD606C" w:rsidP="00D6604F"/>
    <w:p w:rsidR="00CD606C" w:rsidRDefault="00CD606C" w:rsidP="00D6604F"/>
    <w:p w:rsidR="00CD606C" w:rsidRDefault="00CD606C" w:rsidP="00D6604F"/>
    <w:p w:rsidR="00CD606C" w:rsidRDefault="00CD606C" w:rsidP="00D6604F"/>
    <w:p w:rsidR="00CD606C" w:rsidRDefault="00CD606C" w:rsidP="00D6604F"/>
    <w:p w:rsidR="00CD606C" w:rsidRDefault="00CD606C" w:rsidP="00D6604F"/>
    <w:p w:rsidR="00CD606C" w:rsidRDefault="00CD606C" w:rsidP="00D6604F"/>
    <w:p w:rsidR="00CD606C" w:rsidRDefault="00CD606C" w:rsidP="00D6604F"/>
    <w:p w:rsidR="00CD606C" w:rsidRDefault="00CD606C" w:rsidP="00D6604F"/>
    <w:p w:rsidR="00CD606C" w:rsidRDefault="00CD606C" w:rsidP="00D6604F"/>
    <w:p w:rsidR="00CD606C" w:rsidRDefault="00CD606C" w:rsidP="00D6604F"/>
    <w:p w:rsidR="00CD606C" w:rsidRPr="00D6604F" w:rsidRDefault="00CD606C" w:rsidP="00D6604F"/>
    <w:p w:rsidR="00960852" w:rsidRPr="009221A7" w:rsidRDefault="00960852" w:rsidP="00D2718D">
      <w:pPr>
        <w:pStyle w:val="Heading1"/>
        <w:numPr>
          <w:ilvl w:val="0"/>
          <w:numId w:val="14"/>
        </w:numPr>
      </w:pPr>
      <w:bookmarkStart w:id="8" w:name="_Toc300320234"/>
      <w:r w:rsidRPr="00A96CFB">
        <w:rPr>
          <w:sz w:val="24"/>
          <w:szCs w:val="24"/>
        </w:rPr>
        <w:lastRenderedPageBreak/>
        <w:t>Methodology</w:t>
      </w:r>
      <w:bookmarkEnd w:id="8"/>
    </w:p>
    <w:p w:rsidR="00960852" w:rsidRDefault="00960852" w:rsidP="00960852">
      <w:pPr>
        <w:pStyle w:val="NoSpacing"/>
      </w:pPr>
      <w:r>
        <w:t xml:space="preserve">To find a relationship between the stock market and the exchange rate a time series analysis should be done. Time series analyzing is an important part of econometrics and a lot of tools and extensions are created in the last decennia. One of the most important findings was by Nelson and </w:t>
      </w:r>
      <w:proofErr w:type="spellStart"/>
      <w:r>
        <w:t>Plosser</w:t>
      </w:r>
      <w:proofErr w:type="spellEnd"/>
      <w:r>
        <w:t xml:space="preserve"> (1982). They proved most economic time series to be </w:t>
      </w:r>
      <w:proofErr w:type="spellStart"/>
      <w:r>
        <w:t>nonstationary</w:t>
      </w:r>
      <w:proofErr w:type="spellEnd"/>
      <w:r>
        <w:t xml:space="preserve">, as they were unable to reject the null hypothesis of no unit root for employment, GNP, prices, interest rates and stock prices. Before, tests were done with simple ordinary least squares (OLS) regressions, as will be described below, this regressions give often spurious or false relationships. Nelson and </w:t>
      </w:r>
      <w:proofErr w:type="spellStart"/>
      <w:r>
        <w:t>Plosser</w:t>
      </w:r>
      <w:proofErr w:type="spellEnd"/>
      <w:r>
        <w:t xml:space="preserve"> gave the start for reexamination of relationships and leads to the improvement of old test and the development of new tests. However, before their influential paper, the literature on statistical theory on autoregressive processes with parameter values of greater than one (explosive) equal to one (unstable) and smaller than one (stable) started already with Anderson (1959) and White (1959).  </w:t>
      </w:r>
    </w:p>
    <w:p w:rsidR="00960852" w:rsidRDefault="00960852" w:rsidP="00960852">
      <w:pPr>
        <w:pStyle w:val="NoSpacing"/>
      </w:pPr>
    </w:p>
    <w:p w:rsidR="00960852" w:rsidRDefault="00960852" w:rsidP="00960852">
      <w:pPr>
        <w:pStyle w:val="NoSpacing"/>
      </w:pPr>
      <w:r>
        <w:t xml:space="preserve"> For detecting the relationship between two time series, three steps are needed. In this paper, we do not only want to detect a relation, but we want to know which kind of relation and which variable influence the other. Therefore three steps should be taken:</w:t>
      </w:r>
    </w:p>
    <w:p w:rsidR="00960852" w:rsidRDefault="00960852" w:rsidP="00960852">
      <w:pPr>
        <w:pStyle w:val="NoSpacing"/>
      </w:pPr>
    </w:p>
    <w:p w:rsidR="00960852" w:rsidRDefault="00960852" w:rsidP="00960852">
      <w:pPr>
        <w:pStyle w:val="NoSpacing"/>
        <w:ind w:left="360" w:firstLine="348"/>
      </w:pPr>
      <w:r>
        <w:t>Step 1) Testing for a unit root in the time series</w:t>
      </w:r>
    </w:p>
    <w:p w:rsidR="00960852" w:rsidRDefault="00960852" w:rsidP="00960852">
      <w:pPr>
        <w:pStyle w:val="NoSpacing"/>
        <w:ind w:left="360" w:firstLine="348"/>
      </w:pPr>
      <w:r>
        <w:t xml:space="preserve">Step 2) Testing for </w:t>
      </w:r>
      <w:proofErr w:type="spellStart"/>
      <w:r>
        <w:t>cointegration</w:t>
      </w:r>
      <w:proofErr w:type="spellEnd"/>
      <w:r>
        <w:t xml:space="preserve"> between two time series</w:t>
      </w:r>
    </w:p>
    <w:p w:rsidR="00960852" w:rsidRDefault="00960852" w:rsidP="00960852">
      <w:pPr>
        <w:pStyle w:val="NoSpacing"/>
        <w:ind w:left="360" w:firstLine="348"/>
      </w:pPr>
      <w:r>
        <w:t>Step 3) Testing for Granger causality between two time series</w:t>
      </w:r>
    </w:p>
    <w:p w:rsidR="00960852" w:rsidRDefault="00960852" w:rsidP="00960852">
      <w:pPr>
        <w:pStyle w:val="NoSpacing"/>
      </w:pPr>
    </w:p>
    <w:p w:rsidR="00960852" w:rsidRDefault="00960852" w:rsidP="00960852">
      <w:pPr>
        <w:pStyle w:val="NoSpacing"/>
      </w:pPr>
      <w:r>
        <w:t>Those three steps are discussed below:</w:t>
      </w:r>
    </w:p>
    <w:p w:rsidR="00960852" w:rsidRDefault="00960852" w:rsidP="00960852">
      <w:pPr>
        <w:pStyle w:val="NoSpacing"/>
      </w:pPr>
    </w:p>
    <w:p w:rsidR="00960852" w:rsidRDefault="00960852" w:rsidP="00960852">
      <w:pPr>
        <w:pStyle w:val="NoSpacing"/>
        <w:ind w:firstLine="708"/>
      </w:pPr>
      <w:r>
        <w:t>Step 1) Testing for a unit root in the time series</w:t>
      </w:r>
    </w:p>
    <w:p w:rsidR="00960852" w:rsidRDefault="00960852" w:rsidP="00960852">
      <w:pPr>
        <w:pStyle w:val="NoSpacing"/>
      </w:pPr>
      <w:r>
        <w:t xml:space="preserve">Nelson and </w:t>
      </w:r>
      <w:proofErr w:type="spellStart"/>
      <w:r>
        <w:t>Plosser</w:t>
      </w:r>
      <w:proofErr w:type="spellEnd"/>
      <w:r>
        <w:t xml:space="preserve"> (1982) show the importance of the stationary features of data. </w:t>
      </w:r>
      <w:proofErr w:type="spellStart"/>
      <w:r>
        <w:t>Stationarity</w:t>
      </w:r>
      <w:proofErr w:type="spellEnd"/>
      <w:r>
        <w:t xml:space="preserve"> means the data has a mean and variance which are constant over time. With other words, the data has the property to return to its mean. Statisticians made a distinction between two types of </w:t>
      </w:r>
      <w:proofErr w:type="spellStart"/>
      <w:r>
        <w:t>stationarity</w:t>
      </w:r>
      <w:proofErr w:type="spellEnd"/>
      <w:r>
        <w:t xml:space="preserve">. The first one is called strictly </w:t>
      </w:r>
      <w:proofErr w:type="spellStart"/>
      <w:r>
        <w:t>stationarity</w:t>
      </w:r>
      <w:proofErr w:type="spellEnd"/>
      <w:r>
        <w:t xml:space="preserve">, and implicates that the data has a distribution which is not changed throughout the time: </w:t>
      </w:r>
    </w:p>
    <w:p w:rsidR="00960852" w:rsidRDefault="00960852" w:rsidP="00960852">
      <w:pPr>
        <w:pStyle w:val="NoSpacing"/>
      </w:pPr>
    </w:p>
    <w:p w:rsidR="00960852" w:rsidRDefault="00960852" w:rsidP="00960852">
      <w:pPr>
        <w:pStyle w:val="NoSpacing"/>
        <w:jc w:val="center"/>
      </w:pPr>
      <m:oMathPara>
        <m:oMath>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t</m:t>
                  </m:r>
                </m:sub>
              </m:sSub>
            </m:e>
          </m:d>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t+k</m:t>
                  </m:r>
                </m:sub>
              </m:sSub>
            </m:e>
          </m:d>
          <m:r>
            <w:rPr>
              <w:rFonts w:ascii="Cambria Math" w:hAnsi="Cambria Math"/>
            </w:rPr>
            <m:t xml:space="preserve">           ∀ k</m:t>
          </m:r>
        </m:oMath>
      </m:oMathPara>
    </w:p>
    <w:p w:rsidR="00960852" w:rsidRDefault="00960852" w:rsidP="00960852">
      <w:pPr>
        <w:pStyle w:val="NoSpacing"/>
      </w:pPr>
    </w:p>
    <w:p w:rsidR="00960852" w:rsidRDefault="00960852" w:rsidP="00960852">
      <w:pPr>
        <w:pStyle w:val="NoSpacing"/>
      </w:pPr>
      <w:r>
        <w:t xml:space="preserve">As equation </w:t>
      </w:r>
      <w:r w:rsidRPr="00A5346E">
        <w:rPr>
          <w:i/>
        </w:rPr>
        <w:t>x</w:t>
      </w:r>
      <w:r>
        <w:t xml:space="preserve"> indicates, the distribution of y on time t is the same as on </w:t>
      </w:r>
      <w:proofErr w:type="spellStart"/>
      <w:proofErr w:type="gramStart"/>
      <w:r>
        <w:t>y</w:t>
      </w:r>
      <w:r>
        <w:rPr>
          <w:vertAlign w:val="subscript"/>
        </w:rPr>
        <w:t>t+</w:t>
      </w:r>
      <w:proofErr w:type="gramEnd"/>
      <w:r>
        <w:rPr>
          <w:vertAlign w:val="subscript"/>
        </w:rPr>
        <w:t>k</w:t>
      </w:r>
      <w:proofErr w:type="spellEnd"/>
      <w:r>
        <w:rPr>
          <w:vertAlign w:val="subscript"/>
        </w:rPr>
        <w:t xml:space="preserve"> </w:t>
      </w:r>
      <w:r>
        <w:t xml:space="preserve">for all k. A less strict form of </w:t>
      </w:r>
      <w:proofErr w:type="spellStart"/>
      <w:r>
        <w:t>stationarity</w:t>
      </w:r>
      <w:proofErr w:type="spellEnd"/>
      <w:r>
        <w:t xml:space="preserve"> is the weakly or covariance </w:t>
      </w:r>
      <w:proofErr w:type="spellStart"/>
      <w:r>
        <w:t>stationarity</w:t>
      </w:r>
      <w:proofErr w:type="spellEnd"/>
      <w:r>
        <w:t xml:space="preserve">. We speak about this form of </w:t>
      </w:r>
      <w:proofErr w:type="spellStart"/>
      <w:r>
        <w:t>stationarity</w:t>
      </w:r>
      <w:proofErr w:type="spellEnd"/>
      <w:r>
        <w:t xml:space="preserve"> if:</w:t>
      </w:r>
    </w:p>
    <w:p w:rsidR="00960852" w:rsidRDefault="00960852" w:rsidP="00960852">
      <w:pPr>
        <w:pStyle w:val="NoSpacing"/>
      </w:pPr>
      <m:oMathPara>
        <m:oMath>
          <m:r>
            <w:rPr>
              <w:rFonts w:ascii="Cambria Math" w:hAnsi="Cambria Math"/>
            </w:rPr>
            <m:t>E</m:t>
          </m:r>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t</m:t>
                  </m:r>
                </m:sub>
              </m:sSub>
            </m:e>
          </m:d>
          <m:r>
            <w:rPr>
              <w:rFonts w:ascii="Cambria Math" w:hAnsi="Cambria Math"/>
            </w:rPr>
            <m:t>= μ</m:t>
          </m:r>
        </m:oMath>
      </m:oMathPara>
    </w:p>
    <w:p w:rsidR="00960852" w:rsidRDefault="00960852" w:rsidP="00960852">
      <w:pPr>
        <w:pStyle w:val="NoSpacing"/>
      </w:pPr>
    </w:p>
    <w:p w:rsidR="00960852" w:rsidRDefault="00960852" w:rsidP="00960852">
      <w:pPr>
        <w:pStyle w:val="NoSpacing"/>
      </w:pPr>
      <m:oMathPara>
        <m:oMath>
          <m:r>
            <w:rPr>
              <w:rFonts w:ascii="Cambria Math" w:hAnsi="Cambria Math"/>
            </w:rPr>
            <m:t>Var</m:t>
          </m:r>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t</m:t>
                  </m:r>
                </m:sub>
              </m:sSub>
            </m:e>
          </m:d>
          <m:r>
            <w:rPr>
              <w:rFonts w:ascii="Cambria Math" w:hAnsi="Cambria Math"/>
            </w:rPr>
            <m:t>=E</m:t>
          </m:r>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t</m:t>
                      </m:r>
                    </m:sub>
                  </m:sSub>
                  <m:r>
                    <w:rPr>
                      <w:rFonts w:ascii="Cambria Math" w:hAnsi="Cambria Math"/>
                    </w:rPr>
                    <m:t>-μ</m:t>
                  </m:r>
                </m:e>
              </m:d>
            </m:e>
            <m:sup>
              <m:r>
                <w:rPr>
                  <w:rFonts w:ascii="Cambria Math" w:hAnsi="Cambria Math"/>
                </w:rPr>
                <m:t>2</m:t>
              </m:r>
            </m:sup>
          </m:sSup>
          <m:r>
            <w:rPr>
              <w:rFonts w:ascii="Cambria Math" w:hAnsi="Cambria Math"/>
            </w:rPr>
            <m:t xml:space="preserve">= </m:t>
          </m:r>
          <m:sSup>
            <m:sSupPr>
              <m:ctrlPr>
                <w:rPr>
                  <w:rFonts w:ascii="Cambria Math" w:hAnsi="Cambria Math"/>
                  <w:i/>
                </w:rPr>
              </m:ctrlPr>
            </m:sSupPr>
            <m:e>
              <m:r>
                <w:rPr>
                  <w:rFonts w:ascii="Cambria Math" w:hAnsi="Cambria Math"/>
                </w:rPr>
                <m:t>σ</m:t>
              </m:r>
            </m:e>
            <m:sup>
              <m:r>
                <w:rPr>
                  <w:rFonts w:ascii="Cambria Math" w:hAnsi="Cambria Math"/>
                </w:rPr>
                <m:t>2</m:t>
              </m:r>
            </m:sup>
          </m:sSup>
        </m:oMath>
      </m:oMathPara>
    </w:p>
    <w:p w:rsidR="00960852" w:rsidRDefault="00960852" w:rsidP="00960852">
      <w:pPr>
        <w:pStyle w:val="NoSpacing"/>
      </w:pPr>
    </w:p>
    <w:p w:rsidR="00960852" w:rsidRDefault="00960852" w:rsidP="00960852">
      <w:pPr>
        <w:pStyle w:val="NoSpacing"/>
        <w:jc w:val="center"/>
      </w:pPr>
      <m:oMathPara>
        <m:oMath>
          <m:r>
            <w:rPr>
              <w:rFonts w:ascii="Cambria Math" w:hAnsi="Cambria Math"/>
            </w:rPr>
            <m:t>Cov</m:t>
          </m:r>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t+k</m:t>
                  </m:r>
                </m:sub>
              </m:sSub>
            </m:e>
          </m:d>
          <m:r>
            <w:rPr>
              <w:rFonts w:ascii="Cambria Math" w:hAnsi="Cambria Math"/>
            </w:rPr>
            <m:t>=cov</m:t>
          </m:r>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t</m:t>
                  </m:r>
                </m:sub>
              </m:sSub>
              <m:r>
                <w:rPr>
                  <w:rFonts w:ascii="Cambria Math" w:hAnsi="Cambria Math"/>
                </w:rPr>
                <m:t xml:space="preserve">, </m:t>
              </m:r>
              <m:sSub>
                <m:sSubPr>
                  <m:ctrlPr>
                    <w:rPr>
                      <w:rFonts w:ascii="Cambria Math" w:hAnsi="Cambria Math"/>
                      <w:i/>
                    </w:rPr>
                  </m:ctrlPr>
                </m:sSubPr>
                <m:e>
                  <m:r>
                    <w:rPr>
                      <w:rFonts w:ascii="Cambria Math" w:hAnsi="Cambria Math"/>
                    </w:rPr>
                    <m:t>y</m:t>
                  </m:r>
                </m:e>
                <m:sub>
                  <m:r>
                    <w:rPr>
                      <w:rFonts w:ascii="Cambria Math" w:hAnsi="Cambria Math"/>
                    </w:rPr>
                    <m:t>t-s</m:t>
                  </m:r>
                </m:sub>
              </m:sSub>
            </m:e>
          </m:d>
          <m:r>
            <w:rPr>
              <w:rFonts w:ascii="Cambria Math" w:hAnsi="Cambria Math"/>
            </w:rPr>
            <m:t xml:space="preserve">= </m:t>
          </m:r>
          <m:sSub>
            <m:sSubPr>
              <m:ctrlPr>
                <w:rPr>
                  <w:rFonts w:ascii="Cambria Math" w:hAnsi="Cambria Math"/>
                  <w:i/>
                </w:rPr>
              </m:ctrlPr>
            </m:sSubPr>
            <m:e>
              <m:r>
                <w:rPr>
                  <w:rFonts w:ascii="Cambria Math" w:hAnsi="Cambria Math"/>
                </w:rPr>
                <m:t>γ</m:t>
              </m:r>
            </m:e>
            <m:sub>
              <m:r>
                <w:rPr>
                  <w:rFonts w:ascii="Cambria Math" w:hAnsi="Cambria Math"/>
                </w:rPr>
                <m:t>s</m:t>
              </m:r>
            </m:sub>
          </m:sSub>
        </m:oMath>
      </m:oMathPara>
    </w:p>
    <w:p w:rsidR="00960852" w:rsidRDefault="00960852" w:rsidP="00960852">
      <w:pPr>
        <w:pStyle w:val="NoSpacing"/>
        <w:jc w:val="center"/>
      </w:pPr>
    </w:p>
    <w:p w:rsidR="00960852" w:rsidRDefault="00960852" w:rsidP="00960852">
      <w:pPr>
        <w:pStyle w:val="NoSpacing"/>
      </w:pPr>
      <w:r>
        <w:t xml:space="preserve">The weakly stationary form does not say that the whole distribution has to be constant. As the first two restrictions indicate, the mean and variance should be constant, which means both characteristics are the same in different samples. The third restriction indicates a covariance which is depended on s and not on t. A series without the above mentioned characteristics is described as </w:t>
      </w:r>
      <w:proofErr w:type="spellStart"/>
      <w:r>
        <w:t>nonstationary</w:t>
      </w:r>
      <w:proofErr w:type="spellEnd"/>
      <w:r>
        <w:t xml:space="preserve"> and are said to have a unit root. A </w:t>
      </w:r>
      <w:proofErr w:type="spellStart"/>
      <w:r>
        <w:t>nonstationary</w:t>
      </w:r>
      <w:proofErr w:type="spellEnd"/>
      <w:r>
        <w:t xml:space="preserve"> series does not have the property of mean reversion and is often considered as a random walk. </w:t>
      </w:r>
    </w:p>
    <w:p w:rsidR="00960852" w:rsidRDefault="00960852" w:rsidP="00960852">
      <w:pPr>
        <w:pStyle w:val="NoSpacing"/>
      </w:pPr>
    </w:p>
    <w:p w:rsidR="00960852" w:rsidRDefault="00960852" w:rsidP="00960852">
      <w:pPr>
        <w:pStyle w:val="NoSpacing"/>
      </w:pPr>
      <w:r>
        <w:t>A random walk means the time series does not show any predictability and wander up and down throughout the time. Values of the mean, variance and covariance calculated from subsamples will be dependent on the sample period. A standard random walk model is depicted as:</w:t>
      </w:r>
    </w:p>
    <w:p w:rsidR="00960852" w:rsidRDefault="00960852" w:rsidP="00960852">
      <w:pPr>
        <w:pStyle w:val="NoSpacing"/>
      </w:pPr>
    </w:p>
    <w:p w:rsidR="00960852" w:rsidRDefault="00E44EA8" w:rsidP="00960852">
      <w:pPr>
        <w:pStyle w:val="NoSpacing"/>
      </w:pPr>
      <m:oMathPara>
        <m:oMath>
          <m:sSub>
            <m:sSubPr>
              <m:ctrlPr>
                <w:rPr>
                  <w:rFonts w:ascii="Cambria Math" w:hAnsi="Cambria Math"/>
                  <w:i/>
                </w:rPr>
              </m:ctrlPr>
            </m:sSubPr>
            <m:e>
              <m:r>
                <w:rPr>
                  <w:rFonts w:ascii="Cambria Math" w:hAnsi="Cambria Math"/>
                </w:rPr>
                <m:t>y</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t-1</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t</m:t>
              </m:r>
            </m:sub>
          </m:sSub>
        </m:oMath>
      </m:oMathPara>
    </w:p>
    <w:p w:rsidR="00960852" w:rsidRDefault="00960852" w:rsidP="00960852">
      <w:pPr>
        <w:pStyle w:val="NoSpacing"/>
      </w:pPr>
    </w:p>
    <w:p w:rsidR="00960852" w:rsidRDefault="00960852" w:rsidP="00960852">
      <w:pPr>
        <w:pStyle w:val="NoSpacing"/>
      </w:pPr>
      <w:r>
        <w:t xml:space="preserve">The equation shows the value of </w:t>
      </w:r>
      <w:proofErr w:type="spellStart"/>
      <w:proofErr w:type="gramStart"/>
      <w:r>
        <w:t>y</w:t>
      </w:r>
      <w:r>
        <w:rPr>
          <w:vertAlign w:val="subscript"/>
        </w:rPr>
        <w:t>t</w:t>
      </w:r>
      <w:proofErr w:type="spellEnd"/>
      <w:proofErr w:type="gramEnd"/>
      <w:r>
        <w:t xml:space="preserve"> is dependent of its last period value y</w:t>
      </w:r>
      <w:r>
        <w:rPr>
          <w:vertAlign w:val="subscript"/>
        </w:rPr>
        <w:t>t-1</w:t>
      </w:r>
      <w:r>
        <w:t xml:space="preserve"> and an error term </w:t>
      </w:r>
      <w:proofErr w:type="spellStart"/>
      <w:r>
        <w:t>v</w:t>
      </w:r>
      <w:r>
        <w:rPr>
          <w:vertAlign w:val="subscript"/>
        </w:rPr>
        <w:t>t</w:t>
      </w:r>
      <w:proofErr w:type="spellEnd"/>
      <w:r>
        <w:t xml:space="preserve">. There exists obviously no predictability in a time series with this kind of pattern. One of the biggest ongoing discussions in the financial market literature is about this random walk behavior in the financial markets. If financial markets are really a random walk, stock picking is useless, because of the unpredictability in the financial data.  </w:t>
      </w:r>
    </w:p>
    <w:p w:rsidR="00960852" w:rsidRDefault="00960852" w:rsidP="00960852">
      <w:pPr>
        <w:pStyle w:val="NoSpacing"/>
      </w:pPr>
    </w:p>
    <w:p w:rsidR="00960852" w:rsidRDefault="00960852" w:rsidP="00960852">
      <w:pPr>
        <w:pStyle w:val="NoSpacing"/>
      </w:pPr>
      <w:r>
        <w:t xml:space="preserve">This thesis will not go any deeper in the random walk characteristics of the financial markets, but it is important to know that most economic data are considered as </w:t>
      </w:r>
      <w:proofErr w:type="spellStart"/>
      <w:r>
        <w:t>nonstationary</w:t>
      </w:r>
      <w:proofErr w:type="spellEnd"/>
      <w:r>
        <w:t xml:space="preserve">. Time series analyzing with </w:t>
      </w:r>
      <w:proofErr w:type="spellStart"/>
      <w:r>
        <w:t>nonstationary</w:t>
      </w:r>
      <w:proofErr w:type="spellEnd"/>
      <w:r>
        <w:t xml:space="preserve"> data can give all kinds of difficulties. One of those difficulties that can be faced in finding a relationship between the stock market and the exchange rates is called the spurious regression.  We speak about a spurious regression if a significant relationship is detected between two unrelated and </w:t>
      </w:r>
      <w:proofErr w:type="spellStart"/>
      <w:r>
        <w:t>nonstationary</w:t>
      </w:r>
      <w:proofErr w:type="spellEnd"/>
      <w:r>
        <w:t xml:space="preserve"> time series. Because these </w:t>
      </w:r>
      <w:proofErr w:type="spellStart"/>
      <w:r>
        <w:t>nonstatinoary</w:t>
      </w:r>
      <w:proofErr w:type="spellEnd"/>
      <w:r>
        <w:t xml:space="preserve"> time series show wandering unpredictable behavior, relationships can be found just by chance. Yuk (1926) already mentioned that regressions with trending time series could have a spurious relation. This spurious relation problem was further elaborate by Granger and </w:t>
      </w:r>
      <w:proofErr w:type="spellStart"/>
      <w:r>
        <w:t>Newbold</w:t>
      </w:r>
      <w:proofErr w:type="spellEnd"/>
      <w:r>
        <w:t xml:space="preserve"> (1974) and led finally to the development of </w:t>
      </w:r>
      <w:proofErr w:type="spellStart"/>
      <w:r>
        <w:t>cointegration</w:t>
      </w:r>
      <w:proofErr w:type="spellEnd"/>
      <w:r>
        <w:t xml:space="preserve"> tests.  </w:t>
      </w:r>
    </w:p>
    <w:p w:rsidR="00960852" w:rsidRDefault="00960852" w:rsidP="00960852">
      <w:pPr>
        <w:pStyle w:val="NoSpacing"/>
      </w:pPr>
    </w:p>
    <w:p w:rsidR="00960852" w:rsidRDefault="00960852" w:rsidP="00960852">
      <w:pPr>
        <w:pStyle w:val="NoSpacing"/>
      </w:pPr>
      <w:r>
        <w:t xml:space="preserve">A regression analysis is only trustworthy if all used time series are stationary. Time series without the stationary restrictions are not worthless for analyzing, but can be turned into stationary data using the differentiation technique. If a series become stationary after differenced d times, it is called integrated of order d, or abbreviated to </w:t>
      </w:r>
      <w:proofErr w:type="gramStart"/>
      <w:r>
        <w:t>I(</w:t>
      </w:r>
      <w:proofErr w:type="gramEnd"/>
      <w:r>
        <w:t xml:space="preserve">d). Most financial data is said to be integrated of order one </w:t>
      </w:r>
      <w:proofErr w:type="gramStart"/>
      <w:r>
        <w:t>I(</w:t>
      </w:r>
      <w:proofErr w:type="gramEnd"/>
      <w:r>
        <w:t>1) like the following model:</w:t>
      </w:r>
    </w:p>
    <w:p w:rsidR="00960852" w:rsidRDefault="00960852" w:rsidP="00960852">
      <w:pPr>
        <w:pStyle w:val="NoSpacing"/>
      </w:pPr>
    </w:p>
    <w:p w:rsidR="00960852" w:rsidRDefault="00E44EA8" w:rsidP="00960852">
      <w:pPr>
        <w:pStyle w:val="NoSpacing"/>
        <w:jc w:val="center"/>
      </w:pPr>
      <m:oMathPara>
        <m:oMath>
          <m:sSub>
            <m:sSubPr>
              <m:ctrlPr>
                <w:rPr>
                  <w:rFonts w:ascii="Cambria Math" w:hAnsi="Cambria Math"/>
                  <w:i/>
                </w:rPr>
              </m:ctrlPr>
            </m:sSubPr>
            <m:e>
              <m:r>
                <w:rPr>
                  <w:rFonts w:ascii="Cambria Math" w:hAnsi="Cambria Math"/>
                </w:rPr>
                <m:t>y</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t-1</m:t>
              </m:r>
            </m:sub>
          </m:sSub>
          <m:r>
            <w:rPr>
              <w:rFonts w:ascii="Cambria Math" w:hAnsi="Cambria Math"/>
            </w:rPr>
            <m:t>+</m:t>
          </m:r>
          <m:sSub>
            <m:sSubPr>
              <m:ctrlPr>
                <w:rPr>
                  <w:rFonts w:ascii="Cambria Math" w:hAnsi="Cambria Math"/>
                  <w:i/>
                </w:rPr>
              </m:ctrlPr>
            </m:sSubPr>
            <m:e>
              <m:r>
                <w:rPr>
                  <w:rFonts w:ascii="Cambria Math" w:hAnsi="Cambria Math"/>
                </w:rPr>
                <m:t>ϵ</m:t>
              </m:r>
            </m:e>
            <m:sub>
              <m:r>
                <w:rPr>
                  <w:rFonts w:ascii="Cambria Math" w:hAnsi="Cambria Math"/>
                </w:rPr>
                <m:t>t</m:t>
              </m:r>
            </m:sub>
          </m:sSub>
        </m:oMath>
      </m:oMathPara>
    </w:p>
    <w:p w:rsidR="00960852" w:rsidRDefault="00960852" w:rsidP="00960852">
      <w:pPr>
        <w:pStyle w:val="NoSpacing"/>
        <w:jc w:val="center"/>
      </w:pPr>
    </w:p>
    <w:p w:rsidR="00960852" w:rsidRDefault="00960852" w:rsidP="00960852">
      <w:pPr>
        <w:pStyle w:val="NoSpacing"/>
      </w:pPr>
      <w:r>
        <w:t>Taking the first-differences:</w:t>
      </w:r>
      <w:r>
        <w:tab/>
        <w:t xml:space="preserve">    </w:t>
      </w:r>
      <w:r>
        <w:tab/>
        <w:t xml:space="preserve"> </w:t>
      </w:r>
      <m:oMath>
        <m:sSub>
          <m:sSubPr>
            <m:ctrlPr>
              <w:rPr>
                <w:rFonts w:ascii="Cambria Math" w:hAnsi="Cambria Math"/>
                <w:i/>
              </w:rPr>
            </m:ctrlPr>
          </m:sSubPr>
          <m:e>
            <m:r>
              <w:rPr>
                <w:rFonts w:ascii="Cambria Math" w:hAnsi="Cambria Math"/>
              </w:rPr>
              <m:t>y</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t-1</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ϵ</m:t>
            </m:r>
          </m:e>
          <m:sub>
            <m:r>
              <w:rPr>
                <w:rFonts w:ascii="Cambria Math" w:hAnsi="Cambria Math"/>
              </w:rPr>
              <m:t>t</m:t>
            </m:r>
          </m:sub>
        </m:sSub>
      </m:oMath>
    </w:p>
    <w:p w:rsidR="00960852" w:rsidRDefault="00960852" w:rsidP="00960852">
      <w:pPr>
        <w:pStyle w:val="NoSpacing"/>
      </w:pPr>
    </w:p>
    <w:p w:rsidR="00960852" w:rsidRDefault="00960852" w:rsidP="00960852">
      <w:pPr>
        <w:pStyle w:val="NoSpacing"/>
      </w:pPr>
      <m:oMathPara>
        <m:oMath>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ϵ</m:t>
              </m:r>
            </m:e>
            <m:sub>
              <m:r>
                <w:rPr>
                  <w:rFonts w:ascii="Cambria Math" w:hAnsi="Cambria Math"/>
                </w:rPr>
                <m:t>t</m:t>
              </m:r>
            </m:sub>
          </m:sSub>
        </m:oMath>
      </m:oMathPara>
    </w:p>
    <w:p w:rsidR="00960852" w:rsidRDefault="00960852" w:rsidP="00960852">
      <w:pPr>
        <w:pStyle w:val="NoSpacing"/>
      </w:pPr>
    </w:p>
    <w:p w:rsidR="00960852" w:rsidRDefault="00960852" w:rsidP="00960852">
      <w:pPr>
        <w:pStyle w:val="NoSpacing"/>
      </w:pPr>
      <w:r>
        <w:t>∆</w:t>
      </w:r>
      <w:proofErr w:type="spellStart"/>
      <w:r>
        <w:t>y</w:t>
      </w:r>
      <w:r>
        <w:rPr>
          <w:vertAlign w:val="subscript"/>
        </w:rPr>
        <w:t>t</w:t>
      </w:r>
      <w:proofErr w:type="spellEnd"/>
      <w:r>
        <w:t xml:space="preserve"> is stationary and the </w:t>
      </w:r>
      <w:proofErr w:type="spellStart"/>
      <w:r>
        <w:t>y</w:t>
      </w:r>
      <w:r>
        <w:rPr>
          <w:vertAlign w:val="subscript"/>
        </w:rPr>
        <w:t>t</w:t>
      </w:r>
      <w:proofErr w:type="spellEnd"/>
      <w:r>
        <w:t xml:space="preserve"> is said to be stationary after taking the first difference and is an </w:t>
      </w:r>
      <w:proofErr w:type="gramStart"/>
      <w:r>
        <w:t>I(</w:t>
      </w:r>
      <w:proofErr w:type="gramEnd"/>
      <w:r>
        <w:t xml:space="preserve">1) process. </w:t>
      </w:r>
    </w:p>
    <w:p w:rsidR="00960852" w:rsidRDefault="00960852" w:rsidP="00960852">
      <w:pPr>
        <w:pStyle w:val="NoSpacing"/>
      </w:pPr>
    </w:p>
    <w:p w:rsidR="00960852" w:rsidRDefault="00960852" w:rsidP="00960852">
      <w:pPr>
        <w:pStyle w:val="NoSpacing"/>
      </w:pPr>
      <w:r>
        <w:t xml:space="preserve">The spurious regression example emphasizes why it is important to know if the data are stationary or if the differences has to be taken. The series can be test on their stationary characteristics with the unit root tests. There are many tests for determining if a series has a unit root and thus, is </w:t>
      </w:r>
      <w:proofErr w:type="spellStart"/>
      <w:r>
        <w:t>nonstationary</w:t>
      </w:r>
      <w:proofErr w:type="spellEnd"/>
      <w:r>
        <w:t xml:space="preserve"> (Kwiatkowski, Phillips, Schmidt, Shin, 1992, Phillips and </w:t>
      </w:r>
      <w:proofErr w:type="spellStart"/>
      <w:r>
        <w:t>Perron</w:t>
      </w:r>
      <w:proofErr w:type="spellEnd"/>
      <w:r>
        <w:t xml:space="preserve">, 1988). In this thesis and in most other researches, the Augmented Dickey-Fuller test (ADF) will be used to find out if we have to deal with stationary or </w:t>
      </w:r>
      <w:proofErr w:type="spellStart"/>
      <w:r>
        <w:t>nonstationary</w:t>
      </w:r>
      <w:proofErr w:type="spellEnd"/>
      <w:r>
        <w:t xml:space="preserve"> variables. The ADF test is an improvement of an earlier developed test, namely the Dickey-Fuller test (DF). </w:t>
      </w:r>
    </w:p>
    <w:p w:rsidR="00960852" w:rsidRDefault="00960852" w:rsidP="00960852">
      <w:pPr>
        <w:pStyle w:val="NoSpacing"/>
      </w:pPr>
    </w:p>
    <w:p w:rsidR="00960852" w:rsidRDefault="00960852" w:rsidP="00960852">
      <w:pPr>
        <w:pStyle w:val="NoSpacing"/>
      </w:pPr>
      <w:r>
        <w:t>Dickey-Fuller test</w:t>
      </w:r>
    </w:p>
    <w:p w:rsidR="00960852" w:rsidRDefault="00960852" w:rsidP="00960852">
      <w:pPr>
        <w:pStyle w:val="NoSpacing"/>
      </w:pPr>
      <w:r>
        <w:t>The ADF is an extension of the DF test, and therefore the DF test is discussed first. This test, developed by their name givers David Dickey and Wayne Fuller, consists of three different variations for three different stochastic processes. The distinction is made between series with or without a constant term and with or without a time trend. These unit root tests use the standard t-</w:t>
      </w:r>
      <w:proofErr w:type="gramStart"/>
      <w:r>
        <w:t>values,</w:t>
      </w:r>
      <w:proofErr w:type="gramEnd"/>
      <w:r>
        <w:t xml:space="preserve"> only the critical values are to be taken from a different distribution. The creators determined this so called tau-distribution using a Monte Carlo simulation. The distribution is skewed to the right, so that the critical values are more negative than those from the normal distribution. The tau statistic is calculated with the following formula: </w:t>
      </w:r>
    </w:p>
    <w:p w:rsidR="00960852" w:rsidRDefault="00960852" w:rsidP="00960852">
      <w:pPr>
        <w:pStyle w:val="NoSpacing"/>
      </w:pPr>
    </w:p>
    <w:p w:rsidR="00960852" w:rsidRDefault="00960852" w:rsidP="00960852">
      <w:pPr>
        <w:pStyle w:val="NoSpacing"/>
      </w:pPr>
      <m:oMathPara>
        <m:oMath>
          <m:r>
            <w:rPr>
              <w:rFonts w:ascii="Cambria Math" w:hAnsi="Cambria Math"/>
            </w:rPr>
            <w:lastRenderedPageBreak/>
            <m:t>τ=γ/se(γ)</m:t>
          </m:r>
        </m:oMath>
      </m:oMathPara>
    </w:p>
    <w:p w:rsidR="008D0A55" w:rsidRDefault="008D0A55" w:rsidP="00960852">
      <w:pPr>
        <w:pStyle w:val="NoSpacing"/>
      </w:pPr>
    </w:p>
    <w:p w:rsidR="00960852" w:rsidRDefault="00960852" w:rsidP="00960852">
      <w:pPr>
        <w:pStyle w:val="NoSpacing"/>
      </w:pPr>
      <w:r>
        <w:t>Test 1 – No constant, no trend</w:t>
      </w:r>
    </w:p>
    <w:p w:rsidR="00960852" w:rsidRPr="00B8697F" w:rsidRDefault="00960852" w:rsidP="00960852">
      <w:pPr>
        <w:pStyle w:val="NoSpacing"/>
        <w:rPr>
          <w:vertAlign w:val="subscript"/>
        </w:rPr>
      </w:pPr>
    </w:p>
    <w:p w:rsidR="00960852" w:rsidRDefault="00E44EA8" w:rsidP="00960852">
      <w:pPr>
        <w:pStyle w:val="NoSpacing"/>
      </w:pPr>
      <m:oMathPara>
        <m:oMath>
          <m:sSub>
            <m:sSubPr>
              <m:ctrlPr>
                <w:rPr>
                  <w:rFonts w:ascii="Cambria Math" w:hAnsi="Cambria Math"/>
                  <w:i/>
                </w:rPr>
              </m:ctrlPr>
            </m:sSubPr>
            <m:e>
              <m:sSub>
                <m:sSubPr>
                  <m:ctrlPr>
                    <w:rPr>
                      <w:rFonts w:ascii="Cambria Math" w:hAnsi="Cambria Math"/>
                      <w:i/>
                    </w:rPr>
                  </m:ctrlPr>
                </m:sSubPr>
                <m:e>
                  <m:r>
                    <w:rPr>
                      <w:rFonts w:ascii="Cambria Math" w:hAnsi="Cambria Math"/>
                    </w:rPr>
                    <m:t>y</m:t>
                  </m:r>
                </m:e>
                <m:sub>
                  <m:r>
                    <w:rPr>
                      <w:rFonts w:ascii="Cambria Math" w:hAnsi="Cambria Math"/>
                    </w:rPr>
                    <m:t>t</m:t>
                  </m:r>
                </m:sub>
              </m:sSub>
              <m:r>
                <w:rPr>
                  <w:rFonts w:ascii="Cambria Math" w:hAnsi="Cambria Math"/>
                </w:rPr>
                <m:t>=ρy</m:t>
              </m:r>
            </m:e>
            <m:sub>
              <m:r>
                <w:rPr>
                  <w:rFonts w:ascii="Cambria Math" w:hAnsi="Cambria Math"/>
                </w:rPr>
                <m:t>t-1</m:t>
              </m:r>
            </m:sub>
          </m:sSub>
          <m:r>
            <w:rPr>
              <w:rFonts w:ascii="Cambria Math" w:hAnsi="Cambria Math"/>
            </w:rPr>
            <m:t>+</m:t>
          </m:r>
          <m:sSub>
            <m:sSubPr>
              <m:ctrlPr>
                <w:rPr>
                  <w:rFonts w:ascii="Cambria Math" w:hAnsi="Cambria Math"/>
                  <w:i/>
                </w:rPr>
              </m:ctrlPr>
            </m:sSubPr>
            <m:e>
              <m:r>
                <w:rPr>
                  <w:rFonts w:ascii="Cambria Math" w:hAnsi="Cambria Math"/>
                </w:rPr>
                <m:t>ν</m:t>
              </m:r>
            </m:e>
            <m:sub>
              <m:r>
                <w:rPr>
                  <w:rFonts w:ascii="Cambria Math" w:hAnsi="Cambria Math"/>
                </w:rPr>
                <m:t>t</m:t>
              </m:r>
            </m:sub>
          </m:sSub>
        </m:oMath>
      </m:oMathPara>
    </w:p>
    <w:p w:rsidR="00960852" w:rsidRPr="000E01C9" w:rsidRDefault="00960852" w:rsidP="00960852">
      <w:pPr>
        <w:pStyle w:val="NoSpacing"/>
      </w:pPr>
    </w:p>
    <w:p w:rsidR="00960852" w:rsidRDefault="00E44EA8" w:rsidP="00960852">
      <w:pPr>
        <w:pStyle w:val="NoSpacing"/>
      </w:pPr>
      <m:oMathPara>
        <m:oMath>
          <m:sSub>
            <m:sSubPr>
              <m:ctrlPr>
                <w:rPr>
                  <w:rFonts w:ascii="Cambria Math" w:hAnsi="Cambria Math"/>
                  <w:i/>
                </w:rPr>
              </m:ctrlPr>
            </m:sSubPr>
            <m:e>
              <m:r>
                <w:rPr>
                  <w:rFonts w:ascii="Cambria Math" w:hAnsi="Cambria Math"/>
                </w:rPr>
                <m:t>y</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t-1</m:t>
              </m:r>
            </m:sub>
          </m:sSub>
          <m:r>
            <w:rPr>
              <w:rFonts w:ascii="Cambria Math" w:hAnsi="Cambria Math"/>
            </w:rPr>
            <m:t>=ρ</m:t>
          </m:r>
          <m:sSub>
            <m:sSubPr>
              <m:ctrlPr>
                <w:rPr>
                  <w:rFonts w:ascii="Cambria Math" w:hAnsi="Cambria Math"/>
                  <w:i/>
                </w:rPr>
              </m:ctrlPr>
            </m:sSubPr>
            <m:e>
              <m:r>
                <w:rPr>
                  <w:rFonts w:ascii="Cambria Math" w:hAnsi="Cambria Math"/>
                </w:rPr>
                <m:t>y</m:t>
              </m:r>
            </m:e>
            <m:sub>
              <m:r>
                <w:rPr>
                  <w:rFonts w:ascii="Cambria Math" w:hAnsi="Cambria Math"/>
                </w:rPr>
                <m:t>t-1</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t-1</m:t>
              </m:r>
            </m:sub>
          </m:sSub>
          <m:r>
            <w:rPr>
              <w:rFonts w:ascii="Cambria Math" w:hAnsi="Cambria Math"/>
            </w:rPr>
            <m:t>+</m:t>
          </m:r>
          <m:sSub>
            <m:sSubPr>
              <m:ctrlPr>
                <w:rPr>
                  <w:rFonts w:ascii="Cambria Math" w:hAnsi="Cambria Math"/>
                  <w:i/>
                </w:rPr>
              </m:ctrlPr>
            </m:sSubPr>
            <m:e>
              <m:r>
                <w:rPr>
                  <w:rFonts w:ascii="Cambria Math" w:hAnsi="Cambria Math"/>
                </w:rPr>
                <m:t>ν</m:t>
              </m:r>
            </m:e>
            <m:sub>
              <m:r>
                <w:rPr>
                  <w:rFonts w:ascii="Cambria Math" w:hAnsi="Cambria Math"/>
                </w:rPr>
                <m:t>t</m:t>
              </m:r>
            </m:sub>
          </m:sSub>
        </m:oMath>
      </m:oMathPara>
    </w:p>
    <w:p w:rsidR="00960852" w:rsidRPr="00513D80" w:rsidRDefault="00960852" w:rsidP="00960852">
      <w:pPr>
        <w:pStyle w:val="NoSpacing"/>
      </w:pPr>
    </w:p>
    <w:p w:rsidR="00960852" w:rsidRDefault="00960852" w:rsidP="00960852">
      <w:pPr>
        <w:pStyle w:val="NoSpacing"/>
      </w:pPr>
      <m:oMathPara>
        <m:oMathParaPr>
          <m:jc m:val="center"/>
        </m:oMathParaPr>
        <m:oMath>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t</m:t>
              </m:r>
            </m:sub>
          </m:sSub>
          <m:r>
            <w:rPr>
              <w:rFonts w:ascii="Cambria Math" w:hAnsi="Cambria Math"/>
            </w:rPr>
            <m:t>=</m:t>
          </m:r>
          <m:d>
            <m:dPr>
              <m:ctrlPr>
                <w:rPr>
                  <w:rFonts w:ascii="Cambria Math" w:hAnsi="Cambria Math"/>
                  <w:i/>
                </w:rPr>
              </m:ctrlPr>
            </m:dPr>
            <m:e>
              <m:r>
                <w:rPr>
                  <w:rFonts w:ascii="Cambria Math" w:hAnsi="Cambria Math"/>
                </w:rPr>
                <m:t>ρ-1</m:t>
              </m:r>
            </m:e>
          </m:d>
          <m:sSub>
            <m:sSubPr>
              <m:ctrlPr>
                <w:rPr>
                  <w:rFonts w:ascii="Cambria Math" w:hAnsi="Cambria Math"/>
                  <w:i/>
                </w:rPr>
              </m:ctrlPr>
            </m:sSubPr>
            <m:e>
              <m:r>
                <w:rPr>
                  <w:rFonts w:ascii="Cambria Math" w:hAnsi="Cambria Math"/>
                </w:rPr>
                <m:t>y</m:t>
              </m:r>
            </m:e>
            <m:sub>
              <m:r>
                <w:rPr>
                  <w:rFonts w:ascii="Cambria Math" w:hAnsi="Cambria Math"/>
                </w:rPr>
                <m:t>t-1</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t</m:t>
              </m:r>
            </m:sub>
          </m:sSub>
          <m:r>
            <w:rPr>
              <w:rFonts w:ascii="Cambria Math" w:hAnsi="Cambria Math"/>
            </w:rPr>
            <m:t xml:space="preserve"> </m:t>
          </m:r>
        </m:oMath>
      </m:oMathPara>
    </w:p>
    <w:p w:rsidR="00960852" w:rsidRDefault="00960852" w:rsidP="00960852">
      <w:pPr>
        <w:pStyle w:val="NoSpacing"/>
      </w:pPr>
    </w:p>
    <w:p w:rsidR="00960852" w:rsidRDefault="00960852" w:rsidP="00960852">
      <w:pPr>
        <w:pStyle w:val="NoSpacing"/>
      </w:pPr>
      <m:oMathPara>
        <m:oMath>
          <m:r>
            <w:rPr>
              <w:rFonts w:ascii="Cambria Math" w:hAnsi="Cambria Math"/>
            </w:rPr>
            <m:t xml:space="preserve">       =γ</m:t>
          </m:r>
          <m:sSub>
            <m:sSubPr>
              <m:ctrlPr>
                <w:rPr>
                  <w:rFonts w:ascii="Cambria Math" w:hAnsi="Cambria Math"/>
                  <w:i/>
                </w:rPr>
              </m:ctrlPr>
            </m:sSubPr>
            <m:e>
              <m:r>
                <w:rPr>
                  <w:rFonts w:ascii="Cambria Math" w:hAnsi="Cambria Math"/>
                </w:rPr>
                <m:t>y</m:t>
              </m:r>
            </m:e>
            <m:sub>
              <m:r>
                <w:rPr>
                  <w:rFonts w:ascii="Cambria Math" w:hAnsi="Cambria Math"/>
                </w:rPr>
                <m:t>t-1</m:t>
              </m:r>
            </m:sub>
          </m:sSub>
          <m:r>
            <w:rPr>
              <w:rFonts w:ascii="Cambria Math" w:hAnsi="Cambria Math"/>
            </w:rPr>
            <m:t>+</m:t>
          </m:r>
          <m:sSub>
            <m:sSubPr>
              <m:ctrlPr>
                <w:rPr>
                  <w:rFonts w:ascii="Cambria Math" w:hAnsi="Cambria Math"/>
                  <w:i/>
                </w:rPr>
              </m:ctrlPr>
            </m:sSubPr>
            <m:e>
              <m:r>
                <w:rPr>
                  <w:rFonts w:ascii="Cambria Math" w:hAnsi="Cambria Math"/>
                </w:rPr>
                <m:t>ν</m:t>
              </m:r>
            </m:e>
            <m:sub>
              <m:r>
                <w:rPr>
                  <w:rFonts w:ascii="Cambria Math" w:hAnsi="Cambria Math"/>
                </w:rPr>
                <m:t>t</m:t>
              </m:r>
            </m:sub>
          </m:sSub>
          <m:r>
            <w:rPr>
              <w:rFonts w:ascii="Cambria Math" w:hAnsi="Cambria Math"/>
            </w:rPr>
            <m:t xml:space="preserve">            </m:t>
          </m:r>
        </m:oMath>
      </m:oMathPara>
    </w:p>
    <w:p w:rsidR="00960852" w:rsidRDefault="00960852" w:rsidP="00960852">
      <w:pPr>
        <w:pStyle w:val="NoSpacing"/>
      </w:pPr>
    </w:p>
    <w:p w:rsidR="00960852" w:rsidRDefault="00E44EA8" w:rsidP="00960852">
      <w:pPr>
        <w:pStyle w:val="NoSpacing"/>
      </w:pPr>
      <m:oMathPara>
        <m:oMathParaPr>
          <m:jc m:val="left"/>
        </m:oMathParaPr>
        <m:oMath>
          <m:sSub>
            <m:sSubPr>
              <m:ctrlPr>
                <w:rPr>
                  <w:rFonts w:ascii="Cambria Math" w:hAnsi="Cambria Math"/>
                  <w:i/>
                </w:rPr>
              </m:ctrlPr>
            </m:sSubPr>
            <m:e>
              <m:r>
                <w:rPr>
                  <w:rFonts w:ascii="Cambria Math" w:hAnsi="Cambria Math"/>
                </w:rPr>
                <m:t>H</m:t>
              </m:r>
            </m:e>
            <m:sub>
              <m:r>
                <w:rPr>
                  <w:rFonts w:ascii="Cambria Math" w:hAnsi="Cambria Math"/>
                </w:rPr>
                <m:t>0</m:t>
              </m:r>
            </m:sub>
          </m:sSub>
          <m:r>
            <w:rPr>
              <w:rFonts w:ascii="Cambria Math" w:hAnsi="Cambria Math"/>
            </w:rPr>
            <m:t>:ρ=1↔</m:t>
          </m:r>
          <m:sSub>
            <m:sSubPr>
              <m:ctrlPr>
                <w:rPr>
                  <w:rFonts w:ascii="Cambria Math" w:hAnsi="Cambria Math"/>
                  <w:i/>
                </w:rPr>
              </m:ctrlPr>
            </m:sSubPr>
            <m:e>
              <m:r>
                <w:rPr>
                  <w:rFonts w:ascii="Cambria Math" w:hAnsi="Cambria Math"/>
                </w:rPr>
                <m:t>H</m:t>
              </m:r>
            </m:e>
            <m:sub>
              <m:r>
                <w:rPr>
                  <w:rFonts w:ascii="Cambria Math" w:hAnsi="Cambria Math"/>
                </w:rPr>
                <m:t>0</m:t>
              </m:r>
            </m:sub>
          </m:sSub>
          <m:r>
            <w:rPr>
              <w:rFonts w:ascii="Cambria Math" w:hAnsi="Cambria Math"/>
            </w:rPr>
            <m:t>: γ=0</m:t>
          </m:r>
        </m:oMath>
      </m:oMathPara>
    </w:p>
    <w:p w:rsidR="00960852" w:rsidRPr="00513D80" w:rsidRDefault="00E44EA8" w:rsidP="00960852">
      <w:pPr>
        <w:pStyle w:val="NoSpacing"/>
      </w:pPr>
      <m:oMathPara>
        <m:oMathParaPr>
          <m:jc m:val="left"/>
        </m:oMathParaPr>
        <m:oMath>
          <m:sSub>
            <m:sSubPr>
              <m:ctrlPr>
                <w:rPr>
                  <w:rFonts w:ascii="Cambria Math" w:hAnsi="Cambria Math"/>
                  <w:i/>
                </w:rPr>
              </m:ctrlPr>
            </m:sSubPr>
            <m:e>
              <m:r>
                <w:rPr>
                  <w:rFonts w:ascii="Cambria Math" w:hAnsi="Cambria Math"/>
                </w:rPr>
                <m:t>H</m:t>
              </m:r>
            </m:e>
            <m:sub>
              <m:r>
                <w:rPr>
                  <w:rFonts w:ascii="Cambria Math" w:hAnsi="Cambria Math"/>
                </w:rPr>
                <m:t>1</m:t>
              </m:r>
            </m:sub>
          </m:sSub>
          <m:r>
            <w:rPr>
              <w:rFonts w:ascii="Cambria Math" w:hAnsi="Cambria Math"/>
            </w:rPr>
            <m:t>:ρ&lt;1↔</m:t>
          </m:r>
          <m:sSub>
            <m:sSubPr>
              <m:ctrlPr>
                <w:rPr>
                  <w:rFonts w:ascii="Cambria Math" w:hAnsi="Cambria Math"/>
                  <w:i/>
                </w:rPr>
              </m:ctrlPr>
            </m:sSubPr>
            <m:e>
              <m:r>
                <w:rPr>
                  <w:rFonts w:ascii="Cambria Math" w:hAnsi="Cambria Math"/>
                </w:rPr>
                <m:t>H</m:t>
              </m:r>
            </m:e>
            <m:sub>
              <m:r>
                <w:rPr>
                  <w:rFonts w:ascii="Cambria Math" w:hAnsi="Cambria Math"/>
                </w:rPr>
                <m:t>1</m:t>
              </m:r>
            </m:sub>
          </m:sSub>
          <m:r>
            <w:rPr>
              <w:rFonts w:ascii="Cambria Math" w:hAnsi="Cambria Math"/>
            </w:rPr>
            <m:t>:γ&lt;0</m:t>
          </m:r>
        </m:oMath>
      </m:oMathPara>
    </w:p>
    <w:p w:rsidR="00960852" w:rsidRDefault="00960852" w:rsidP="00960852">
      <w:pPr>
        <w:pStyle w:val="NoSpacing"/>
      </w:pPr>
    </w:p>
    <w:p w:rsidR="00960852" w:rsidRDefault="00960852" w:rsidP="00960852">
      <w:pPr>
        <w:pStyle w:val="NoSpacing"/>
      </w:pPr>
      <w:r>
        <w:t xml:space="preserve">The null hypothesis indicates a ρ with a value of one. This value of one is called the unit root of the series, because the time series gets the same characteristics as a random walk, which is only depending on its last value and the error term, meaning that the process is </w:t>
      </w:r>
      <w:proofErr w:type="spellStart"/>
      <w:r>
        <w:t>nonstationary</w:t>
      </w:r>
      <w:proofErr w:type="spellEnd"/>
      <w:r>
        <w:t>. A ρ lower than one, means it has influence on y</w:t>
      </w:r>
      <w:r>
        <w:rPr>
          <w:vertAlign w:val="subscript"/>
        </w:rPr>
        <w:t>t-1</w:t>
      </w:r>
      <w:r>
        <w:t xml:space="preserve">. A shock in the error term leads the model away from its mean, but the value of ρ&lt;1 will force the model to go back to this mean. The lower the </w:t>
      </w:r>
      <w:proofErr w:type="gramStart"/>
      <w:r>
        <w:t>value of ρ, the faster the model go</w:t>
      </w:r>
      <w:proofErr w:type="gramEnd"/>
      <w:r>
        <w:t xml:space="preserve"> back in the old direction. </w:t>
      </w:r>
    </w:p>
    <w:p w:rsidR="00960852" w:rsidRDefault="00960852" w:rsidP="00960852">
      <w:pPr>
        <w:pStyle w:val="NoSpacing"/>
      </w:pPr>
    </w:p>
    <w:p w:rsidR="00960852" w:rsidRDefault="00960852" w:rsidP="00960852">
      <w:pPr>
        <w:pStyle w:val="NoSpacing"/>
      </w:pPr>
      <w:r>
        <w:t>Test 2 – With constant but no trend</w:t>
      </w:r>
    </w:p>
    <w:p w:rsidR="00960852" w:rsidRDefault="00960852" w:rsidP="00960852">
      <w:pPr>
        <w:pStyle w:val="NoSpacing"/>
      </w:pPr>
    </w:p>
    <w:p w:rsidR="00960852" w:rsidRDefault="00960852" w:rsidP="00960852">
      <w:pPr>
        <w:pStyle w:val="NoSpacing"/>
      </w:pPr>
      <m:oMathPara>
        <m:oMathParaPr>
          <m:jc m:val="center"/>
        </m:oMathParaPr>
        <m:oMath>
          <m:r>
            <w:rPr>
              <w:rFonts w:ascii="Cambria Math" w:hAnsi="Cambria Math"/>
            </w:rPr>
            <m:t xml:space="preserve">            ∆</m:t>
          </m:r>
          <m:sSub>
            <m:sSubPr>
              <m:ctrlPr>
                <w:rPr>
                  <w:rFonts w:ascii="Cambria Math" w:hAnsi="Cambria Math"/>
                  <w:i/>
                </w:rPr>
              </m:ctrlPr>
            </m:sSubPr>
            <m:e>
              <m:r>
                <w:rPr>
                  <w:rFonts w:ascii="Cambria Math" w:hAnsi="Cambria Math"/>
                </w:rPr>
                <m:t>y</m:t>
              </m:r>
            </m:e>
            <m:sub>
              <m:r>
                <w:rPr>
                  <w:rFonts w:ascii="Cambria Math" w:hAnsi="Cambria Math"/>
                </w:rPr>
                <m:t>t</m:t>
              </m:r>
            </m:sub>
          </m:sSub>
          <m:r>
            <w:rPr>
              <w:rFonts w:ascii="Cambria Math" w:hAnsi="Cambria Math"/>
            </w:rPr>
            <m:t>=α+γ</m:t>
          </m:r>
          <m:sSub>
            <m:sSubPr>
              <m:ctrlPr>
                <w:rPr>
                  <w:rFonts w:ascii="Cambria Math" w:hAnsi="Cambria Math"/>
                  <w:i/>
                </w:rPr>
              </m:ctrlPr>
            </m:sSubPr>
            <m:e>
              <m:r>
                <w:rPr>
                  <w:rFonts w:ascii="Cambria Math" w:hAnsi="Cambria Math"/>
                </w:rPr>
                <m:t>y</m:t>
              </m:r>
            </m:e>
            <m:sub>
              <m:r>
                <w:rPr>
                  <w:rFonts w:ascii="Cambria Math" w:hAnsi="Cambria Math"/>
                </w:rPr>
                <m:t>t-1</m:t>
              </m:r>
            </m:sub>
          </m:sSub>
          <m:r>
            <w:rPr>
              <w:rFonts w:ascii="Cambria Math" w:hAnsi="Cambria Math"/>
            </w:rPr>
            <m:t>+</m:t>
          </m:r>
          <m:sSub>
            <m:sSubPr>
              <m:ctrlPr>
                <w:rPr>
                  <w:rFonts w:ascii="Cambria Math" w:hAnsi="Cambria Math"/>
                  <w:i/>
                </w:rPr>
              </m:ctrlPr>
            </m:sSubPr>
            <m:e>
              <m:r>
                <w:rPr>
                  <w:rFonts w:ascii="Cambria Math" w:hAnsi="Cambria Math"/>
                </w:rPr>
                <m:t>ν</m:t>
              </m:r>
            </m:e>
            <m:sub>
              <m:r>
                <w:rPr>
                  <w:rFonts w:ascii="Cambria Math" w:hAnsi="Cambria Math"/>
                </w:rPr>
                <m:t>t</m:t>
              </m:r>
            </m:sub>
          </m:sSub>
          <m:r>
            <w:rPr>
              <w:rFonts w:ascii="Cambria Math" w:hAnsi="Cambria Math"/>
            </w:rPr>
            <m:t xml:space="preserve">     </m:t>
          </m:r>
        </m:oMath>
      </m:oMathPara>
    </w:p>
    <w:p w:rsidR="00960852" w:rsidRDefault="00960852" w:rsidP="00960852">
      <w:pPr>
        <w:pStyle w:val="NoSpacing"/>
      </w:pPr>
    </w:p>
    <w:p w:rsidR="00960852" w:rsidRDefault="00960852" w:rsidP="00960852">
      <w:pPr>
        <w:pStyle w:val="NoSpacing"/>
      </w:pPr>
      <w:r>
        <w:t>The constant implies that the model is fluctuating around a non</w:t>
      </w:r>
      <w:r w:rsidR="008D0A55">
        <w:t>-</w:t>
      </w:r>
      <w:r>
        <w:t>zero sample average.</w:t>
      </w:r>
    </w:p>
    <w:p w:rsidR="00960852" w:rsidRDefault="00960852" w:rsidP="00960852">
      <w:pPr>
        <w:pStyle w:val="NoSpacing"/>
      </w:pPr>
      <w:r>
        <w:rPr>
          <w:vertAlign w:val="subscript"/>
        </w:rPr>
        <w:tab/>
      </w:r>
      <w:r>
        <w:tab/>
      </w:r>
      <w:r>
        <w:tab/>
      </w:r>
      <w:r>
        <w:tab/>
      </w:r>
      <w:r>
        <w:tab/>
      </w:r>
      <w:r>
        <w:rPr>
          <w:vertAlign w:val="subscript"/>
        </w:rPr>
        <w:tab/>
      </w:r>
    </w:p>
    <w:p w:rsidR="00960852" w:rsidRDefault="00960852" w:rsidP="00960852">
      <w:pPr>
        <w:pStyle w:val="NoSpacing"/>
      </w:pPr>
      <w:r>
        <w:t>Test 3 – With constant and trend</w:t>
      </w:r>
    </w:p>
    <w:p w:rsidR="00960852" w:rsidRDefault="00960852" w:rsidP="00960852">
      <w:pPr>
        <w:pStyle w:val="NoSpacing"/>
      </w:pPr>
    </w:p>
    <w:p w:rsidR="00960852" w:rsidRDefault="00960852" w:rsidP="00960852">
      <w:pPr>
        <w:pStyle w:val="NoSpacing"/>
        <w:jc w:val="center"/>
      </w:pPr>
      <m:oMathPara>
        <m:oMath>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t</m:t>
              </m:r>
            </m:sub>
          </m:sSub>
          <m:r>
            <w:rPr>
              <w:rFonts w:ascii="Cambria Math" w:hAnsi="Cambria Math"/>
            </w:rPr>
            <m:t>=α+γ</m:t>
          </m:r>
          <m:sSub>
            <m:sSubPr>
              <m:ctrlPr>
                <w:rPr>
                  <w:rFonts w:ascii="Cambria Math" w:hAnsi="Cambria Math"/>
                  <w:i/>
                </w:rPr>
              </m:ctrlPr>
            </m:sSubPr>
            <m:e>
              <m:r>
                <w:rPr>
                  <w:rFonts w:ascii="Cambria Math" w:hAnsi="Cambria Math"/>
                </w:rPr>
                <m:t>y</m:t>
              </m:r>
            </m:e>
            <m:sub>
              <m:r>
                <w:rPr>
                  <w:rFonts w:ascii="Cambria Math" w:hAnsi="Cambria Math"/>
                </w:rPr>
                <m:t>t-1</m:t>
              </m:r>
            </m:sub>
          </m:sSub>
          <m:r>
            <w:rPr>
              <w:rFonts w:ascii="Cambria Math" w:hAnsi="Cambria Math"/>
            </w:rPr>
            <m:t>+λt+</m:t>
          </m:r>
          <m:sSub>
            <m:sSubPr>
              <m:ctrlPr>
                <w:rPr>
                  <w:rFonts w:ascii="Cambria Math" w:hAnsi="Cambria Math"/>
                  <w:i/>
                </w:rPr>
              </m:ctrlPr>
            </m:sSubPr>
            <m:e>
              <m:r>
                <w:rPr>
                  <w:rFonts w:ascii="Cambria Math" w:hAnsi="Cambria Math"/>
                </w:rPr>
                <m:t>ν</m:t>
              </m:r>
            </m:e>
            <m:sub>
              <m:r>
                <w:rPr>
                  <w:rFonts w:ascii="Cambria Math" w:hAnsi="Cambria Math"/>
                </w:rPr>
                <m:t>t</m:t>
              </m:r>
            </m:sub>
          </m:sSub>
        </m:oMath>
      </m:oMathPara>
    </w:p>
    <w:p w:rsidR="00960852" w:rsidRDefault="00960852" w:rsidP="00960852">
      <w:pPr>
        <w:pStyle w:val="NoSpacing"/>
      </w:pPr>
    </w:p>
    <w:p w:rsidR="00960852" w:rsidRDefault="00960852" w:rsidP="00960852">
      <w:pPr>
        <w:pStyle w:val="NoSpacing"/>
      </w:pPr>
      <w:r>
        <w:t xml:space="preserve">The constant and the trend </w:t>
      </w:r>
      <w:proofErr w:type="gramStart"/>
      <w:r>
        <w:t>implies</w:t>
      </w:r>
      <w:proofErr w:type="gramEnd"/>
      <w:r>
        <w:t xml:space="preserve"> that the model is fluctuating around a linear trend. </w:t>
      </w:r>
      <w:r>
        <w:tab/>
      </w:r>
    </w:p>
    <w:p w:rsidR="00960852" w:rsidRDefault="00960852" w:rsidP="00960852">
      <w:pPr>
        <w:pStyle w:val="NoSpacing"/>
      </w:pPr>
      <w:r>
        <w:tab/>
      </w:r>
      <w:r>
        <w:tab/>
      </w:r>
      <w:r>
        <w:tab/>
      </w:r>
      <w:r>
        <w:tab/>
      </w:r>
      <w:r>
        <w:tab/>
      </w:r>
      <w:r>
        <w:tab/>
      </w:r>
      <w:r>
        <w:tab/>
      </w:r>
      <w:r>
        <w:tab/>
      </w:r>
      <w:r>
        <w:tab/>
      </w:r>
    </w:p>
    <w:p w:rsidR="00960852" w:rsidRDefault="00960852" w:rsidP="00960852">
      <w:pPr>
        <w:pStyle w:val="NoSpacing"/>
      </w:pPr>
      <w:r>
        <w:t>Augmented Dickey-Fuller test</w:t>
      </w:r>
    </w:p>
    <w:p w:rsidR="00960852" w:rsidRDefault="00960852" w:rsidP="00960852">
      <w:pPr>
        <w:pStyle w:val="NoSpacing"/>
      </w:pPr>
      <w:r>
        <w:t xml:space="preserve">This test is augmented because it can deal with larger and more complicated set of time series, and makes the ADF test the most appropriate test to use in our research. </w:t>
      </w:r>
    </w:p>
    <w:p w:rsidR="00960852" w:rsidRDefault="00960852" w:rsidP="00960852">
      <w:pPr>
        <w:pStyle w:val="NoSpacing"/>
      </w:pPr>
      <w:r>
        <w:t xml:space="preserve"> </w:t>
      </w:r>
    </w:p>
    <w:p w:rsidR="00960852" w:rsidRDefault="00960852" w:rsidP="00960852">
      <w:pPr>
        <w:pStyle w:val="NoSpacing"/>
        <w:jc w:val="center"/>
      </w:pPr>
      <m:oMathPara>
        <m:oMath>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t</m:t>
              </m:r>
            </m:sub>
          </m:sSub>
          <m:r>
            <w:rPr>
              <w:rFonts w:ascii="Cambria Math" w:hAnsi="Cambria Math"/>
            </w:rPr>
            <m:t>=α+γ</m:t>
          </m:r>
          <m:sSub>
            <m:sSubPr>
              <m:ctrlPr>
                <w:rPr>
                  <w:rFonts w:ascii="Cambria Math" w:hAnsi="Cambria Math"/>
                  <w:i/>
                </w:rPr>
              </m:ctrlPr>
            </m:sSubPr>
            <m:e>
              <m:r>
                <w:rPr>
                  <w:rFonts w:ascii="Cambria Math" w:hAnsi="Cambria Math"/>
                </w:rPr>
                <m:t>y</m:t>
              </m:r>
            </m:e>
            <m:sub>
              <m:r>
                <w:rPr>
                  <w:rFonts w:ascii="Cambria Math" w:hAnsi="Cambria Math"/>
                </w:rPr>
                <m:t>t-1</m:t>
              </m:r>
            </m:sub>
          </m:sSub>
          <m:r>
            <w:rPr>
              <w:rFonts w:ascii="Cambria Math" w:hAnsi="Cambria Math"/>
            </w:rPr>
            <m:t>+</m:t>
          </m:r>
          <m:nary>
            <m:naryPr>
              <m:chr m:val="∑"/>
              <m:limLoc m:val="undOvr"/>
              <m:ctrlPr>
                <w:rPr>
                  <w:rFonts w:ascii="Cambria Math" w:hAnsi="Cambria Math"/>
                  <w:i/>
                </w:rPr>
              </m:ctrlPr>
            </m:naryPr>
            <m:sub>
              <m:r>
                <w:rPr>
                  <w:rFonts w:ascii="Cambria Math" w:hAnsi="Cambria Math"/>
                </w:rPr>
                <m:t>s=1</m:t>
              </m:r>
            </m:sub>
            <m:sup>
              <m:r>
                <w:rPr>
                  <w:rFonts w:ascii="Cambria Math" w:hAnsi="Cambria Math"/>
                </w:rPr>
                <m:t>m</m:t>
              </m:r>
            </m:sup>
            <m:e>
              <m:sSub>
                <m:sSubPr>
                  <m:ctrlPr>
                    <w:rPr>
                      <w:rFonts w:ascii="Cambria Math" w:hAnsi="Cambria Math"/>
                      <w:i/>
                    </w:rPr>
                  </m:ctrlPr>
                </m:sSubPr>
                <m:e>
                  <m:r>
                    <w:rPr>
                      <w:rFonts w:ascii="Cambria Math" w:hAnsi="Cambria Math"/>
                    </w:rPr>
                    <m:t>α</m:t>
                  </m:r>
                </m:e>
                <m:sub>
                  <m:r>
                    <w:rPr>
                      <w:rFonts w:ascii="Cambria Math" w:hAnsi="Cambria Math"/>
                    </w:rPr>
                    <m:t>s</m:t>
                  </m:r>
                </m:sub>
              </m:sSub>
            </m:e>
          </m:nary>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t-s</m:t>
              </m:r>
            </m:sub>
          </m:sSub>
          <m:r>
            <w:rPr>
              <w:rFonts w:ascii="Cambria Math" w:hAnsi="Cambria Math"/>
            </w:rPr>
            <m:t>+</m:t>
          </m:r>
          <m:sSub>
            <m:sSubPr>
              <m:ctrlPr>
                <w:rPr>
                  <w:rFonts w:ascii="Cambria Math" w:hAnsi="Cambria Math"/>
                  <w:i/>
                </w:rPr>
              </m:ctrlPr>
            </m:sSubPr>
            <m:e>
              <m:r>
                <w:rPr>
                  <w:rFonts w:ascii="Cambria Math" w:hAnsi="Cambria Math"/>
                </w:rPr>
                <m:t>ν</m:t>
              </m:r>
            </m:e>
            <m:sub>
              <m:r>
                <w:rPr>
                  <w:rFonts w:ascii="Cambria Math" w:hAnsi="Cambria Math"/>
                </w:rPr>
                <m:t>t</m:t>
              </m:r>
            </m:sub>
          </m:sSub>
        </m:oMath>
      </m:oMathPara>
    </w:p>
    <w:p w:rsidR="00960852" w:rsidRDefault="00960852" w:rsidP="00960852">
      <w:pPr>
        <w:pStyle w:val="NoSpacing"/>
      </w:pPr>
    </w:p>
    <w:p w:rsidR="00960852" w:rsidRDefault="00960852" w:rsidP="00960852">
      <w:pPr>
        <w:pStyle w:val="NoSpacing"/>
      </w:pPr>
      <w:r>
        <w:t xml:space="preserve">The ADF test will use as many lagged first differences as needed to make sure that the error terms are not </w:t>
      </w:r>
      <w:proofErr w:type="spellStart"/>
      <w:r>
        <w:t>autocorrelated</w:t>
      </w:r>
      <w:proofErr w:type="spellEnd"/>
      <w:r>
        <w:t xml:space="preserve">, as can be seen in the third right hand term. There are tools for selecting the best model, in this thesis the two most appropriated are used, the </w:t>
      </w:r>
      <w:proofErr w:type="spellStart"/>
      <w:r>
        <w:t>Akaike</w:t>
      </w:r>
      <w:proofErr w:type="spellEnd"/>
      <w:r>
        <w:t xml:space="preserve"> Information Criterion (AIC) and the Schwarz Information Criterion (SIC). The purpose of both is to abandon autocorrelation in the residuals, while using lags. The best model is the one which can abandon autocorrelation with the least lags. The formulas are: </w:t>
      </w:r>
    </w:p>
    <w:p w:rsidR="00960852" w:rsidRDefault="00960852" w:rsidP="00960852">
      <w:pPr>
        <w:pStyle w:val="NoSpacing"/>
      </w:pPr>
    </w:p>
    <w:p w:rsidR="00960852" w:rsidRDefault="00960852" w:rsidP="00960852">
      <w:pPr>
        <w:pStyle w:val="NoSpacing"/>
      </w:pPr>
      <m:oMathPara>
        <m:oMathParaPr>
          <m:jc m:val="center"/>
        </m:oMathParaPr>
        <m:oMath>
          <m:r>
            <w:rPr>
              <w:rFonts w:ascii="Cambria Math" w:hAnsi="Cambria Math"/>
            </w:rPr>
            <m:t xml:space="preserve">              AIC=T</m:t>
          </m:r>
          <m:func>
            <m:funcPr>
              <m:ctrlPr>
                <w:rPr>
                  <w:rFonts w:ascii="Cambria Math" w:hAnsi="Cambria Math"/>
                  <w:i/>
                </w:rPr>
              </m:ctrlPr>
            </m:funcPr>
            <m:fName>
              <m:r>
                <m:rPr>
                  <m:sty m:val="p"/>
                </m:rPr>
                <w:rPr>
                  <w:rFonts w:ascii="Cambria Math" w:hAnsi="Cambria Math"/>
                </w:rPr>
                <m:t>ln</m:t>
              </m:r>
            </m:fName>
            <m:e>
              <m:d>
                <m:dPr>
                  <m:ctrlPr>
                    <w:rPr>
                      <w:rFonts w:ascii="Cambria Math" w:hAnsi="Cambria Math"/>
                      <w:i/>
                    </w:rPr>
                  </m:ctrlPr>
                </m:dPr>
                <m:e>
                  <m:r>
                    <w:rPr>
                      <w:rFonts w:ascii="Cambria Math" w:hAnsi="Cambria Math"/>
                    </w:rPr>
                    <m:t>RSS</m:t>
                  </m:r>
                </m:e>
              </m:d>
              <m:r>
                <w:rPr>
                  <w:rFonts w:ascii="Cambria Math" w:hAnsi="Cambria Math"/>
                </w:rPr>
                <m:t xml:space="preserve">+ 2k </m:t>
              </m:r>
            </m:e>
          </m:func>
        </m:oMath>
      </m:oMathPara>
    </w:p>
    <w:p w:rsidR="00960852" w:rsidRDefault="00960852" w:rsidP="00960852">
      <w:pPr>
        <w:pStyle w:val="NoSpacing"/>
      </w:pPr>
    </w:p>
    <w:p w:rsidR="00960852" w:rsidRDefault="00960852" w:rsidP="00960852">
      <w:pPr>
        <w:pStyle w:val="NoSpacing"/>
      </w:pPr>
      <m:oMathPara>
        <m:oMathParaPr>
          <m:jc m:val="center"/>
        </m:oMathParaPr>
        <m:oMath>
          <m:r>
            <w:rPr>
              <w:rFonts w:ascii="Cambria Math" w:hAnsi="Cambria Math"/>
            </w:rPr>
            <m:t xml:space="preserve">              SIC=T</m:t>
          </m:r>
          <m:func>
            <m:funcPr>
              <m:ctrlPr>
                <w:rPr>
                  <w:rFonts w:ascii="Cambria Math" w:hAnsi="Cambria Math"/>
                  <w:i/>
                </w:rPr>
              </m:ctrlPr>
            </m:funcPr>
            <m:fName>
              <m:r>
                <m:rPr>
                  <m:sty m:val="p"/>
                </m:rPr>
                <w:rPr>
                  <w:rFonts w:ascii="Cambria Math" w:hAnsi="Cambria Math"/>
                </w:rPr>
                <m:t>ln</m:t>
              </m:r>
            </m:fName>
            <m:e>
              <m:d>
                <m:dPr>
                  <m:ctrlPr>
                    <w:rPr>
                      <w:rFonts w:ascii="Cambria Math" w:hAnsi="Cambria Math"/>
                      <w:i/>
                    </w:rPr>
                  </m:ctrlPr>
                </m:dPr>
                <m:e>
                  <m:r>
                    <w:rPr>
                      <w:rFonts w:ascii="Cambria Math" w:hAnsi="Cambria Math"/>
                    </w:rPr>
                    <m:t>RSS</m:t>
                  </m:r>
                </m:e>
              </m:d>
              <m:r>
                <w:rPr>
                  <w:rFonts w:ascii="Cambria Math" w:hAnsi="Cambria Math"/>
                </w:rPr>
                <m:t>+ k</m:t>
              </m:r>
              <m:func>
                <m:funcPr>
                  <m:ctrlPr>
                    <w:rPr>
                      <w:rFonts w:ascii="Cambria Math" w:hAnsi="Cambria Math"/>
                      <w:i/>
                    </w:rPr>
                  </m:ctrlPr>
                </m:funcPr>
                <m:fName>
                  <m:r>
                    <m:rPr>
                      <m:sty m:val="p"/>
                    </m:rPr>
                    <w:rPr>
                      <w:rFonts w:ascii="Cambria Math" w:hAnsi="Cambria Math"/>
                    </w:rPr>
                    <m:t>ln</m:t>
                  </m:r>
                </m:fName>
                <m:e>
                  <m:d>
                    <m:dPr>
                      <m:ctrlPr>
                        <w:rPr>
                          <w:rFonts w:ascii="Cambria Math" w:hAnsi="Cambria Math"/>
                          <w:i/>
                        </w:rPr>
                      </m:ctrlPr>
                    </m:dPr>
                    <m:e>
                      <m:r>
                        <w:rPr>
                          <w:rFonts w:ascii="Cambria Math" w:hAnsi="Cambria Math"/>
                        </w:rPr>
                        <m:t>T</m:t>
                      </m:r>
                    </m:e>
                  </m:d>
                  <m:r>
                    <w:rPr>
                      <w:rFonts w:ascii="Cambria Math" w:hAnsi="Cambria Math"/>
                    </w:rPr>
                    <m:t xml:space="preserve"> </m:t>
                  </m:r>
                </m:e>
              </m:func>
            </m:e>
          </m:func>
        </m:oMath>
      </m:oMathPara>
    </w:p>
    <w:p w:rsidR="00960852" w:rsidRDefault="00960852" w:rsidP="00960852">
      <w:pPr>
        <w:pStyle w:val="NoSpacing"/>
      </w:pPr>
    </w:p>
    <w:p w:rsidR="00960852" w:rsidRDefault="00960852" w:rsidP="00960852">
      <w:pPr>
        <w:pStyle w:val="NoSpacing"/>
      </w:pPr>
      <w:r>
        <w:t xml:space="preserve">Where T is the sample size and k is the number of parameters. The most appropriate model is the one that minimizes AIC or SIC. </w:t>
      </w:r>
    </w:p>
    <w:p w:rsidR="00960852" w:rsidRDefault="00960852" w:rsidP="00960852">
      <w:pPr>
        <w:pStyle w:val="NoSpacing"/>
      </w:pPr>
    </w:p>
    <w:p w:rsidR="00960852" w:rsidRDefault="00960852" w:rsidP="00960852">
      <w:pPr>
        <w:pStyle w:val="NoSpacing"/>
      </w:pPr>
      <w:r>
        <w:t xml:space="preserve">After the unit root testing, it is known which variables are stationary and can be used for detecting a relationship. As showed above, </w:t>
      </w:r>
      <w:proofErr w:type="spellStart"/>
      <w:r>
        <w:t>nonstationary</w:t>
      </w:r>
      <w:proofErr w:type="spellEnd"/>
      <w:r>
        <w:t xml:space="preserve"> time series are not useless at all. They can be differenced to a stationary series. But in detecting a relationship between two variables it is possible to find a </w:t>
      </w:r>
      <w:proofErr w:type="spellStart"/>
      <w:r>
        <w:t>nonspurious</w:t>
      </w:r>
      <w:proofErr w:type="spellEnd"/>
      <w:r>
        <w:t xml:space="preserve"> relation between two </w:t>
      </w:r>
      <w:proofErr w:type="spellStart"/>
      <w:r>
        <w:t>nonstationary</w:t>
      </w:r>
      <w:proofErr w:type="spellEnd"/>
      <w:r>
        <w:t xml:space="preserve"> time series, when they are </w:t>
      </w:r>
      <w:proofErr w:type="spellStart"/>
      <w:r>
        <w:t>cointegrated</w:t>
      </w:r>
      <w:proofErr w:type="spellEnd"/>
      <w:r>
        <w:t xml:space="preserve">.    </w:t>
      </w:r>
    </w:p>
    <w:p w:rsidR="00960852" w:rsidRDefault="00960852" w:rsidP="00960852">
      <w:pPr>
        <w:pStyle w:val="NoSpacing"/>
      </w:pPr>
    </w:p>
    <w:p w:rsidR="00960852" w:rsidRDefault="00960852" w:rsidP="00960852">
      <w:pPr>
        <w:pStyle w:val="NoSpacing"/>
        <w:ind w:firstLine="708"/>
      </w:pPr>
      <w:r>
        <w:t xml:space="preserve">Step 2) Testing for </w:t>
      </w:r>
      <w:proofErr w:type="spellStart"/>
      <w:r>
        <w:t>cointegration</w:t>
      </w:r>
      <w:proofErr w:type="spellEnd"/>
      <w:r>
        <w:t xml:space="preserve"> between two time series</w:t>
      </w:r>
    </w:p>
    <w:p w:rsidR="00960852" w:rsidRDefault="00960852" w:rsidP="00960852">
      <w:pPr>
        <w:pStyle w:val="NoSpacing"/>
        <w:ind w:firstLine="708"/>
      </w:pPr>
    </w:p>
    <w:p w:rsidR="00960852" w:rsidRDefault="00960852" w:rsidP="00960852">
      <w:pPr>
        <w:pStyle w:val="NoSpacing"/>
      </w:pPr>
      <w:r>
        <w:t xml:space="preserve">As is explained above, </w:t>
      </w:r>
      <w:proofErr w:type="spellStart"/>
      <w:r>
        <w:t>nonstationary</w:t>
      </w:r>
      <w:proofErr w:type="spellEnd"/>
      <w:r>
        <w:t xml:space="preserve"> time series should not be used in a regression model. The exception to this rule is the </w:t>
      </w:r>
      <w:proofErr w:type="spellStart"/>
      <w:r>
        <w:t>cointegrated</w:t>
      </w:r>
      <w:proofErr w:type="spellEnd"/>
      <w:r>
        <w:t xml:space="preserve"> relationship. Two time series are said to be </w:t>
      </w:r>
      <w:proofErr w:type="spellStart"/>
      <w:r>
        <w:t>cointegrated</w:t>
      </w:r>
      <w:proofErr w:type="spellEnd"/>
      <w:r>
        <w:t xml:space="preserve"> if they are both stationary of order 1, </w:t>
      </w:r>
      <w:proofErr w:type="gramStart"/>
      <w:r>
        <w:t>I(</w:t>
      </w:r>
      <w:proofErr w:type="gramEnd"/>
      <w:r>
        <w:t xml:space="preserve">1), but with a stationary residual in the linear combination of the two variables. A linear combination of the two variables </w:t>
      </w:r>
      <w:proofErr w:type="spellStart"/>
      <w:proofErr w:type="gramStart"/>
      <w:r>
        <w:t>y</w:t>
      </w:r>
      <w:r>
        <w:rPr>
          <w:vertAlign w:val="subscript"/>
        </w:rPr>
        <w:t>t</w:t>
      </w:r>
      <w:proofErr w:type="spellEnd"/>
      <w:proofErr w:type="gramEnd"/>
      <w:r>
        <w:rPr>
          <w:vertAlign w:val="subscript"/>
        </w:rPr>
        <w:t xml:space="preserve"> </w:t>
      </w:r>
      <w:r>
        <w:t xml:space="preserve">and </w:t>
      </w:r>
      <w:proofErr w:type="spellStart"/>
      <w:r>
        <w:t>x</w:t>
      </w:r>
      <w:r>
        <w:rPr>
          <w:vertAlign w:val="subscript"/>
        </w:rPr>
        <w:t>t</w:t>
      </w:r>
      <w:proofErr w:type="spellEnd"/>
      <w:r>
        <w:t>:</w:t>
      </w:r>
    </w:p>
    <w:p w:rsidR="00960852" w:rsidRDefault="00960852" w:rsidP="00960852">
      <w:pPr>
        <w:pStyle w:val="NoSpacing"/>
      </w:pPr>
    </w:p>
    <w:p w:rsidR="00960852" w:rsidRDefault="00E44EA8" w:rsidP="00960852">
      <w:pPr>
        <w:pStyle w:val="NoSpacing"/>
      </w:pPr>
      <m:oMathPara>
        <m:oMath>
          <m:sSub>
            <m:sSubPr>
              <m:ctrlPr>
                <w:rPr>
                  <w:rFonts w:ascii="Cambria Math" w:hAnsi="Cambria Math"/>
                  <w:i/>
                </w:rPr>
              </m:ctrlPr>
            </m:sSubPr>
            <m:e>
              <m:r>
                <w:rPr>
                  <w:rFonts w:ascii="Cambria Math" w:hAnsi="Cambria Math"/>
                </w:rPr>
                <m:t>y</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m:t>
              </m:r>
            </m:sub>
          </m:sSub>
          <m:sSub>
            <m:sSubPr>
              <m:ctrlPr>
                <w:rPr>
                  <w:rFonts w:ascii="Cambria Math" w:hAnsi="Cambria Math"/>
                  <w:i/>
                </w:rPr>
              </m:ctrlPr>
            </m:sSubPr>
            <m:e>
              <m:r>
                <w:rPr>
                  <w:rFonts w:ascii="Cambria Math" w:hAnsi="Cambria Math"/>
                </w:rPr>
                <m:t>x</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ϵ</m:t>
              </m:r>
            </m:e>
            <m:sub>
              <m:r>
                <w:rPr>
                  <w:rFonts w:ascii="Cambria Math" w:hAnsi="Cambria Math"/>
                </w:rPr>
                <m:t>t</m:t>
              </m:r>
            </m:sub>
          </m:sSub>
        </m:oMath>
      </m:oMathPara>
    </w:p>
    <w:p w:rsidR="00960852" w:rsidRDefault="00960852" w:rsidP="00960852">
      <w:pPr>
        <w:pStyle w:val="NoSpacing"/>
      </w:pPr>
    </w:p>
    <w:p w:rsidR="00960852" w:rsidRDefault="00E44EA8" w:rsidP="00960852">
      <w:pPr>
        <w:pStyle w:val="NoSpacing"/>
      </w:pPr>
      <m:oMathPara>
        <m:oMath>
          <m:sSub>
            <m:sSubPr>
              <m:ctrlPr>
                <w:rPr>
                  <w:rFonts w:ascii="Cambria Math" w:hAnsi="Cambria Math"/>
                  <w:i/>
                </w:rPr>
              </m:ctrlPr>
            </m:sSubPr>
            <m:e>
              <m:r>
                <w:rPr>
                  <w:rFonts w:ascii="Cambria Math" w:hAnsi="Cambria Math"/>
                </w:rPr>
                <m:t>ϵ</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m:t>
              </m:r>
            </m:sub>
          </m:sSub>
          <m:sSub>
            <m:sSubPr>
              <m:ctrlPr>
                <w:rPr>
                  <w:rFonts w:ascii="Cambria Math" w:hAnsi="Cambria Math"/>
                  <w:i/>
                </w:rPr>
              </m:ctrlPr>
            </m:sSubPr>
            <m:e>
              <m:r>
                <w:rPr>
                  <w:rFonts w:ascii="Cambria Math" w:hAnsi="Cambria Math"/>
                </w:rPr>
                <m:t>x</m:t>
              </m:r>
            </m:e>
            <m:sub>
              <m:r>
                <w:rPr>
                  <w:rFonts w:ascii="Cambria Math" w:hAnsi="Cambria Math"/>
                </w:rPr>
                <m:t>t</m:t>
              </m:r>
            </m:sub>
          </m:sSub>
        </m:oMath>
      </m:oMathPara>
    </w:p>
    <w:p w:rsidR="00960852" w:rsidRDefault="00960852" w:rsidP="00960852">
      <w:pPr>
        <w:pStyle w:val="NoSpacing"/>
      </w:pPr>
    </w:p>
    <w:p w:rsidR="00960852" w:rsidRDefault="00960852" w:rsidP="00960852">
      <w:pPr>
        <w:pStyle w:val="NoSpacing"/>
      </w:pPr>
      <w:r>
        <w:t>If equation</w:t>
      </w:r>
      <w:proofErr w:type="gramStart"/>
      <w:r>
        <w:t>..</w:t>
      </w:r>
      <w:proofErr w:type="gramEnd"/>
      <w:r>
        <w:t xml:space="preserve"> </w:t>
      </w:r>
      <w:proofErr w:type="gramStart"/>
      <w:r>
        <w:t>is</w:t>
      </w:r>
      <w:proofErr w:type="gramEnd"/>
      <w:r>
        <w:t xml:space="preserve"> stationary, </w:t>
      </w:r>
      <w:r w:rsidRPr="00E94155">
        <w:t xml:space="preserve"> </w:t>
      </w:r>
      <w:proofErr w:type="spellStart"/>
      <w:r>
        <w:t>y</w:t>
      </w:r>
      <w:r>
        <w:rPr>
          <w:vertAlign w:val="subscript"/>
        </w:rPr>
        <w:t>t</w:t>
      </w:r>
      <w:proofErr w:type="spellEnd"/>
      <w:r>
        <w:rPr>
          <w:vertAlign w:val="subscript"/>
        </w:rPr>
        <w:t xml:space="preserve"> </w:t>
      </w:r>
      <w:r>
        <w:t xml:space="preserve">and </w:t>
      </w:r>
      <w:proofErr w:type="spellStart"/>
      <w:r>
        <w:t>x</w:t>
      </w:r>
      <w:r>
        <w:rPr>
          <w:vertAlign w:val="subscript"/>
        </w:rPr>
        <w:t>t</w:t>
      </w:r>
      <w:proofErr w:type="spellEnd"/>
      <w:r>
        <w:t xml:space="preserve"> are said to be </w:t>
      </w:r>
      <w:proofErr w:type="spellStart"/>
      <w:r>
        <w:t>cointegrated</w:t>
      </w:r>
      <w:proofErr w:type="spellEnd"/>
      <w:r>
        <w:t xml:space="preserve">. </w:t>
      </w:r>
      <w:proofErr w:type="spellStart"/>
      <w:r>
        <w:t>Cointegration</w:t>
      </w:r>
      <w:proofErr w:type="spellEnd"/>
      <w:r>
        <w:t xml:space="preserve"> implies that both variables share similar stochastic trends, and because of the residual is </w:t>
      </w:r>
      <w:proofErr w:type="gramStart"/>
      <w:r>
        <w:t>I(</w:t>
      </w:r>
      <w:proofErr w:type="gramEnd"/>
      <w:r>
        <w:t xml:space="preserve">0) they never diverge too far from </w:t>
      </w:r>
      <w:proofErr w:type="spellStart"/>
      <w:r>
        <w:t>eachother</w:t>
      </w:r>
      <w:proofErr w:type="spellEnd"/>
      <w:r>
        <w:t>. If the residual is stationary or not can be easily tested with the ADF-test, using the test equation:</w:t>
      </w:r>
    </w:p>
    <w:p w:rsidR="00960852" w:rsidRDefault="00960852" w:rsidP="00960852">
      <w:pPr>
        <w:pStyle w:val="NoSpacing"/>
        <w:jc w:val="center"/>
      </w:pPr>
      <m:oMathPara>
        <m:oMath>
          <m:r>
            <w:rPr>
              <w:rFonts w:ascii="Cambria Math" w:hAnsi="Cambria Math"/>
            </w:rPr>
            <m:t>∆</m:t>
          </m:r>
          <m:sSub>
            <m:sSubPr>
              <m:ctrlPr>
                <w:rPr>
                  <w:rFonts w:ascii="Cambria Math" w:hAnsi="Cambria Math"/>
                  <w:i/>
                </w:rPr>
              </m:ctrlPr>
            </m:sSubPr>
            <m:e>
              <m:r>
                <w:rPr>
                  <w:rFonts w:ascii="Cambria Math" w:hAnsi="Cambria Math"/>
                </w:rPr>
                <m:t>ϵ</m:t>
              </m:r>
            </m:e>
            <m:sub>
              <m:r>
                <w:rPr>
                  <w:rFonts w:ascii="Cambria Math" w:hAnsi="Cambria Math"/>
                </w:rPr>
                <m:t>t</m:t>
              </m:r>
            </m:sub>
          </m:sSub>
          <m:r>
            <w:rPr>
              <w:rFonts w:ascii="Cambria Math" w:hAnsi="Cambria Math"/>
            </w:rPr>
            <m:t>=γ</m:t>
          </m:r>
          <m:sSub>
            <m:sSubPr>
              <m:ctrlPr>
                <w:rPr>
                  <w:rFonts w:ascii="Cambria Math" w:hAnsi="Cambria Math"/>
                  <w:i/>
                </w:rPr>
              </m:ctrlPr>
            </m:sSubPr>
            <m:e>
              <m:r>
                <w:rPr>
                  <w:rFonts w:ascii="Cambria Math" w:hAnsi="Cambria Math"/>
                </w:rPr>
                <m:t>ϵ</m:t>
              </m:r>
            </m:e>
            <m:sub>
              <m:r>
                <w:rPr>
                  <w:rFonts w:ascii="Cambria Math" w:hAnsi="Cambria Math"/>
                </w:rPr>
                <m:t>t-1</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t</m:t>
              </m:r>
            </m:sub>
          </m:sSub>
        </m:oMath>
      </m:oMathPara>
    </w:p>
    <w:p w:rsidR="00960852" w:rsidRDefault="00960852" w:rsidP="00960852">
      <w:pPr>
        <w:pStyle w:val="NoSpacing"/>
      </w:pPr>
    </w:p>
    <w:p w:rsidR="00960852" w:rsidRDefault="00960852" w:rsidP="00960852">
      <w:pPr>
        <w:pStyle w:val="NoSpacing"/>
      </w:pPr>
      <w:r>
        <w:t>The error term can be seen as an equilibrium error, the distance from the equilibrium value at a certain point of time. The mean of the residuals is zero, so the formula above does not contain a constant term. The new null and alternative hypotheses in this test are:</w:t>
      </w:r>
    </w:p>
    <w:p w:rsidR="00960852" w:rsidRDefault="00960852" w:rsidP="00960852">
      <w:pPr>
        <w:pStyle w:val="NoSpacing"/>
        <w:ind w:firstLine="708"/>
      </w:pPr>
      <w:proofErr w:type="gramStart"/>
      <w:r>
        <w:t>H</w:t>
      </w:r>
      <w:r>
        <w:rPr>
          <w:vertAlign w:val="subscript"/>
        </w:rPr>
        <w:t>0</w:t>
      </w:r>
      <w:r>
        <w:t xml:space="preserve"> :</w:t>
      </w:r>
      <w:proofErr w:type="gramEnd"/>
      <w:r>
        <w:t xml:space="preserve"> the series are not </w:t>
      </w:r>
      <w:proofErr w:type="spellStart"/>
      <w:r>
        <w:t>cointegrated</w:t>
      </w:r>
      <w:proofErr w:type="spellEnd"/>
      <w:r>
        <w:t xml:space="preserve"> </w:t>
      </w:r>
      <w:r>
        <w:rPr>
          <w:rFonts w:ascii="Cambria Math" w:hAnsi="Cambria Math"/>
        </w:rPr>
        <w:t xml:space="preserve">↔ </w:t>
      </w:r>
      <w:r>
        <w:t xml:space="preserve">residuals are </w:t>
      </w:r>
      <w:proofErr w:type="spellStart"/>
      <w:r>
        <w:t>nonstationary</w:t>
      </w:r>
      <w:proofErr w:type="spellEnd"/>
    </w:p>
    <w:p w:rsidR="00960852" w:rsidRPr="00E4764C" w:rsidRDefault="00960852" w:rsidP="00960852">
      <w:pPr>
        <w:pStyle w:val="NoSpacing"/>
        <w:ind w:firstLine="708"/>
      </w:pPr>
      <w:r>
        <w:t>H</w:t>
      </w:r>
      <w:r>
        <w:rPr>
          <w:vertAlign w:val="subscript"/>
        </w:rPr>
        <w:t>1</w:t>
      </w:r>
      <w:r>
        <w:t xml:space="preserve">: the series are </w:t>
      </w:r>
      <w:proofErr w:type="spellStart"/>
      <w:r>
        <w:t>cointegrated</w:t>
      </w:r>
      <w:proofErr w:type="spellEnd"/>
      <w:r>
        <w:t xml:space="preserve"> </w:t>
      </w:r>
      <w:r>
        <w:rPr>
          <w:rFonts w:ascii="Cambria Math" w:hAnsi="Cambria Math"/>
        </w:rPr>
        <w:t>↔</w:t>
      </w:r>
      <w:r>
        <w:t xml:space="preserve"> residuals are stationary</w:t>
      </w:r>
    </w:p>
    <w:p w:rsidR="00960852" w:rsidRDefault="00960852" w:rsidP="00960852">
      <w:pPr>
        <w:pStyle w:val="NoSpacing"/>
      </w:pPr>
    </w:p>
    <w:p w:rsidR="00960852" w:rsidRDefault="00960852" w:rsidP="00960852">
      <w:pPr>
        <w:pStyle w:val="NoSpacing"/>
      </w:pPr>
      <w:r>
        <w:t xml:space="preserve"> </w:t>
      </w:r>
      <w:proofErr w:type="spellStart"/>
      <w:r>
        <w:t>Cointegration</w:t>
      </w:r>
      <w:proofErr w:type="spellEnd"/>
      <w:r>
        <w:t xml:space="preserve"> means that there exists a long-run equilibrium to which the economic system will converge over time. There is a fundamental relationship between the two variables, meaning that there will be no spurious regression. </w:t>
      </w:r>
    </w:p>
    <w:p w:rsidR="00960852" w:rsidRDefault="00960852" w:rsidP="00960852">
      <w:pPr>
        <w:pStyle w:val="NoSpacing"/>
      </w:pPr>
    </w:p>
    <w:p w:rsidR="00960852" w:rsidRDefault="00960852" w:rsidP="00960852">
      <w:pPr>
        <w:pStyle w:val="NoSpacing"/>
      </w:pPr>
      <w:r>
        <w:t xml:space="preserve">Granger (1981) stated in his Granger representation theorem that if two series are </w:t>
      </w:r>
      <w:proofErr w:type="spellStart"/>
      <w:r>
        <w:t>cointegrated</w:t>
      </w:r>
      <w:proofErr w:type="spellEnd"/>
      <w:r>
        <w:t>, there has to be an error-correction mechanism. This mechanism will drive the variables to their long term equilibrium and is called an error-correction model:</w:t>
      </w:r>
    </w:p>
    <w:p w:rsidR="00960852" w:rsidRDefault="00960852" w:rsidP="00960852">
      <w:pPr>
        <w:pStyle w:val="NoSpacing"/>
      </w:pPr>
    </w:p>
    <w:p w:rsidR="00960852" w:rsidRDefault="00960852" w:rsidP="00960852">
      <w:pPr>
        <w:pStyle w:val="NoSpacing"/>
      </w:pPr>
      <m:oMathPara>
        <m:oMath>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t</m:t>
              </m:r>
            </m:sub>
          </m:sSub>
          <m:r>
            <w:rPr>
              <w:rFonts w:ascii="Cambria Math" w:hAnsi="Cambria Math"/>
            </w:rPr>
            <m:t>- α</m:t>
          </m:r>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t-1</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m:t>
                  </m:r>
                </m:sub>
              </m:sSub>
              <m:sSub>
                <m:sSubPr>
                  <m:ctrlPr>
                    <w:rPr>
                      <w:rFonts w:ascii="Cambria Math" w:hAnsi="Cambria Math"/>
                      <w:i/>
                    </w:rPr>
                  </m:ctrlPr>
                </m:sSubPr>
                <m:e>
                  <m:r>
                    <w:rPr>
                      <w:rFonts w:ascii="Cambria Math" w:hAnsi="Cambria Math"/>
                    </w:rPr>
                    <m:t>x</m:t>
                  </m:r>
                </m:e>
                <m:sub>
                  <m:r>
                    <w:rPr>
                      <w:rFonts w:ascii="Cambria Math" w:hAnsi="Cambria Math"/>
                    </w:rPr>
                    <m:t>t-1</m:t>
                  </m:r>
                </m:sub>
              </m:sSub>
            </m:e>
          </m:d>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t</m:t>
              </m:r>
            </m:sub>
          </m:sSub>
        </m:oMath>
      </m:oMathPara>
    </w:p>
    <w:p w:rsidR="00960852" w:rsidRDefault="00960852" w:rsidP="00960852">
      <w:pPr>
        <w:pStyle w:val="NoSpacing"/>
      </w:pPr>
    </w:p>
    <w:p w:rsidR="00960852" w:rsidRDefault="00960852" w:rsidP="00960852">
      <w:pPr>
        <w:pStyle w:val="NoSpacing"/>
      </w:pPr>
      <m:oMathPara>
        <m:oMath>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t</m:t>
              </m:r>
            </m:sub>
          </m:sSub>
          <m:r>
            <w:rPr>
              <w:rFonts w:ascii="Cambria Math" w:hAnsi="Cambria Math"/>
            </w:rPr>
            <m:t>- α</m:t>
          </m:r>
          <m:sSub>
            <m:sSubPr>
              <m:ctrlPr>
                <w:rPr>
                  <w:rFonts w:ascii="Cambria Math" w:hAnsi="Cambria Math"/>
                  <w:i/>
                </w:rPr>
              </m:ctrlPr>
            </m:sSubPr>
            <m:e>
              <m:r>
                <w:rPr>
                  <w:rFonts w:ascii="Cambria Math" w:hAnsi="Cambria Math"/>
                </w:rPr>
                <m:t>ϵ</m:t>
              </m:r>
            </m:e>
            <m:sub>
              <m:r>
                <w:rPr>
                  <w:rFonts w:ascii="Cambria Math" w:hAnsi="Cambria Math"/>
                </w:rPr>
                <m:t>t-1</m:t>
              </m: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t</m:t>
              </m:r>
            </m:sub>
          </m:sSub>
        </m:oMath>
      </m:oMathPara>
    </w:p>
    <w:p w:rsidR="00960852" w:rsidRDefault="00960852" w:rsidP="00960852">
      <w:pPr>
        <w:pStyle w:val="NoSpacing"/>
      </w:pPr>
    </w:p>
    <w:p w:rsidR="00960852" w:rsidRDefault="00960852" w:rsidP="00960852">
      <w:pPr>
        <w:pStyle w:val="NoSpacing"/>
      </w:pPr>
      <w:r>
        <w:t xml:space="preserve">If the variables </w:t>
      </w:r>
      <w:proofErr w:type="spellStart"/>
      <w:proofErr w:type="gramStart"/>
      <w:r>
        <w:t>y</w:t>
      </w:r>
      <w:r>
        <w:rPr>
          <w:vertAlign w:val="subscript"/>
        </w:rPr>
        <w:t>t</w:t>
      </w:r>
      <w:proofErr w:type="spellEnd"/>
      <w:proofErr w:type="gramEnd"/>
      <w:r>
        <w:rPr>
          <w:vertAlign w:val="subscript"/>
        </w:rPr>
        <w:t xml:space="preserve"> </w:t>
      </w:r>
      <w:r>
        <w:t xml:space="preserve">and </w:t>
      </w:r>
      <w:proofErr w:type="spellStart"/>
      <w:r>
        <w:t>x</w:t>
      </w:r>
      <w:r>
        <w:rPr>
          <w:vertAlign w:val="subscript"/>
        </w:rPr>
        <w:t>t</w:t>
      </w:r>
      <w:proofErr w:type="spellEnd"/>
      <w:r>
        <w:t xml:space="preserve"> are </w:t>
      </w:r>
      <w:proofErr w:type="spellStart"/>
      <w:r>
        <w:t>cointegrated</w:t>
      </w:r>
      <w:proofErr w:type="spellEnd"/>
      <w:r>
        <w:t xml:space="preserve">, the Granger representation theorem implies that α &gt; 1. </w:t>
      </w:r>
      <w:proofErr w:type="gramStart"/>
      <w:r>
        <w:t>This α</w:t>
      </w:r>
      <w:proofErr w:type="gramEnd"/>
      <w:r>
        <w:t xml:space="preserve"> gives the speed of adjustment to its long-term equilibrium. Further the theorem implies: </w:t>
      </w:r>
    </w:p>
    <w:p w:rsidR="00960852" w:rsidRDefault="00960852" w:rsidP="00960852">
      <w:pPr>
        <w:pStyle w:val="NoSpacing"/>
        <w:numPr>
          <w:ilvl w:val="0"/>
          <w:numId w:val="10"/>
        </w:numPr>
      </w:pPr>
      <w:r>
        <w:t xml:space="preserve">When </w:t>
      </w:r>
      <w:proofErr w:type="spellStart"/>
      <w:proofErr w:type="gramStart"/>
      <w:r>
        <w:t>y</w:t>
      </w:r>
      <w:r>
        <w:rPr>
          <w:vertAlign w:val="subscript"/>
        </w:rPr>
        <w:t>t</w:t>
      </w:r>
      <w:proofErr w:type="spellEnd"/>
      <w:r>
        <w:rPr>
          <w:vertAlign w:val="subscript"/>
        </w:rPr>
        <w:t xml:space="preserve"> </w:t>
      </w:r>
      <w:r>
        <w:t xml:space="preserve"> is</w:t>
      </w:r>
      <w:proofErr w:type="gramEnd"/>
      <w:r>
        <w:t xml:space="preserve"> below its equilibrium value implied by </w:t>
      </w:r>
      <w:proofErr w:type="spellStart"/>
      <w:r>
        <w:t>x</w:t>
      </w:r>
      <w:r>
        <w:rPr>
          <w:vertAlign w:val="subscript"/>
        </w:rPr>
        <w:t>t</w:t>
      </w:r>
      <w:proofErr w:type="spellEnd"/>
      <w:r>
        <w:t xml:space="preserve"> , </w:t>
      </w:r>
      <w:r>
        <w:rPr>
          <w:rFonts w:ascii="Cambria Math" w:hAnsi="Cambria Math"/>
        </w:rPr>
        <w:t>𝜖</w:t>
      </w:r>
      <w:r>
        <w:rPr>
          <w:rFonts w:ascii="Cambria Math" w:hAnsi="Cambria Math"/>
          <w:vertAlign w:val="subscript"/>
        </w:rPr>
        <w:t>t</w:t>
      </w:r>
      <w:r>
        <w:t xml:space="preserve"> &lt; 0 such that </w:t>
      </w:r>
      <w:proofErr w:type="spellStart"/>
      <w:r>
        <w:t>y</w:t>
      </w:r>
      <w:r>
        <w:rPr>
          <w:vertAlign w:val="subscript"/>
        </w:rPr>
        <w:t>t</w:t>
      </w:r>
      <w:proofErr w:type="spellEnd"/>
      <w:r>
        <w:t xml:space="preserve"> increases back to the equilibrium. </w:t>
      </w:r>
    </w:p>
    <w:p w:rsidR="00960852" w:rsidRPr="00EE5E32" w:rsidRDefault="00960852" w:rsidP="00960852">
      <w:pPr>
        <w:pStyle w:val="NoSpacing"/>
        <w:numPr>
          <w:ilvl w:val="0"/>
          <w:numId w:val="10"/>
        </w:numPr>
      </w:pPr>
      <w:r>
        <w:t xml:space="preserve">When </w:t>
      </w:r>
      <w:proofErr w:type="spellStart"/>
      <w:proofErr w:type="gramStart"/>
      <w:r>
        <w:t>y</w:t>
      </w:r>
      <w:r>
        <w:rPr>
          <w:vertAlign w:val="subscript"/>
        </w:rPr>
        <w:t>t</w:t>
      </w:r>
      <w:proofErr w:type="spellEnd"/>
      <w:proofErr w:type="gramEnd"/>
      <w:r>
        <w:t xml:space="preserve"> is above its equilibrium value implied by </w:t>
      </w:r>
      <w:proofErr w:type="spellStart"/>
      <w:r>
        <w:t>x</w:t>
      </w:r>
      <w:r>
        <w:rPr>
          <w:vertAlign w:val="subscript"/>
        </w:rPr>
        <w:t>t</w:t>
      </w:r>
      <w:proofErr w:type="spellEnd"/>
      <w:r>
        <w:t xml:space="preserve">, </w:t>
      </w:r>
      <w:r>
        <w:rPr>
          <w:rFonts w:ascii="Cambria Math" w:hAnsi="Cambria Math"/>
        </w:rPr>
        <w:t>𝜖</w:t>
      </w:r>
      <w:r>
        <w:rPr>
          <w:rFonts w:ascii="Cambria Math" w:hAnsi="Cambria Math"/>
          <w:vertAlign w:val="subscript"/>
        </w:rPr>
        <w:t>t</w:t>
      </w:r>
      <w:r>
        <w:t xml:space="preserve"> &gt; 0 such that </w:t>
      </w:r>
      <w:proofErr w:type="spellStart"/>
      <w:r>
        <w:t>y</w:t>
      </w:r>
      <w:r>
        <w:rPr>
          <w:vertAlign w:val="subscript"/>
        </w:rPr>
        <w:t>t</w:t>
      </w:r>
      <w:proofErr w:type="spellEnd"/>
      <w:r>
        <w:t xml:space="preserve"> decreases back to the equilibrium</w:t>
      </w:r>
      <w:r>
        <w:rPr>
          <w:rStyle w:val="FootnoteReference"/>
        </w:rPr>
        <w:footnoteReference w:id="6"/>
      </w:r>
      <w:r>
        <w:t xml:space="preserve">. </w:t>
      </w:r>
    </w:p>
    <w:p w:rsidR="00960852" w:rsidRPr="00885816" w:rsidRDefault="00960852" w:rsidP="00960852">
      <w:pPr>
        <w:pStyle w:val="NoSpacing"/>
      </w:pPr>
    </w:p>
    <w:p w:rsidR="00960852" w:rsidRDefault="00960852" w:rsidP="00960852">
      <w:pPr>
        <w:pStyle w:val="NoSpacing"/>
      </w:pPr>
    </w:p>
    <w:p w:rsidR="00960852" w:rsidRDefault="00960852" w:rsidP="00960852">
      <w:pPr>
        <w:pStyle w:val="NoSpacing"/>
      </w:pPr>
      <w:r>
        <w:t xml:space="preserve">Engle and Granger (1987) improved their work in the field of </w:t>
      </w:r>
      <w:proofErr w:type="spellStart"/>
      <w:r>
        <w:t>cointegration</w:t>
      </w:r>
      <w:proofErr w:type="spellEnd"/>
      <w:r>
        <w:t xml:space="preserve"> with the Engle and Granger </w:t>
      </w:r>
      <w:proofErr w:type="spellStart"/>
      <w:r>
        <w:t>cointegration</w:t>
      </w:r>
      <w:proofErr w:type="spellEnd"/>
      <w:r>
        <w:t xml:space="preserve"> test. </w:t>
      </w:r>
    </w:p>
    <w:p w:rsidR="00960852" w:rsidRDefault="00960852" w:rsidP="00960852">
      <w:pPr>
        <w:pStyle w:val="NoSpacing"/>
      </w:pPr>
    </w:p>
    <w:p w:rsidR="00960852" w:rsidRDefault="00960852" w:rsidP="00960852">
      <w:pPr>
        <w:pStyle w:val="NoSpacing"/>
      </w:pPr>
      <w:r>
        <w:t>The critical values can be calculated using the following formula:</w:t>
      </w:r>
    </w:p>
    <w:p w:rsidR="00960852" w:rsidRDefault="00960852" w:rsidP="00960852">
      <w:pPr>
        <w:pStyle w:val="NoSpacing"/>
      </w:pPr>
    </w:p>
    <w:p w:rsidR="00960852" w:rsidRDefault="00960852" w:rsidP="00960852">
      <w:pPr>
        <w:pStyle w:val="NoSpacing"/>
        <w:rPr>
          <w:lang w:val="nl-NL" w:eastAsia="nl-NL" w:bidi="ar-SA"/>
        </w:rPr>
      </w:pPr>
      <m:oMathPara>
        <m:oMath>
          <m:r>
            <w:rPr>
              <w:rFonts w:ascii="Cambria Math" w:hAnsi="Cambria Math"/>
            </w:rPr>
            <m:t>C</m:t>
          </m:r>
          <m:d>
            <m:dPr>
              <m:ctrlPr>
                <w:rPr>
                  <w:rFonts w:ascii="Cambria Math" w:hAnsi="Cambria Math"/>
                  <w:i/>
                </w:rPr>
              </m:ctrlPr>
            </m:dPr>
            <m:e>
              <m:r>
                <w:rPr>
                  <w:rFonts w:ascii="Cambria Math" w:hAnsi="Cambria Math"/>
                </w:rPr>
                <m:t>p</m:t>
              </m:r>
            </m:e>
          </m:d>
          <m:r>
            <w:rPr>
              <w:rFonts w:ascii="Cambria Math" w:hAnsi="Cambria Math"/>
            </w:rPr>
            <m:t>= ϕ</m:t>
          </m:r>
          <m:sSub>
            <m:sSubPr>
              <m:ctrlPr>
                <w:rPr>
                  <w:rFonts w:ascii="Cambria Math" w:hAnsi="Cambria Math"/>
                  <w:noProof/>
                  <w:lang w:val="nl-NL" w:eastAsia="nl-NL" w:bidi="ar-SA"/>
                </w:rPr>
              </m:ctrlPr>
            </m:sSubPr>
            <m:e>
              <m:r>
                <m:rPr>
                  <m:sty m:val="p"/>
                </m:rPr>
                <w:rPr>
                  <w:rFonts w:ascii="Cambria Math" w:hAnsi="Cambria Math"/>
                  <w:noProof/>
                  <w:lang w:val="nl-NL" w:eastAsia="nl-NL" w:bidi="ar-SA"/>
                </w:rPr>
                <w:softHyphen/>
              </m:r>
            </m:e>
            <m:sub>
              <m:r>
                <m:rPr>
                  <m:sty m:val="p"/>
                </m:rPr>
                <w:rPr>
                  <w:rFonts w:ascii="Cambria Math" w:hAnsi="Cambria Math"/>
                  <w:noProof/>
                  <w:lang w:bidi="ar-SA"/>
                </w:rPr>
                <w:drawing>
                  <wp:inline distT="0" distB="0" distL="0" distR="0">
                    <wp:extent cx="131778" cy="82813"/>
                    <wp:effectExtent l="19050" t="0" r="1572" b="0"/>
                    <wp:docPr id="3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srcRect/>
                            <a:stretch>
                              <a:fillRect/>
                            </a:stretch>
                          </pic:blipFill>
                          <pic:spPr bwMode="auto">
                            <a:xfrm>
                              <a:off x="0" y="0"/>
                              <a:ext cx="133286" cy="83761"/>
                            </a:xfrm>
                            <a:prstGeom prst="rect">
                              <a:avLst/>
                            </a:prstGeom>
                            <a:noFill/>
                            <a:ln w="9525">
                              <a:noFill/>
                              <a:miter lim="800000"/>
                              <a:headEnd/>
                              <a:tailEnd/>
                            </a:ln>
                          </pic:spPr>
                        </pic:pic>
                      </a:graphicData>
                    </a:graphic>
                  </wp:inline>
                </w:drawing>
              </m:r>
            </m:sub>
          </m:sSub>
          <m:r>
            <m:rPr>
              <m:sty m:val="p"/>
            </m:rPr>
            <w:rPr>
              <w:rFonts w:ascii="Cambria Math" w:hAnsi="Cambria Math"/>
              <w:noProof/>
              <w:lang w:val="nl-NL" w:eastAsia="nl-NL" w:bidi="ar-SA"/>
            </w:rPr>
            <m:t>+</m:t>
          </m:r>
          <m:sSub>
            <m:sSubPr>
              <m:ctrlPr>
                <w:rPr>
                  <w:rFonts w:ascii="Cambria Math" w:hAnsi="Cambria Math"/>
                  <w:noProof/>
                  <w:lang w:val="nl-NL" w:eastAsia="nl-NL" w:bidi="ar-SA"/>
                </w:rPr>
              </m:ctrlPr>
            </m:sSubPr>
            <m:e>
              <m:r>
                <m:rPr>
                  <m:sty m:val="p"/>
                </m:rPr>
                <w:rPr>
                  <w:rFonts w:ascii="Cambria Math" w:hAnsi="Cambria Math"/>
                  <w:noProof/>
                  <w:lang w:val="nl-NL" w:eastAsia="nl-NL" w:bidi="ar-SA"/>
                </w:rPr>
                <m:t>ϕ</m:t>
              </m:r>
            </m:e>
            <m:sub>
              <m:r>
                <m:rPr>
                  <m:sty m:val="p"/>
                </m:rPr>
                <w:rPr>
                  <w:rFonts w:ascii="Cambria Math" w:hAnsi="Cambria Math"/>
                  <w:noProof/>
                  <w:lang w:val="nl-NL" w:eastAsia="nl-NL" w:bidi="ar-SA"/>
                </w:rPr>
                <m:t>1</m:t>
              </m:r>
            </m:sub>
          </m:sSub>
          <m:r>
            <m:rPr>
              <m:sty m:val="p"/>
            </m:rPr>
            <w:rPr>
              <w:rFonts w:ascii="Cambria Math" w:hAnsi="Cambria Math"/>
              <w:noProof/>
              <w:lang w:val="nl-NL" w:eastAsia="nl-NL" w:bidi="ar-SA"/>
            </w:rPr>
            <m:t xml:space="preserve"> </m:t>
          </m:r>
          <m:sSup>
            <m:sSupPr>
              <m:ctrlPr>
                <w:rPr>
                  <w:rFonts w:ascii="Cambria Math" w:hAnsi="Cambria Math"/>
                  <w:noProof/>
                  <w:lang w:val="nl-NL" w:eastAsia="nl-NL" w:bidi="ar-SA"/>
                </w:rPr>
              </m:ctrlPr>
            </m:sSupPr>
            <m:e>
              <m:r>
                <m:rPr>
                  <m:sty m:val="p"/>
                </m:rPr>
                <w:rPr>
                  <w:rFonts w:ascii="Cambria Math" w:hAnsi="Cambria Math"/>
                  <w:noProof/>
                  <w:lang w:val="nl-NL" w:eastAsia="nl-NL" w:bidi="ar-SA"/>
                </w:rPr>
                <m:t>T</m:t>
              </m:r>
            </m:e>
            <m:sup>
              <m:r>
                <m:rPr>
                  <m:sty m:val="p"/>
                </m:rPr>
                <w:rPr>
                  <w:rFonts w:ascii="Cambria Math" w:hAnsi="Cambria Math"/>
                  <w:noProof/>
                  <w:lang w:val="nl-NL" w:eastAsia="nl-NL" w:bidi="ar-SA"/>
                </w:rPr>
                <m:t>-1</m:t>
              </m:r>
            </m:sup>
          </m:sSup>
          <m:r>
            <m:rPr>
              <m:sty m:val="p"/>
            </m:rPr>
            <w:rPr>
              <w:rFonts w:ascii="Cambria Math" w:hAnsi="Cambria Math"/>
              <w:noProof/>
              <w:lang w:val="nl-NL" w:eastAsia="nl-NL" w:bidi="ar-SA"/>
            </w:rPr>
            <m:t>+</m:t>
          </m:r>
          <m:sSub>
            <m:sSubPr>
              <m:ctrlPr>
                <w:rPr>
                  <w:rFonts w:ascii="Cambria Math" w:hAnsi="Cambria Math"/>
                  <w:noProof/>
                  <w:lang w:val="nl-NL" w:eastAsia="nl-NL" w:bidi="ar-SA"/>
                </w:rPr>
              </m:ctrlPr>
            </m:sSubPr>
            <m:e>
              <m:r>
                <m:rPr>
                  <m:sty m:val="p"/>
                </m:rPr>
                <w:rPr>
                  <w:rFonts w:ascii="Cambria Math" w:hAnsi="Cambria Math"/>
                  <w:noProof/>
                  <w:lang w:val="nl-NL" w:eastAsia="nl-NL" w:bidi="ar-SA"/>
                </w:rPr>
                <m:t>ϕ</m:t>
              </m:r>
            </m:e>
            <m:sub>
              <m:r>
                <m:rPr>
                  <m:sty m:val="p"/>
                </m:rPr>
                <w:rPr>
                  <w:rFonts w:ascii="Cambria Math" w:hAnsi="Cambria Math"/>
                  <w:noProof/>
                  <w:lang w:val="nl-NL" w:eastAsia="nl-NL" w:bidi="ar-SA"/>
                </w:rPr>
                <m:t>2</m:t>
              </m:r>
            </m:sub>
          </m:sSub>
          <m:r>
            <m:rPr>
              <m:sty m:val="p"/>
            </m:rPr>
            <w:rPr>
              <w:rFonts w:ascii="Cambria Math" w:hAnsi="Cambria Math"/>
              <w:noProof/>
              <w:lang w:val="nl-NL" w:eastAsia="nl-NL" w:bidi="ar-SA"/>
            </w:rPr>
            <m:t xml:space="preserve"> </m:t>
          </m:r>
          <m:sSup>
            <m:sSupPr>
              <m:ctrlPr>
                <w:rPr>
                  <w:rFonts w:ascii="Cambria Math" w:hAnsi="Cambria Math"/>
                  <w:noProof/>
                  <w:lang w:val="nl-NL" w:eastAsia="nl-NL" w:bidi="ar-SA"/>
                </w:rPr>
              </m:ctrlPr>
            </m:sSupPr>
            <m:e>
              <m:sSup>
                <m:sSupPr>
                  <m:ctrlPr>
                    <w:rPr>
                      <w:rFonts w:ascii="Cambria Math" w:hAnsi="Cambria Math"/>
                      <w:noProof/>
                      <w:lang w:val="nl-NL" w:eastAsia="nl-NL" w:bidi="ar-SA"/>
                    </w:rPr>
                  </m:ctrlPr>
                </m:sSupPr>
                <m:e>
                  <m:r>
                    <m:rPr>
                      <m:sty m:val="p"/>
                    </m:rPr>
                    <w:rPr>
                      <w:rFonts w:ascii="Cambria Math" w:hAnsi="Cambria Math"/>
                      <w:noProof/>
                      <w:lang w:val="nl-NL" w:eastAsia="nl-NL" w:bidi="ar-SA"/>
                    </w:rPr>
                    <m:t>T</m:t>
                  </m:r>
                </m:e>
                <m:sup>
                  <m:r>
                    <m:rPr>
                      <m:sty m:val="p"/>
                    </m:rPr>
                    <w:rPr>
                      <w:rFonts w:ascii="Cambria Math" w:hAnsi="Cambria Math"/>
                      <w:noProof/>
                      <w:lang w:val="nl-NL" w:eastAsia="nl-NL" w:bidi="ar-SA"/>
                    </w:rPr>
                    <w:softHyphen/>
                  </m:r>
                </m:sup>
              </m:sSup>
            </m:e>
            <m:sup>
              <m:r>
                <m:rPr>
                  <m:sty m:val="p"/>
                </m:rPr>
                <w:rPr>
                  <w:rFonts w:ascii="Cambria Math" w:hAnsi="Cambria Math"/>
                  <w:noProof/>
                  <w:lang w:val="nl-NL" w:eastAsia="nl-NL" w:bidi="ar-SA"/>
                </w:rPr>
                <m:t>-2</m:t>
              </m:r>
            </m:sup>
          </m:sSup>
          <m:r>
            <m:rPr>
              <m:sty m:val="p"/>
            </m:rPr>
            <w:rPr>
              <w:rFonts w:ascii="Cambria Math" w:hAnsi="Cambria Math"/>
              <w:noProof/>
              <w:lang w:val="nl-NL" w:eastAsia="nl-NL" w:bidi="ar-SA"/>
            </w:rPr>
            <m:t xml:space="preserve"> </m:t>
          </m:r>
        </m:oMath>
      </m:oMathPara>
    </w:p>
    <w:p w:rsidR="00960852" w:rsidRDefault="00960852" w:rsidP="00960852">
      <w:pPr>
        <w:pStyle w:val="NoSpacing"/>
        <w:rPr>
          <w:lang w:val="nl-NL" w:eastAsia="nl-NL" w:bidi="ar-SA"/>
        </w:rPr>
      </w:pPr>
    </w:p>
    <w:p w:rsidR="00960852" w:rsidRDefault="00960852" w:rsidP="00960852">
      <w:pPr>
        <w:pStyle w:val="NoSpacing"/>
        <w:rPr>
          <w:lang w:eastAsia="nl-NL" w:bidi="ar-SA"/>
        </w:rPr>
      </w:pPr>
      <w:r w:rsidRPr="007D0A5C">
        <w:rPr>
          <w:lang w:eastAsia="nl-NL" w:bidi="ar-SA"/>
        </w:rPr>
        <w:t xml:space="preserve">Where T is the sample size and </w:t>
      </w:r>
      <m:oMath>
        <m:r>
          <w:rPr>
            <w:rFonts w:ascii="Cambria Math" w:hAnsi="Cambria Math"/>
          </w:rPr>
          <m:t>ϕ</m:t>
        </m:r>
        <m:sSub>
          <m:sSubPr>
            <m:ctrlPr>
              <w:rPr>
                <w:rFonts w:ascii="Cambria Math" w:hAnsi="Cambria Math"/>
                <w:noProof/>
                <w:lang w:val="nl-NL" w:eastAsia="nl-NL" w:bidi="ar-SA"/>
              </w:rPr>
            </m:ctrlPr>
          </m:sSubPr>
          <m:e>
            <m:r>
              <m:rPr>
                <m:sty m:val="p"/>
              </m:rPr>
              <w:rPr>
                <w:rFonts w:ascii="Cambria Math" w:hAnsi="Cambria Math"/>
                <w:noProof/>
                <w:lang w:eastAsia="nl-NL" w:bidi="ar-SA"/>
              </w:rPr>
              <w:softHyphen/>
            </m:r>
          </m:e>
          <m:sub>
            <m:r>
              <m:rPr>
                <m:sty m:val="p"/>
              </m:rPr>
              <w:rPr>
                <w:rFonts w:ascii="Cambria Math" w:hAnsi="Cambria Math"/>
                <w:noProof/>
                <w:lang w:bidi="ar-SA"/>
              </w:rPr>
              <w:drawing>
                <wp:inline distT="0" distB="0" distL="0" distR="0">
                  <wp:extent cx="131778" cy="82813"/>
                  <wp:effectExtent l="19050" t="0" r="1572" b="0"/>
                  <wp:docPr id="38"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srcRect/>
                          <a:stretch>
                            <a:fillRect/>
                          </a:stretch>
                        </pic:blipFill>
                        <pic:spPr bwMode="auto">
                          <a:xfrm>
                            <a:off x="0" y="0"/>
                            <a:ext cx="133286" cy="83761"/>
                          </a:xfrm>
                          <a:prstGeom prst="rect">
                            <a:avLst/>
                          </a:prstGeom>
                          <a:noFill/>
                          <a:ln w="9525">
                            <a:noFill/>
                            <a:miter lim="800000"/>
                            <a:headEnd/>
                            <a:tailEnd/>
                          </a:ln>
                        </pic:spPr>
                      </pic:pic>
                    </a:graphicData>
                  </a:graphic>
                </wp:inline>
              </w:drawing>
            </m:r>
          </m:sub>
        </m:sSub>
        <m:r>
          <m:rPr>
            <m:sty m:val="p"/>
          </m:rPr>
          <w:rPr>
            <w:rFonts w:ascii="Cambria Math" w:hAnsi="Cambria Math"/>
            <w:noProof/>
            <w:lang w:eastAsia="nl-NL" w:bidi="ar-SA"/>
          </w:rPr>
          <m:t xml:space="preserve"> ,</m:t>
        </m:r>
        <m:sSub>
          <m:sSubPr>
            <m:ctrlPr>
              <w:rPr>
                <w:rFonts w:ascii="Cambria Math" w:hAnsi="Cambria Math"/>
                <w:noProof/>
                <w:lang w:val="nl-NL" w:eastAsia="nl-NL" w:bidi="ar-SA"/>
              </w:rPr>
            </m:ctrlPr>
          </m:sSubPr>
          <m:e>
            <m:r>
              <m:rPr>
                <m:sty m:val="p"/>
              </m:rPr>
              <w:rPr>
                <w:rFonts w:ascii="Cambria Math" w:hAnsi="Cambria Math"/>
                <w:noProof/>
                <w:lang w:val="nl-NL" w:eastAsia="nl-NL" w:bidi="ar-SA"/>
              </w:rPr>
              <m:t>ϕ</m:t>
            </m:r>
          </m:e>
          <m:sub>
            <m:r>
              <m:rPr>
                <m:sty m:val="p"/>
              </m:rPr>
              <w:rPr>
                <w:rFonts w:ascii="Cambria Math" w:hAnsi="Cambria Math"/>
                <w:noProof/>
                <w:lang w:eastAsia="nl-NL" w:bidi="ar-SA"/>
              </w:rPr>
              <m:t>1</m:t>
            </m:r>
          </m:sub>
        </m:sSub>
        <m:r>
          <m:rPr>
            <m:sty m:val="p"/>
          </m:rPr>
          <w:rPr>
            <w:rFonts w:ascii="Cambria Math" w:hAnsi="Cambria Math"/>
            <w:noProof/>
            <w:lang w:eastAsia="nl-NL" w:bidi="ar-SA"/>
          </w:rPr>
          <m:t xml:space="preserve"> and </m:t>
        </m:r>
        <m:sSub>
          <m:sSubPr>
            <m:ctrlPr>
              <w:rPr>
                <w:rFonts w:ascii="Cambria Math" w:hAnsi="Cambria Math"/>
                <w:noProof/>
                <w:lang w:val="nl-NL" w:eastAsia="nl-NL" w:bidi="ar-SA"/>
              </w:rPr>
            </m:ctrlPr>
          </m:sSubPr>
          <m:e>
            <m:r>
              <m:rPr>
                <m:sty m:val="p"/>
              </m:rPr>
              <w:rPr>
                <w:rFonts w:ascii="Cambria Math" w:hAnsi="Cambria Math"/>
                <w:noProof/>
                <w:lang w:val="nl-NL" w:eastAsia="nl-NL" w:bidi="ar-SA"/>
              </w:rPr>
              <m:t>ϕ</m:t>
            </m:r>
          </m:e>
          <m:sub>
            <m:r>
              <m:rPr>
                <m:sty m:val="p"/>
              </m:rPr>
              <w:rPr>
                <w:rFonts w:ascii="Cambria Math" w:hAnsi="Cambria Math"/>
                <w:noProof/>
                <w:lang w:eastAsia="nl-NL" w:bidi="ar-SA"/>
              </w:rPr>
              <m:t>2</m:t>
            </m:r>
          </m:sub>
        </m:sSub>
      </m:oMath>
      <w:r w:rsidRPr="007D0A5C">
        <w:rPr>
          <w:lang w:eastAsia="nl-NL" w:bidi="ar-SA"/>
        </w:rPr>
        <w:t xml:space="preserve"> </w:t>
      </w:r>
      <w:proofErr w:type="gramStart"/>
      <w:r w:rsidRPr="007D0A5C">
        <w:rPr>
          <w:lang w:eastAsia="nl-NL" w:bidi="ar-SA"/>
        </w:rPr>
        <w:t>are</w:t>
      </w:r>
      <w:proofErr w:type="gramEnd"/>
      <w:r w:rsidRPr="007D0A5C">
        <w:rPr>
          <w:lang w:eastAsia="nl-NL" w:bidi="ar-SA"/>
        </w:rPr>
        <w:t xml:space="preserve"> response surfaces for critical values of this test. </w:t>
      </w:r>
      <w:r>
        <w:rPr>
          <w:lang w:eastAsia="nl-NL" w:bidi="ar-SA"/>
        </w:rPr>
        <w:t xml:space="preserve">The Engle and Granger test is a strong test and an improvement to earlier tests, but still has some weaknesses, namely the test is sensitive to which variable is put on the right-hand and which one on the left-hand side. However, making two different regressions can partly deal with this problem. </w:t>
      </w:r>
    </w:p>
    <w:p w:rsidR="00960852" w:rsidRDefault="00960852" w:rsidP="00960852">
      <w:pPr>
        <w:pStyle w:val="NoSpacing"/>
        <w:rPr>
          <w:lang w:eastAsia="nl-NL" w:bidi="ar-SA"/>
        </w:rPr>
      </w:pPr>
    </w:p>
    <w:p w:rsidR="00960852" w:rsidRDefault="00960852" w:rsidP="00960852">
      <w:pPr>
        <w:pStyle w:val="NoSpacing"/>
        <w:rPr>
          <w:lang w:eastAsia="nl-NL" w:bidi="ar-SA"/>
        </w:rPr>
      </w:pPr>
      <w:r>
        <w:rPr>
          <w:lang w:eastAsia="nl-NL" w:bidi="ar-SA"/>
        </w:rPr>
        <w:t xml:space="preserve">To receive absolute assurance, a second </w:t>
      </w:r>
      <w:proofErr w:type="spellStart"/>
      <w:r>
        <w:rPr>
          <w:lang w:eastAsia="nl-NL" w:bidi="ar-SA"/>
        </w:rPr>
        <w:t>cointegration</w:t>
      </w:r>
      <w:proofErr w:type="spellEnd"/>
      <w:r>
        <w:rPr>
          <w:lang w:eastAsia="nl-NL" w:bidi="ar-SA"/>
        </w:rPr>
        <w:t xml:space="preserve"> test is done with use of the by Johansen (1991, 1995) developed techniques. The Johansen </w:t>
      </w:r>
      <w:proofErr w:type="spellStart"/>
      <w:r>
        <w:rPr>
          <w:lang w:eastAsia="nl-NL" w:bidi="ar-SA"/>
        </w:rPr>
        <w:t>cointegration</w:t>
      </w:r>
      <w:proofErr w:type="spellEnd"/>
      <w:r>
        <w:rPr>
          <w:lang w:eastAsia="nl-NL" w:bidi="ar-SA"/>
        </w:rPr>
        <w:t xml:space="preserve"> test is considered as a more powerful test than Engle and Granger, especially when working with groups, because it allowed for more than one </w:t>
      </w:r>
      <w:proofErr w:type="spellStart"/>
      <w:r>
        <w:rPr>
          <w:lang w:eastAsia="nl-NL" w:bidi="ar-SA"/>
        </w:rPr>
        <w:t>cointegration</w:t>
      </w:r>
      <w:proofErr w:type="spellEnd"/>
      <w:r>
        <w:rPr>
          <w:lang w:eastAsia="nl-NL" w:bidi="ar-SA"/>
        </w:rPr>
        <w:t xml:space="preserve"> relationship in the data. The Johansen technique is based on the maximum likelihood estimation in a VAR model. This maximum likelihood is an estimation of the statistical parameters by way of choosing parameters which make the data most likely of being the true parameters. The likelihood (probability) of getting the observed data by a set of estimated parameters is calculated. A high likelihood says the estimated parameters have a good fit of the data. The maximum likelihood estimation calculates the parameters that will maximize this probability. After this method is used to estimate a VAR, two statistics are calculated, the maximum </w:t>
      </w:r>
      <w:proofErr w:type="spellStart"/>
      <w:r>
        <w:rPr>
          <w:lang w:eastAsia="nl-NL" w:bidi="ar-SA"/>
        </w:rPr>
        <w:t>eigenvalue</w:t>
      </w:r>
      <w:proofErr w:type="spellEnd"/>
      <w:r>
        <w:rPr>
          <w:lang w:eastAsia="nl-NL" w:bidi="ar-SA"/>
        </w:rPr>
        <w:t xml:space="preserve"> and the trace statistic. With the maximum </w:t>
      </w:r>
      <w:proofErr w:type="spellStart"/>
      <w:r>
        <w:rPr>
          <w:lang w:eastAsia="nl-NL" w:bidi="ar-SA"/>
        </w:rPr>
        <w:t>eigenvalue</w:t>
      </w:r>
      <w:proofErr w:type="spellEnd"/>
      <w:r>
        <w:rPr>
          <w:lang w:eastAsia="nl-NL" w:bidi="ar-SA"/>
        </w:rPr>
        <w:t xml:space="preserve">, the null hypothesis of </w:t>
      </w:r>
      <w:proofErr w:type="spellStart"/>
      <w:r>
        <w:rPr>
          <w:lang w:eastAsia="nl-NL" w:bidi="ar-SA"/>
        </w:rPr>
        <w:t>of</w:t>
      </w:r>
      <w:proofErr w:type="spellEnd"/>
      <w:r>
        <w:rPr>
          <w:lang w:eastAsia="nl-NL" w:bidi="ar-SA"/>
        </w:rPr>
        <w:t xml:space="preserve"> r </w:t>
      </w:r>
      <w:proofErr w:type="spellStart"/>
      <w:r>
        <w:rPr>
          <w:lang w:eastAsia="nl-NL" w:bidi="ar-SA"/>
        </w:rPr>
        <w:t>cointegrating</w:t>
      </w:r>
      <w:proofErr w:type="spellEnd"/>
      <w:r>
        <w:rPr>
          <w:lang w:eastAsia="nl-NL" w:bidi="ar-SA"/>
        </w:rPr>
        <w:t xml:space="preserve"> vectors is tested against the alternative hypothesis of r+1 </w:t>
      </w:r>
      <w:proofErr w:type="spellStart"/>
      <w:r>
        <w:rPr>
          <w:lang w:eastAsia="nl-NL" w:bidi="ar-SA"/>
        </w:rPr>
        <w:t>cointegrating</w:t>
      </w:r>
      <w:proofErr w:type="spellEnd"/>
      <w:r>
        <w:rPr>
          <w:lang w:eastAsia="nl-NL" w:bidi="ar-SA"/>
        </w:rPr>
        <w:t xml:space="preserve"> vectors. The trace statistic tests if there are at most r </w:t>
      </w:r>
      <w:proofErr w:type="spellStart"/>
      <w:r>
        <w:rPr>
          <w:lang w:eastAsia="nl-NL" w:bidi="ar-SA"/>
        </w:rPr>
        <w:t>cointegrating</w:t>
      </w:r>
      <w:proofErr w:type="spellEnd"/>
      <w:r>
        <w:rPr>
          <w:lang w:eastAsia="nl-NL" w:bidi="ar-SA"/>
        </w:rPr>
        <w:t xml:space="preserve"> vectors, against the hypothesis of k </w:t>
      </w:r>
      <w:proofErr w:type="spellStart"/>
      <w:r>
        <w:rPr>
          <w:lang w:eastAsia="nl-NL" w:bidi="ar-SA"/>
        </w:rPr>
        <w:t>cointegrating</w:t>
      </w:r>
      <w:proofErr w:type="spellEnd"/>
      <w:r>
        <w:rPr>
          <w:lang w:eastAsia="nl-NL" w:bidi="ar-SA"/>
        </w:rPr>
        <w:t xml:space="preserve"> vectors. </w:t>
      </w:r>
    </w:p>
    <w:p w:rsidR="00960852" w:rsidRDefault="00960852" w:rsidP="00960852">
      <w:pPr>
        <w:pStyle w:val="NoSpacing"/>
        <w:rPr>
          <w:lang w:eastAsia="nl-NL" w:bidi="ar-SA"/>
        </w:rPr>
      </w:pPr>
    </w:p>
    <w:p w:rsidR="00960852" w:rsidRDefault="00960852" w:rsidP="00960852">
      <w:pPr>
        <w:pStyle w:val="NoSpacing"/>
        <w:rPr>
          <w:lang w:eastAsia="nl-NL" w:bidi="ar-SA"/>
        </w:rPr>
      </w:pPr>
      <w:r>
        <w:rPr>
          <w:lang w:eastAsia="nl-NL" w:bidi="ar-SA"/>
        </w:rPr>
        <w:t>We write the VAR of order p:</w:t>
      </w:r>
    </w:p>
    <w:p w:rsidR="00960852" w:rsidRDefault="00960852" w:rsidP="00960852">
      <w:pPr>
        <w:pStyle w:val="NoSpacing"/>
        <w:rPr>
          <w:lang w:eastAsia="nl-NL" w:bidi="ar-SA"/>
        </w:rPr>
      </w:pPr>
    </w:p>
    <w:p w:rsidR="00960852" w:rsidRDefault="00E44EA8" w:rsidP="00960852">
      <w:pPr>
        <w:pStyle w:val="NoSpacing"/>
        <w:rPr>
          <w:lang w:eastAsia="nl-NL" w:bidi="ar-SA"/>
        </w:rPr>
      </w:pPr>
      <m:oMathPara>
        <m:oMath>
          <m:sSub>
            <m:sSubPr>
              <m:ctrlPr>
                <w:rPr>
                  <w:rFonts w:ascii="Cambria Math" w:hAnsi="Cambria Math"/>
                  <w:i/>
                  <w:lang w:eastAsia="nl-NL" w:bidi="ar-SA"/>
                </w:rPr>
              </m:ctrlPr>
            </m:sSubPr>
            <m:e>
              <m:r>
                <w:rPr>
                  <w:rFonts w:ascii="Cambria Math" w:hAnsi="Cambria Math"/>
                  <w:lang w:eastAsia="nl-NL" w:bidi="ar-SA"/>
                </w:rPr>
                <m:t>y</m:t>
              </m:r>
            </m:e>
            <m:sub>
              <m:r>
                <w:rPr>
                  <w:rFonts w:ascii="Cambria Math" w:hAnsi="Cambria Math"/>
                  <w:lang w:eastAsia="nl-NL" w:bidi="ar-SA"/>
                </w:rPr>
                <m:t>t</m:t>
              </m:r>
            </m:sub>
          </m:sSub>
          <m:r>
            <w:rPr>
              <w:rFonts w:ascii="Cambria Math" w:hAnsi="Cambria Math"/>
              <w:lang w:eastAsia="nl-NL" w:bidi="ar-SA"/>
            </w:rPr>
            <m:t>=</m:t>
          </m:r>
          <m:sSub>
            <m:sSubPr>
              <m:ctrlPr>
                <w:rPr>
                  <w:rFonts w:ascii="Cambria Math" w:hAnsi="Cambria Math"/>
                  <w:i/>
                  <w:lang w:eastAsia="nl-NL" w:bidi="ar-SA"/>
                </w:rPr>
              </m:ctrlPr>
            </m:sSubPr>
            <m:e>
              <m:r>
                <w:rPr>
                  <w:rFonts w:ascii="Cambria Math" w:hAnsi="Cambria Math"/>
                  <w:lang w:eastAsia="nl-NL" w:bidi="ar-SA"/>
                </w:rPr>
                <m:t>A</m:t>
              </m:r>
            </m:e>
            <m:sub>
              <m:r>
                <w:rPr>
                  <w:rFonts w:ascii="Cambria Math" w:hAnsi="Cambria Math"/>
                  <w:lang w:eastAsia="nl-NL" w:bidi="ar-SA"/>
                </w:rPr>
                <m:t>1</m:t>
              </m:r>
            </m:sub>
          </m:sSub>
          <m:sSub>
            <m:sSubPr>
              <m:ctrlPr>
                <w:rPr>
                  <w:rFonts w:ascii="Cambria Math" w:hAnsi="Cambria Math"/>
                  <w:i/>
                  <w:lang w:eastAsia="nl-NL" w:bidi="ar-SA"/>
                </w:rPr>
              </m:ctrlPr>
            </m:sSubPr>
            <m:e>
              <m:r>
                <w:rPr>
                  <w:rFonts w:ascii="Cambria Math" w:hAnsi="Cambria Math"/>
                  <w:lang w:eastAsia="nl-NL" w:bidi="ar-SA"/>
                </w:rPr>
                <m:t>y</m:t>
              </m:r>
            </m:e>
            <m:sub>
              <m:r>
                <w:rPr>
                  <w:rFonts w:ascii="Cambria Math" w:hAnsi="Cambria Math"/>
                  <w:lang w:eastAsia="nl-NL" w:bidi="ar-SA"/>
                </w:rPr>
                <m:t>t-1</m:t>
              </m:r>
            </m:sub>
          </m:sSub>
          <m:r>
            <w:rPr>
              <w:rFonts w:ascii="Cambria Math" w:hAnsi="Cambria Math"/>
              <w:lang w:eastAsia="nl-NL" w:bidi="ar-SA"/>
            </w:rPr>
            <m:t>+ …+</m:t>
          </m:r>
          <m:sSub>
            <m:sSubPr>
              <m:ctrlPr>
                <w:rPr>
                  <w:rFonts w:ascii="Cambria Math" w:hAnsi="Cambria Math"/>
                  <w:i/>
                  <w:lang w:eastAsia="nl-NL" w:bidi="ar-SA"/>
                </w:rPr>
              </m:ctrlPr>
            </m:sSubPr>
            <m:e>
              <m:r>
                <w:rPr>
                  <w:rFonts w:ascii="Cambria Math" w:hAnsi="Cambria Math"/>
                  <w:lang w:eastAsia="nl-NL" w:bidi="ar-SA"/>
                </w:rPr>
                <m:t>A</m:t>
              </m:r>
            </m:e>
            <m:sub>
              <m:r>
                <w:rPr>
                  <w:rFonts w:ascii="Cambria Math" w:hAnsi="Cambria Math"/>
                  <w:lang w:eastAsia="nl-NL" w:bidi="ar-SA"/>
                </w:rPr>
                <m:t>p</m:t>
              </m:r>
            </m:sub>
          </m:sSub>
          <m:sSub>
            <m:sSubPr>
              <m:ctrlPr>
                <w:rPr>
                  <w:rFonts w:ascii="Cambria Math" w:hAnsi="Cambria Math"/>
                  <w:i/>
                  <w:lang w:eastAsia="nl-NL" w:bidi="ar-SA"/>
                </w:rPr>
              </m:ctrlPr>
            </m:sSubPr>
            <m:e>
              <m:r>
                <w:rPr>
                  <w:rFonts w:ascii="Cambria Math" w:hAnsi="Cambria Math"/>
                  <w:lang w:eastAsia="nl-NL" w:bidi="ar-SA"/>
                </w:rPr>
                <m:t>y</m:t>
              </m:r>
            </m:e>
            <m:sub>
              <m:r>
                <w:rPr>
                  <w:rFonts w:ascii="Cambria Math" w:hAnsi="Cambria Math"/>
                  <w:lang w:eastAsia="nl-NL" w:bidi="ar-SA"/>
                </w:rPr>
                <m:t>t-p</m:t>
              </m:r>
            </m:sub>
          </m:sSub>
          <m:r>
            <w:rPr>
              <w:rFonts w:ascii="Cambria Math" w:hAnsi="Cambria Math"/>
              <w:lang w:eastAsia="nl-NL" w:bidi="ar-SA"/>
            </w:rPr>
            <m:t>+ B</m:t>
          </m:r>
          <m:sSub>
            <m:sSubPr>
              <m:ctrlPr>
                <w:rPr>
                  <w:rFonts w:ascii="Cambria Math" w:hAnsi="Cambria Math"/>
                  <w:i/>
                  <w:lang w:eastAsia="nl-NL" w:bidi="ar-SA"/>
                </w:rPr>
              </m:ctrlPr>
            </m:sSubPr>
            <m:e>
              <m:r>
                <w:rPr>
                  <w:rFonts w:ascii="Cambria Math" w:hAnsi="Cambria Math"/>
                  <w:lang w:eastAsia="nl-NL" w:bidi="ar-SA"/>
                </w:rPr>
                <m:t>x</m:t>
              </m:r>
            </m:e>
            <m:sub>
              <m:r>
                <w:rPr>
                  <w:rFonts w:ascii="Cambria Math" w:hAnsi="Cambria Math"/>
                  <w:lang w:eastAsia="nl-NL" w:bidi="ar-SA"/>
                </w:rPr>
                <m:t>t</m:t>
              </m:r>
            </m:sub>
          </m:sSub>
          <m:r>
            <w:rPr>
              <w:rFonts w:ascii="Cambria Math" w:hAnsi="Cambria Math"/>
              <w:lang w:eastAsia="nl-NL" w:bidi="ar-SA"/>
            </w:rPr>
            <m:t xml:space="preserve">+ </m:t>
          </m:r>
          <m:sSub>
            <m:sSubPr>
              <m:ctrlPr>
                <w:rPr>
                  <w:rFonts w:ascii="Cambria Math" w:hAnsi="Cambria Math"/>
                  <w:i/>
                  <w:lang w:eastAsia="nl-NL" w:bidi="ar-SA"/>
                </w:rPr>
              </m:ctrlPr>
            </m:sSubPr>
            <m:e>
              <m:r>
                <w:rPr>
                  <w:rFonts w:ascii="Cambria Math" w:hAnsi="Cambria Math"/>
                  <w:lang w:eastAsia="nl-NL" w:bidi="ar-SA"/>
                </w:rPr>
                <m:t>ϵ</m:t>
              </m:r>
            </m:e>
            <m:sub>
              <m:r>
                <w:rPr>
                  <w:rFonts w:ascii="Cambria Math" w:hAnsi="Cambria Math"/>
                  <w:lang w:eastAsia="nl-NL" w:bidi="ar-SA"/>
                </w:rPr>
                <m:t>t</m:t>
              </m:r>
            </m:sub>
          </m:sSub>
        </m:oMath>
      </m:oMathPara>
    </w:p>
    <w:p w:rsidR="00960852" w:rsidRDefault="00960852" w:rsidP="00960852">
      <w:pPr>
        <w:pStyle w:val="NoSpacing"/>
        <w:rPr>
          <w:lang w:eastAsia="nl-NL" w:bidi="ar-SA"/>
        </w:rPr>
      </w:pPr>
    </w:p>
    <w:p w:rsidR="00960852" w:rsidRDefault="00960852" w:rsidP="00960852">
      <w:pPr>
        <w:pStyle w:val="NoSpacing"/>
        <w:rPr>
          <w:lang w:eastAsia="nl-NL" w:bidi="ar-SA"/>
        </w:rPr>
      </w:pPr>
      <w:r>
        <w:rPr>
          <w:lang w:eastAsia="nl-NL" w:bidi="ar-SA"/>
        </w:rPr>
        <w:t xml:space="preserve">Where </w:t>
      </w:r>
      <w:proofErr w:type="spellStart"/>
      <w:r>
        <w:rPr>
          <w:lang w:eastAsia="nl-NL" w:bidi="ar-SA"/>
        </w:rPr>
        <w:t>y</w:t>
      </w:r>
      <w:r>
        <w:rPr>
          <w:vertAlign w:val="subscript"/>
          <w:lang w:eastAsia="nl-NL" w:bidi="ar-SA"/>
        </w:rPr>
        <w:t>t</w:t>
      </w:r>
      <w:proofErr w:type="spellEnd"/>
      <w:r>
        <w:rPr>
          <w:lang w:eastAsia="nl-NL" w:bidi="ar-SA"/>
        </w:rPr>
        <w:t xml:space="preserve"> is a </w:t>
      </w:r>
      <w:r w:rsidRPr="00B32A5A">
        <w:rPr>
          <w:i/>
          <w:lang w:eastAsia="nl-NL" w:bidi="ar-SA"/>
        </w:rPr>
        <w:t>k</w:t>
      </w:r>
      <w:r>
        <w:rPr>
          <w:lang w:eastAsia="nl-NL" w:bidi="ar-SA"/>
        </w:rPr>
        <w:t xml:space="preserve">-vector of non-stationary </w:t>
      </w:r>
      <w:proofErr w:type="gramStart"/>
      <w:r>
        <w:rPr>
          <w:lang w:eastAsia="nl-NL" w:bidi="ar-SA"/>
        </w:rPr>
        <w:t>I(</w:t>
      </w:r>
      <w:proofErr w:type="gramEnd"/>
      <w:r>
        <w:rPr>
          <w:lang w:eastAsia="nl-NL" w:bidi="ar-SA"/>
        </w:rPr>
        <w:t xml:space="preserve">1) variables, </w:t>
      </w:r>
      <w:proofErr w:type="spellStart"/>
      <w:r>
        <w:rPr>
          <w:lang w:eastAsia="nl-NL" w:bidi="ar-SA"/>
        </w:rPr>
        <w:t>x</w:t>
      </w:r>
      <w:r>
        <w:rPr>
          <w:vertAlign w:val="subscript"/>
          <w:lang w:eastAsia="nl-NL" w:bidi="ar-SA"/>
        </w:rPr>
        <w:t>t</w:t>
      </w:r>
      <w:proofErr w:type="spellEnd"/>
      <w:r>
        <w:rPr>
          <w:lang w:eastAsia="nl-NL" w:bidi="ar-SA"/>
        </w:rPr>
        <w:t xml:space="preserve"> is a </w:t>
      </w:r>
      <w:r>
        <w:rPr>
          <w:i/>
          <w:lang w:eastAsia="nl-NL" w:bidi="ar-SA"/>
        </w:rPr>
        <w:t>d</w:t>
      </w:r>
      <w:r>
        <w:rPr>
          <w:lang w:eastAsia="nl-NL" w:bidi="ar-SA"/>
        </w:rPr>
        <w:t xml:space="preserve">-vector of deterministic variables, and </w:t>
      </w:r>
      <w:r>
        <w:rPr>
          <w:rFonts w:ascii="Cambria Math" w:hAnsi="Cambria Math"/>
          <w:lang w:eastAsia="nl-NL" w:bidi="ar-SA"/>
        </w:rPr>
        <w:t>𝜖</w:t>
      </w:r>
      <w:r>
        <w:rPr>
          <w:vertAlign w:val="subscript"/>
          <w:lang w:eastAsia="nl-NL" w:bidi="ar-SA"/>
        </w:rPr>
        <w:t>t</w:t>
      </w:r>
      <w:r>
        <w:rPr>
          <w:lang w:eastAsia="nl-NL" w:bidi="ar-SA"/>
        </w:rPr>
        <w:t xml:space="preserve"> is a vector of residuals. This VAR is can be rewritten as:</w:t>
      </w:r>
    </w:p>
    <w:p w:rsidR="00960852" w:rsidRDefault="00960852" w:rsidP="00960852">
      <w:pPr>
        <w:pStyle w:val="NoSpacing"/>
        <w:rPr>
          <w:lang w:eastAsia="nl-NL" w:bidi="ar-SA"/>
        </w:rPr>
      </w:pPr>
    </w:p>
    <w:p w:rsidR="00960852" w:rsidRDefault="00960852" w:rsidP="00960852">
      <w:pPr>
        <w:pStyle w:val="NoSpacing"/>
        <w:rPr>
          <w:lang w:eastAsia="nl-NL" w:bidi="ar-SA"/>
        </w:rPr>
      </w:pPr>
      <m:oMathPara>
        <m:oMath>
          <m:r>
            <w:rPr>
              <w:rFonts w:ascii="Cambria Math" w:hAnsi="Cambria Math"/>
              <w:lang w:eastAsia="nl-NL" w:bidi="ar-SA"/>
            </w:rPr>
            <m:t>∆</m:t>
          </m:r>
          <m:sSub>
            <m:sSubPr>
              <m:ctrlPr>
                <w:rPr>
                  <w:rFonts w:ascii="Cambria Math" w:hAnsi="Cambria Math"/>
                  <w:i/>
                  <w:lang w:eastAsia="nl-NL" w:bidi="ar-SA"/>
                </w:rPr>
              </m:ctrlPr>
            </m:sSubPr>
            <m:e>
              <m:r>
                <w:rPr>
                  <w:rFonts w:ascii="Cambria Math" w:hAnsi="Cambria Math"/>
                  <w:lang w:eastAsia="nl-NL" w:bidi="ar-SA"/>
                </w:rPr>
                <m:t>y</m:t>
              </m:r>
            </m:e>
            <m:sub>
              <m:r>
                <w:rPr>
                  <w:rFonts w:ascii="Cambria Math" w:hAnsi="Cambria Math"/>
                  <w:lang w:eastAsia="nl-NL" w:bidi="ar-SA"/>
                </w:rPr>
                <m:t>t</m:t>
              </m:r>
            </m:sub>
          </m:sSub>
          <m:r>
            <w:rPr>
              <w:rFonts w:ascii="Cambria Math" w:hAnsi="Cambria Math"/>
              <w:lang w:eastAsia="nl-NL" w:bidi="ar-SA"/>
            </w:rPr>
            <m:t>= Π</m:t>
          </m:r>
          <m:sSub>
            <m:sSubPr>
              <m:ctrlPr>
                <w:rPr>
                  <w:rFonts w:ascii="Cambria Math" w:hAnsi="Cambria Math"/>
                  <w:i/>
                  <w:lang w:eastAsia="nl-NL" w:bidi="ar-SA"/>
                </w:rPr>
              </m:ctrlPr>
            </m:sSubPr>
            <m:e>
              <m:r>
                <w:rPr>
                  <w:rFonts w:ascii="Cambria Math" w:hAnsi="Cambria Math"/>
                  <w:lang w:eastAsia="nl-NL" w:bidi="ar-SA"/>
                </w:rPr>
                <m:t>y</m:t>
              </m:r>
            </m:e>
            <m:sub>
              <m:r>
                <w:rPr>
                  <w:rFonts w:ascii="Cambria Math" w:hAnsi="Cambria Math"/>
                  <w:lang w:eastAsia="nl-NL" w:bidi="ar-SA"/>
                </w:rPr>
                <m:t>t-1</m:t>
              </m:r>
            </m:sub>
          </m:sSub>
          <m:r>
            <w:rPr>
              <w:rFonts w:ascii="Cambria Math" w:hAnsi="Cambria Math"/>
              <w:lang w:eastAsia="nl-NL" w:bidi="ar-SA"/>
            </w:rPr>
            <m:t xml:space="preserve">+ </m:t>
          </m:r>
          <m:nary>
            <m:naryPr>
              <m:chr m:val="∑"/>
              <m:limLoc m:val="undOvr"/>
              <m:ctrlPr>
                <w:rPr>
                  <w:rFonts w:ascii="Cambria Math" w:hAnsi="Cambria Math"/>
                  <w:i/>
                  <w:lang w:eastAsia="nl-NL" w:bidi="ar-SA"/>
                </w:rPr>
              </m:ctrlPr>
            </m:naryPr>
            <m:sub>
              <m:r>
                <w:rPr>
                  <w:rFonts w:ascii="Cambria Math" w:hAnsi="Cambria Math"/>
                  <w:lang w:eastAsia="nl-NL" w:bidi="ar-SA"/>
                </w:rPr>
                <m:t>i=1</m:t>
              </m:r>
            </m:sub>
            <m:sup>
              <m:r>
                <w:rPr>
                  <w:rFonts w:ascii="Cambria Math" w:hAnsi="Cambria Math"/>
                  <w:lang w:eastAsia="nl-NL" w:bidi="ar-SA"/>
                </w:rPr>
                <m:t>p-1</m:t>
              </m:r>
            </m:sup>
            <m:e>
              <m:sSub>
                <m:sSubPr>
                  <m:ctrlPr>
                    <w:rPr>
                      <w:rFonts w:ascii="Cambria Math" w:hAnsi="Cambria Math"/>
                      <w:i/>
                      <w:lang w:eastAsia="nl-NL" w:bidi="ar-SA"/>
                    </w:rPr>
                  </m:ctrlPr>
                </m:sSubPr>
                <m:e>
                  <m:r>
                    <w:rPr>
                      <w:rFonts w:ascii="Cambria Math" w:hAnsi="Cambria Math"/>
                      <w:lang w:eastAsia="nl-NL" w:bidi="ar-SA"/>
                    </w:rPr>
                    <m:t>Γ</m:t>
                  </m:r>
                </m:e>
                <m:sub>
                  <m:r>
                    <w:rPr>
                      <w:rFonts w:ascii="Cambria Math" w:hAnsi="Cambria Math"/>
                      <w:lang w:eastAsia="nl-NL" w:bidi="ar-SA"/>
                    </w:rPr>
                    <m:t>i</m:t>
                  </m:r>
                </m:sub>
              </m:sSub>
            </m:e>
          </m:nary>
          <m:r>
            <w:rPr>
              <w:rFonts w:ascii="Cambria Math" w:hAnsi="Cambria Math"/>
              <w:lang w:eastAsia="nl-NL" w:bidi="ar-SA"/>
            </w:rPr>
            <m:t>∆</m:t>
          </m:r>
          <m:sSub>
            <m:sSubPr>
              <m:ctrlPr>
                <w:rPr>
                  <w:rFonts w:ascii="Cambria Math" w:hAnsi="Cambria Math"/>
                  <w:i/>
                  <w:lang w:eastAsia="nl-NL" w:bidi="ar-SA"/>
                </w:rPr>
              </m:ctrlPr>
            </m:sSubPr>
            <m:e>
              <m:r>
                <w:rPr>
                  <w:rFonts w:ascii="Cambria Math" w:hAnsi="Cambria Math"/>
                  <w:lang w:eastAsia="nl-NL" w:bidi="ar-SA"/>
                </w:rPr>
                <m:t>y</m:t>
              </m:r>
            </m:e>
            <m:sub>
              <m:r>
                <w:rPr>
                  <w:rFonts w:ascii="Cambria Math" w:hAnsi="Cambria Math"/>
                  <w:lang w:eastAsia="nl-NL" w:bidi="ar-SA"/>
                </w:rPr>
                <m:t>t-i</m:t>
              </m:r>
            </m:sub>
          </m:sSub>
          <m:r>
            <w:rPr>
              <w:rFonts w:ascii="Cambria Math" w:hAnsi="Cambria Math"/>
              <w:lang w:eastAsia="nl-NL" w:bidi="ar-SA"/>
            </w:rPr>
            <m:t>+ B</m:t>
          </m:r>
          <m:sSub>
            <m:sSubPr>
              <m:ctrlPr>
                <w:rPr>
                  <w:rFonts w:ascii="Cambria Math" w:hAnsi="Cambria Math"/>
                  <w:i/>
                  <w:lang w:eastAsia="nl-NL" w:bidi="ar-SA"/>
                </w:rPr>
              </m:ctrlPr>
            </m:sSubPr>
            <m:e>
              <m:r>
                <w:rPr>
                  <w:rFonts w:ascii="Cambria Math" w:hAnsi="Cambria Math"/>
                  <w:lang w:eastAsia="nl-NL" w:bidi="ar-SA"/>
                </w:rPr>
                <m:t>x</m:t>
              </m:r>
            </m:e>
            <m:sub>
              <m:r>
                <w:rPr>
                  <w:rFonts w:ascii="Cambria Math" w:hAnsi="Cambria Math"/>
                  <w:lang w:eastAsia="nl-NL" w:bidi="ar-SA"/>
                </w:rPr>
                <m:t>t</m:t>
              </m:r>
            </m:sub>
          </m:sSub>
          <m:r>
            <w:rPr>
              <w:rFonts w:ascii="Cambria Math" w:hAnsi="Cambria Math"/>
              <w:lang w:eastAsia="nl-NL" w:bidi="ar-SA"/>
            </w:rPr>
            <m:t xml:space="preserve">+ </m:t>
          </m:r>
          <m:sSub>
            <m:sSubPr>
              <m:ctrlPr>
                <w:rPr>
                  <w:rFonts w:ascii="Cambria Math" w:hAnsi="Cambria Math"/>
                  <w:i/>
                  <w:lang w:eastAsia="nl-NL" w:bidi="ar-SA"/>
                </w:rPr>
              </m:ctrlPr>
            </m:sSubPr>
            <m:e>
              <m:r>
                <w:rPr>
                  <w:rFonts w:ascii="Cambria Math" w:hAnsi="Cambria Math"/>
                  <w:lang w:eastAsia="nl-NL" w:bidi="ar-SA"/>
                </w:rPr>
                <m:t>ϵ</m:t>
              </m:r>
            </m:e>
            <m:sub>
              <m:r>
                <w:rPr>
                  <w:rFonts w:ascii="Cambria Math" w:hAnsi="Cambria Math"/>
                  <w:lang w:eastAsia="nl-NL" w:bidi="ar-SA"/>
                </w:rPr>
                <m:t>t</m:t>
              </m:r>
            </m:sub>
          </m:sSub>
        </m:oMath>
      </m:oMathPara>
    </w:p>
    <w:p w:rsidR="00960852" w:rsidRDefault="00960852" w:rsidP="00960852">
      <w:pPr>
        <w:pStyle w:val="NoSpacing"/>
        <w:rPr>
          <w:lang w:eastAsia="nl-NL" w:bidi="ar-SA"/>
        </w:rPr>
      </w:pPr>
    </w:p>
    <w:p w:rsidR="00960852" w:rsidRDefault="00960852" w:rsidP="00960852">
      <w:pPr>
        <w:pStyle w:val="NoSpacing"/>
        <w:rPr>
          <w:lang w:eastAsia="nl-NL" w:bidi="ar-SA"/>
        </w:rPr>
      </w:pPr>
      <w:r>
        <w:rPr>
          <w:lang w:eastAsia="nl-NL" w:bidi="ar-SA"/>
        </w:rPr>
        <w:t>Where:</w:t>
      </w:r>
    </w:p>
    <w:p w:rsidR="00960852" w:rsidRDefault="00960852" w:rsidP="00960852">
      <w:pPr>
        <w:pStyle w:val="NoSpacing"/>
        <w:rPr>
          <w:lang w:eastAsia="nl-NL" w:bidi="ar-SA"/>
        </w:rPr>
      </w:pPr>
      <m:oMathPara>
        <m:oMath>
          <m:r>
            <w:rPr>
              <w:rFonts w:ascii="Cambria Math" w:hAnsi="Cambria Math"/>
              <w:lang w:eastAsia="nl-NL" w:bidi="ar-SA"/>
            </w:rPr>
            <m:t xml:space="preserve">Π= </m:t>
          </m:r>
          <m:nary>
            <m:naryPr>
              <m:chr m:val="∑"/>
              <m:limLoc m:val="undOvr"/>
              <m:ctrlPr>
                <w:rPr>
                  <w:rFonts w:ascii="Cambria Math" w:hAnsi="Cambria Math"/>
                  <w:i/>
                  <w:lang w:eastAsia="nl-NL" w:bidi="ar-SA"/>
                </w:rPr>
              </m:ctrlPr>
            </m:naryPr>
            <m:sub>
              <m:r>
                <w:rPr>
                  <w:rFonts w:ascii="Cambria Math" w:hAnsi="Cambria Math"/>
                  <w:lang w:eastAsia="nl-NL" w:bidi="ar-SA"/>
                </w:rPr>
                <m:t>i=1</m:t>
              </m:r>
            </m:sub>
            <m:sup>
              <m:r>
                <w:rPr>
                  <w:rFonts w:ascii="Cambria Math" w:hAnsi="Cambria Math"/>
                  <w:lang w:eastAsia="nl-NL" w:bidi="ar-SA"/>
                </w:rPr>
                <m:t>p</m:t>
              </m:r>
            </m:sup>
            <m:e>
              <m:sSub>
                <m:sSubPr>
                  <m:ctrlPr>
                    <w:rPr>
                      <w:rFonts w:ascii="Cambria Math" w:hAnsi="Cambria Math"/>
                      <w:i/>
                      <w:lang w:eastAsia="nl-NL" w:bidi="ar-SA"/>
                    </w:rPr>
                  </m:ctrlPr>
                </m:sSubPr>
                <m:e>
                  <m:r>
                    <w:rPr>
                      <w:rFonts w:ascii="Cambria Math" w:hAnsi="Cambria Math"/>
                      <w:lang w:eastAsia="nl-NL" w:bidi="ar-SA"/>
                    </w:rPr>
                    <m:t>A</m:t>
                  </m:r>
                </m:e>
                <m:sub>
                  <m:r>
                    <w:rPr>
                      <w:rFonts w:ascii="Cambria Math" w:hAnsi="Cambria Math"/>
                      <w:lang w:eastAsia="nl-NL" w:bidi="ar-SA"/>
                    </w:rPr>
                    <m:t>i</m:t>
                  </m:r>
                </m:sub>
              </m:sSub>
              <m:r>
                <w:rPr>
                  <w:rFonts w:ascii="Cambria Math" w:hAnsi="Cambria Math"/>
                  <w:lang w:eastAsia="nl-NL" w:bidi="ar-SA"/>
                </w:rPr>
                <m:t xml:space="preserve">- I, </m:t>
              </m:r>
            </m:e>
          </m:nary>
          <m:r>
            <w:rPr>
              <w:rFonts w:ascii="Cambria Math" w:hAnsi="Cambria Math"/>
              <w:lang w:eastAsia="nl-NL" w:bidi="ar-SA"/>
            </w:rPr>
            <m:t xml:space="preserve">                        </m:t>
          </m:r>
          <m:sSub>
            <m:sSubPr>
              <m:ctrlPr>
                <w:rPr>
                  <w:rFonts w:ascii="Cambria Math" w:hAnsi="Cambria Math"/>
                  <w:b/>
                  <w:bCs/>
                  <w:i/>
                  <w:lang w:eastAsia="nl-NL" w:bidi="ar-SA"/>
                </w:rPr>
              </m:ctrlPr>
            </m:sSubPr>
            <m:e>
              <m:r>
                <m:rPr>
                  <m:sty m:val="bi"/>
                </m:rPr>
                <w:rPr>
                  <w:rFonts w:ascii="Cambria Math" w:hAnsi="Cambria Math"/>
                  <w:lang w:eastAsia="nl-NL" w:bidi="ar-SA"/>
                </w:rPr>
                <m:t>Γ</m:t>
              </m:r>
            </m:e>
            <m:sub>
              <m:r>
                <m:rPr>
                  <m:sty m:val="bi"/>
                </m:rPr>
                <w:rPr>
                  <w:rFonts w:ascii="Cambria Math" w:hAnsi="Cambria Math"/>
                  <w:lang w:eastAsia="nl-NL" w:bidi="ar-SA"/>
                </w:rPr>
                <m:t>i</m:t>
              </m:r>
            </m:sub>
          </m:sSub>
          <m:r>
            <m:rPr>
              <m:sty m:val="bi"/>
            </m:rPr>
            <w:rPr>
              <w:rFonts w:ascii="Cambria Math" w:hAnsi="Cambria Math"/>
              <w:lang w:eastAsia="nl-NL" w:bidi="ar-SA"/>
            </w:rPr>
            <m:t xml:space="preserve">= - </m:t>
          </m:r>
          <m:nary>
            <m:naryPr>
              <m:chr m:val="∑"/>
              <m:limLoc m:val="undOvr"/>
              <m:ctrlPr>
                <w:rPr>
                  <w:rFonts w:ascii="Cambria Math" w:hAnsi="Cambria Math"/>
                  <w:b/>
                  <w:bCs/>
                  <w:i/>
                  <w:lang w:eastAsia="nl-NL" w:bidi="ar-SA"/>
                </w:rPr>
              </m:ctrlPr>
            </m:naryPr>
            <m:sub>
              <m:r>
                <m:rPr>
                  <m:sty m:val="bi"/>
                </m:rPr>
                <w:rPr>
                  <w:rFonts w:ascii="Cambria Math" w:hAnsi="Cambria Math"/>
                  <w:lang w:eastAsia="nl-NL" w:bidi="ar-SA"/>
                </w:rPr>
                <m:t>j=i+1</m:t>
              </m:r>
            </m:sub>
            <m:sup>
              <m:r>
                <m:rPr>
                  <m:sty m:val="bi"/>
                </m:rPr>
                <w:rPr>
                  <w:rFonts w:ascii="Cambria Math" w:hAnsi="Cambria Math"/>
                  <w:lang w:eastAsia="nl-NL" w:bidi="ar-SA"/>
                </w:rPr>
                <m:t>p</m:t>
              </m:r>
            </m:sup>
            <m:e>
              <m:sSub>
                <m:sSubPr>
                  <m:ctrlPr>
                    <w:rPr>
                      <w:rFonts w:ascii="Cambria Math" w:hAnsi="Cambria Math"/>
                      <w:b/>
                      <w:bCs/>
                      <w:i/>
                      <w:lang w:eastAsia="nl-NL" w:bidi="ar-SA"/>
                    </w:rPr>
                  </m:ctrlPr>
                </m:sSubPr>
                <m:e>
                  <m:r>
                    <w:rPr>
                      <w:rFonts w:ascii="Cambria Math" w:hAnsi="Cambria Math"/>
                      <w:lang w:eastAsia="nl-NL" w:bidi="ar-SA"/>
                    </w:rPr>
                    <m:t>A</m:t>
                  </m:r>
                </m:e>
                <m:sub>
                  <m:r>
                    <m:rPr>
                      <m:sty m:val="bi"/>
                    </m:rPr>
                    <w:rPr>
                      <w:rFonts w:ascii="Cambria Math" w:hAnsi="Cambria Math"/>
                      <w:lang w:eastAsia="nl-NL" w:bidi="ar-SA"/>
                    </w:rPr>
                    <m:t>j</m:t>
                  </m:r>
                </m:sub>
              </m:sSub>
            </m:e>
          </m:nary>
        </m:oMath>
      </m:oMathPara>
    </w:p>
    <w:p w:rsidR="00960852" w:rsidRDefault="00960852" w:rsidP="00960852">
      <w:pPr>
        <w:pStyle w:val="NoSpacing"/>
        <w:rPr>
          <w:lang w:eastAsia="nl-NL" w:bidi="ar-SA"/>
        </w:rPr>
      </w:pPr>
    </w:p>
    <w:p w:rsidR="00960852" w:rsidRDefault="00960852" w:rsidP="00960852">
      <w:pPr>
        <w:pStyle w:val="NoSpacing"/>
        <w:rPr>
          <w:rFonts w:ascii="Cambria Math" w:hAnsi="Cambria Math"/>
          <w:lang w:eastAsia="nl-NL" w:bidi="ar-SA"/>
        </w:rPr>
      </w:pPr>
      <w:r>
        <w:rPr>
          <w:lang w:eastAsia="nl-NL" w:bidi="ar-SA"/>
        </w:rPr>
        <w:t xml:space="preserve">The earlier mentioned Granger’s representation theorem stated that if coefficient matrix </w:t>
      </w:r>
      <w:r>
        <w:rPr>
          <w:rFonts w:ascii="Cambria Math" w:hAnsi="Cambria Math"/>
          <w:lang w:eastAsia="nl-NL" w:bidi="ar-SA"/>
        </w:rPr>
        <w:t>𝜫</w:t>
      </w:r>
      <w:r>
        <w:rPr>
          <w:lang w:eastAsia="nl-NL" w:bidi="ar-SA"/>
        </w:rPr>
        <w:t xml:space="preserve"> reduced to rank r&lt;k, then there are k x r matrices α and </w:t>
      </w:r>
      <w:r>
        <w:rPr>
          <w:rFonts w:ascii="Cambria Math" w:hAnsi="Cambria Math"/>
          <w:lang w:eastAsia="nl-NL" w:bidi="ar-SA"/>
        </w:rPr>
        <w:t>𝛽 each with rank r, this leads to 𝜫= α𝛽’ and 𝛽’</w:t>
      </w:r>
      <w:proofErr w:type="spellStart"/>
      <w:r>
        <w:rPr>
          <w:rFonts w:ascii="Cambria Math" w:hAnsi="Cambria Math"/>
          <w:lang w:eastAsia="nl-NL" w:bidi="ar-SA"/>
        </w:rPr>
        <w:t>y</w:t>
      </w:r>
      <w:r>
        <w:rPr>
          <w:rFonts w:ascii="Cambria Math" w:hAnsi="Cambria Math"/>
          <w:vertAlign w:val="subscript"/>
          <w:lang w:eastAsia="nl-NL" w:bidi="ar-SA"/>
        </w:rPr>
        <w:t>t</w:t>
      </w:r>
      <w:proofErr w:type="spellEnd"/>
      <w:r>
        <w:rPr>
          <w:rFonts w:ascii="Cambria Math" w:hAnsi="Cambria Math"/>
          <w:lang w:eastAsia="nl-NL" w:bidi="ar-SA"/>
        </w:rPr>
        <w:t xml:space="preserve"> is </w:t>
      </w:r>
      <w:proofErr w:type="gramStart"/>
      <w:r>
        <w:rPr>
          <w:rFonts w:ascii="Cambria Math" w:hAnsi="Cambria Math"/>
          <w:lang w:eastAsia="nl-NL" w:bidi="ar-SA"/>
        </w:rPr>
        <w:t>I(</w:t>
      </w:r>
      <w:proofErr w:type="gramEnd"/>
      <w:r>
        <w:rPr>
          <w:rFonts w:ascii="Cambria Math" w:hAnsi="Cambria Math"/>
          <w:lang w:eastAsia="nl-NL" w:bidi="ar-SA"/>
        </w:rPr>
        <w:t xml:space="preserve">0). </w:t>
      </w:r>
      <w:proofErr w:type="gramStart"/>
      <w:r>
        <w:rPr>
          <w:rFonts w:ascii="Cambria Math" w:hAnsi="Cambria Math"/>
          <w:lang w:eastAsia="nl-NL" w:bidi="ar-SA"/>
        </w:rPr>
        <w:t>r</w:t>
      </w:r>
      <w:proofErr w:type="gramEnd"/>
      <w:r>
        <w:rPr>
          <w:rFonts w:ascii="Cambria Math" w:hAnsi="Cambria Math"/>
          <w:lang w:eastAsia="nl-NL" w:bidi="ar-SA"/>
        </w:rPr>
        <w:t xml:space="preserve"> indicates how much </w:t>
      </w:r>
      <w:proofErr w:type="spellStart"/>
      <w:r>
        <w:rPr>
          <w:rFonts w:ascii="Cambria Math" w:hAnsi="Cambria Math"/>
          <w:lang w:eastAsia="nl-NL" w:bidi="ar-SA"/>
        </w:rPr>
        <w:t>cointegrating</w:t>
      </w:r>
      <w:proofErr w:type="spellEnd"/>
      <w:r>
        <w:rPr>
          <w:rFonts w:ascii="Cambria Math" w:hAnsi="Cambria Math"/>
          <w:lang w:eastAsia="nl-NL" w:bidi="ar-SA"/>
        </w:rPr>
        <w:t xml:space="preserve"> relations are found and each column of 𝛽 is a </w:t>
      </w:r>
      <w:proofErr w:type="spellStart"/>
      <w:r>
        <w:rPr>
          <w:rFonts w:ascii="Cambria Math" w:hAnsi="Cambria Math"/>
          <w:lang w:eastAsia="nl-NL" w:bidi="ar-SA"/>
        </w:rPr>
        <w:t>cointegrating</w:t>
      </w:r>
      <w:proofErr w:type="spellEnd"/>
      <w:r>
        <w:rPr>
          <w:rFonts w:ascii="Cambria Math" w:hAnsi="Cambria Math"/>
          <w:lang w:eastAsia="nl-NL" w:bidi="ar-SA"/>
        </w:rPr>
        <w:t xml:space="preserve"> vector. </w:t>
      </w:r>
    </w:p>
    <w:p w:rsidR="00960852" w:rsidRDefault="00960852" w:rsidP="00960852">
      <w:pPr>
        <w:pStyle w:val="NoSpacing"/>
        <w:rPr>
          <w:rFonts w:ascii="Cambria Math" w:hAnsi="Cambria Math"/>
          <w:lang w:eastAsia="nl-NL" w:bidi="ar-SA"/>
        </w:rPr>
      </w:pPr>
    </w:p>
    <w:p w:rsidR="00960852" w:rsidRDefault="00960852" w:rsidP="00960852">
      <w:pPr>
        <w:pStyle w:val="NoSpacing"/>
        <w:rPr>
          <w:rFonts w:ascii="Cambria Math" w:hAnsi="Cambria Math"/>
          <w:lang w:eastAsia="nl-NL" w:bidi="ar-SA"/>
        </w:rPr>
      </w:pPr>
      <w:r>
        <w:rPr>
          <w:rFonts w:ascii="Cambria Math" w:hAnsi="Cambria Math"/>
          <w:lang w:eastAsia="nl-NL" w:bidi="ar-SA"/>
        </w:rPr>
        <w:t xml:space="preserve">As said above, the trace statistic tests for r </w:t>
      </w:r>
      <w:proofErr w:type="spellStart"/>
      <w:r>
        <w:rPr>
          <w:rFonts w:ascii="Cambria Math" w:hAnsi="Cambria Math"/>
          <w:lang w:eastAsia="nl-NL" w:bidi="ar-SA"/>
        </w:rPr>
        <w:t>cointegrating</w:t>
      </w:r>
      <w:proofErr w:type="spellEnd"/>
      <w:r>
        <w:rPr>
          <w:rFonts w:ascii="Cambria Math" w:hAnsi="Cambria Math"/>
          <w:lang w:eastAsia="nl-NL" w:bidi="ar-SA"/>
        </w:rPr>
        <w:t xml:space="preserve"> relationships against the alternative of k </w:t>
      </w:r>
      <w:proofErr w:type="spellStart"/>
      <w:r>
        <w:rPr>
          <w:rFonts w:ascii="Cambria Math" w:hAnsi="Cambria Math"/>
          <w:lang w:eastAsia="nl-NL" w:bidi="ar-SA"/>
        </w:rPr>
        <w:t>cointegrating</w:t>
      </w:r>
      <w:proofErr w:type="spellEnd"/>
      <w:r>
        <w:rPr>
          <w:rFonts w:ascii="Cambria Math" w:hAnsi="Cambria Math"/>
          <w:lang w:eastAsia="nl-NL" w:bidi="ar-SA"/>
        </w:rPr>
        <w:t xml:space="preserve"> relationships. The alternative is the same as in a case where none of the series has a unit root.  The trace statistic is computed as followed:</w:t>
      </w:r>
    </w:p>
    <w:p w:rsidR="00960852" w:rsidRDefault="00960852" w:rsidP="00960852">
      <w:pPr>
        <w:pStyle w:val="NoSpacing"/>
        <w:rPr>
          <w:lang w:eastAsia="nl-NL" w:bidi="ar-SA"/>
        </w:rPr>
      </w:pPr>
    </w:p>
    <w:p w:rsidR="00960852" w:rsidRDefault="00960852" w:rsidP="00960852">
      <w:pPr>
        <w:pStyle w:val="NoSpacing"/>
        <w:rPr>
          <w:lang w:eastAsia="nl-NL" w:bidi="ar-SA"/>
        </w:rPr>
      </w:pPr>
      <m:oMathPara>
        <m:oMath>
          <m:r>
            <w:rPr>
              <w:rFonts w:ascii="Cambria Math" w:hAnsi="Cambria Math"/>
              <w:lang w:eastAsia="nl-NL" w:bidi="ar-SA"/>
            </w:rPr>
            <m:t>L</m:t>
          </m:r>
          <m:sSub>
            <m:sSubPr>
              <m:ctrlPr>
                <w:rPr>
                  <w:rFonts w:ascii="Cambria Math" w:hAnsi="Cambria Math"/>
                  <w:i/>
                  <w:lang w:eastAsia="nl-NL" w:bidi="ar-SA"/>
                </w:rPr>
              </m:ctrlPr>
            </m:sSubPr>
            <m:e>
              <m:r>
                <w:rPr>
                  <w:rFonts w:ascii="Cambria Math" w:hAnsi="Cambria Math"/>
                  <w:lang w:eastAsia="nl-NL" w:bidi="ar-SA"/>
                </w:rPr>
                <m:t>R</m:t>
              </m:r>
            </m:e>
            <m:sub>
              <m:r>
                <w:rPr>
                  <w:rFonts w:ascii="Cambria Math" w:hAnsi="Cambria Math"/>
                  <w:lang w:eastAsia="nl-NL" w:bidi="ar-SA"/>
                </w:rPr>
                <m:t>tr</m:t>
              </m:r>
            </m:sub>
          </m:sSub>
          <m:d>
            <m:dPr>
              <m:endChr m:val="|"/>
              <m:ctrlPr>
                <w:rPr>
                  <w:rFonts w:ascii="Cambria Math" w:hAnsi="Cambria Math"/>
                  <w:i/>
                  <w:lang w:eastAsia="nl-NL" w:bidi="ar-SA"/>
                </w:rPr>
              </m:ctrlPr>
            </m:dPr>
            <m:e>
              <m:r>
                <w:rPr>
                  <w:rFonts w:ascii="Cambria Math" w:hAnsi="Cambria Math"/>
                  <w:lang w:eastAsia="nl-NL" w:bidi="ar-SA"/>
                </w:rPr>
                <m:t xml:space="preserve">r </m:t>
              </m:r>
            </m:e>
          </m:d>
          <m:r>
            <w:rPr>
              <w:rFonts w:ascii="Cambria Math" w:hAnsi="Cambria Math"/>
              <w:lang w:eastAsia="nl-NL" w:bidi="ar-SA"/>
            </w:rPr>
            <m:t xml:space="preserve">k )= -T </m:t>
          </m:r>
          <m:nary>
            <m:naryPr>
              <m:chr m:val="∑"/>
              <m:limLoc m:val="undOvr"/>
              <m:ctrlPr>
                <w:rPr>
                  <w:rFonts w:ascii="Cambria Math" w:hAnsi="Cambria Math"/>
                  <w:i/>
                  <w:lang w:eastAsia="nl-NL" w:bidi="ar-SA"/>
                </w:rPr>
              </m:ctrlPr>
            </m:naryPr>
            <m:sub>
              <m:r>
                <w:rPr>
                  <w:rFonts w:ascii="Cambria Math" w:hAnsi="Cambria Math"/>
                  <w:lang w:eastAsia="nl-NL" w:bidi="ar-SA"/>
                </w:rPr>
                <m:t>i=r+i</m:t>
              </m:r>
            </m:sub>
            <m:sup>
              <m:r>
                <w:rPr>
                  <w:rFonts w:ascii="Cambria Math" w:hAnsi="Cambria Math"/>
                  <w:lang w:eastAsia="nl-NL" w:bidi="ar-SA"/>
                </w:rPr>
                <m:t>k</m:t>
              </m:r>
            </m:sup>
            <m:e>
              <m:func>
                <m:funcPr>
                  <m:ctrlPr>
                    <w:rPr>
                      <w:rFonts w:ascii="Cambria Math" w:hAnsi="Cambria Math"/>
                      <w:i/>
                      <w:lang w:eastAsia="nl-NL" w:bidi="ar-SA"/>
                    </w:rPr>
                  </m:ctrlPr>
                </m:funcPr>
                <m:fName>
                  <m:r>
                    <m:rPr>
                      <m:sty m:val="p"/>
                    </m:rPr>
                    <w:rPr>
                      <w:rFonts w:ascii="Cambria Math" w:hAnsi="Cambria Math"/>
                      <w:lang w:eastAsia="nl-NL" w:bidi="ar-SA"/>
                    </w:rPr>
                    <m:t>log</m:t>
                  </m:r>
                </m:fName>
                <m:e>
                  <m:r>
                    <w:rPr>
                      <w:rFonts w:ascii="Cambria Math" w:hAnsi="Cambria Math"/>
                      <w:lang w:eastAsia="nl-NL" w:bidi="ar-SA"/>
                    </w:rPr>
                    <m:t>(1-</m:t>
                  </m:r>
                  <m:sSub>
                    <m:sSubPr>
                      <m:ctrlPr>
                        <w:rPr>
                          <w:rFonts w:ascii="Cambria Math" w:hAnsi="Cambria Math"/>
                          <w:i/>
                          <w:lang w:eastAsia="nl-NL" w:bidi="ar-SA"/>
                        </w:rPr>
                      </m:ctrlPr>
                    </m:sSubPr>
                    <m:e>
                      <m:r>
                        <w:rPr>
                          <w:rFonts w:ascii="Cambria Math" w:hAnsi="Cambria Math"/>
                          <w:lang w:eastAsia="nl-NL" w:bidi="ar-SA"/>
                        </w:rPr>
                        <m:t>λ</m:t>
                      </m:r>
                    </m:e>
                    <m:sub>
                      <m:r>
                        <w:rPr>
                          <w:rFonts w:ascii="Cambria Math" w:hAnsi="Cambria Math"/>
                          <w:lang w:eastAsia="nl-NL" w:bidi="ar-SA"/>
                        </w:rPr>
                        <m:t>t</m:t>
                      </m:r>
                    </m:sub>
                  </m:sSub>
                  <m:r>
                    <w:rPr>
                      <w:rFonts w:ascii="Cambria Math" w:hAnsi="Cambria Math"/>
                      <w:lang w:eastAsia="nl-NL" w:bidi="ar-SA"/>
                    </w:rPr>
                    <m:t>)</m:t>
                  </m:r>
                </m:e>
              </m:func>
            </m:e>
          </m:nary>
        </m:oMath>
      </m:oMathPara>
    </w:p>
    <w:p w:rsidR="00960852" w:rsidRDefault="00960852" w:rsidP="00960852">
      <w:pPr>
        <w:pStyle w:val="NoSpacing"/>
        <w:rPr>
          <w:lang w:eastAsia="nl-NL" w:bidi="ar-SA"/>
        </w:rPr>
      </w:pPr>
    </w:p>
    <w:p w:rsidR="00960852" w:rsidRPr="008D4FD4" w:rsidRDefault="00960852" w:rsidP="00960852">
      <w:pPr>
        <w:pStyle w:val="NoSpacing"/>
        <w:rPr>
          <w:lang w:eastAsia="nl-NL" w:bidi="ar-SA"/>
        </w:rPr>
      </w:pPr>
      <w:r>
        <w:rPr>
          <w:lang w:eastAsia="nl-NL" w:bidi="ar-SA"/>
        </w:rPr>
        <w:t xml:space="preserve">Where </w:t>
      </w:r>
      <w:r>
        <w:rPr>
          <w:rFonts w:ascii="Cambria Math" w:hAnsi="Cambria Math"/>
          <w:lang w:eastAsia="nl-NL" w:bidi="ar-SA"/>
        </w:rPr>
        <w:t>𝜆</w:t>
      </w:r>
      <w:proofErr w:type="spellStart"/>
      <w:r>
        <w:rPr>
          <w:rFonts w:ascii="Cambria Math" w:hAnsi="Cambria Math"/>
          <w:vertAlign w:val="subscript"/>
          <w:lang w:eastAsia="nl-NL" w:bidi="ar-SA"/>
        </w:rPr>
        <w:t>i</w:t>
      </w:r>
      <w:proofErr w:type="spellEnd"/>
      <w:r>
        <w:rPr>
          <w:rFonts w:ascii="Cambria Math" w:hAnsi="Cambria Math"/>
          <w:lang w:eastAsia="nl-NL" w:bidi="ar-SA"/>
        </w:rPr>
        <w:t xml:space="preserve"> is </w:t>
      </w:r>
      <w:proofErr w:type="gramStart"/>
      <w:r>
        <w:rPr>
          <w:rFonts w:ascii="Cambria Math" w:hAnsi="Cambria Math"/>
          <w:lang w:eastAsia="nl-NL" w:bidi="ar-SA"/>
        </w:rPr>
        <w:t xml:space="preserve">the </w:t>
      </w:r>
      <w:proofErr w:type="spellStart"/>
      <w:r>
        <w:rPr>
          <w:rFonts w:ascii="Cambria Math" w:hAnsi="Cambria Math"/>
          <w:lang w:eastAsia="nl-NL" w:bidi="ar-SA"/>
        </w:rPr>
        <w:t>i</w:t>
      </w:r>
      <w:proofErr w:type="gramEnd"/>
      <w:r>
        <w:rPr>
          <w:rFonts w:ascii="Cambria Math" w:hAnsi="Cambria Math"/>
          <w:lang w:eastAsia="nl-NL" w:bidi="ar-SA"/>
        </w:rPr>
        <w:t>-th</w:t>
      </w:r>
      <w:proofErr w:type="spellEnd"/>
      <w:r>
        <w:rPr>
          <w:rFonts w:ascii="Cambria Math" w:hAnsi="Cambria Math"/>
          <w:lang w:eastAsia="nl-NL" w:bidi="ar-SA"/>
        </w:rPr>
        <w:t xml:space="preserve"> largest </w:t>
      </w:r>
      <w:proofErr w:type="spellStart"/>
      <w:r>
        <w:rPr>
          <w:rFonts w:ascii="Cambria Math" w:hAnsi="Cambria Math"/>
          <w:lang w:eastAsia="nl-NL" w:bidi="ar-SA"/>
        </w:rPr>
        <w:t>eigenvalue</w:t>
      </w:r>
      <w:proofErr w:type="spellEnd"/>
      <w:r>
        <w:rPr>
          <w:rFonts w:ascii="Cambria Math" w:hAnsi="Cambria Math"/>
          <w:lang w:eastAsia="nl-NL" w:bidi="ar-SA"/>
        </w:rPr>
        <w:t xml:space="preserve"> of the 𝜫 matrix. </w:t>
      </w:r>
      <w:r>
        <w:rPr>
          <w:lang w:eastAsia="nl-NL" w:bidi="ar-SA"/>
        </w:rPr>
        <w:t xml:space="preserve"> The maximum </w:t>
      </w:r>
      <w:proofErr w:type="spellStart"/>
      <w:r>
        <w:rPr>
          <w:lang w:eastAsia="nl-NL" w:bidi="ar-SA"/>
        </w:rPr>
        <w:t>eigenvalue</w:t>
      </w:r>
      <w:proofErr w:type="spellEnd"/>
      <w:r>
        <w:rPr>
          <w:lang w:eastAsia="nl-NL" w:bidi="ar-SA"/>
        </w:rPr>
        <w:t xml:space="preserve"> tests the null of r </w:t>
      </w:r>
      <w:proofErr w:type="spellStart"/>
      <w:r>
        <w:rPr>
          <w:lang w:eastAsia="nl-NL" w:bidi="ar-SA"/>
        </w:rPr>
        <w:t>cointegrating</w:t>
      </w:r>
      <w:proofErr w:type="spellEnd"/>
      <w:r>
        <w:rPr>
          <w:lang w:eastAsia="nl-NL" w:bidi="ar-SA"/>
        </w:rPr>
        <w:t xml:space="preserve"> relationships against the alternative of r + 1 </w:t>
      </w:r>
      <w:proofErr w:type="spellStart"/>
      <w:r>
        <w:rPr>
          <w:lang w:eastAsia="nl-NL" w:bidi="ar-SA"/>
        </w:rPr>
        <w:t>cointegrating</w:t>
      </w:r>
      <w:proofErr w:type="spellEnd"/>
      <w:r>
        <w:rPr>
          <w:lang w:eastAsia="nl-NL" w:bidi="ar-SA"/>
        </w:rPr>
        <w:t xml:space="preserve"> relationships. The </w:t>
      </w:r>
      <w:proofErr w:type="spellStart"/>
      <w:r>
        <w:rPr>
          <w:lang w:eastAsia="nl-NL" w:bidi="ar-SA"/>
        </w:rPr>
        <w:t>eigenvalue</w:t>
      </w:r>
      <w:proofErr w:type="spellEnd"/>
      <w:r>
        <w:rPr>
          <w:lang w:eastAsia="nl-NL" w:bidi="ar-SA"/>
        </w:rPr>
        <w:t xml:space="preserve"> statistic is computed as:</w:t>
      </w:r>
    </w:p>
    <w:p w:rsidR="00960852" w:rsidRDefault="00960852" w:rsidP="00960852">
      <w:pPr>
        <w:pStyle w:val="NoSpacing"/>
        <w:rPr>
          <w:lang w:eastAsia="nl-NL" w:bidi="ar-SA"/>
        </w:rPr>
      </w:pPr>
    </w:p>
    <w:p w:rsidR="00960852" w:rsidRDefault="00960852" w:rsidP="00960852">
      <w:pPr>
        <w:pStyle w:val="NoSpacing"/>
        <w:rPr>
          <w:lang w:eastAsia="nl-NL" w:bidi="ar-SA"/>
        </w:rPr>
      </w:pPr>
    </w:p>
    <w:p w:rsidR="00960852" w:rsidRPr="00E7661F" w:rsidRDefault="00960852" w:rsidP="00960852">
      <w:pPr>
        <w:pStyle w:val="NoSpacing"/>
        <w:rPr>
          <w:lang w:eastAsia="nl-NL" w:bidi="ar-SA"/>
        </w:rPr>
      </w:pPr>
      <m:oMathPara>
        <m:oMath>
          <m:r>
            <w:rPr>
              <w:rFonts w:ascii="Cambria Math" w:hAnsi="Cambria Math"/>
              <w:lang w:eastAsia="nl-NL" w:bidi="ar-SA"/>
            </w:rPr>
            <m:t>L</m:t>
          </m:r>
          <m:sSub>
            <m:sSubPr>
              <m:ctrlPr>
                <w:rPr>
                  <w:rFonts w:ascii="Cambria Math" w:hAnsi="Cambria Math"/>
                  <w:i/>
                  <w:lang w:eastAsia="nl-NL" w:bidi="ar-SA"/>
                </w:rPr>
              </m:ctrlPr>
            </m:sSubPr>
            <m:e>
              <m:r>
                <w:rPr>
                  <w:rFonts w:ascii="Cambria Math" w:hAnsi="Cambria Math"/>
                  <w:lang w:eastAsia="nl-NL" w:bidi="ar-SA"/>
                </w:rPr>
                <m:t>R</m:t>
              </m:r>
            </m:e>
            <m:sub>
              <m:r>
                <w:rPr>
                  <w:rFonts w:ascii="Cambria Math" w:hAnsi="Cambria Math"/>
                  <w:lang w:eastAsia="nl-NL" w:bidi="ar-SA"/>
                </w:rPr>
                <m:t>max</m:t>
              </m:r>
            </m:sub>
          </m:sSub>
          <m:d>
            <m:dPr>
              <m:ctrlPr>
                <w:rPr>
                  <w:rFonts w:ascii="Cambria Math" w:hAnsi="Cambria Math"/>
                  <w:i/>
                  <w:lang w:eastAsia="nl-NL" w:bidi="ar-SA"/>
                </w:rPr>
              </m:ctrlPr>
            </m:dPr>
            <m:e>
              <m:r>
                <w:rPr>
                  <w:rFonts w:ascii="Cambria Math" w:hAnsi="Cambria Math"/>
                  <w:lang w:eastAsia="nl-NL" w:bidi="ar-SA"/>
                </w:rPr>
                <m:t>r</m:t>
              </m:r>
            </m:e>
            <m:e>
              <m:r>
                <w:rPr>
                  <w:rFonts w:ascii="Cambria Math" w:hAnsi="Cambria Math"/>
                  <w:lang w:eastAsia="nl-NL" w:bidi="ar-SA"/>
                </w:rPr>
                <m:t>r+1</m:t>
              </m:r>
            </m:e>
          </m:d>
          <m:r>
            <w:rPr>
              <w:rFonts w:ascii="Cambria Math" w:hAnsi="Cambria Math"/>
              <w:lang w:eastAsia="nl-NL" w:bidi="ar-SA"/>
            </w:rPr>
            <m:t>= -T</m:t>
          </m:r>
          <m:func>
            <m:funcPr>
              <m:ctrlPr>
                <w:rPr>
                  <w:rFonts w:ascii="Cambria Math" w:hAnsi="Cambria Math"/>
                  <w:lang w:eastAsia="nl-NL" w:bidi="ar-SA"/>
                </w:rPr>
              </m:ctrlPr>
            </m:funcPr>
            <m:fName>
              <m:r>
                <m:rPr>
                  <m:sty m:val="p"/>
                </m:rPr>
                <w:rPr>
                  <w:rFonts w:ascii="Cambria Math" w:hAnsi="Cambria Math"/>
                  <w:lang w:eastAsia="nl-NL" w:bidi="ar-SA"/>
                </w:rPr>
                <m:t>log</m:t>
              </m:r>
            </m:fName>
            <m:e>
              <m:d>
                <m:dPr>
                  <m:ctrlPr>
                    <w:rPr>
                      <w:rFonts w:ascii="Cambria Math" w:hAnsi="Cambria Math"/>
                      <w:i/>
                      <w:lang w:eastAsia="nl-NL" w:bidi="ar-SA"/>
                    </w:rPr>
                  </m:ctrlPr>
                </m:dPr>
                <m:e>
                  <m:r>
                    <w:rPr>
                      <w:rFonts w:ascii="Cambria Math" w:hAnsi="Cambria Math"/>
                      <w:lang w:eastAsia="nl-NL" w:bidi="ar-SA"/>
                    </w:rPr>
                    <m:t>1-</m:t>
                  </m:r>
                  <m:sSub>
                    <m:sSubPr>
                      <m:ctrlPr>
                        <w:rPr>
                          <w:rFonts w:ascii="Cambria Math" w:hAnsi="Cambria Math"/>
                          <w:i/>
                          <w:lang w:eastAsia="nl-NL" w:bidi="ar-SA"/>
                        </w:rPr>
                      </m:ctrlPr>
                    </m:sSubPr>
                    <m:e>
                      <m:r>
                        <w:rPr>
                          <w:rFonts w:ascii="Cambria Math" w:hAnsi="Cambria Math"/>
                          <w:lang w:eastAsia="nl-NL" w:bidi="ar-SA"/>
                        </w:rPr>
                        <m:t>λ</m:t>
                      </m:r>
                    </m:e>
                    <m:sub>
                      <m:r>
                        <w:rPr>
                          <w:rFonts w:ascii="Cambria Math" w:hAnsi="Cambria Math"/>
                          <w:lang w:eastAsia="nl-NL" w:bidi="ar-SA"/>
                        </w:rPr>
                        <m:t>r+1</m:t>
                      </m:r>
                    </m:sub>
                  </m:sSub>
                </m:e>
              </m:d>
              <m:ctrlPr>
                <w:rPr>
                  <w:rFonts w:ascii="Cambria Math" w:hAnsi="Cambria Math"/>
                  <w:i/>
                  <w:lang w:eastAsia="nl-NL" w:bidi="ar-SA"/>
                </w:rPr>
              </m:ctrlPr>
            </m:e>
          </m:func>
          <m:r>
            <m:rPr>
              <m:sty m:val="p"/>
            </m:rPr>
            <w:rPr>
              <w:rFonts w:ascii="Cambria Math" w:hAnsi="Cambria Math"/>
              <w:lang w:eastAsia="nl-NL" w:bidi="ar-SA"/>
            </w:rPr>
            <w:br/>
          </m:r>
        </m:oMath>
        <m:oMath>
          <m:r>
            <w:rPr>
              <w:rFonts w:ascii="Cambria Math" w:hAnsi="Cambria Math"/>
              <w:lang w:eastAsia="nl-NL" w:bidi="ar-SA"/>
            </w:rPr>
            <m:t xml:space="preserve">                                =L</m:t>
          </m:r>
          <m:sSub>
            <m:sSubPr>
              <m:ctrlPr>
                <w:rPr>
                  <w:rFonts w:ascii="Cambria Math" w:hAnsi="Cambria Math"/>
                  <w:i/>
                  <w:lang w:eastAsia="nl-NL" w:bidi="ar-SA"/>
                </w:rPr>
              </m:ctrlPr>
            </m:sSubPr>
            <m:e>
              <m:r>
                <w:rPr>
                  <w:rFonts w:ascii="Cambria Math" w:hAnsi="Cambria Math"/>
                  <w:lang w:eastAsia="nl-NL" w:bidi="ar-SA"/>
                </w:rPr>
                <m:t>R</m:t>
              </m:r>
            </m:e>
            <m:sub>
              <m:r>
                <w:rPr>
                  <w:rFonts w:ascii="Cambria Math" w:hAnsi="Cambria Math"/>
                  <w:lang w:eastAsia="nl-NL" w:bidi="ar-SA"/>
                </w:rPr>
                <m:t>tr</m:t>
              </m:r>
            </m:sub>
          </m:sSub>
          <m:r>
            <w:rPr>
              <w:rFonts w:ascii="Cambria Math" w:hAnsi="Cambria Math"/>
              <w:lang w:eastAsia="nl-NL" w:bidi="ar-SA"/>
            </w:rPr>
            <m:t xml:space="preserve"> </m:t>
          </m:r>
          <m:d>
            <m:dPr>
              <m:ctrlPr>
                <w:rPr>
                  <w:rFonts w:ascii="Cambria Math" w:hAnsi="Cambria Math"/>
                  <w:i/>
                  <w:lang w:eastAsia="nl-NL" w:bidi="ar-SA"/>
                </w:rPr>
              </m:ctrlPr>
            </m:dPr>
            <m:e>
              <m:r>
                <w:rPr>
                  <w:rFonts w:ascii="Cambria Math" w:hAnsi="Cambria Math"/>
                  <w:lang w:eastAsia="nl-NL" w:bidi="ar-SA"/>
                </w:rPr>
                <m:t>r</m:t>
              </m:r>
            </m:e>
            <m:e>
              <m:r>
                <w:rPr>
                  <w:rFonts w:ascii="Cambria Math" w:hAnsi="Cambria Math"/>
                  <w:lang w:eastAsia="nl-NL" w:bidi="ar-SA"/>
                </w:rPr>
                <m:t>k</m:t>
              </m:r>
            </m:e>
          </m:d>
          <m:r>
            <w:rPr>
              <w:rFonts w:ascii="Cambria Math" w:hAnsi="Cambria Math"/>
              <w:lang w:eastAsia="nl-NL" w:bidi="ar-SA"/>
            </w:rPr>
            <m:t>- L</m:t>
          </m:r>
          <m:sSub>
            <m:sSubPr>
              <m:ctrlPr>
                <w:rPr>
                  <w:rFonts w:ascii="Cambria Math" w:hAnsi="Cambria Math"/>
                  <w:i/>
                  <w:lang w:eastAsia="nl-NL" w:bidi="ar-SA"/>
                </w:rPr>
              </m:ctrlPr>
            </m:sSubPr>
            <m:e>
              <m:r>
                <w:rPr>
                  <w:rFonts w:ascii="Cambria Math" w:hAnsi="Cambria Math"/>
                  <w:lang w:eastAsia="nl-NL" w:bidi="ar-SA"/>
                </w:rPr>
                <m:t>R</m:t>
              </m:r>
            </m:e>
            <m:sub>
              <m:r>
                <w:rPr>
                  <w:rFonts w:ascii="Cambria Math" w:hAnsi="Cambria Math"/>
                  <w:lang w:eastAsia="nl-NL" w:bidi="ar-SA"/>
                </w:rPr>
                <m:t>tr</m:t>
              </m:r>
            </m:sub>
          </m:sSub>
          <m:r>
            <w:rPr>
              <w:rFonts w:ascii="Cambria Math" w:hAnsi="Cambria Math"/>
              <w:lang w:eastAsia="nl-NL" w:bidi="ar-SA"/>
            </w:rPr>
            <m:t>(r+1|k)</m:t>
          </m:r>
        </m:oMath>
      </m:oMathPara>
    </w:p>
    <w:p w:rsidR="00960852" w:rsidRDefault="00960852" w:rsidP="00960852">
      <w:pPr>
        <w:pStyle w:val="NoSpacing"/>
        <w:rPr>
          <w:lang w:eastAsia="nl-NL" w:bidi="ar-SA"/>
        </w:rPr>
      </w:pPr>
    </w:p>
    <w:p w:rsidR="00960852" w:rsidRPr="008D4FD4" w:rsidRDefault="00960852" w:rsidP="00960852">
      <w:pPr>
        <w:pStyle w:val="NoSpacing"/>
        <w:rPr>
          <w:noProof/>
          <w:lang w:eastAsia="nl-NL" w:bidi="ar-SA"/>
        </w:rPr>
      </w:pPr>
      <w:r w:rsidRPr="008D4FD4">
        <w:rPr>
          <w:noProof/>
          <w:lang w:eastAsia="nl-NL" w:bidi="ar-SA"/>
        </w:rPr>
        <w:t xml:space="preserve">The maximum eigenvalue and the trace statistic could give results not in </w:t>
      </w:r>
      <w:r>
        <w:rPr>
          <w:noProof/>
          <w:lang w:eastAsia="nl-NL" w:bidi="ar-SA"/>
        </w:rPr>
        <w:t xml:space="preserve">accordence with each other, as they both yield different estimation methods. </w:t>
      </w:r>
    </w:p>
    <w:p w:rsidR="00960852" w:rsidRPr="008D4FD4" w:rsidRDefault="00960852" w:rsidP="00960852">
      <w:pPr>
        <w:pStyle w:val="NoSpacing"/>
        <w:rPr>
          <w:noProof/>
          <w:lang w:eastAsia="nl-NL" w:bidi="ar-SA"/>
        </w:rPr>
      </w:pPr>
    </w:p>
    <w:p w:rsidR="00960852" w:rsidRDefault="00960852" w:rsidP="00960852">
      <w:pPr>
        <w:pStyle w:val="NoSpacing"/>
        <w:rPr>
          <w:lang w:eastAsia="nl-NL" w:bidi="ar-SA"/>
        </w:rPr>
      </w:pPr>
      <w:r>
        <w:rPr>
          <w:lang w:eastAsia="nl-NL" w:bidi="ar-SA"/>
        </w:rPr>
        <w:tab/>
        <w:t>Step 3) Testing for Granger causality</w:t>
      </w:r>
    </w:p>
    <w:p w:rsidR="00960852" w:rsidRDefault="00960852" w:rsidP="00960852">
      <w:pPr>
        <w:autoSpaceDE w:val="0"/>
        <w:autoSpaceDN w:val="0"/>
        <w:adjustRightInd w:val="0"/>
        <w:spacing w:after="0" w:line="240" w:lineRule="auto"/>
        <w:rPr>
          <w:lang w:eastAsia="nl-NL" w:bidi="ar-SA"/>
        </w:rPr>
      </w:pPr>
      <w:r>
        <w:rPr>
          <w:lang w:eastAsia="nl-NL" w:bidi="ar-SA"/>
        </w:rPr>
        <w:t xml:space="preserve">For testing a relationship between two time series a simple correlation test can be done. It can detect a possible relation, although it says nothing about the direction of the relationship. Granger (1969) developed a test which tries to detect a possible causation between two correlated time series. Granger causality can be defined as: </w:t>
      </w:r>
    </w:p>
    <w:p w:rsidR="00960852" w:rsidRDefault="00960852" w:rsidP="00960852">
      <w:pPr>
        <w:autoSpaceDE w:val="0"/>
        <w:autoSpaceDN w:val="0"/>
        <w:adjustRightInd w:val="0"/>
        <w:spacing w:after="0" w:line="240" w:lineRule="auto"/>
        <w:rPr>
          <w:lang w:eastAsia="nl-NL" w:bidi="ar-SA"/>
        </w:rPr>
      </w:pPr>
    </w:p>
    <w:p w:rsidR="00960852" w:rsidRPr="005F0875" w:rsidRDefault="00960852" w:rsidP="00960852">
      <w:pPr>
        <w:autoSpaceDE w:val="0"/>
        <w:autoSpaceDN w:val="0"/>
        <w:adjustRightInd w:val="0"/>
        <w:spacing w:after="0" w:line="240" w:lineRule="auto"/>
        <w:jc w:val="center"/>
        <w:rPr>
          <w:i/>
          <w:lang w:eastAsia="nl-NL" w:bidi="ar-SA"/>
        </w:rPr>
      </w:pPr>
      <w:r w:rsidRPr="005F0875">
        <w:rPr>
          <w:i/>
          <w:lang w:eastAsia="nl-NL" w:bidi="ar-SA"/>
        </w:rPr>
        <w:t>Variable</w:t>
      </w:r>
      <w:r>
        <w:rPr>
          <w:i/>
          <w:lang w:eastAsia="nl-NL" w:bidi="ar-SA"/>
        </w:rPr>
        <w:t xml:space="preserve"> </w:t>
      </w:r>
      <w:r w:rsidRPr="008D4FD4">
        <w:rPr>
          <w:i/>
          <w:lang w:eastAsia="nl-NL" w:bidi="ar-SA"/>
        </w:rPr>
        <w:t>x</w:t>
      </w:r>
      <w:r w:rsidRPr="005F0875">
        <w:rPr>
          <w:i/>
          <w:lang w:eastAsia="nl-NL" w:bidi="ar-SA"/>
        </w:rPr>
        <w:t xml:space="preserve"> Granger</w:t>
      </w:r>
      <w:r>
        <w:rPr>
          <w:i/>
          <w:lang w:eastAsia="nl-NL" w:bidi="ar-SA"/>
        </w:rPr>
        <w:t xml:space="preserve"> </w:t>
      </w:r>
      <w:r w:rsidRPr="005F0875">
        <w:rPr>
          <w:i/>
          <w:lang w:eastAsia="nl-NL" w:bidi="ar-SA"/>
        </w:rPr>
        <w:t>cause</w:t>
      </w:r>
      <w:r>
        <w:rPr>
          <w:i/>
          <w:lang w:eastAsia="nl-NL" w:bidi="ar-SA"/>
        </w:rPr>
        <w:t>s</w:t>
      </w:r>
      <w:r w:rsidRPr="005F0875">
        <w:rPr>
          <w:i/>
          <w:lang w:eastAsia="nl-NL" w:bidi="ar-SA"/>
        </w:rPr>
        <w:t xml:space="preserve"> </w:t>
      </w:r>
      <w:proofErr w:type="spellStart"/>
      <w:proofErr w:type="gramStart"/>
      <w:r w:rsidRPr="008D4FD4">
        <w:rPr>
          <w:i/>
          <w:lang w:eastAsia="nl-NL" w:bidi="ar-SA"/>
        </w:rPr>
        <w:t>y</w:t>
      </w:r>
      <w:r w:rsidRPr="008D4FD4">
        <w:rPr>
          <w:i/>
          <w:vertAlign w:val="subscript"/>
          <w:lang w:eastAsia="nl-NL" w:bidi="ar-SA"/>
        </w:rPr>
        <w:t>t</w:t>
      </w:r>
      <w:proofErr w:type="spellEnd"/>
      <w:proofErr w:type="gramEnd"/>
      <w:r w:rsidRPr="005F0875">
        <w:rPr>
          <w:i/>
          <w:lang w:eastAsia="nl-NL" w:bidi="ar-SA"/>
        </w:rPr>
        <w:t xml:space="preserve"> if </w:t>
      </w:r>
      <w:proofErr w:type="spellStart"/>
      <w:r w:rsidRPr="005F0875">
        <w:rPr>
          <w:i/>
          <w:lang w:eastAsia="nl-NL" w:bidi="ar-SA"/>
        </w:rPr>
        <w:t>y</w:t>
      </w:r>
      <w:r w:rsidRPr="005F0875">
        <w:rPr>
          <w:i/>
          <w:vertAlign w:val="subscript"/>
          <w:lang w:eastAsia="nl-NL" w:bidi="ar-SA"/>
        </w:rPr>
        <w:t>t</w:t>
      </w:r>
      <w:proofErr w:type="spellEnd"/>
      <w:r w:rsidRPr="005F0875">
        <w:rPr>
          <w:i/>
          <w:lang w:eastAsia="nl-NL" w:bidi="ar-SA"/>
        </w:rPr>
        <w:t xml:space="preserve"> is better predicted with the series of x</w:t>
      </w:r>
      <w:r w:rsidRPr="005F0875">
        <w:rPr>
          <w:i/>
          <w:vertAlign w:val="subscript"/>
          <w:lang w:eastAsia="nl-NL" w:bidi="ar-SA"/>
        </w:rPr>
        <w:t xml:space="preserve"> </w:t>
      </w:r>
      <w:r w:rsidRPr="005F0875">
        <w:rPr>
          <w:i/>
          <w:lang w:eastAsia="nl-NL" w:bidi="ar-SA"/>
        </w:rPr>
        <w:t xml:space="preserve">and y together than it </w:t>
      </w:r>
      <w:r>
        <w:rPr>
          <w:i/>
          <w:lang w:eastAsia="nl-NL" w:bidi="ar-SA"/>
        </w:rPr>
        <w:t>is</w:t>
      </w:r>
      <w:r w:rsidRPr="005F0875">
        <w:rPr>
          <w:i/>
          <w:lang w:eastAsia="nl-NL" w:bidi="ar-SA"/>
        </w:rPr>
        <w:t xml:space="preserve"> predicted with series y only.</w:t>
      </w:r>
    </w:p>
    <w:p w:rsidR="00960852" w:rsidRDefault="00960852" w:rsidP="00960852">
      <w:pPr>
        <w:autoSpaceDE w:val="0"/>
        <w:autoSpaceDN w:val="0"/>
        <w:adjustRightInd w:val="0"/>
        <w:spacing w:after="0" w:line="240" w:lineRule="auto"/>
        <w:rPr>
          <w:lang w:eastAsia="nl-NL" w:bidi="ar-SA"/>
        </w:rPr>
      </w:pPr>
    </w:p>
    <w:p w:rsidR="00960852" w:rsidRDefault="00960852" w:rsidP="00960852">
      <w:pPr>
        <w:autoSpaceDE w:val="0"/>
        <w:autoSpaceDN w:val="0"/>
        <w:adjustRightInd w:val="0"/>
        <w:spacing w:after="0" w:line="240" w:lineRule="auto"/>
        <w:rPr>
          <w:lang w:eastAsia="nl-NL" w:bidi="ar-SA"/>
        </w:rPr>
      </w:pPr>
      <w:r>
        <w:rPr>
          <w:lang w:eastAsia="nl-NL" w:bidi="ar-SA"/>
        </w:rPr>
        <w:t xml:space="preserve">Simply said, </w:t>
      </w:r>
      <w:proofErr w:type="spellStart"/>
      <w:r>
        <w:rPr>
          <w:lang w:eastAsia="nl-NL" w:bidi="ar-SA"/>
        </w:rPr>
        <w:t>x</w:t>
      </w:r>
      <w:r>
        <w:rPr>
          <w:vertAlign w:val="subscript"/>
          <w:lang w:eastAsia="nl-NL" w:bidi="ar-SA"/>
        </w:rPr>
        <w:t>t</w:t>
      </w:r>
      <w:proofErr w:type="spellEnd"/>
      <w:r>
        <w:rPr>
          <w:lang w:eastAsia="nl-NL" w:bidi="ar-SA"/>
        </w:rPr>
        <w:t xml:space="preserve"> has some prediction power which is not in the time series y. The term Granger causality does not mean causality in the common sense of the word. Granger causality implies not that the value of </w:t>
      </w:r>
      <w:proofErr w:type="spellStart"/>
      <w:proofErr w:type="gramStart"/>
      <w:r>
        <w:rPr>
          <w:lang w:eastAsia="nl-NL" w:bidi="ar-SA"/>
        </w:rPr>
        <w:t>y</w:t>
      </w:r>
      <w:r>
        <w:rPr>
          <w:vertAlign w:val="subscript"/>
          <w:lang w:eastAsia="nl-NL" w:bidi="ar-SA"/>
        </w:rPr>
        <w:t>t</w:t>
      </w:r>
      <w:proofErr w:type="spellEnd"/>
      <w:proofErr w:type="gramEnd"/>
      <w:r>
        <w:rPr>
          <w:lang w:eastAsia="nl-NL" w:bidi="ar-SA"/>
        </w:rPr>
        <w:t xml:space="preserve"> can be seen as the consequence of the change at x</w:t>
      </w:r>
      <w:r>
        <w:rPr>
          <w:vertAlign w:val="subscript"/>
          <w:lang w:eastAsia="nl-NL" w:bidi="ar-SA"/>
        </w:rPr>
        <w:t>t-1</w:t>
      </w:r>
      <w:r>
        <w:rPr>
          <w:lang w:eastAsia="nl-NL" w:bidi="ar-SA"/>
        </w:rPr>
        <w:t xml:space="preserve">. But it says </w:t>
      </w:r>
      <w:proofErr w:type="spellStart"/>
      <w:proofErr w:type="gramStart"/>
      <w:r>
        <w:rPr>
          <w:lang w:eastAsia="nl-NL" w:bidi="ar-SA"/>
        </w:rPr>
        <w:t>y</w:t>
      </w:r>
      <w:r>
        <w:rPr>
          <w:vertAlign w:val="subscript"/>
          <w:lang w:eastAsia="nl-NL" w:bidi="ar-SA"/>
        </w:rPr>
        <w:t>t</w:t>
      </w:r>
      <w:proofErr w:type="spellEnd"/>
      <w:proofErr w:type="gramEnd"/>
      <w:r>
        <w:rPr>
          <w:lang w:eastAsia="nl-NL" w:bidi="ar-SA"/>
        </w:rPr>
        <w:t xml:space="preserve"> can be significant better predicted with use of time series x, meaning that there is some prediction power in x.  </w:t>
      </w:r>
    </w:p>
    <w:p w:rsidR="00960852" w:rsidRDefault="00960852" w:rsidP="00960852">
      <w:pPr>
        <w:autoSpaceDE w:val="0"/>
        <w:autoSpaceDN w:val="0"/>
        <w:adjustRightInd w:val="0"/>
        <w:spacing w:after="0" w:line="240" w:lineRule="auto"/>
        <w:rPr>
          <w:lang w:eastAsia="nl-NL" w:bidi="ar-SA"/>
        </w:rPr>
      </w:pPr>
    </w:p>
    <w:p w:rsidR="00960852" w:rsidRDefault="00960852" w:rsidP="00960852">
      <w:pPr>
        <w:autoSpaceDE w:val="0"/>
        <w:autoSpaceDN w:val="0"/>
        <w:adjustRightInd w:val="0"/>
        <w:spacing w:after="0" w:line="240" w:lineRule="auto"/>
        <w:rPr>
          <w:lang w:eastAsia="nl-NL" w:bidi="ar-SA"/>
        </w:rPr>
      </w:pPr>
      <w:r>
        <w:rPr>
          <w:lang w:eastAsia="nl-NL" w:bidi="ar-SA"/>
        </w:rPr>
        <w:t>To test for Granger causality, the results of the first two steps are needed. If two variables are stationary the next VAR-model will be used:</w:t>
      </w:r>
    </w:p>
    <w:p w:rsidR="00960852" w:rsidRDefault="00960852" w:rsidP="00960852">
      <w:pPr>
        <w:autoSpaceDE w:val="0"/>
        <w:autoSpaceDN w:val="0"/>
        <w:adjustRightInd w:val="0"/>
        <w:spacing w:after="0" w:line="240" w:lineRule="auto"/>
        <w:rPr>
          <w:lang w:eastAsia="nl-NL" w:bidi="ar-SA"/>
        </w:rPr>
      </w:pPr>
    </w:p>
    <w:p w:rsidR="00960852" w:rsidRDefault="00E44EA8" w:rsidP="00960852">
      <w:pPr>
        <w:autoSpaceDE w:val="0"/>
        <w:autoSpaceDN w:val="0"/>
        <w:adjustRightInd w:val="0"/>
        <w:spacing w:after="0" w:line="240" w:lineRule="auto"/>
        <w:rPr>
          <w:lang w:eastAsia="nl-NL" w:bidi="ar-SA"/>
        </w:rPr>
      </w:pPr>
      <m:oMathPara>
        <m:oMath>
          <m:sSub>
            <m:sSubPr>
              <m:ctrlPr>
                <w:rPr>
                  <w:rFonts w:ascii="Cambria Math" w:hAnsi="Cambria Math"/>
                  <w:i/>
                  <w:lang w:eastAsia="nl-NL" w:bidi="ar-SA"/>
                </w:rPr>
              </m:ctrlPr>
            </m:sSubPr>
            <m:e>
              <m:r>
                <w:rPr>
                  <w:rFonts w:ascii="Cambria Math" w:hAnsi="Cambria Math"/>
                  <w:lang w:eastAsia="nl-NL" w:bidi="ar-SA"/>
                </w:rPr>
                <m:t>y</m:t>
              </m:r>
            </m:e>
            <m:sub>
              <m:r>
                <w:rPr>
                  <w:rFonts w:ascii="Cambria Math" w:hAnsi="Cambria Math"/>
                  <w:lang w:eastAsia="nl-NL" w:bidi="ar-SA"/>
                </w:rPr>
                <m:t>t</m:t>
              </m:r>
            </m:sub>
          </m:sSub>
          <m:r>
            <w:rPr>
              <w:rFonts w:ascii="Cambria Math" w:hAnsi="Cambria Math"/>
              <w:lang w:eastAsia="nl-NL" w:bidi="ar-SA"/>
            </w:rPr>
            <m:t>=</m:t>
          </m:r>
          <m:sSub>
            <m:sSubPr>
              <m:ctrlPr>
                <w:rPr>
                  <w:rFonts w:ascii="Cambria Math" w:hAnsi="Cambria Math"/>
                  <w:i/>
                  <w:lang w:eastAsia="nl-NL" w:bidi="ar-SA"/>
                </w:rPr>
              </m:ctrlPr>
            </m:sSubPr>
            <m:e>
              <m:r>
                <w:rPr>
                  <w:rFonts w:ascii="Cambria Math" w:hAnsi="Cambria Math"/>
                  <w:lang w:eastAsia="nl-NL" w:bidi="ar-SA"/>
                </w:rPr>
                <m:t>α</m:t>
              </m:r>
            </m:e>
            <m:sub>
              <m:r>
                <w:rPr>
                  <w:rFonts w:ascii="Cambria Math" w:hAnsi="Cambria Math"/>
                  <w:lang w:eastAsia="nl-NL" w:bidi="ar-SA"/>
                </w:rPr>
                <m:t>0</m:t>
              </m:r>
            </m:sub>
          </m:sSub>
          <m:r>
            <w:rPr>
              <w:rFonts w:ascii="Cambria Math" w:hAnsi="Cambria Math"/>
              <w:lang w:eastAsia="nl-NL" w:bidi="ar-SA"/>
            </w:rPr>
            <m:t xml:space="preserve">+ </m:t>
          </m:r>
          <m:nary>
            <m:naryPr>
              <m:chr m:val="∑"/>
              <m:limLoc m:val="undOvr"/>
              <m:ctrlPr>
                <w:rPr>
                  <w:rFonts w:ascii="Cambria Math" w:hAnsi="Cambria Math"/>
                  <w:i/>
                  <w:lang w:eastAsia="nl-NL" w:bidi="ar-SA"/>
                </w:rPr>
              </m:ctrlPr>
            </m:naryPr>
            <m:sub>
              <m:r>
                <w:rPr>
                  <w:rFonts w:ascii="Cambria Math" w:hAnsi="Cambria Math"/>
                  <w:lang w:eastAsia="nl-NL" w:bidi="ar-SA"/>
                </w:rPr>
                <m:t>i=1</m:t>
              </m:r>
            </m:sub>
            <m:sup>
              <m:r>
                <w:rPr>
                  <w:rFonts w:ascii="Cambria Math" w:hAnsi="Cambria Math"/>
                  <w:lang w:eastAsia="nl-NL" w:bidi="ar-SA"/>
                </w:rPr>
                <m:t>p</m:t>
              </m:r>
            </m:sup>
            <m:e>
              <m:sSub>
                <m:sSubPr>
                  <m:ctrlPr>
                    <w:rPr>
                      <w:rFonts w:ascii="Cambria Math" w:hAnsi="Cambria Math"/>
                      <w:i/>
                      <w:lang w:eastAsia="nl-NL" w:bidi="ar-SA"/>
                    </w:rPr>
                  </m:ctrlPr>
                </m:sSubPr>
                <m:e>
                  <m:r>
                    <w:rPr>
                      <w:rFonts w:ascii="Cambria Math" w:hAnsi="Cambria Math"/>
                      <w:lang w:eastAsia="nl-NL" w:bidi="ar-SA"/>
                    </w:rPr>
                    <m:t>α</m:t>
                  </m:r>
                </m:e>
                <m:sub>
                  <m:r>
                    <w:rPr>
                      <w:rFonts w:ascii="Cambria Math" w:hAnsi="Cambria Math"/>
                      <w:lang w:eastAsia="nl-NL" w:bidi="ar-SA"/>
                    </w:rPr>
                    <m:t>1i</m:t>
                  </m:r>
                </m:sub>
              </m:sSub>
            </m:e>
          </m:nary>
          <m:sSub>
            <m:sSubPr>
              <m:ctrlPr>
                <w:rPr>
                  <w:rFonts w:ascii="Cambria Math" w:hAnsi="Cambria Math"/>
                  <w:i/>
                  <w:lang w:eastAsia="nl-NL" w:bidi="ar-SA"/>
                </w:rPr>
              </m:ctrlPr>
            </m:sSubPr>
            <m:e>
              <m:r>
                <w:rPr>
                  <w:rFonts w:ascii="Cambria Math" w:hAnsi="Cambria Math"/>
                  <w:lang w:eastAsia="nl-NL" w:bidi="ar-SA"/>
                </w:rPr>
                <m:t>y</m:t>
              </m:r>
            </m:e>
            <m:sub>
              <m:r>
                <w:rPr>
                  <w:rFonts w:ascii="Cambria Math" w:hAnsi="Cambria Math"/>
                  <w:lang w:eastAsia="nl-NL" w:bidi="ar-SA"/>
                </w:rPr>
                <m:t>t-1</m:t>
              </m:r>
            </m:sub>
          </m:sSub>
          <m:r>
            <w:rPr>
              <w:rFonts w:ascii="Cambria Math" w:hAnsi="Cambria Math"/>
              <w:lang w:eastAsia="nl-NL" w:bidi="ar-SA"/>
            </w:rPr>
            <m:t xml:space="preserve">+ </m:t>
          </m:r>
          <m:nary>
            <m:naryPr>
              <m:chr m:val="∑"/>
              <m:limLoc m:val="undOvr"/>
              <m:ctrlPr>
                <w:rPr>
                  <w:rFonts w:ascii="Cambria Math" w:hAnsi="Cambria Math"/>
                  <w:i/>
                  <w:lang w:eastAsia="nl-NL" w:bidi="ar-SA"/>
                </w:rPr>
              </m:ctrlPr>
            </m:naryPr>
            <m:sub>
              <m:r>
                <w:rPr>
                  <w:rFonts w:ascii="Cambria Math" w:hAnsi="Cambria Math"/>
                  <w:lang w:eastAsia="nl-NL" w:bidi="ar-SA"/>
                </w:rPr>
                <m:t>i=1</m:t>
              </m:r>
            </m:sub>
            <m:sup>
              <m:r>
                <w:rPr>
                  <w:rFonts w:ascii="Cambria Math" w:hAnsi="Cambria Math"/>
                  <w:lang w:eastAsia="nl-NL" w:bidi="ar-SA"/>
                </w:rPr>
                <m:t>p</m:t>
              </m:r>
            </m:sup>
            <m:e>
              <m:sSub>
                <m:sSubPr>
                  <m:ctrlPr>
                    <w:rPr>
                      <w:rFonts w:ascii="Cambria Math" w:hAnsi="Cambria Math"/>
                      <w:i/>
                      <w:lang w:eastAsia="nl-NL" w:bidi="ar-SA"/>
                    </w:rPr>
                  </m:ctrlPr>
                </m:sSubPr>
                <m:e>
                  <m:r>
                    <w:rPr>
                      <w:rFonts w:ascii="Cambria Math" w:hAnsi="Cambria Math"/>
                      <w:lang w:eastAsia="nl-NL" w:bidi="ar-SA"/>
                    </w:rPr>
                    <m:t>a</m:t>
                  </m:r>
                </m:e>
                <m:sub>
                  <m:r>
                    <w:rPr>
                      <w:rFonts w:ascii="Cambria Math" w:hAnsi="Cambria Math"/>
                      <w:lang w:eastAsia="nl-NL" w:bidi="ar-SA"/>
                    </w:rPr>
                    <m:t>2i</m:t>
                  </m:r>
                </m:sub>
              </m:sSub>
            </m:e>
          </m:nary>
          <m:sSub>
            <m:sSubPr>
              <m:ctrlPr>
                <w:rPr>
                  <w:rFonts w:ascii="Cambria Math" w:hAnsi="Cambria Math"/>
                  <w:i/>
                  <w:lang w:eastAsia="nl-NL" w:bidi="ar-SA"/>
                </w:rPr>
              </m:ctrlPr>
            </m:sSubPr>
            <m:e>
              <m:r>
                <w:rPr>
                  <w:rFonts w:ascii="Cambria Math" w:hAnsi="Cambria Math"/>
                  <w:lang w:eastAsia="nl-NL" w:bidi="ar-SA"/>
                </w:rPr>
                <m:t>x</m:t>
              </m:r>
            </m:e>
            <m:sub>
              <m:r>
                <w:rPr>
                  <w:rFonts w:ascii="Cambria Math" w:hAnsi="Cambria Math"/>
                  <w:lang w:eastAsia="nl-NL" w:bidi="ar-SA"/>
                </w:rPr>
                <m:t>t-i</m:t>
              </m:r>
            </m:sub>
          </m:sSub>
          <m:r>
            <w:rPr>
              <w:rFonts w:ascii="Cambria Math" w:hAnsi="Cambria Math"/>
              <w:lang w:eastAsia="nl-NL" w:bidi="ar-SA"/>
            </w:rPr>
            <m:t>+</m:t>
          </m:r>
          <m:sSub>
            <m:sSubPr>
              <m:ctrlPr>
                <w:rPr>
                  <w:rFonts w:ascii="Cambria Math" w:hAnsi="Cambria Math"/>
                  <w:i/>
                  <w:lang w:eastAsia="nl-NL" w:bidi="ar-SA"/>
                </w:rPr>
              </m:ctrlPr>
            </m:sSubPr>
            <m:e>
              <m:r>
                <w:rPr>
                  <w:rFonts w:ascii="Cambria Math" w:hAnsi="Cambria Math"/>
                  <w:lang w:eastAsia="nl-NL" w:bidi="ar-SA"/>
                </w:rPr>
                <m:t>ϵ</m:t>
              </m:r>
            </m:e>
            <m:sub>
              <m:r>
                <w:rPr>
                  <w:rFonts w:ascii="Cambria Math" w:hAnsi="Cambria Math"/>
                  <w:lang w:eastAsia="nl-NL" w:bidi="ar-SA"/>
                </w:rPr>
                <m:t>1t</m:t>
              </m:r>
            </m:sub>
          </m:sSub>
        </m:oMath>
      </m:oMathPara>
    </w:p>
    <w:p w:rsidR="00960852" w:rsidRDefault="00960852" w:rsidP="00960852">
      <w:pPr>
        <w:autoSpaceDE w:val="0"/>
        <w:autoSpaceDN w:val="0"/>
        <w:adjustRightInd w:val="0"/>
        <w:spacing w:after="0" w:line="240" w:lineRule="auto"/>
        <w:rPr>
          <w:lang w:eastAsia="nl-NL" w:bidi="ar-SA"/>
        </w:rPr>
      </w:pPr>
    </w:p>
    <w:p w:rsidR="00960852" w:rsidRDefault="00E44EA8" w:rsidP="00960852">
      <w:pPr>
        <w:autoSpaceDE w:val="0"/>
        <w:autoSpaceDN w:val="0"/>
        <w:adjustRightInd w:val="0"/>
        <w:spacing w:after="0" w:line="240" w:lineRule="auto"/>
        <w:rPr>
          <w:lang w:eastAsia="nl-NL" w:bidi="ar-SA"/>
        </w:rPr>
      </w:pPr>
      <m:oMathPara>
        <m:oMath>
          <m:sSub>
            <m:sSubPr>
              <m:ctrlPr>
                <w:rPr>
                  <w:rFonts w:ascii="Cambria Math" w:hAnsi="Cambria Math"/>
                  <w:i/>
                  <w:lang w:eastAsia="nl-NL" w:bidi="ar-SA"/>
                </w:rPr>
              </m:ctrlPr>
            </m:sSubPr>
            <m:e>
              <m:r>
                <w:rPr>
                  <w:rFonts w:ascii="Cambria Math" w:hAnsi="Cambria Math"/>
                  <w:lang w:eastAsia="nl-NL" w:bidi="ar-SA"/>
                </w:rPr>
                <m:t>x</m:t>
              </m:r>
            </m:e>
            <m:sub>
              <m:r>
                <w:rPr>
                  <w:rFonts w:ascii="Cambria Math" w:hAnsi="Cambria Math"/>
                  <w:lang w:eastAsia="nl-NL" w:bidi="ar-SA"/>
                </w:rPr>
                <m:t>t</m:t>
              </m:r>
            </m:sub>
          </m:sSub>
          <m:r>
            <w:rPr>
              <w:rFonts w:ascii="Cambria Math" w:hAnsi="Cambria Math"/>
              <w:lang w:eastAsia="nl-NL" w:bidi="ar-SA"/>
            </w:rPr>
            <m:t xml:space="preserve">= </m:t>
          </m:r>
          <m:sSub>
            <m:sSubPr>
              <m:ctrlPr>
                <w:rPr>
                  <w:rFonts w:ascii="Cambria Math" w:hAnsi="Cambria Math"/>
                  <w:i/>
                  <w:lang w:eastAsia="nl-NL" w:bidi="ar-SA"/>
                </w:rPr>
              </m:ctrlPr>
            </m:sSubPr>
            <m:e>
              <m:r>
                <w:rPr>
                  <w:rFonts w:ascii="Cambria Math" w:hAnsi="Cambria Math"/>
                  <w:lang w:eastAsia="nl-NL" w:bidi="ar-SA"/>
                </w:rPr>
                <m:t>β</m:t>
              </m:r>
            </m:e>
            <m:sub>
              <m:r>
                <w:rPr>
                  <w:rFonts w:ascii="Cambria Math" w:hAnsi="Cambria Math"/>
                  <w:lang w:eastAsia="nl-NL" w:bidi="ar-SA"/>
                </w:rPr>
                <m:t>0</m:t>
              </m:r>
            </m:sub>
          </m:sSub>
          <m:r>
            <w:rPr>
              <w:rFonts w:ascii="Cambria Math" w:hAnsi="Cambria Math"/>
              <w:lang w:eastAsia="nl-NL" w:bidi="ar-SA"/>
            </w:rPr>
            <m:t>+</m:t>
          </m:r>
          <m:nary>
            <m:naryPr>
              <m:chr m:val="∑"/>
              <m:limLoc m:val="undOvr"/>
              <m:ctrlPr>
                <w:rPr>
                  <w:rFonts w:ascii="Cambria Math" w:hAnsi="Cambria Math"/>
                  <w:i/>
                  <w:lang w:eastAsia="nl-NL" w:bidi="ar-SA"/>
                </w:rPr>
              </m:ctrlPr>
            </m:naryPr>
            <m:sub>
              <m:r>
                <w:rPr>
                  <w:rFonts w:ascii="Cambria Math" w:hAnsi="Cambria Math"/>
                  <w:lang w:eastAsia="nl-NL" w:bidi="ar-SA"/>
                </w:rPr>
                <m:t>i=1</m:t>
              </m:r>
            </m:sub>
            <m:sup>
              <m:r>
                <w:rPr>
                  <w:rFonts w:ascii="Cambria Math" w:hAnsi="Cambria Math"/>
                  <w:lang w:eastAsia="nl-NL" w:bidi="ar-SA"/>
                </w:rPr>
                <m:t>p</m:t>
              </m:r>
            </m:sup>
            <m:e>
              <m:sSub>
                <m:sSubPr>
                  <m:ctrlPr>
                    <w:rPr>
                      <w:rFonts w:ascii="Cambria Math" w:hAnsi="Cambria Math"/>
                      <w:i/>
                      <w:lang w:eastAsia="nl-NL" w:bidi="ar-SA"/>
                    </w:rPr>
                  </m:ctrlPr>
                </m:sSubPr>
                <m:e>
                  <m:r>
                    <w:rPr>
                      <w:rFonts w:ascii="Cambria Math" w:hAnsi="Cambria Math"/>
                      <w:lang w:eastAsia="nl-NL" w:bidi="ar-SA"/>
                    </w:rPr>
                    <m:t>β</m:t>
                  </m:r>
                </m:e>
                <m:sub>
                  <m:r>
                    <w:rPr>
                      <w:rFonts w:ascii="Cambria Math" w:hAnsi="Cambria Math"/>
                      <w:lang w:eastAsia="nl-NL" w:bidi="ar-SA"/>
                    </w:rPr>
                    <m:t>1i</m:t>
                  </m:r>
                </m:sub>
              </m:sSub>
            </m:e>
          </m:nary>
          <m:sSub>
            <m:sSubPr>
              <m:ctrlPr>
                <w:rPr>
                  <w:rFonts w:ascii="Cambria Math" w:hAnsi="Cambria Math"/>
                  <w:i/>
                  <w:lang w:eastAsia="nl-NL" w:bidi="ar-SA"/>
                </w:rPr>
              </m:ctrlPr>
            </m:sSubPr>
            <m:e>
              <m:r>
                <w:rPr>
                  <w:rFonts w:ascii="Cambria Math" w:hAnsi="Cambria Math"/>
                  <w:lang w:eastAsia="nl-NL" w:bidi="ar-SA"/>
                </w:rPr>
                <m:t>x</m:t>
              </m:r>
            </m:e>
            <m:sub>
              <m:r>
                <w:rPr>
                  <w:rFonts w:ascii="Cambria Math" w:hAnsi="Cambria Math"/>
                  <w:lang w:eastAsia="nl-NL" w:bidi="ar-SA"/>
                </w:rPr>
                <m:t>t-1</m:t>
              </m:r>
            </m:sub>
          </m:sSub>
          <m:r>
            <w:rPr>
              <w:rFonts w:ascii="Cambria Math" w:hAnsi="Cambria Math"/>
              <w:lang w:eastAsia="nl-NL" w:bidi="ar-SA"/>
            </w:rPr>
            <m:t>+</m:t>
          </m:r>
          <m:nary>
            <m:naryPr>
              <m:chr m:val="∑"/>
              <m:limLoc m:val="undOvr"/>
              <m:ctrlPr>
                <w:rPr>
                  <w:rFonts w:ascii="Cambria Math" w:hAnsi="Cambria Math"/>
                  <w:i/>
                  <w:lang w:eastAsia="nl-NL" w:bidi="ar-SA"/>
                </w:rPr>
              </m:ctrlPr>
            </m:naryPr>
            <m:sub>
              <m:r>
                <w:rPr>
                  <w:rFonts w:ascii="Cambria Math" w:hAnsi="Cambria Math"/>
                  <w:lang w:eastAsia="nl-NL" w:bidi="ar-SA"/>
                </w:rPr>
                <m:t>i=1</m:t>
              </m:r>
            </m:sub>
            <m:sup>
              <m:r>
                <w:rPr>
                  <w:rFonts w:ascii="Cambria Math" w:hAnsi="Cambria Math"/>
                  <w:lang w:eastAsia="nl-NL" w:bidi="ar-SA"/>
                </w:rPr>
                <m:t>p</m:t>
              </m:r>
            </m:sup>
            <m:e>
              <m:sSub>
                <m:sSubPr>
                  <m:ctrlPr>
                    <w:rPr>
                      <w:rFonts w:ascii="Cambria Math" w:hAnsi="Cambria Math"/>
                      <w:i/>
                      <w:lang w:eastAsia="nl-NL" w:bidi="ar-SA"/>
                    </w:rPr>
                  </m:ctrlPr>
                </m:sSubPr>
                <m:e>
                  <m:r>
                    <w:rPr>
                      <w:rFonts w:ascii="Cambria Math" w:hAnsi="Cambria Math"/>
                      <w:lang w:eastAsia="nl-NL" w:bidi="ar-SA"/>
                    </w:rPr>
                    <m:t>β</m:t>
                  </m:r>
                </m:e>
                <m:sub>
                  <m:r>
                    <w:rPr>
                      <w:rFonts w:ascii="Cambria Math" w:hAnsi="Cambria Math"/>
                      <w:lang w:eastAsia="nl-NL" w:bidi="ar-SA"/>
                    </w:rPr>
                    <m:t>2i</m:t>
                  </m:r>
                </m:sub>
              </m:sSub>
            </m:e>
          </m:nary>
          <m:sSub>
            <m:sSubPr>
              <m:ctrlPr>
                <w:rPr>
                  <w:rFonts w:ascii="Cambria Math" w:hAnsi="Cambria Math"/>
                  <w:i/>
                  <w:lang w:eastAsia="nl-NL" w:bidi="ar-SA"/>
                </w:rPr>
              </m:ctrlPr>
            </m:sSubPr>
            <m:e>
              <m:r>
                <w:rPr>
                  <w:rFonts w:ascii="Cambria Math" w:hAnsi="Cambria Math"/>
                  <w:lang w:eastAsia="nl-NL" w:bidi="ar-SA"/>
                </w:rPr>
                <m:t>y</m:t>
              </m:r>
            </m:e>
            <m:sub>
              <m:r>
                <w:rPr>
                  <w:rFonts w:ascii="Cambria Math" w:hAnsi="Cambria Math"/>
                  <w:lang w:eastAsia="nl-NL" w:bidi="ar-SA"/>
                </w:rPr>
                <m:t>t-1</m:t>
              </m:r>
            </m:sub>
          </m:sSub>
          <m:r>
            <w:rPr>
              <w:rFonts w:ascii="Cambria Math" w:hAnsi="Cambria Math"/>
              <w:lang w:eastAsia="nl-NL" w:bidi="ar-SA"/>
            </w:rPr>
            <m:t xml:space="preserve">+ </m:t>
          </m:r>
          <m:sSub>
            <m:sSubPr>
              <m:ctrlPr>
                <w:rPr>
                  <w:rFonts w:ascii="Cambria Math" w:hAnsi="Cambria Math"/>
                  <w:i/>
                  <w:lang w:eastAsia="nl-NL" w:bidi="ar-SA"/>
                </w:rPr>
              </m:ctrlPr>
            </m:sSubPr>
            <m:e>
              <m:r>
                <w:rPr>
                  <w:rFonts w:ascii="Cambria Math" w:hAnsi="Cambria Math"/>
                  <w:lang w:eastAsia="nl-NL" w:bidi="ar-SA"/>
                </w:rPr>
                <m:t>ϵ</m:t>
              </m:r>
            </m:e>
            <m:sub>
              <m:r>
                <w:rPr>
                  <w:rFonts w:ascii="Cambria Math" w:hAnsi="Cambria Math"/>
                  <w:lang w:eastAsia="nl-NL" w:bidi="ar-SA"/>
                </w:rPr>
                <m:t>2t</m:t>
              </m:r>
            </m:sub>
          </m:sSub>
        </m:oMath>
      </m:oMathPara>
    </w:p>
    <w:p w:rsidR="00960852" w:rsidRDefault="00960852" w:rsidP="00960852">
      <w:pPr>
        <w:autoSpaceDE w:val="0"/>
        <w:autoSpaceDN w:val="0"/>
        <w:adjustRightInd w:val="0"/>
        <w:spacing w:after="0" w:line="240" w:lineRule="auto"/>
        <w:rPr>
          <w:lang w:eastAsia="nl-NL" w:bidi="ar-SA"/>
        </w:rPr>
      </w:pPr>
    </w:p>
    <w:p w:rsidR="00960852" w:rsidRDefault="00960852" w:rsidP="00960852">
      <w:pPr>
        <w:autoSpaceDE w:val="0"/>
        <w:autoSpaceDN w:val="0"/>
        <w:adjustRightInd w:val="0"/>
        <w:spacing w:after="0" w:line="240" w:lineRule="auto"/>
        <w:rPr>
          <w:lang w:eastAsia="nl-NL" w:bidi="ar-SA"/>
        </w:rPr>
      </w:pPr>
      <w:r>
        <w:rPr>
          <w:lang w:eastAsia="nl-NL" w:bidi="ar-SA"/>
        </w:rPr>
        <w:t xml:space="preserve">However, as is mentioned before, macro economic data are often considered as </w:t>
      </w:r>
      <w:proofErr w:type="spellStart"/>
      <w:r>
        <w:rPr>
          <w:lang w:eastAsia="nl-NL" w:bidi="ar-SA"/>
        </w:rPr>
        <w:t>nonstationary</w:t>
      </w:r>
      <w:proofErr w:type="spellEnd"/>
      <w:r>
        <w:rPr>
          <w:lang w:eastAsia="nl-NL" w:bidi="ar-SA"/>
        </w:rPr>
        <w:t>. In that case the first differences are needed:</w:t>
      </w:r>
    </w:p>
    <w:p w:rsidR="00960852" w:rsidRDefault="00960852" w:rsidP="00960852">
      <w:pPr>
        <w:autoSpaceDE w:val="0"/>
        <w:autoSpaceDN w:val="0"/>
        <w:adjustRightInd w:val="0"/>
        <w:spacing w:after="0" w:line="240" w:lineRule="auto"/>
        <w:rPr>
          <w:lang w:eastAsia="nl-NL" w:bidi="ar-SA"/>
        </w:rPr>
      </w:pPr>
    </w:p>
    <w:p w:rsidR="00960852" w:rsidRDefault="00960852" w:rsidP="00960852">
      <w:pPr>
        <w:autoSpaceDE w:val="0"/>
        <w:autoSpaceDN w:val="0"/>
        <w:adjustRightInd w:val="0"/>
        <w:spacing w:after="0" w:line="240" w:lineRule="auto"/>
        <w:rPr>
          <w:lang w:eastAsia="nl-NL" w:bidi="ar-SA"/>
        </w:rPr>
      </w:pPr>
      <m:oMathPara>
        <m:oMath>
          <m:r>
            <w:rPr>
              <w:rFonts w:ascii="Cambria Math" w:hAnsi="Cambria Math"/>
              <w:lang w:eastAsia="nl-NL" w:bidi="ar-SA"/>
            </w:rPr>
            <m:t>∆</m:t>
          </m:r>
          <m:sSub>
            <m:sSubPr>
              <m:ctrlPr>
                <w:rPr>
                  <w:rFonts w:ascii="Cambria Math" w:hAnsi="Cambria Math"/>
                  <w:i/>
                  <w:lang w:eastAsia="nl-NL" w:bidi="ar-SA"/>
                </w:rPr>
              </m:ctrlPr>
            </m:sSubPr>
            <m:e>
              <m:r>
                <w:rPr>
                  <w:rFonts w:ascii="Cambria Math" w:hAnsi="Cambria Math"/>
                  <w:lang w:eastAsia="nl-NL" w:bidi="ar-SA"/>
                </w:rPr>
                <m:t>y</m:t>
              </m:r>
            </m:e>
            <m:sub>
              <m:r>
                <w:rPr>
                  <w:rFonts w:ascii="Cambria Math" w:hAnsi="Cambria Math"/>
                  <w:lang w:eastAsia="nl-NL" w:bidi="ar-SA"/>
                </w:rPr>
                <m:t>t</m:t>
              </m:r>
            </m:sub>
          </m:sSub>
          <m:r>
            <w:rPr>
              <w:rFonts w:ascii="Cambria Math" w:hAnsi="Cambria Math"/>
              <w:lang w:eastAsia="nl-NL" w:bidi="ar-SA"/>
            </w:rPr>
            <m:t>=</m:t>
          </m:r>
          <m:sSub>
            <m:sSubPr>
              <m:ctrlPr>
                <w:rPr>
                  <w:rFonts w:ascii="Cambria Math" w:hAnsi="Cambria Math"/>
                  <w:i/>
                  <w:lang w:eastAsia="nl-NL" w:bidi="ar-SA"/>
                </w:rPr>
              </m:ctrlPr>
            </m:sSubPr>
            <m:e>
              <m:r>
                <w:rPr>
                  <w:rFonts w:ascii="Cambria Math" w:hAnsi="Cambria Math"/>
                  <w:lang w:eastAsia="nl-NL" w:bidi="ar-SA"/>
                </w:rPr>
                <m:t>α</m:t>
              </m:r>
            </m:e>
            <m:sub>
              <m:r>
                <w:rPr>
                  <w:rFonts w:ascii="Cambria Math" w:hAnsi="Cambria Math"/>
                  <w:lang w:eastAsia="nl-NL" w:bidi="ar-SA"/>
                </w:rPr>
                <m:t>0</m:t>
              </m:r>
            </m:sub>
          </m:sSub>
          <m:r>
            <w:rPr>
              <w:rFonts w:ascii="Cambria Math" w:hAnsi="Cambria Math"/>
              <w:lang w:eastAsia="nl-NL" w:bidi="ar-SA"/>
            </w:rPr>
            <m:t xml:space="preserve">+ </m:t>
          </m:r>
          <m:nary>
            <m:naryPr>
              <m:chr m:val="∑"/>
              <m:limLoc m:val="undOvr"/>
              <m:ctrlPr>
                <w:rPr>
                  <w:rFonts w:ascii="Cambria Math" w:hAnsi="Cambria Math"/>
                  <w:i/>
                  <w:lang w:eastAsia="nl-NL" w:bidi="ar-SA"/>
                </w:rPr>
              </m:ctrlPr>
            </m:naryPr>
            <m:sub>
              <m:r>
                <w:rPr>
                  <w:rFonts w:ascii="Cambria Math" w:hAnsi="Cambria Math"/>
                  <w:lang w:eastAsia="nl-NL" w:bidi="ar-SA"/>
                </w:rPr>
                <m:t>i=1</m:t>
              </m:r>
            </m:sub>
            <m:sup>
              <m:r>
                <w:rPr>
                  <w:rFonts w:ascii="Cambria Math" w:hAnsi="Cambria Math"/>
                  <w:lang w:eastAsia="nl-NL" w:bidi="ar-SA"/>
                </w:rPr>
                <m:t>p</m:t>
              </m:r>
            </m:sup>
            <m:e>
              <m:sSub>
                <m:sSubPr>
                  <m:ctrlPr>
                    <w:rPr>
                      <w:rFonts w:ascii="Cambria Math" w:hAnsi="Cambria Math"/>
                      <w:i/>
                      <w:lang w:eastAsia="nl-NL" w:bidi="ar-SA"/>
                    </w:rPr>
                  </m:ctrlPr>
                </m:sSubPr>
                <m:e>
                  <m:r>
                    <w:rPr>
                      <w:rFonts w:ascii="Cambria Math" w:hAnsi="Cambria Math"/>
                      <w:lang w:eastAsia="nl-NL" w:bidi="ar-SA"/>
                    </w:rPr>
                    <m:t>α</m:t>
                  </m:r>
                </m:e>
                <m:sub>
                  <m:r>
                    <w:rPr>
                      <w:rFonts w:ascii="Cambria Math" w:hAnsi="Cambria Math"/>
                      <w:lang w:eastAsia="nl-NL" w:bidi="ar-SA"/>
                    </w:rPr>
                    <m:t>1i</m:t>
                  </m:r>
                </m:sub>
              </m:sSub>
            </m:e>
          </m:nary>
          <m:r>
            <w:rPr>
              <w:rFonts w:ascii="Cambria Math" w:hAnsi="Cambria Math"/>
              <w:lang w:eastAsia="nl-NL" w:bidi="ar-SA"/>
            </w:rPr>
            <m:t>∆</m:t>
          </m:r>
          <m:sSub>
            <m:sSubPr>
              <m:ctrlPr>
                <w:rPr>
                  <w:rFonts w:ascii="Cambria Math" w:hAnsi="Cambria Math"/>
                  <w:i/>
                  <w:lang w:eastAsia="nl-NL" w:bidi="ar-SA"/>
                </w:rPr>
              </m:ctrlPr>
            </m:sSubPr>
            <m:e>
              <m:r>
                <w:rPr>
                  <w:rFonts w:ascii="Cambria Math" w:hAnsi="Cambria Math"/>
                  <w:lang w:eastAsia="nl-NL" w:bidi="ar-SA"/>
                </w:rPr>
                <m:t>y</m:t>
              </m:r>
            </m:e>
            <m:sub>
              <m:r>
                <w:rPr>
                  <w:rFonts w:ascii="Cambria Math" w:hAnsi="Cambria Math"/>
                  <w:lang w:eastAsia="nl-NL" w:bidi="ar-SA"/>
                </w:rPr>
                <m:t>t-1</m:t>
              </m:r>
            </m:sub>
          </m:sSub>
          <m:r>
            <w:rPr>
              <w:rFonts w:ascii="Cambria Math" w:hAnsi="Cambria Math"/>
              <w:lang w:eastAsia="nl-NL" w:bidi="ar-SA"/>
            </w:rPr>
            <m:t xml:space="preserve">+ </m:t>
          </m:r>
          <m:nary>
            <m:naryPr>
              <m:chr m:val="∑"/>
              <m:limLoc m:val="undOvr"/>
              <m:ctrlPr>
                <w:rPr>
                  <w:rFonts w:ascii="Cambria Math" w:hAnsi="Cambria Math"/>
                  <w:i/>
                  <w:lang w:eastAsia="nl-NL" w:bidi="ar-SA"/>
                </w:rPr>
              </m:ctrlPr>
            </m:naryPr>
            <m:sub>
              <m:r>
                <w:rPr>
                  <w:rFonts w:ascii="Cambria Math" w:hAnsi="Cambria Math"/>
                  <w:lang w:eastAsia="nl-NL" w:bidi="ar-SA"/>
                </w:rPr>
                <m:t>i=1</m:t>
              </m:r>
            </m:sub>
            <m:sup>
              <m:r>
                <w:rPr>
                  <w:rFonts w:ascii="Cambria Math" w:hAnsi="Cambria Math"/>
                  <w:lang w:eastAsia="nl-NL" w:bidi="ar-SA"/>
                </w:rPr>
                <m:t>p</m:t>
              </m:r>
            </m:sup>
            <m:e>
              <m:sSub>
                <m:sSubPr>
                  <m:ctrlPr>
                    <w:rPr>
                      <w:rFonts w:ascii="Cambria Math" w:hAnsi="Cambria Math"/>
                      <w:i/>
                      <w:lang w:eastAsia="nl-NL" w:bidi="ar-SA"/>
                    </w:rPr>
                  </m:ctrlPr>
                </m:sSubPr>
                <m:e>
                  <m:r>
                    <w:rPr>
                      <w:rFonts w:ascii="Cambria Math" w:hAnsi="Cambria Math"/>
                      <w:lang w:eastAsia="nl-NL" w:bidi="ar-SA"/>
                    </w:rPr>
                    <m:t>a</m:t>
                  </m:r>
                </m:e>
                <m:sub>
                  <m:r>
                    <w:rPr>
                      <w:rFonts w:ascii="Cambria Math" w:hAnsi="Cambria Math"/>
                      <w:lang w:eastAsia="nl-NL" w:bidi="ar-SA"/>
                    </w:rPr>
                    <m:t>2i</m:t>
                  </m:r>
                </m:sub>
              </m:sSub>
            </m:e>
          </m:nary>
          <m:r>
            <w:rPr>
              <w:rFonts w:ascii="Cambria Math" w:hAnsi="Cambria Math"/>
              <w:lang w:eastAsia="nl-NL" w:bidi="ar-SA"/>
            </w:rPr>
            <m:t>∆</m:t>
          </m:r>
          <m:sSub>
            <m:sSubPr>
              <m:ctrlPr>
                <w:rPr>
                  <w:rFonts w:ascii="Cambria Math" w:hAnsi="Cambria Math"/>
                  <w:i/>
                  <w:lang w:eastAsia="nl-NL" w:bidi="ar-SA"/>
                </w:rPr>
              </m:ctrlPr>
            </m:sSubPr>
            <m:e>
              <m:r>
                <w:rPr>
                  <w:rFonts w:ascii="Cambria Math" w:hAnsi="Cambria Math"/>
                  <w:lang w:eastAsia="nl-NL" w:bidi="ar-SA"/>
                </w:rPr>
                <m:t>x</m:t>
              </m:r>
            </m:e>
            <m:sub>
              <m:r>
                <w:rPr>
                  <w:rFonts w:ascii="Cambria Math" w:hAnsi="Cambria Math"/>
                  <w:lang w:eastAsia="nl-NL" w:bidi="ar-SA"/>
                </w:rPr>
                <m:t>t-i</m:t>
              </m:r>
            </m:sub>
          </m:sSub>
          <m:r>
            <w:rPr>
              <w:rFonts w:ascii="Cambria Math" w:hAnsi="Cambria Math"/>
              <w:lang w:eastAsia="nl-NL" w:bidi="ar-SA"/>
            </w:rPr>
            <m:t>+</m:t>
          </m:r>
          <m:sSub>
            <m:sSubPr>
              <m:ctrlPr>
                <w:rPr>
                  <w:rFonts w:ascii="Cambria Math" w:hAnsi="Cambria Math"/>
                  <w:i/>
                  <w:lang w:eastAsia="nl-NL" w:bidi="ar-SA"/>
                </w:rPr>
              </m:ctrlPr>
            </m:sSubPr>
            <m:e>
              <m:r>
                <w:rPr>
                  <w:rFonts w:ascii="Cambria Math" w:hAnsi="Cambria Math"/>
                  <w:lang w:eastAsia="nl-NL" w:bidi="ar-SA"/>
                </w:rPr>
                <m:t>ϵ</m:t>
              </m:r>
            </m:e>
            <m:sub>
              <m:r>
                <w:rPr>
                  <w:rFonts w:ascii="Cambria Math" w:hAnsi="Cambria Math"/>
                  <w:lang w:eastAsia="nl-NL" w:bidi="ar-SA"/>
                </w:rPr>
                <m:t>1t</m:t>
              </m:r>
            </m:sub>
          </m:sSub>
        </m:oMath>
      </m:oMathPara>
    </w:p>
    <w:p w:rsidR="00960852" w:rsidRDefault="00960852" w:rsidP="00960852">
      <w:pPr>
        <w:autoSpaceDE w:val="0"/>
        <w:autoSpaceDN w:val="0"/>
        <w:adjustRightInd w:val="0"/>
        <w:spacing w:after="0" w:line="240" w:lineRule="auto"/>
        <w:rPr>
          <w:lang w:eastAsia="nl-NL" w:bidi="ar-SA"/>
        </w:rPr>
      </w:pPr>
    </w:p>
    <w:p w:rsidR="00960852" w:rsidRDefault="00960852" w:rsidP="00960852">
      <w:pPr>
        <w:autoSpaceDE w:val="0"/>
        <w:autoSpaceDN w:val="0"/>
        <w:adjustRightInd w:val="0"/>
        <w:spacing w:after="0" w:line="240" w:lineRule="auto"/>
        <w:rPr>
          <w:lang w:eastAsia="nl-NL" w:bidi="ar-SA"/>
        </w:rPr>
      </w:pPr>
    </w:p>
    <w:p w:rsidR="00960852" w:rsidRPr="005F0875" w:rsidRDefault="00960852" w:rsidP="00960852">
      <w:pPr>
        <w:autoSpaceDE w:val="0"/>
        <w:autoSpaceDN w:val="0"/>
        <w:adjustRightInd w:val="0"/>
        <w:spacing w:after="0" w:line="240" w:lineRule="auto"/>
        <w:rPr>
          <w:lang w:eastAsia="nl-NL" w:bidi="ar-SA"/>
        </w:rPr>
      </w:pPr>
      <m:oMathPara>
        <m:oMath>
          <m:r>
            <w:rPr>
              <w:rFonts w:ascii="Cambria Math" w:hAnsi="Cambria Math"/>
              <w:lang w:eastAsia="nl-NL" w:bidi="ar-SA"/>
            </w:rPr>
            <m:t>∆</m:t>
          </m:r>
          <m:sSub>
            <m:sSubPr>
              <m:ctrlPr>
                <w:rPr>
                  <w:rFonts w:ascii="Cambria Math" w:hAnsi="Cambria Math"/>
                  <w:i/>
                  <w:lang w:eastAsia="nl-NL" w:bidi="ar-SA"/>
                </w:rPr>
              </m:ctrlPr>
            </m:sSubPr>
            <m:e>
              <m:r>
                <w:rPr>
                  <w:rFonts w:ascii="Cambria Math" w:hAnsi="Cambria Math"/>
                  <w:lang w:eastAsia="nl-NL" w:bidi="ar-SA"/>
                </w:rPr>
                <m:t>x</m:t>
              </m:r>
            </m:e>
            <m:sub>
              <m:r>
                <w:rPr>
                  <w:rFonts w:ascii="Cambria Math" w:hAnsi="Cambria Math"/>
                  <w:lang w:eastAsia="nl-NL" w:bidi="ar-SA"/>
                </w:rPr>
                <m:t>t</m:t>
              </m:r>
            </m:sub>
          </m:sSub>
          <m:r>
            <w:rPr>
              <w:rFonts w:ascii="Cambria Math" w:hAnsi="Cambria Math"/>
              <w:lang w:eastAsia="nl-NL" w:bidi="ar-SA"/>
            </w:rPr>
            <m:t xml:space="preserve">= </m:t>
          </m:r>
          <m:sSub>
            <m:sSubPr>
              <m:ctrlPr>
                <w:rPr>
                  <w:rFonts w:ascii="Cambria Math" w:hAnsi="Cambria Math"/>
                  <w:i/>
                  <w:lang w:eastAsia="nl-NL" w:bidi="ar-SA"/>
                </w:rPr>
              </m:ctrlPr>
            </m:sSubPr>
            <m:e>
              <m:r>
                <w:rPr>
                  <w:rFonts w:ascii="Cambria Math" w:hAnsi="Cambria Math"/>
                  <w:lang w:eastAsia="nl-NL" w:bidi="ar-SA"/>
                </w:rPr>
                <m:t>β</m:t>
              </m:r>
            </m:e>
            <m:sub>
              <m:r>
                <w:rPr>
                  <w:rFonts w:ascii="Cambria Math" w:hAnsi="Cambria Math"/>
                  <w:lang w:eastAsia="nl-NL" w:bidi="ar-SA"/>
                </w:rPr>
                <m:t>0</m:t>
              </m:r>
            </m:sub>
          </m:sSub>
          <m:r>
            <w:rPr>
              <w:rFonts w:ascii="Cambria Math" w:hAnsi="Cambria Math"/>
              <w:lang w:eastAsia="nl-NL" w:bidi="ar-SA"/>
            </w:rPr>
            <m:t>+</m:t>
          </m:r>
          <m:nary>
            <m:naryPr>
              <m:chr m:val="∑"/>
              <m:limLoc m:val="undOvr"/>
              <m:ctrlPr>
                <w:rPr>
                  <w:rFonts w:ascii="Cambria Math" w:hAnsi="Cambria Math"/>
                  <w:i/>
                  <w:lang w:eastAsia="nl-NL" w:bidi="ar-SA"/>
                </w:rPr>
              </m:ctrlPr>
            </m:naryPr>
            <m:sub>
              <m:r>
                <w:rPr>
                  <w:rFonts w:ascii="Cambria Math" w:hAnsi="Cambria Math"/>
                  <w:lang w:eastAsia="nl-NL" w:bidi="ar-SA"/>
                </w:rPr>
                <m:t>i=1</m:t>
              </m:r>
            </m:sub>
            <m:sup>
              <m:r>
                <w:rPr>
                  <w:rFonts w:ascii="Cambria Math" w:hAnsi="Cambria Math"/>
                  <w:lang w:eastAsia="nl-NL" w:bidi="ar-SA"/>
                </w:rPr>
                <m:t>p</m:t>
              </m:r>
            </m:sup>
            <m:e>
              <m:sSub>
                <m:sSubPr>
                  <m:ctrlPr>
                    <w:rPr>
                      <w:rFonts w:ascii="Cambria Math" w:hAnsi="Cambria Math"/>
                      <w:i/>
                      <w:lang w:eastAsia="nl-NL" w:bidi="ar-SA"/>
                    </w:rPr>
                  </m:ctrlPr>
                </m:sSubPr>
                <m:e>
                  <m:r>
                    <w:rPr>
                      <w:rFonts w:ascii="Cambria Math" w:hAnsi="Cambria Math"/>
                      <w:lang w:eastAsia="nl-NL" w:bidi="ar-SA"/>
                    </w:rPr>
                    <m:t>β</m:t>
                  </m:r>
                </m:e>
                <m:sub>
                  <m:r>
                    <w:rPr>
                      <w:rFonts w:ascii="Cambria Math" w:hAnsi="Cambria Math"/>
                      <w:lang w:eastAsia="nl-NL" w:bidi="ar-SA"/>
                    </w:rPr>
                    <m:t>1i</m:t>
                  </m:r>
                </m:sub>
              </m:sSub>
            </m:e>
          </m:nary>
          <m:r>
            <w:rPr>
              <w:rFonts w:ascii="Cambria Math" w:hAnsi="Cambria Math"/>
              <w:lang w:eastAsia="nl-NL" w:bidi="ar-SA"/>
            </w:rPr>
            <m:t>∆</m:t>
          </m:r>
          <m:sSub>
            <m:sSubPr>
              <m:ctrlPr>
                <w:rPr>
                  <w:rFonts w:ascii="Cambria Math" w:hAnsi="Cambria Math"/>
                  <w:i/>
                  <w:lang w:eastAsia="nl-NL" w:bidi="ar-SA"/>
                </w:rPr>
              </m:ctrlPr>
            </m:sSubPr>
            <m:e>
              <m:r>
                <w:rPr>
                  <w:rFonts w:ascii="Cambria Math" w:hAnsi="Cambria Math"/>
                  <w:lang w:eastAsia="nl-NL" w:bidi="ar-SA"/>
                </w:rPr>
                <m:t>x</m:t>
              </m:r>
            </m:e>
            <m:sub>
              <m:r>
                <w:rPr>
                  <w:rFonts w:ascii="Cambria Math" w:hAnsi="Cambria Math"/>
                  <w:lang w:eastAsia="nl-NL" w:bidi="ar-SA"/>
                </w:rPr>
                <m:t>t-1</m:t>
              </m:r>
            </m:sub>
          </m:sSub>
          <m:r>
            <w:rPr>
              <w:rFonts w:ascii="Cambria Math" w:hAnsi="Cambria Math"/>
              <w:lang w:eastAsia="nl-NL" w:bidi="ar-SA"/>
            </w:rPr>
            <m:t>+</m:t>
          </m:r>
          <m:nary>
            <m:naryPr>
              <m:chr m:val="∑"/>
              <m:limLoc m:val="undOvr"/>
              <m:ctrlPr>
                <w:rPr>
                  <w:rFonts w:ascii="Cambria Math" w:hAnsi="Cambria Math"/>
                  <w:i/>
                  <w:lang w:eastAsia="nl-NL" w:bidi="ar-SA"/>
                </w:rPr>
              </m:ctrlPr>
            </m:naryPr>
            <m:sub>
              <m:r>
                <w:rPr>
                  <w:rFonts w:ascii="Cambria Math" w:hAnsi="Cambria Math"/>
                  <w:lang w:eastAsia="nl-NL" w:bidi="ar-SA"/>
                </w:rPr>
                <m:t>i=1</m:t>
              </m:r>
            </m:sub>
            <m:sup>
              <m:r>
                <w:rPr>
                  <w:rFonts w:ascii="Cambria Math" w:hAnsi="Cambria Math"/>
                  <w:lang w:eastAsia="nl-NL" w:bidi="ar-SA"/>
                </w:rPr>
                <m:t>p</m:t>
              </m:r>
            </m:sup>
            <m:e>
              <m:sSub>
                <m:sSubPr>
                  <m:ctrlPr>
                    <w:rPr>
                      <w:rFonts w:ascii="Cambria Math" w:hAnsi="Cambria Math"/>
                      <w:i/>
                      <w:lang w:eastAsia="nl-NL" w:bidi="ar-SA"/>
                    </w:rPr>
                  </m:ctrlPr>
                </m:sSubPr>
                <m:e>
                  <m:r>
                    <w:rPr>
                      <w:rFonts w:ascii="Cambria Math" w:hAnsi="Cambria Math"/>
                      <w:lang w:eastAsia="nl-NL" w:bidi="ar-SA"/>
                    </w:rPr>
                    <m:t>β</m:t>
                  </m:r>
                </m:e>
                <m:sub>
                  <m:r>
                    <w:rPr>
                      <w:rFonts w:ascii="Cambria Math" w:hAnsi="Cambria Math"/>
                      <w:lang w:eastAsia="nl-NL" w:bidi="ar-SA"/>
                    </w:rPr>
                    <m:t>2i</m:t>
                  </m:r>
                </m:sub>
              </m:sSub>
            </m:e>
          </m:nary>
          <m:r>
            <w:rPr>
              <w:rFonts w:ascii="Cambria Math" w:hAnsi="Cambria Math"/>
              <w:lang w:eastAsia="nl-NL" w:bidi="ar-SA"/>
            </w:rPr>
            <m:t>∆</m:t>
          </m:r>
          <m:sSub>
            <m:sSubPr>
              <m:ctrlPr>
                <w:rPr>
                  <w:rFonts w:ascii="Cambria Math" w:hAnsi="Cambria Math"/>
                  <w:i/>
                  <w:lang w:eastAsia="nl-NL" w:bidi="ar-SA"/>
                </w:rPr>
              </m:ctrlPr>
            </m:sSubPr>
            <m:e>
              <m:r>
                <w:rPr>
                  <w:rFonts w:ascii="Cambria Math" w:hAnsi="Cambria Math"/>
                  <w:lang w:eastAsia="nl-NL" w:bidi="ar-SA"/>
                </w:rPr>
                <m:t>y</m:t>
              </m:r>
            </m:e>
            <m:sub>
              <m:r>
                <w:rPr>
                  <w:rFonts w:ascii="Cambria Math" w:hAnsi="Cambria Math"/>
                  <w:lang w:eastAsia="nl-NL" w:bidi="ar-SA"/>
                </w:rPr>
                <m:t>t-1</m:t>
              </m:r>
            </m:sub>
          </m:sSub>
          <m:r>
            <w:rPr>
              <w:rFonts w:ascii="Cambria Math" w:hAnsi="Cambria Math"/>
              <w:lang w:eastAsia="nl-NL" w:bidi="ar-SA"/>
            </w:rPr>
            <m:t xml:space="preserve">+ </m:t>
          </m:r>
          <m:sSub>
            <m:sSubPr>
              <m:ctrlPr>
                <w:rPr>
                  <w:rFonts w:ascii="Cambria Math" w:hAnsi="Cambria Math"/>
                  <w:i/>
                  <w:lang w:eastAsia="nl-NL" w:bidi="ar-SA"/>
                </w:rPr>
              </m:ctrlPr>
            </m:sSubPr>
            <m:e>
              <m:r>
                <w:rPr>
                  <w:rFonts w:ascii="Cambria Math" w:hAnsi="Cambria Math"/>
                  <w:lang w:eastAsia="nl-NL" w:bidi="ar-SA"/>
                </w:rPr>
                <m:t>ϵ</m:t>
              </m:r>
            </m:e>
            <m:sub>
              <m:r>
                <w:rPr>
                  <w:rFonts w:ascii="Cambria Math" w:hAnsi="Cambria Math"/>
                  <w:lang w:eastAsia="nl-NL" w:bidi="ar-SA"/>
                </w:rPr>
                <m:t>2t</m:t>
              </m:r>
            </m:sub>
          </m:sSub>
        </m:oMath>
      </m:oMathPara>
    </w:p>
    <w:p w:rsidR="00960852" w:rsidRDefault="00960852" w:rsidP="00960852">
      <w:pPr>
        <w:autoSpaceDE w:val="0"/>
        <w:autoSpaceDN w:val="0"/>
        <w:adjustRightInd w:val="0"/>
        <w:spacing w:after="0" w:line="240" w:lineRule="auto"/>
        <w:rPr>
          <w:lang w:eastAsia="nl-NL" w:bidi="ar-SA"/>
        </w:rPr>
      </w:pPr>
    </w:p>
    <w:p w:rsidR="00960852" w:rsidRPr="007C59F7" w:rsidRDefault="00960852" w:rsidP="00960852">
      <w:pPr>
        <w:autoSpaceDE w:val="0"/>
        <w:autoSpaceDN w:val="0"/>
        <w:adjustRightInd w:val="0"/>
        <w:spacing w:after="0" w:line="240" w:lineRule="auto"/>
        <w:rPr>
          <w:lang w:eastAsia="nl-NL" w:bidi="ar-SA"/>
        </w:rPr>
      </w:pPr>
      <w:r>
        <w:rPr>
          <w:lang w:eastAsia="nl-NL" w:bidi="ar-SA"/>
        </w:rPr>
        <w:t>As is stated above, Granger-causality test for some significant prediction power in x which is not found in y. This leads to the null hypothesis of α</w:t>
      </w:r>
      <w:r w:rsidRPr="007C59F7">
        <w:rPr>
          <w:vertAlign w:val="subscript"/>
          <w:lang w:eastAsia="nl-NL" w:bidi="ar-SA"/>
        </w:rPr>
        <w:t>21</w:t>
      </w:r>
      <w:r>
        <w:rPr>
          <w:lang w:eastAsia="nl-NL" w:bidi="ar-SA"/>
        </w:rPr>
        <w:t xml:space="preserve"> = α</w:t>
      </w:r>
      <w:r>
        <w:rPr>
          <w:vertAlign w:val="subscript"/>
          <w:lang w:eastAsia="nl-NL" w:bidi="ar-SA"/>
        </w:rPr>
        <w:t>22</w:t>
      </w:r>
      <w:r>
        <w:rPr>
          <w:lang w:eastAsia="nl-NL" w:bidi="ar-SA"/>
        </w:rPr>
        <w:t xml:space="preserve"> = … = α</w:t>
      </w:r>
      <w:r>
        <w:rPr>
          <w:vertAlign w:val="subscript"/>
          <w:lang w:eastAsia="nl-NL" w:bidi="ar-SA"/>
        </w:rPr>
        <w:t>2i</w:t>
      </w:r>
      <w:r>
        <w:rPr>
          <w:lang w:eastAsia="nl-NL" w:bidi="ar-SA"/>
        </w:rPr>
        <w:t xml:space="preserve"> = 0 in the first equation and </w:t>
      </w:r>
      <w:r>
        <w:rPr>
          <w:rFonts w:ascii="Cambria Math" w:hAnsi="Cambria Math"/>
          <w:lang w:eastAsia="nl-NL" w:bidi="ar-SA"/>
        </w:rPr>
        <w:t>𝛽</w:t>
      </w:r>
      <w:r>
        <w:rPr>
          <w:rFonts w:ascii="Cambria Math" w:hAnsi="Cambria Math"/>
          <w:vertAlign w:val="subscript"/>
          <w:lang w:eastAsia="nl-NL" w:bidi="ar-SA"/>
        </w:rPr>
        <w:t>21</w:t>
      </w:r>
      <w:r>
        <w:rPr>
          <w:rFonts w:ascii="Cambria Math" w:hAnsi="Cambria Math"/>
          <w:lang w:eastAsia="nl-NL" w:bidi="ar-SA"/>
        </w:rPr>
        <w:t xml:space="preserve"> = </w:t>
      </w:r>
      <w:r w:rsidRPr="007C59F7">
        <w:rPr>
          <w:rFonts w:ascii="Cambria Math" w:hAnsi="Cambria Math"/>
          <w:lang w:eastAsia="nl-NL" w:bidi="ar-SA"/>
        </w:rPr>
        <w:t>𝛽</w:t>
      </w:r>
      <w:r>
        <w:rPr>
          <w:rFonts w:ascii="Cambria Math" w:hAnsi="Cambria Math"/>
          <w:vertAlign w:val="subscript"/>
          <w:lang w:eastAsia="nl-NL" w:bidi="ar-SA"/>
        </w:rPr>
        <w:t>22</w:t>
      </w:r>
      <w:r>
        <w:rPr>
          <w:rFonts w:ascii="Cambria Math" w:hAnsi="Cambria Math"/>
          <w:lang w:eastAsia="nl-NL" w:bidi="ar-SA"/>
        </w:rPr>
        <w:t xml:space="preserve"> = … = </w:t>
      </w:r>
      <w:r w:rsidRPr="007C59F7">
        <w:rPr>
          <w:rFonts w:ascii="Cambria Math" w:hAnsi="Cambria Math"/>
          <w:lang w:eastAsia="nl-NL" w:bidi="ar-SA"/>
        </w:rPr>
        <w:t>𝛽</w:t>
      </w:r>
      <w:r>
        <w:rPr>
          <w:rFonts w:ascii="Cambria Math" w:hAnsi="Cambria Math"/>
          <w:vertAlign w:val="subscript"/>
          <w:lang w:eastAsia="nl-NL" w:bidi="ar-SA"/>
        </w:rPr>
        <w:t>2i</w:t>
      </w:r>
      <w:r>
        <w:rPr>
          <w:rFonts w:ascii="Cambria Math" w:hAnsi="Cambria Math"/>
          <w:lang w:eastAsia="nl-NL" w:bidi="ar-SA"/>
        </w:rPr>
        <w:t xml:space="preserve"> = 0, H</w:t>
      </w:r>
      <w:r>
        <w:rPr>
          <w:rFonts w:ascii="Cambria Math" w:hAnsi="Cambria Math"/>
          <w:vertAlign w:val="subscript"/>
          <w:lang w:eastAsia="nl-NL" w:bidi="ar-SA"/>
        </w:rPr>
        <w:t>0</w:t>
      </w:r>
      <w:r>
        <w:rPr>
          <w:rFonts w:ascii="Cambria Math" w:hAnsi="Cambria Math"/>
          <w:lang w:eastAsia="nl-NL" w:bidi="ar-SA"/>
        </w:rPr>
        <w:t xml:space="preserve"> is rejected if one of </w:t>
      </w:r>
      <w:proofErr w:type="gramStart"/>
      <w:r>
        <w:rPr>
          <w:rFonts w:ascii="Cambria Math" w:hAnsi="Cambria Math"/>
          <w:lang w:eastAsia="nl-NL" w:bidi="ar-SA"/>
        </w:rPr>
        <w:t xml:space="preserve">the </w:t>
      </w:r>
      <w:proofErr w:type="spellStart"/>
      <w:r>
        <w:rPr>
          <w:rFonts w:ascii="Cambria Math" w:hAnsi="Cambria Math"/>
          <w:lang w:eastAsia="nl-NL" w:bidi="ar-SA"/>
        </w:rPr>
        <w:t>α’s</w:t>
      </w:r>
      <w:proofErr w:type="spellEnd"/>
      <w:proofErr w:type="gramEnd"/>
      <w:r>
        <w:rPr>
          <w:rFonts w:ascii="Cambria Math" w:hAnsi="Cambria Math"/>
          <w:lang w:eastAsia="nl-NL" w:bidi="ar-SA"/>
        </w:rPr>
        <w:t xml:space="preserve"> is not zero, meaning that there is some additional prediction power. And, of course, for the second equation H</w:t>
      </w:r>
      <w:r>
        <w:rPr>
          <w:rFonts w:ascii="Cambria Math" w:hAnsi="Cambria Math"/>
          <w:vertAlign w:val="subscript"/>
          <w:lang w:eastAsia="nl-NL" w:bidi="ar-SA"/>
        </w:rPr>
        <w:t>0</w:t>
      </w:r>
      <w:r>
        <w:rPr>
          <w:rFonts w:ascii="Cambria Math" w:hAnsi="Cambria Math"/>
          <w:lang w:eastAsia="nl-NL" w:bidi="ar-SA"/>
        </w:rPr>
        <w:t xml:space="preserve"> is rejected of one of the 𝛽’s is not zero. </w:t>
      </w:r>
    </w:p>
    <w:p w:rsidR="00960852" w:rsidRDefault="00960852" w:rsidP="00960852">
      <w:pPr>
        <w:autoSpaceDE w:val="0"/>
        <w:autoSpaceDN w:val="0"/>
        <w:adjustRightInd w:val="0"/>
        <w:spacing w:after="0" w:line="240" w:lineRule="auto"/>
        <w:rPr>
          <w:lang w:eastAsia="nl-NL" w:bidi="ar-SA"/>
        </w:rPr>
      </w:pPr>
    </w:p>
    <w:p w:rsidR="00960852" w:rsidRDefault="00960852" w:rsidP="00960852">
      <w:pPr>
        <w:pStyle w:val="NoSpacing"/>
      </w:pPr>
      <w:r>
        <w:t xml:space="preserve">But if the two </w:t>
      </w:r>
      <w:proofErr w:type="gramStart"/>
      <w:r>
        <w:t>I(</w:t>
      </w:r>
      <w:proofErr w:type="gramEnd"/>
      <w:r>
        <w:t xml:space="preserve">1)  variables are </w:t>
      </w:r>
      <w:proofErr w:type="spellStart"/>
      <w:r>
        <w:t>cointegrated</w:t>
      </w:r>
      <w:proofErr w:type="spellEnd"/>
      <w:r>
        <w:t xml:space="preserve"> some special problems arise, as is shown by Toda and Phillips (1991). The model has to be modified to allow for the </w:t>
      </w:r>
      <w:proofErr w:type="spellStart"/>
      <w:r>
        <w:t>cointegrated</w:t>
      </w:r>
      <w:proofErr w:type="spellEnd"/>
      <w:r>
        <w:t xml:space="preserve"> relation between the two time series. The </w:t>
      </w:r>
      <w:proofErr w:type="spellStart"/>
      <w:r>
        <w:t>cointegration</w:t>
      </w:r>
      <w:proofErr w:type="spellEnd"/>
      <w:r>
        <w:t xml:space="preserve"> relation is an economic useful relation that bears valuable information and leads to stronger results in the Granger causality test. To introduce the </w:t>
      </w:r>
      <w:proofErr w:type="spellStart"/>
      <w:r>
        <w:t>cointegration</w:t>
      </w:r>
      <w:proofErr w:type="spellEnd"/>
      <w:r>
        <w:t xml:space="preserve"> relationship in the VAR, an error correction term is added. The model is now called an error correction model, or in this case, as we work with vectors, a vector error correction model (VECM):</w:t>
      </w:r>
    </w:p>
    <w:p w:rsidR="00960852" w:rsidRPr="007D0A5C" w:rsidRDefault="00960852" w:rsidP="00960852">
      <w:pPr>
        <w:pStyle w:val="NoSpacing"/>
      </w:pPr>
    </w:p>
    <w:p w:rsidR="00960852" w:rsidRDefault="00960852" w:rsidP="00960852">
      <w:pPr>
        <w:pStyle w:val="NoSpacing"/>
      </w:pPr>
      <m:oMathPara>
        <m:oMath>
          <m:r>
            <w:rPr>
              <w:rFonts w:ascii="Cambria Math" w:hAnsi="Cambria Math"/>
              <w:lang w:eastAsia="nl-NL" w:bidi="ar-SA"/>
            </w:rPr>
            <m:t>∆</m:t>
          </m:r>
          <m:sSub>
            <m:sSubPr>
              <m:ctrlPr>
                <w:rPr>
                  <w:rFonts w:ascii="Cambria Math" w:hAnsi="Cambria Math"/>
                  <w:i/>
                  <w:lang w:eastAsia="nl-NL" w:bidi="ar-SA"/>
                </w:rPr>
              </m:ctrlPr>
            </m:sSubPr>
            <m:e>
              <m:r>
                <w:rPr>
                  <w:rFonts w:ascii="Cambria Math" w:hAnsi="Cambria Math"/>
                  <w:lang w:eastAsia="nl-NL" w:bidi="ar-SA"/>
                </w:rPr>
                <m:t>y</m:t>
              </m:r>
            </m:e>
            <m:sub>
              <m:r>
                <w:rPr>
                  <w:rFonts w:ascii="Cambria Math" w:hAnsi="Cambria Math"/>
                  <w:lang w:eastAsia="nl-NL" w:bidi="ar-SA"/>
                </w:rPr>
                <m:t>t</m:t>
              </m:r>
            </m:sub>
          </m:sSub>
          <m:r>
            <w:rPr>
              <w:rFonts w:ascii="Cambria Math" w:hAnsi="Cambria Math"/>
              <w:lang w:eastAsia="nl-NL" w:bidi="ar-SA"/>
            </w:rPr>
            <m:t>=</m:t>
          </m:r>
          <m:sSub>
            <m:sSubPr>
              <m:ctrlPr>
                <w:rPr>
                  <w:rFonts w:ascii="Cambria Math" w:hAnsi="Cambria Math"/>
                  <w:i/>
                  <w:lang w:eastAsia="nl-NL" w:bidi="ar-SA"/>
                </w:rPr>
              </m:ctrlPr>
            </m:sSubPr>
            <m:e>
              <m:r>
                <w:rPr>
                  <w:rFonts w:ascii="Cambria Math" w:hAnsi="Cambria Math"/>
                  <w:lang w:eastAsia="nl-NL" w:bidi="ar-SA"/>
                </w:rPr>
                <m:t>α</m:t>
              </m:r>
            </m:e>
            <m:sub>
              <m:r>
                <w:rPr>
                  <w:rFonts w:ascii="Cambria Math" w:hAnsi="Cambria Math"/>
                  <w:lang w:eastAsia="nl-NL" w:bidi="ar-SA"/>
                </w:rPr>
                <m:t>0</m:t>
              </m:r>
            </m:sub>
          </m:sSub>
          <m:r>
            <w:rPr>
              <w:rFonts w:ascii="Cambria Math" w:hAnsi="Cambria Math"/>
              <w:lang w:eastAsia="nl-NL" w:bidi="ar-SA"/>
            </w:rPr>
            <m:t>+</m:t>
          </m:r>
          <m:sSub>
            <m:sSubPr>
              <m:ctrlPr>
                <w:rPr>
                  <w:rFonts w:ascii="Cambria Math" w:hAnsi="Cambria Math"/>
                  <w:i/>
                  <w:lang w:eastAsia="nl-NL" w:bidi="ar-SA"/>
                </w:rPr>
              </m:ctrlPr>
            </m:sSubPr>
            <m:e>
              <m:r>
                <w:rPr>
                  <w:rFonts w:ascii="Cambria Math" w:hAnsi="Cambria Math"/>
                  <w:lang w:eastAsia="nl-NL" w:bidi="ar-SA"/>
                </w:rPr>
                <m:t>δ</m:t>
              </m:r>
            </m:e>
            <m:sub>
              <m:r>
                <w:rPr>
                  <w:rFonts w:ascii="Cambria Math" w:hAnsi="Cambria Math"/>
                  <w:lang w:eastAsia="nl-NL" w:bidi="ar-SA"/>
                </w:rPr>
                <m:t>1</m:t>
              </m:r>
            </m:sub>
          </m:sSub>
          <m:sSub>
            <m:sSubPr>
              <m:ctrlPr>
                <w:rPr>
                  <w:rFonts w:ascii="Cambria Math" w:hAnsi="Cambria Math"/>
                  <w:i/>
                  <w:lang w:eastAsia="nl-NL" w:bidi="ar-SA"/>
                </w:rPr>
              </m:ctrlPr>
            </m:sSubPr>
            <m:e>
              <m:r>
                <w:rPr>
                  <w:rFonts w:ascii="Cambria Math" w:hAnsi="Cambria Math"/>
                  <w:lang w:eastAsia="nl-NL" w:bidi="ar-SA"/>
                </w:rPr>
                <m:t>e</m:t>
              </m:r>
            </m:e>
            <m:sub>
              <m:r>
                <w:rPr>
                  <w:rFonts w:ascii="Cambria Math" w:hAnsi="Cambria Math"/>
                  <w:lang w:eastAsia="nl-NL" w:bidi="ar-SA"/>
                </w:rPr>
                <m:t>1</m:t>
              </m:r>
            </m:sub>
          </m:sSub>
          <m:r>
            <w:rPr>
              <w:rFonts w:ascii="Cambria Math" w:hAnsi="Cambria Math"/>
              <w:lang w:eastAsia="nl-NL" w:bidi="ar-SA"/>
            </w:rPr>
            <m:t xml:space="preserve">+ </m:t>
          </m:r>
          <m:nary>
            <m:naryPr>
              <m:chr m:val="∑"/>
              <m:limLoc m:val="undOvr"/>
              <m:ctrlPr>
                <w:rPr>
                  <w:rFonts w:ascii="Cambria Math" w:hAnsi="Cambria Math"/>
                  <w:i/>
                  <w:lang w:eastAsia="nl-NL" w:bidi="ar-SA"/>
                </w:rPr>
              </m:ctrlPr>
            </m:naryPr>
            <m:sub>
              <m:r>
                <w:rPr>
                  <w:rFonts w:ascii="Cambria Math" w:hAnsi="Cambria Math"/>
                  <w:lang w:eastAsia="nl-NL" w:bidi="ar-SA"/>
                </w:rPr>
                <m:t>i=1</m:t>
              </m:r>
            </m:sub>
            <m:sup>
              <m:r>
                <w:rPr>
                  <w:rFonts w:ascii="Cambria Math" w:hAnsi="Cambria Math"/>
                  <w:lang w:eastAsia="nl-NL" w:bidi="ar-SA"/>
                </w:rPr>
                <m:t>p</m:t>
              </m:r>
            </m:sup>
            <m:e>
              <m:sSub>
                <m:sSubPr>
                  <m:ctrlPr>
                    <w:rPr>
                      <w:rFonts w:ascii="Cambria Math" w:hAnsi="Cambria Math"/>
                      <w:i/>
                      <w:lang w:eastAsia="nl-NL" w:bidi="ar-SA"/>
                    </w:rPr>
                  </m:ctrlPr>
                </m:sSubPr>
                <m:e>
                  <m:r>
                    <w:rPr>
                      <w:rFonts w:ascii="Cambria Math" w:hAnsi="Cambria Math"/>
                      <w:lang w:eastAsia="nl-NL" w:bidi="ar-SA"/>
                    </w:rPr>
                    <m:t>α</m:t>
                  </m:r>
                </m:e>
                <m:sub>
                  <m:r>
                    <w:rPr>
                      <w:rFonts w:ascii="Cambria Math" w:hAnsi="Cambria Math"/>
                      <w:lang w:eastAsia="nl-NL" w:bidi="ar-SA"/>
                    </w:rPr>
                    <m:t>1i</m:t>
                  </m:r>
                </m:sub>
              </m:sSub>
            </m:e>
          </m:nary>
          <m:r>
            <w:rPr>
              <w:rFonts w:ascii="Cambria Math" w:hAnsi="Cambria Math"/>
              <w:lang w:eastAsia="nl-NL" w:bidi="ar-SA"/>
            </w:rPr>
            <m:t>∆</m:t>
          </m:r>
          <m:sSub>
            <m:sSubPr>
              <m:ctrlPr>
                <w:rPr>
                  <w:rFonts w:ascii="Cambria Math" w:hAnsi="Cambria Math"/>
                  <w:i/>
                  <w:lang w:eastAsia="nl-NL" w:bidi="ar-SA"/>
                </w:rPr>
              </m:ctrlPr>
            </m:sSubPr>
            <m:e>
              <m:r>
                <w:rPr>
                  <w:rFonts w:ascii="Cambria Math" w:hAnsi="Cambria Math"/>
                  <w:lang w:eastAsia="nl-NL" w:bidi="ar-SA"/>
                </w:rPr>
                <m:t>y</m:t>
              </m:r>
            </m:e>
            <m:sub>
              <m:r>
                <w:rPr>
                  <w:rFonts w:ascii="Cambria Math" w:hAnsi="Cambria Math"/>
                  <w:lang w:eastAsia="nl-NL" w:bidi="ar-SA"/>
                </w:rPr>
                <m:t>t-1</m:t>
              </m:r>
            </m:sub>
          </m:sSub>
          <m:r>
            <w:rPr>
              <w:rFonts w:ascii="Cambria Math" w:hAnsi="Cambria Math"/>
              <w:lang w:eastAsia="nl-NL" w:bidi="ar-SA"/>
            </w:rPr>
            <m:t xml:space="preserve">+ </m:t>
          </m:r>
          <m:nary>
            <m:naryPr>
              <m:chr m:val="∑"/>
              <m:limLoc m:val="undOvr"/>
              <m:ctrlPr>
                <w:rPr>
                  <w:rFonts w:ascii="Cambria Math" w:hAnsi="Cambria Math"/>
                  <w:i/>
                  <w:lang w:eastAsia="nl-NL" w:bidi="ar-SA"/>
                </w:rPr>
              </m:ctrlPr>
            </m:naryPr>
            <m:sub>
              <m:r>
                <w:rPr>
                  <w:rFonts w:ascii="Cambria Math" w:hAnsi="Cambria Math"/>
                  <w:lang w:eastAsia="nl-NL" w:bidi="ar-SA"/>
                </w:rPr>
                <m:t>i=1</m:t>
              </m:r>
            </m:sub>
            <m:sup>
              <m:r>
                <w:rPr>
                  <w:rFonts w:ascii="Cambria Math" w:hAnsi="Cambria Math"/>
                  <w:lang w:eastAsia="nl-NL" w:bidi="ar-SA"/>
                </w:rPr>
                <m:t>p</m:t>
              </m:r>
            </m:sup>
            <m:e>
              <m:sSub>
                <m:sSubPr>
                  <m:ctrlPr>
                    <w:rPr>
                      <w:rFonts w:ascii="Cambria Math" w:hAnsi="Cambria Math"/>
                      <w:i/>
                      <w:lang w:eastAsia="nl-NL" w:bidi="ar-SA"/>
                    </w:rPr>
                  </m:ctrlPr>
                </m:sSubPr>
                <m:e>
                  <m:r>
                    <w:rPr>
                      <w:rFonts w:ascii="Cambria Math" w:hAnsi="Cambria Math"/>
                      <w:lang w:eastAsia="nl-NL" w:bidi="ar-SA"/>
                    </w:rPr>
                    <m:t>a</m:t>
                  </m:r>
                </m:e>
                <m:sub>
                  <m:r>
                    <w:rPr>
                      <w:rFonts w:ascii="Cambria Math" w:hAnsi="Cambria Math"/>
                      <w:lang w:eastAsia="nl-NL" w:bidi="ar-SA"/>
                    </w:rPr>
                    <m:t>2i</m:t>
                  </m:r>
                </m:sub>
              </m:sSub>
            </m:e>
          </m:nary>
          <m:r>
            <w:rPr>
              <w:rFonts w:ascii="Cambria Math" w:hAnsi="Cambria Math"/>
              <w:lang w:eastAsia="nl-NL" w:bidi="ar-SA"/>
            </w:rPr>
            <m:t>∆</m:t>
          </m:r>
          <m:sSub>
            <m:sSubPr>
              <m:ctrlPr>
                <w:rPr>
                  <w:rFonts w:ascii="Cambria Math" w:hAnsi="Cambria Math"/>
                  <w:i/>
                  <w:lang w:eastAsia="nl-NL" w:bidi="ar-SA"/>
                </w:rPr>
              </m:ctrlPr>
            </m:sSubPr>
            <m:e>
              <m:r>
                <w:rPr>
                  <w:rFonts w:ascii="Cambria Math" w:hAnsi="Cambria Math"/>
                  <w:lang w:eastAsia="nl-NL" w:bidi="ar-SA"/>
                </w:rPr>
                <m:t>x</m:t>
              </m:r>
            </m:e>
            <m:sub>
              <m:r>
                <w:rPr>
                  <w:rFonts w:ascii="Cambria Math" w:hAnsi="Cambria Math"/>
                  <w:lang w:eastAsia="nl-NL" w:bidi="ar-SA"/>
                </w:rPr>
                <m:t>t-i</m:t>
              </m:r>
            </m:sub>
          </m:sSub>
          <m:r>
            <w:rPr>
              <w:rFonts w:ascii="Cambria Math" w:hAnsi="Cambria Math"/>
              <w:lang w:eastAsia="nl-NL" w:bidi="ar-SA"/>
            </w:rPr>
            <m:t>+</m:t>
          </m:r>
          <m:sSub>
            <m:sSubPr>
              <m:ctrlPr>
                <w:rPr>
                  <w:rFonts w:ascii="Cambria Math" w:hAnsi="Cambria Math"/>
                  <w:i/>
                  <w:lang w:eastAsia="nl-NL" w:bidi="ar-SA"/>
                </w:rPr>
              </m:ctrlPr>
            </m:sSubPr>
            <m:e>
              <m:r>
                <w:rPr>
                  <w:rFonts w:ascii="Cambria Math" w:hAnsi="Cambria Math"/>
                  <w:lang w:eastAsia="nl-NL" w:bidi="ar-SA"/>
                </w:rPr>
                <m:t>ϵ</m:t>
              </m:r>
            </m:e>
            <m:sub>
              <m:r>
                <w:rPr>
                  <w:rFonts w:ascii="Cambria Math" w:hAnsi="Cambria Math"/>
                  <w:lang w:eastAsia="nl-NL" w:bidi="ar-SA"/>
                </w:rPr>
                <m:t>1t</m:t>
              </m:r>
            </m:sub>
          </m:sSub>
        </m:oMath>
      </m:oMathPara>
    </w:p>
    <w:p w:rsidR="00960852" w:rsidRDefault="00960852" w:rsidP="00960852">
      <w:pPr>
        <w:pStyle w:val="NoSpacing"/>
      </w:pPr>
    </w:p>
    <w:p w:rsidR="00960852" w:rsidRDefault="00960852" w:rsidP="00960852">
      <w:pPr>
        <w:pStyle w:val="NoSpacing"/>
        <w:rPr>
          <w:lang w:eastAsia="nl-NL" w:bidi="ar-SA"/>
        </w:rPr>
      </w:pPr>
      <m:oMathPara>
        <m:oMath>
          <m:r>
            <w:rPr>
              <w:rFonts w:ascii="Cambria Math" w:hAnsi="Cambria Math"/>
              <w:lang w:eastAsia="nl-NL" w:bidi="ar-SA"/>
            </w:rPr>
            <m:t>∆</m:t>
          </m:r>
          <m:sSub>
            <m:sSubPr>
              <m:ctrlPr>
                <w:rPr>
                  <w:rFonts w:ascii="Cambria Math" w:hAnsi="Cambria Math"/>
                  <w:i/>
                  <w:lang w:eastAsia="nl-NL" w:bidi="ar-SA"/>
                </w:rPr>
              </m:ctrlPr>
            </m:sSubPr>
            <m:e>
              <m:r>
                <w:rPr>
                  <w:rFonts w:ascii="Cambria Math" w:hAnsi="Cambria Math"/>
                  <w:lang w:eastAsia="nl-NL" w:bidi="ar-SA"/>
                </w:rPr>
                <m:t>x</m:t>
              </m:r>
            </m:e>
            <m:sub>
              <m:r>
                <w:rPr>
                  <w:rFonts w:ascii="Cambria Math" w:hAnsi="Cambria Math"/>
                  <w:lang w:eastAsia="nl-NL" w:bidi="ar-SA"/>
                </w:rPr>
                <m:t>t</m:t>
              </m:r>
            </m:sub>
          </m:sSub>
          <m:r>
            <w:rPr>
              <w:rFonts w:ascii="Cambria Math" w:hAnsi="Cambria Math"/>
              <w:lang w:eastAsia="nl-NL" w:bidi="ar-SA"/>
            </w:rPr>
            <m:t xml:space="preserve">= </m:t>
          </m:r>
          <m:sSub>
            <m:sSubPr>
              <m:ctrlPr>
                <w:rPr>
                  <w:rFonts w:ascii="Cambria Math" w:hAnsi="Cambria Math"/>
                  <w:i/>
                  <w:lang w:eastAsia="nl-NL" w:bidi="ar-SA"/>
                </w:rPr>
              </m:ctrlPr>
            </m:sSubPr>
            <m:e>
              <m:r>
                <w:rPr>
                  <w:rFonts w:ascii="Cambria Math" w:hAnsi="Cambria Math"/>
                  <w:lang w:eastAsia="nl-NL" w:bidi="ar-SA"/>
                </w:rPr>
                <m:t>β</m:t>
              </m:r>
            </m:e>
            <m:sub>
              <m:r>
                <w:rPr>
                  <w:rFonts w:ascii="Cambria Math" w:hAnsi="Cambria Math"/>
                  <w:lang w:eastAsia="nl-NL" w:bidi="ar-SA"/>
                </w:rPr>
                <m:t>0</m:t>
              </m:r>
            </m:sub>
          </m:sSub>
          <m:r>
            <w:rPr>
              <w:rFonts w:ascii="Cambria Math" w:hAnsi="Cambria Math"/>
              <w:lang w:eastAsia="nl-NL" w:bidi="ar-SA"/>
            </w:rPr>
            <m:t>+</m:t>
          </m:r>
          <m:sSub>
            <m:sSubPr>
              <m:ctrlPr>
                <w:rPr>
                  <w:rFonts w:ascii="Cambria Math" w:hAnsi="Cambria Math"/>
                  <w:i/>
                  <w:lang w:eastAsia="nl-NL" w:bidi="ar-SA"/>
                </w:rPr>
              </m:ctrlPr>
            </m:sSubPr>
            <m:e>
              <m:r>
                <w:rPr>
                  <w:rFonts w:ascii="Cambria Math" w:hAnsi="Cambria Math"/>
                  <w:lang w:eastAsia="nl-NL" w:bidi="ar-SA"/>
                </w:rPr>
                <m:t>δ</m:t>
              </m:r>
            </m:e>
            <m:sub>
              <m:r>
                <w:rPr>
                  <w:rFonts w:ascii="Cambria Math" w:hAnsi="Cambria Math"/>
                  <w:lang w:eastAsia="nl-NL" w:bidi="ar-SA"/>
                </w:rPr>
                <m:t>2</m:t>
              </m:r>
            </m:sub>
          </m:sSub>
          <m:sSub>
            <m:sSubPr>
              <m:ctrlPr>
                <w:rPr>
                  <w:rFonts w:ascii="Cambria Math" w:hAnsi="Cambria Math"/>
                  <w:i/>
                  <w:lang w:eastAsia="nl-NL" w:bidi="ar-SA"/>
                </w:rPr>
              </m:ctrlPr>
            </m:sSubPr>
            <m:e>
              <m:r>
                <w:rPr>
                  <w:rFonts w:ascii="Cambria Math" w:hAnsi="Cambria Math"/>
                  <w:lang w:eastAsia="nl-NL" w:bidi="ar-SA"/>
                </w:rPr>
                <m:t>e</m:t>
              </m:r>
            </m:e>
            <m:sub>
              <m:r>
                <w:rPr>
                  <w:rFonts w:ascii="Cambria Math" w:hAnsi="Cambria Math"/>
                  <w:lang w:eastAsia="nl-NL" w:bidi="ar-SA"/>
                </w:rPr>
                <m:t>2</m:t>
              </m:r>
            </m:sub>
          </m:sSub>
          <m:r>
            <w:rPr>
              <w:rFonts w:ascii="Cambria Math" w:hAnsi="Cambria Math"/>
              <w:lang w:eastAsia="nl-NL" w:bidi="ar-SA"/>
            </w:rPr>
            <m:t>+</m:t>
          </m:r>
          <m:nary>
            <m:naryPr>
              <m:chr m:val="∑"/>
              <m:limLoc m:val="undOvr"/>
              <m:ctrlPr>
                <w:rPr>
                  <w:rFonts w:ascii="Cambria Math" w:hAnsi="Cambria Math"/>
                  <w:i/>
                  <w:lang w:eastAsia="nl-NL" w:bidi="ar-SA"/>
                </w:rPr>
              </m:ctrlPr>
            </m:naryPr>
            <m:sub>
              <m:r>
                <w:rPr>
                  <w:rFonts w:ascii="Cambria Math" w:hAnsi="Cambria Math"/>
                  <w:lang w:eastAsia="nl-NL" w:bidi="ar-SA"/>
                </w:rPr>
                <m:t>i=1</m:t>
              </m:r>
            </m:sub>
            <m:sup>
              <m:r>
                <w:rPr>
                  <w:rFonts w:ascii="Cambria Math" w:hAnsi="Cambria Math"/>
                  <w:lang w:eastAsia="nl-NL" w:bidi="ar-SA"/>
                </w:rPr>
                <m:t>p</m:t>
              </m:r>
            </m:sup>
            <m:e>
              <m:sSub>
                <m:sSubPr>
                  <m:ctrlPr>
                    <w:rPr>
                      <w:rFonts w:ascii="Cambria Math" w:hAnsi="Cambria Math"/>
                      <w:i/>
                      <w:lang w:eastAsia="nl-NL" w:bidi="ar-SA"/>
                    </w:rPr>
                  </m:ctrlPr>
                </m:sSubPr>
                <m:e>
                  <m:r>
                    <w:rPr>
                      <w:rFonts w:ascii="Cambria Math" w:hAnsi="Cambria Math"/>
                      <w:lang w:eastAsia="nl-NL" w:bidi="ar-SA"/>
                    </w:rPr>
                    <m:t>β</m:t>
                  </m:r>
                </m:e>
                <m:sub>
                  <m:r>
                    <w:rPr>
                      <w:rFonts w:ascii="Cambria Math" w:hAnsi="Cambria Math"/>
                      <w:lang w:eastAsia="nl-NL" w:bidi="ar-SA"/>
                    </w:rPr>
                    <m:t>1i</m:t>
                  </m:r>
                </m:sub>
              </m:sSub>
            </m:e>
          </m:nary>
          <m:r>
            <w:rPr>
              <w:rFonts w:ascii="Cambria Math" w:hAnsi="Cambria Math"/>
              <w:lang w:eastAsia="nl-NL" w:bidi="ar-SA"/>
            </w:rPr>
            <m:t>∆</m:t>
          </m:r>
          <m:sSub>
            <m:sSubPr>
              <m:ctrlPr>
                <w:rPr>
                  <w:rFonts w:ascii="Cambria Math" w:hAnsi="Cambria Math"/>
                  <w:i/>
                  <w:lang w:eastAsia="nl-NL" w:bidi="ar-SA"/>
                </w:rPr>
              </m:ctrlPr>
            </m:sSubPr>
            <m:e>
              <m:r>
                <w:rPr>
                  <w:rFonts w:ascii="Cambria Math" w:hAnsi="Cambria Math"/>
                  <w:lang w:eastAsia="nl-NL" w:bidi="ar-SA"/>
                </w:rPr>
                <m:t>x</m:t>
              </m:r>
            </m:e>
            <m:sub>
              <m:r>
                <w:rPr>
                  <w:rFonts w:ascii="Cambria Math" w:hAnsi="Cambria Math"/>
                  <w:lang w:eastAsia="nl-NL" w:bidi="ar-SA"/>
                </w:rPr>
                <m:t>t-1</m:t>
              </m:r>
            </m:sub>
          </m:sSub>
          <m:r>
            <w:rPr>
              <w:rFonts w:ascii="Cambria Math" w:hAnsi="Cambria Math"/>
              <w:lang w:eastAsia="nl-NL" w:bidi="ar-SA"/>
            </w:rPr>
            <m:t>+</m:t>
          </m:r>
          <m:nary>
            <m:naryPr>
              <m:chr m:val="∑"/>
              <m:limLoc m:val="undOvr"/>
              <m:ctrlPr>
                <w:rPr>
                  <w:rFonts w:ascii="Cambria Math" w:hAnsi="Cambria Math"/>
                  <w:i/>
                  <w:lang w:eastAsia="nl-NL" w:bidi="ar-SA"/>
                </w:rPr>
              </m:ctrlPr>
            </m:naryPr>
            <m:sub>
              <m:r>
                <w:rPr>
                  <w:rFonts w:ascii="Cambria Math" w:hAnsi="Cambria Math"/>
                  <w:lang w:eastAsia="nl-NL" w:bidi="ar-SA"/>
                </w:rPr>
                <m:t>i=1</m:t>
              </m:r>
            </m:sub>
            <m:sup>
              <m:r>
                <w:rPr>
                  <w:rFonts w:ascii="Cambria Math" w:hAnsi="Cambria Math"/>
                  <w:lang w:eastAsia="nl-NL" w:bidi="ar-SA"/>
                </w:rPr>
                <m:t>p</m:t>
              </m:r>
            </m:sup>
            <m:e>
              <m:sSub>
                <m:sSubPr>
                  <m:ctrlPr>
                    <w:rPr>
                      <w:rFonts w:ascii="Cambria Math" w:hAnsi="Cambria Math"/>
                      <w:i/>
                      <w:lang w:eastAsia="nl-NL" w:bidi="ar-SA"/>
                    </w:rPr>
                  </m:ctrlPr>
                </m:sSubPr>
                <m:e>
                  <m:r>
                    <w:rPr>
                      <w:rFonts w:ascii="Cambria Math" w:hAnsi="Cambria Math"/>
                      <w:lang w:eastAsia="nl-NL" w:bidi="ar-SA"/>
                    </w:rPr>
                    <m:t>β</m:t>
                  </m:r>
                </m:e>
                <m:sub>
                  <m:r>
                    <w:rPr>
                      <w:rFonts w:ascii="Cambria Math" w:hAnsi="Cambria Math"/>
                      <w:lang w:eastAsia="nl-NL" w:bidi="ar-SA"/>
                    </w:rPr>
                    <m:t>2i</m:t>
                  </m:r>
                </m:sub>
              </m:sSub>
            </m:e>
          </m:nary>
          <m:r>
            <w:rPr>
              <w:rFonts w:ascii="Cambria Math" w:hAnsi="Cambria Math"/>
              <w:lang w:eastAsia="nl-NL" w:bidi="ar-SA"/>
            </w:rPr>
            <m:t>∆</m:t>
          </m:r>
          <m:sSub>
            <m:sSubPr>
              <m:ctrlPr>
                <w:rPr>
                  <w:rFonts w:ascii="Cambria Math" w:hAnsi="Cambria Math"/>
                  <w:i/>
                  <w:lang w:eastAsia="nl-NL" w:bidi="ar-SA"/>
                </w:rPr>
              </m:ctrlPr>
            </m:sSubPr>
            <m:e>
              <m:r>
                <w:rPr>
                  <w:rFonts w:ascii="Cambria Math" w:hAnsi="Cambria Math"/>
                  <w:lang w:eastAsia="nl-NL" w:bidi="ar-SA"/>
                </w:rPr>
                <m:t>y</m:t>
              </m:r>
            </m:e>
            <m:sub>
              <m:r>
                <w:rPr>
                  <w:rFonts w:ascii="Cambria Math" w:hAnsi="Cambria Math"/>
                  <w:lang w:eastAsia="nl-NL" w:bidi="ar-SA"/>
                </w:rPr>
                <m:t>t-1</m:t>
              </m:r>
            </m:sub>
          </m:sSub>
          <m:r>
            <w:rPr>
              <w:rFonts w:ascii="Cambria Math" w:hAnsi="Cambria Math"/>
              <w:lang w:eastAsia="nl-NL" w:bidi="ar-SA"/>
            </w:rPr>
            <m:t xml:space="preserve">+ </m:t>
          </m:r>
          <m:sSub>
            <m:sSubPr>
              <m:ctrlPr>
                <w:rPr>
                  <w:rFonts w:ascii="Cambria Math" w:hAnsi="Cambria Math"/>
                  <w:i/>
                  <w:lang w:eastAsia="nl-NL" w:bidi="ar-SA"/>
                </w:rPr>
              </m:ctrlPr>
            </m:sSubPr>
            <m:e>
              <m:r>
                <w:rPr>
                  <w:rFonts w:ascii="Cambria Math" w:hAnsi="Cambria Math"/>
                  <w:lang w:eastAsia="nl-NL" w:bidi="ar-SA"/>
                </w:rPr>
                <m:t>ϵ</m:t>
              </m:r>
            </m:e>
            <m:sub>
              <m:r>
                <w:rPr>
                  <w:rFonts w:ascii="Cambria Math" w:hAnsi="Cambria Math"/>
                  <w:lang w:eastAsia="nl-NL" w:bidi="ar-SA"/>
                </w:rPr>
                <m:t>2t</m:t>
              </m:r>
            </m:sub>
          </m:sSub>
        </m:oMath>
      </m:oMathPara>
    </w:p>
    <w:p w:rsidR="00960852" w:rsidRDefault="00960852" w:rsidP="00960852">
      <w:pPr>
        <w:pStyle w:val="NoSpacing"/>
      </w:pPr>
    </w:p>
    <w:p w:rsidR="00960852" w:rsidRDefault="00960852" w:rsidP="00960852">
      <w:pPr>
        <w:pStyle w:val="NoSpacing"/>
      </w:pPr>
      <w:r>
        <w:t xml:space="preserve">The coefficients </w:t>
      </w:r>
      <w:r w:rsidRPr="00FE2EF4">
        <w:rPr>
          <w:rFonts w:ascii="Cambria Math" w:hAnsi="Cambria Math"/>
        </w:rPr>
        <w:t>𝛿</w:t>
      </w:r>
      <w:r>
        <w:rPr>
          <w:rFonts w:ascii="Cambria Math" w:hAnsi="Cambria Math"/>
          <w:vertAlign w:val="subscript"/>
        </w:rPr>
        <w:t>1</w:t>
      </w:r>
      <w:r>
        <w:rPr>
          <w:rFonts w:ascii="Cambria Math" w:hAnsi="Cambria Math"/>
        </w:rPr>
        <w:t xml:space="preserve"> and </w:t>
      </w:r>
      <w:r w:rsidRPr="00FE2EF4">
        <w:rPr>
          <w:rFonts w:ascii="Cambria Math" w:hAnsi="Cambria Math"/>
        </w:rPr>
        <w:t>𝛿</w:t>
      </w:r>
      <w:r>
        <w:rPr>
          <w:rFonts w:ascii="Cambria Math" w:hAnsi="Cambria Math"/>
          <w:vertAlign w:val="subscript"/>
        </w:rPr>
        <w:t>2</w:t>
      </w:r>
      <w:r>
        <w:rPr>
          <w:rFonts w:ascii="Cambria Math" w:hAnsi="Cambria Math"/>
        </w:rPr>
        <w:t xml:space="preserve"> are called the error correction coefficients. Because both coefficients show how much ∆</w:t>
      </w:r>
      <w:proofErr w:type="spellStart"/>
      <w:r>
        <w:rPr>
          <w:rFonts w:ascii="Cambria Math" w:hAnsi="Cambria Math"/>
        </w:rPr>
        <w:t>y</w:t>
      </w:r>
      <w:r>
        <w:rPr>
          <w:rFonts w:ascii="Cambria Math" w:hAnsi="Cambria Math"/>
          <w:vertAlign w:val="subscript"/>
        </w:rPr>
        <w:t>t</w:t>
      </w:r>
      <w:proofErr w:type="spellEnd"/>
      <w:r>
        <w:rPr>
          <w:rFonts w:ascii="Cambria Math" w:hAnsi="Cambria Math"/>
        </w:rPr>
        <w:t xml:space="preserve"> and ∆</w:t>
      </w:r>
      <w:proofErr w:type="spellStart"/>
      <w:r>
        <w:rPr>
          <w:rFonts w:ascii="Cambria Math" w:hAnsi="Cambria Math"/>
        </w:rPr>
        <w:t>x</w:t>
      </w:r>
      <w:r>
        <w:rPr>
          <w:rFonts w:ascii="Cambria Math" w:hAnsi="Cambria Math"/>
          <w:vertAlign w:val="subscript"/>
        </w:rPr>
        <w:t>t</w:t>
      </w:r>
      <w:proofErr w:type="spellEnd"/>
      <w:r>
        <w:rPr>
          <w:rFonts w:ascii="Cambria Math" w:hAnsi="Cambria Math"/>
        </w:rPr>
        <w:t xml:space="preserve"> respond to their </w:t>
      </w:r>
      <w:proofErr w:type="spellStart"/>
      <w:r>
        <w:rPr>
          <w:rFonts w:ascii="Cambria Math" w:hAnsi="Cambria Math"/>
        </w:rPr>
        <w:t>cointegrated</w:t>
      </w:r>
      <w:proofErr w:type="spellEnd"/>
      <w:r>
        <w:rPr>
          <w:rFonts w:ascii="Cambria Math" w:hAnsi="Cambria Math"/>
        </w:rPr>
        <w:t xml:space="preserve"> error e</w:t>
      </w:r>
      <w:r>
        <w:rPr>
          <w:rFonts w:ascii="Cambria Math" w:hAnsi="Cambria Math"/>
          <w:vertAlign w:val="subscript"/>
        </w:rPr>
        <w:t>t-1</w:t>
      </w:r>
      <w:r>
        <w:rPr>
          <w:rFonts w:ascii="Cambria Math" w:hAnsi="Cambria Math"/>
        </w:rPr>
        <w:t xml:space="preserve"> = y</w:t>
      </w:r>
      <w:r>
        <w:rPr>
          <w:rFonts w:ascii="Cambria Math" w:hAnsi="Cambria Math"/>
          <w:vertAlign w:val="subscript"/>
        </w:rPr>
        <w:t>t-1</w:t>
      </w:r>
      <w:r>
        <w:rPr>
          <w:rFonts w:ascii="Cambria Math" w:hAnsi="Cambria Math"/>
        </w:rPr>
        <w:t xml:space="preserve"> – 𝛽</w:t>
      </w:r>
      <w:r>
        <w:rPr>
          <w:rFonts w:ascii="Cambria Math" w:hAnsi="Cambria Math"/>
          <w:vertAlign w:val="subscript"/>
        </w:rPr>
        <w:t>0</w:t>
      </w:r>
      <w:r>
        <w:rPr>
          <w:rFonts w:ascii="Cambria Math" w:hAnsi="Cambria Math"/>
        </w:rPr>
        <w:t xml:space="preserve"> - 𝛽</w:t>
      </w:r>
      <w:r>
        <w:rPr>
          <w:rFonts w:ascii="Cambria Math" w:hAnsi="Cambria Math"/>
          <w:vertAlign w:val="subscript"/>
        </w:rPr>
        <w:t xml:space="preserve">1 </w:t>
      </w:r>
      <w:r>
        <w:t>x</w:t>
      </w:r>
      <w:r>
        <w:rPr>
          <w:vertAlign w:val="subscript"/>
        </w:rPr>
        <w:t>t-1</w:t>
      </w:r>
      <w:r>
        <w:t xml:space="preserve">. Where </w:t>
      </w:r>
    </w:p>
    <w:p w:rsidR="00960852" w:rsidRPr="005262A6" w:rsidRDefault="00960852" w:rsidP="00960852">
      <w:pPr>
        <w:pStyle w:val="NoSpacing"/>
      </w:pPr>
      <w:r>
        <w:rPr>
          <w:rFonts w:ascii="Cambria Math" w:hAnsi="Cambria Math"/>
        </w:rPr>
        <w:t xml:space="preserve">-1 &lt; </w:t>
      </w:r>
      <w:r w:rsidRPr="00FE2EF4">
        <w:rPr>
          <w:rFonts w:ascii="Cambria Math" w:hAnsi="Cambria Math"/>
        </w:rPr>
        <w:t>𝛿</w:t>
      </w:r>
      <w:r>
        <w:rPr>
          <w:rFonts w:ascii="Cambria Math" w:hAnsi="Cambria Math"/>
          <w:vertAlign w:val="subscript"/>
        </w:rPr>
        <w:t>1</w:t>
      </w:r>
      <w:r>
        <w:rPr>
          <w:rFonts w:ascii="Cambria Math" w:hAnsi="Cambria Math"/>
        </w:rPr>
        <w:t xml:space="preserve"> ≤ 0 and    0 ≤ </w:t>
      </w:r>
      <w:r w:rsidRPr="00FE2EF4">
        <w:rPr>
          <w:rFonts w:ascii="Cambria Math" w:hAnsi="Cambria Math"/>
        </w:rPr>
        <w:t>𝛿</w:t>
      </w:r>
      <w:r>
        <w:rPr>
          <w:rFonts w:ascii="Cambria Math" w:hAnsi="Cambria Math"/>
          <w:vertAlign w:val="subscript"/>
        </w:rPr>
        <w:t>2</w:t>
      </w:r>
      <w:r>
        <w:rPr>
          <w:rFonts w:ascii="Cambria Math" w:hAnsi="Cambria Math"/>
        </w:rPr>
        <w:t xml:space="preserve"> &lt; 1, these conditions ensure the stability and the correction mechanism of the error term. For example, let e</w:t>
      </w:r>
      <w:r>
        <w:rPr>
          <w:rFonts w:ascii="Cambria Math" w:hAnsi="Cambria Math"/>
          <w:vertAlign w:val="subscript"/>
        </w:rPr>
        <w:t>t-1</w:t>
      </w:r>
      <w:r>
        <w:rPr>
          <w:rFonts w:ascii="Cambria Math" w:hAnsi="Cambria Math"/>
        </w:rPr>
        <w:t xml:space="preserve"> &gt; 0, because of y</w:t>
      </w:r>
      <w:r>
        <w:rPr>
          <w:rFonts w:ascii="Cambria Math" w:hAnsi="Cambria Math"/>
          <w:vertAlign w:val="subscript"/>
        </w:rPr>
        <w:t>-1</w:t>
      </w:r>
      <w:r>
        <w:rPr>
          <w:rFonts w:ascii="Cambria Math" w:hAnsi="Cambria Math"/>
        </w:rPr>
        <w:t xml:space="preserve"> &gt; (𝛽</w:t>
      </w:r>
      <w:r>
        <w:rPr>
          <w:rFonts w:ascii="Cambria Math" w:hAnsi="Cambria Math"/>
          <w:vertAlign w:val="subscript"/>
        </w:rPr>
        <w:t>0</w:t>
      </w:r>
      <w:r>
        <w:rPr>
          <w:rFonts w:ascii="Cambria Math" w:hAnsi="Cambria Math"/>
        </w:rPr>
        <w:t xml:space="preserve"> - 𝛽</w:t>
      </w:r>
      <w:r>
        <w:rPr>
          <w:rFonts w:ascii="Cambria Math" w:hAnsi="Cambria Math"/>
          <w:vertAlign w:val="subscript"/>
        </w:rPr>
        <w:t xml:space="preserve">1 </w:t>
      </w:r>
      <w:r>
        <w:t>x</w:t>
      </w:r>
      <w:r>
        <w:rPr>
          <w:vertAlign w:val="subscript"/>
        </w:rPr>
        <w:t>t-1</w:t>
      </w:r>
      <w:r>
        <w:t xml:space="preserve">), in this case the negative error correction coefficient </w:t>
      </w:r>
      <w:r w:rsidRPr="00FE2EF4">
        <w:rPr>
          <w:rFonts w:ascii="Cambria Math" w:hAnsi="Cambria Math"/>
        </w:rPr>
        <w:t>𝛿</w:t>
      </w:r>
      <w:r>
        <w:rPr>
          <w:rFonts w:ascii="Cambria Math" w:hAnsi="Cambria Math"/>
          <w:vertAlign w:val="subscript"/>
        </w:rPr>
        <w:t>1</w:t>
      </w:r>
      <w:r>
        <w:rPr>
          <w:rFonts w:ascii="Cambria Math" w:hAnsi="Cambria Math"/>
        </w:rPr>
        <w:t xml:space="preserve"> will force </w:t>
      </w:r>
      <w:proofErr w:type="spellStart"/>
      <w:r>
        <w:rPr>
          <w:rFonts w:ascii="Cambria Math" w:hAnsi="Cambria Math"/>
        </w:rPr>
        <w:t>y</w:t>
      </w:r>
      <w:r>
        <w:rPr>
          <w:rFonts w:ascii="Cambria Math" w:hAnsi="Cambria Math"/>
          <w:vertAlign w:val="subscript"/>
        </w:rPr>
        <w:t>t</w:t>
      </w:r>
      <w:proofErr w:type="spellEnd"/>
      <w:r>
        <w:rPr>
          <w:rFonts w:ascii="Cambria Math" w:hAnsi="Cambria Math"/>
        </w:rPr>
        <w:t xml:space="preserve"> to decrease, while a positive error correction coefficient </w:t>
      </w:r>
      <w:r w:rsidRPr="00FE2EF4">
        <w:rPr>
          <w:rFonts w:ascii="Cambria Math" w:hAnsi="Cambria Math"/>
        </w:rPr>
        <w:t>𝛿</w:t>
      </w:r>
      <w:r>
        <w:rPr>
          <w:rFonts w:ascii="Cambria Math" w:hAnsi="Cambria Math"/>
          <w:vertAlign w:val="subscript"/>
        </w:rPr>
        <w:t xml:space="preserve">2 </w:t>
      </w:r>
      <w:r>
        <w:rPr>
          <w:rFonts w:ascii="Cambria Math" w:hAnsi="Cambria Math"/>
        </w:rPr>
        <w:t xml:space="preserve">in </w:t>
      </w:r>
      <m:oMath>
        <m:r>
          <w:rPr>
            <w:rFonts w:ascii="Cambria Math" w:hAnsi="Cambria Math"/>
            <w:lang w:eastAsia="nl-NL" w:bidi="ar-SA"/>
          </w:rPr>
          <m:t>∆</m:t>
        </m:r>
        <m:sSub>
          <m:sSubPr>
            <m:ctrlPr>
              <w:rPr>
                <w:rFonts w:ascii="Cambria Math" w:hAnsi="Cambria Math"/>
                <w:i/>
                <w:lang w:eastAsia="nl-NL" w:bidi="ar-SA"/>
              </w:rPr>
            </m:ctrlPr>
          </m:sSubPr>
          <m:e>
            <m:r>
              <w:rPr>
                <w:rFonts w:ascii="Cambria Math" w:hAnsi="Cambria Math"/>
                <w:lang w:eastAsia="nl-NL" w:bidi="ar-SA"/>
              </w:rPr>
              <m:t>x</m:t>
            </m:r>
          </m:e>
          <m:sub>
            <m:r>
              <w:rPr>
                <w:rFonts w:ascii="Cambria Math" w:hAnsi="Cambria Math"/>
                <w:lang w:eastAsia="nl-NL" w:bidi="ar-SA"/>
              </w:rPr>
              <m:t>t</m:t>
            </m:r>
          </m:sub>
        </m:sSub>
      </m:oMath>
      <w:r>
        <w:rPr>
          <w:rFonts w:ascii="Cambria Math" w:hAnsi="Cambria Math"/>
          <w:lang w:eastAsia="nl-NL" w:bidi="ar-SA"/>
        </w:rPr>
        <w:t xml:space="preserve"> will force x</w:t>
      </w:r>
      <w:r>
        <w:rPr>
          <w:rFonts w:ascii="Cambria Math" w:hAnsi="Cambria Math"/>
          <w:vertAlign w:val="subscript"/>
          <w:lang w:eastAsia="nl-NL" w:bidi="ar-SA"/>
        </w:rPr>
        <w:t>t</w:t>
      </w:r>
      <w:r>
        <w:rPr>
          <w:rFonts w:ascii="Cambria Math" w:hAnsi="Cambria Math"/>
          <w:lang w:eastAsia="nl-NL" w:bidi="ar-SA"/>
        </w:rPr>
        <w:t xml:space="preserve"> to increase, and so correcting the error and it will bring the mechanism towards it equilibrium. </w:t>
      </w:r>
    </w:p>
    <w:p w:rsidR="00960852" w:rsidRDefault="00960852" w:rsidP="00960852">
      <w:pPr>
        <w:pStyle w:val="NoSpacing"/>
      </w:pPr>
    </w:p>
    <w:p w:rsidR="00960852" w:rsidRDefault="00960852" w:rsidP="00960852">
      <w:pPr>
        <w:pStyle w:val="NoSpacing"/>
      </w:pPr>
      <w:r>
        <w:t>Four types of results are possible in Granger causality testing:</w:t>
      </w:r>
    </w:p>
    <w:p w:rsidR="00960852" w:rsidRDefault="00960852" w:rsidP="00960852">
      <w:pPr>
        <w:pStyle w:val="NoSpacing"/>
        <w:numPr>
          <w:ilvl w:val="0"/>
          <w:numId w:val="10"/>
        </w:numPr>
      </w:pPr>
      <w:r>
        <w:t>x does Granger cause y</w:t>
      </w:r>
    </w:p>
    <w:p w:rsidR="00960852" w:rsidRDefault="00960852" w:rsidP="00960852">
      <w:pPr>
        <w:pStyle w:val="NoSpacing"/>
        <w:numPr>
          <w:ilvl w:val="0"/>
          <w:numId w:val="10"/>
        </w:numPr>
      </w:pPr>
      <w:r>
        <w:t>y does Granger cause x</w:t>
      </w:r>
    </w:p>
    <w:p w:rsidR="00960852" w:rsidRDefault="00960852" w:rsidP="00960852">
      <w:pPr>
        <w:pStyle w:val="NoSpacing"/>
        <w:numPr>
          <w:ilvl w:val="0"/>
          <w:numId w:val="10"/>
        </w:numPr>
      </w:pPr>
      <w:r>
        <w:t>x does Granger cause y and y does Granger cause x (feedback mechanism)</w:t>
      </w:r>
    </w:p>
    <w:p w:rsidR="00960852" w:rsidRDefault="00960852" w:rsidP="00960852">
      <w:pPr>
        <w:pStyle w:val="NoSpacing"/>
        <w:numPr>
          <w:ilvl w:val="0"/>
          <w:numId w:val="10"/>
        </w:numPr>
      </w:pPr>
      <w:r>
        <w:t>none of the variables Granger-cause the other</w:t>
      </w:r>
    </w:p>
    <w:p w:rsidR="00960852" w:rsidRDefault="00960852" w:rsidP="00960852">
      <w:pPr>
        <w:pStyle w:val="NoSpacing"/>
      </w:pPr>
    </w:p>
    <w:p w:rsidR="00960852" w:rsidRDefault="00960852" w:rsidP="00960852">
      <w:pPr>
        <w:pStyle w:val="NoSpacing"/>
      </w:pPr>
      <w:r>
        <w:t xml:space="preserve">The first and second results are the most trustworthy. A feedback mechanism can exist if the variables are correlated. As said above, correlation says nothing about causation and can lead in a causality test to a feedback mechanism due to what is called instantaneous correlation. Instantaneous correlation exists if the errors are correlated, ρ = </w:t>
      </w:r>
      <w:proofErr w:type="spellStart"/>
      <w:proofErr w:type="gramStart"/>
      <w:r>
        <w:t>corr</w:t>
      </w:r>
      <w:proofErr w:type="spellEnd"/>
      <w:r>
        <w:t>(</w:t>
      </w:r>
      <w:proofErr w:type="gramEnd"/>
      <w:r>
        <w:t>e</w:t>
      </w:r>
      <w:r>
        <w:rPr>
          <w:vertAlign w:val="subscript"/>
        </w:rPr>
        <w:t>xt</w:t>
      </w:r>
      <w:r>
        <w:t>, yet)≠ 0. Granger (1988) distinguished three possible explanations for this kind of correlation:</w:t>
      </w:r>
    </w:p>
    <w:p w:rsidR="00960852" w:rsidRDefault="00960852" w:rsidP="00960852">
      <w:pPr>
        <w:pStyle w:val="NoSpacing"/>
        <w:numPr>
          <w:ilvl w:val="0"/>
          <w:numId w:val="10"/>
        </w:numPr>
      </w:pPr>
      <w:r>
        <w:t xml:space="preserve">There is true instantaneous causality in an economic system, meaning a variable react without any measurable time delay to a change in another variable. </w:t>
      </w:r>
    </w:p>
    <w:p w:rsidR="00960852" w:rsidRDefault="00960852" w:rsidP="00960852">
      <w:pPr>
        <w:pStyle w:val="NoSpacing"/>
        <w:numPr>
          <w:ilvl w:val="0"/>
          <w:numId w:val="10"/>
        </w:numPr>
      </w:pPr>
      <w:r>
        <w:t xml:space="preserve">There is no true instantaneous correlation, but the time delay between change in one variable and the reaction in another variable is small compared with the time interval. </w:t>
      </w:r>
    </w:p>
    <w:p w:rsidR="00960852" w:rsidRDefault="00960852" w:rsidP="00960852">
      <w:pPr>
        <w:pStyle w:val="NoSpacing"/>
        <w:numPr>
          <w:ilvl w:val="0"/>
          <w:numId w:val="10"/>
        </w:numPr>
      </w:pPr>
      <w:r>
        <w:t>There is a jointly causal variable z</w:t>
      </w:r>
      <w:r>
        <w:rPr>
          <w:vertAlign w:val="subscript"/>
        </w:rPr>
        <w:t>t-1</w:t>
      </w:r>
      <w:r>
        <w:t xml:space="preserve">, that causes both other variables, but is not included in the model (possibly it is not known). </w:t>
      </w:r>
    </w:p>
    <w:p w:rsidR="00960852" w:rsidRPr="006A05A0" w:rsidRDefault="00960852" w:rsidP="00960852">
      <w:pPr>
        <w:pStyle w:val="NoSpacing"/>
      </w:pPr>
    </w:p>
    <w:p w:rsidR="00960852" w:rsidRDefault="00960852" w:rsidP="00960852">
      <w:pPr>
        <w:pStyle w:val="NoSpacing"/>
      </w:pPr>
      <w:r>
        <w:t xml:space="preserve">The underlying theory of the Granger causality is often neglected in research, and Granger causality is simply used as a test for finding prediction power in two time series. Ignoring the two facts that Granger causality not really tests causality and if a feedback relation is found it can be due to instantaneous correlation. It does certainly not mean the test is useless. Otherwise it would not be </w:t>
      </w:r>
      <w:r>
        <w:lastRenderedPageBreak/>
        <w:t xml:space="preserve">used in this test, though not perfect it is simply the best test in the field of causality and it is all about the interpretation of the results.  </w:t>
      </w:r>
    </w:p>
    <w:p w:rsidR="00960852" w:rsidRDefault="00960852" w:rsidP="00960852">
      <w:pPr>
        <w:pStyle w:val="NoSpacing"/>
      </w:pPr>
    </w:p>
    <w:p w:rsidR="00C76179" w:rsidRPr="00C76179" w:rsidRDefault="00D4118F" w:rsidP="00960852">
      <w:pPr>
        <w:pStyle w:val="NoSpacing"/>
        <w:rPr>
          <w:color w:val="FF0000"/>
        </w:rPr>
      </w:pPr>
      <w:r w:rsidRPr="00C76179">
        <w:rPr>
          <w:color w:val="FF0000"/>
        </w:rPr>
        <w:t>At the end of the three steps, the impulse response</w:t>
      </w:r>
      <w:r w:rsidR="00534D6D">
        <w:rPr>
          <w:color w:val="FF0000"/>
        </w:rPr>
        <w:t>s</w:t>
      </w:r>
      <w:r w:rsidRPr="00C76179">
        <w:rPr>
          <w:color w:val="FF0000"/>
        </w:rPr>
        <w:t xml:space="preserve"> will be verified for the combinations that has showed a significant Granger causality. </w:t>
      </w:r>
      <w:r w:rsidR="00534D6D" w:rsidRPr="00C76179">
        <w:rPr>
          <w:color w:val="FF0000"/>
        </w:rPr>
        <w:t>Th</w:t>
      </w:r>
      <w:r w:rsidR="00534D6D">
        <w:rPr>
          <w:color w:val="FF0000"/>
        </w:rPr>
        <w:t>e</w:t>
      </w:r>
      <w:r w:rsidR="00534D6D" w:rsidRPr="00C76179">
        <w:rPr>
          <w:color w:val="FF0000"/>
        </w:rPr>
        <w:t>s</w:t>
      </w:r>
      <w:r w:rsidR="00534D6D">
        <w:rPr>
          <w:color w:val="FF0000"/>
        </w:rPr>
        <w:t>e</w:t>
      </w:r>
      <w:r w:rsidR="00534D6D" w:rsidRPr="00C76179">
        <w:rPr>
          <w:color w:val="FF0000"/>
        </w:rPr>
        <w:t xml:space="preserve"> impulse response</w:t>
      </w:r>
      <w:r w:rsidR="00534D6D">
        <w:rPr>
          <w:color w:val="FF0000"/>
        </w:rPr>
        <w:t>s</w:t>
      </w:r>
      <w:r w:rsidR="00534D6D" w:rsidRPr="00C76179">
        <w:rPr>
          <w:color w:val="FF0000"/>
        </w:rPr>
        <w:t xml:space="preserve"> indicate</w:t>
      </w:r>
      <w:r w:rsidRPr="00C76179">
        <w:rPr>
          <w:color w:val="FF0000"/>
        </w:rPr>
        <w:t xml:space="preserve"> the direction of causation. The idea behind it is that a shock to </w:t>
      </w:r>
      <w:proofErr w:type="gramStart"/>
      <w:r w:rsidRPr="00C76179">
        <w:rPr>
          <w:color w:val="FF0000"/>
        </w:rPr>
        <w:t xml:space="preserve">the </w:t>
      </w:r>
      <w:proofErr w:type="spellStart"/>
      <w:r w:rsidRPr="00C76179">
        <w:rPr>
          <w:color w:val="FF0000"/>
        </w:rPr>
        <w:t>i</w:t>
      </w:r>
      <w:proofErr w:type="gramEnd"/>
      <w:r w:rsidRPr="00C76179">
        <w:rPr>
          <w:color w:val="FF0000"/>
        </w:rPr>
        <w:t>-th</w:t>
      </w:r>
      <w:proofErr w:type="spellEnd"/>
      <w:r w:rsidRPr="00C76179">
        <w:rPr>
          <w:color w:val="FF0000"/>
        </w:rPr>
        <w:t xml:space="preserve"> variable influences more than only this variable. The impulse response traces the effect of </w:t>
      </w:r>
      <w:r w:rsidR="00C76179" w:rsidRPr="00C76179">
        <w:rPr>
          <w:color w:val="FF0000"/>
        </w:rPr>
        <w:t>a</w:t>
      </w:r>
      <w:r w:rsidRPr="00C76179">
        <w:rPr>
          <w:color w:val="FF0000"/>
        </w:rPr>
        <w:t xml:space="preserve"> one-time shock </w:t>
      </w:r>
      <w:r w:rsidR="00C76179" w:rsidRPr="00C76179">
        <w:rPr>
          <w:color w:val="FF0000"/>
        </w:rPr>
        <w:t xml:space="preserve">on the future values of the other variables and gives the direction of that effect. Both results </w:t>
      </w:r>
      <w:r w:rsidR="00534D6D" w:rsidRPr="00C76179">
        <w:rPr>
          <w:color w:val="FF0000"/>
        </w:rPr>
        <w:t>have</w:t>
      </w:r>
      <w:r w:rsidR="00C76179" w:rsidRPr="00C76179">
        <w:rPr>
          <w:color w:val="FF0000"/>
        </w:rPr>
        <w:t xml:space="preserve"> value when investigating a relationship, but in this thesis especially the direction of the effect will be verified, because the Granger causality gives no information about this direction. </w:t>
      </w:r>
    </w:p>
    <w:p w:rsidR="00960852" w:rsidRDefault="00960852" w:rsidP="00960852">
      <w:pPr>
        <w:pStyle w:val="NoSpacing"/>
      </w:pPr>
    </w:p>
    <w:p w:rsidR="00960852" w:rsidRDefault="00960852" w:rsidP="00960852">
      <w:pPr>
        <w:pStyle w:val="NoSpacing"/>
        <w:jc w:val="both"/>
      </w:pPr>
    </w:p>
    <w:p w:rsidR="00960852" w:rsidRDefault="00960852" w:rsidP="00960852">
      <w:pPr>
        <w:pStyle w:val="NoSpacing"/>
        <w:jc w:val="both"/>
      </w:pPr>
    </w:p>
    <w:p w:rsidR="00960852" w:rsidRDefault="00960852" w:rsidP="00960852">
      <w:pPr>
        <w:pStyle w:val="NoSpacing"/>
        <w:jc w:val="both"/>
      </w:pPr>
    </w:p>
    <w:p w:rsidR="00960852" w:rsidRDefault="00960852" w:rsidP="00960852">
      <w:pPr>
        <w:pStyle w:val="NoSpacing"/>
        <w:jc w:val="both"/>
      </w:pPr>
    </w:p>
    <w:p w:rsidR="00960852" w:rsidRDefault="00960852" w:rsidP="00960852">
      <w:pPr>
        <w:pStyle w:val="NoSpacing"/>
        <w:jc w:val="both"/>
      </w:pPr>
    </w:p>
    <w:p w:rsidR="00960852" w:rsidRDefault="00960852" w:rsidP="00960852">
      <w:pPr>
        <w:pStyle w:val="NoSpacing"/>
        <w:jc w:val="both"/>
      </w:pPr>
    </w:p>
    <w:p w:rsidR="00314A1E" w:rsidRDefault="00314A1E" w:rsidP="00960852">
      <w:pPr>
        <w:pStyle w:val="NoSpacing"/>
        <w:jc w:val="both"/>
      </w:pPr>
    </w:p>
    <w:p w:rsidR="00314A1E" w:rsidRDefault="00314A1E" w:rsidP="00960852">
      <w:pPr>
        <w:pStyle w:val="NoSpacing"/>
        <w:jc w:val="both"/>
      </w:pPr>
    </w:p>
    <w:p w:rsidR="00314A1E" w:rsidRDefault="00314A1E" w:rsidP="00960852">
      <w:pPr>
        <w:pStyle w:val="NoSpacing"/>
        <w:jc w:val="both"/>
      </w:pPr>
    </w:p>
    <w:p w:rsidR="00314A1E" w:rsidRDefault="00314A1E" w:rsidP="00960852">
      <w:pPr>
        <w:pStyle w:val="NoSpacing"/>
        <w:jc w:val="both"/>
      </w:pPr>
    </w:p>
    <w:p w:rsidR="00314A1E" w:rsidRDefault="00314A1E" w:rsidP="00960852">
      <w:pPr>
        <w:pStyle w:val="NoSpacing"/>
        <w:jc w:val="both"/>
      </w:pPr>
    </w:p>
    <w:p w:rsidR="00314A1E" w:rsidRDefault="00314A1E" w:rsidP="00960852">
      <w:pPr>
        <w:pStyle w:val="NoSpacing"/>
        <w:jc w:val="both"/>
      </w:pPr>
    </w:p>
    <w:p w:rsidR="00314A1E" w:rsidRDefault="00314A1E" w:rsidP="00960852">
      <w:pPr>
        <w:pStyle w:val="NoSpacing"/>
        <w:jc w:val="both"/>
      </w:pPr>
    </w:p>
    <w:p w:rsidR="00314A1E" w:rsidRDefault="00314A1E" w:rsidP="00960852">
      <w:pPr>
        <w:pStyle w:val="NoSpacing"/>
        <w:jc w:val="both"/>
      </w:pPr>
    </w:p>
    <w:p w:rsidR="00314A1E" w:rsidRDefault="00314A1E" w:rsidP="00960852">
      <w:pPr>
        <w:pStyle w:val="NoSpacing"/>
        <w:jc w:val="both"/>
      </w:pPr>
    </w:p>
    <w:p w:rsidR="00314A1E" w:rsidRDefault="00314A1E" w:rsidP="00960852">
      <w:pPr>
        <w:pStyle w:val="NoSpacing"/>
        <w:jc w:val="both"/>
      </w:pPr>
    </w:p>
    <w:p w:rsidR="00314A1E" w:rsidRDefault="00314A1E" w:rsidP="00960852">
      <w:pPr>
        <w:pStyle w:val="NoSpacing"/>
        <w:jc w:val="both"/>
      </w:pPr>
    </w:p>
    <w:p w:rsidR="00314A1E" w:rsidRDefault="00314A1E" w:rsidP="00960852">
      <w:pPr>
        <w:pStyle w:val="NoSpacing"/>
        <w:jc w:val="both"/>
      </w:pPr>
    </w:p>
    <w:p w:rsidR="00314A1E" w:rsidRDefault="00314A1E" w:rsidP="00960852">
      <w:pPr>
        <w:pStyle w:val="NoSpacing"/>
        <w:jc w:val="both"/>
      </w:pPr>
    </w:p>
    <w:p w:rsidR="00314A1E" w:rsidRDefault="00314A1E" w:rsidP="00960852">
      <w:pPr>
        <w:pStyle w:val="NoSpacing"/>
        <w:jc w:val="both"/>
      </w:pPr>
    </w:p>
    <w:p w:rsidR="00314A1E" w:rsidRDefault="00314A1E" w:rsidP="00960852">
      <w:pPr>
        <w:pStyle w:val="NoSpacing"/>
        <w:jc w:val="both"/>
      </w:pPr>
    </w:p>
    <w:p w:rsidR="00314A1E" w:rsidRDefault="00314A1E" w:rsidP="00960852">
      <w:pPr>
        <w:pStyle w:val="NoSpacing"/>
        <w:jc w:val="both"/>
      </w:pPr>
    </w:p>
    <w:p w:rsidR="00314A1E" w:rsidRDefault="00314A1E" w:rsidP="00960852">
      <w:pPr>
        <w:pStyle w:val="NoSpacing"/>
        <w:jc w:val="both"/>
      </w:pPr>
    </w:p>
    <w:p w:rsidR="00314A1E" w:rsidRDefault="00314A1E" w:rsidP="00960852">
      <w:pPr>
        <w:pStyle w:val="NoSpacing"/>
        <w:jc w:val="both"/>
      </w:pPr>
    </w:p>
    <w:p w:rsidR="00314A1E" w:rsidRDefault="00314A1E" w:rsidP="00960852">
      <w:pPr>
        <w:pStyle w:val="NoSpacing"/>
        <w:jc w:val="both"/>
      </w:pPr>
    </w:p>
    <w:p w:rsidR="00314A1E" w:rsidRDefault="00314A1E" w:rsidP="00960852">
      <w:pPr>
        <w:pStyle w:val="NoSpacing"/>
        <w:jc w:val="both"/>
      </w:pPr>
    </w:p>
    <w:p w:rsidR="00314A1E" w:rsidRDefault="00314A1E" w:rsidP="00960852">
      <w:pPr>
        <w:pStyle w:val="NoSpacing"/>
        <w:jc w:val="both"/>
      </w:pPr>
    </w:p>
    <w:p w:rsidR="00D6604F" w:rsidRDefault="00D6604F" w:rsidP="00960852">
      <w:pPr>
        <w:pStyle w:val="NoSpacing"/>
        <w:jc w:val="both"/>
      </w:pPr>
    </w:p>
    <w:p w:rsidR="00D6604F" w:rsidRDefault="00D6604F" w:rsidP="00960852">
      <w:pPr>
        <w:pStyle w:val="NoSpacing"/>
        <w:jc w:val="both"/>
      </w:pPr>
    </w:p>
    <w:p w:rsidR="00D6604F" w:rsidRDefault="00D6604F" w:rsidP="00960852">
      <w:pPr>
        <w:pStyle w:val="NoSpacing"/>
        <w:jc w:val="both"/>
      </w:pPr>
    </w:p>
    <w:p w:rsidR="00D6604F" w:rsidRDefault="00D6604F" w:rsidP="00960852">
      <w:pPr>
        <w:pStyle w:val="NoSpacing"/>
        <w:jc w:val="both"/>
      </w:pPr>
    </w:p>
    <w:p w:rsidR="00D6604F" w:rsidRDefault="00D6604F" w:rsidP="00960852">
      <w:pPr>
        <w:pStyle w:val="NoSpacing"/>
        <w:jc w:val="both"/>
      </w:pPr>
    </w:p>
    <w:p w:rsidR="00D6604F" w:rsidRDefault="00D6604F" w:rsidP="00960852">
      <w:pPr>
        <w:pStyle w:val="NoSpacing"/>
        <w:jc w:val="both"/>
      </w:pPr>
    </w:p>
    <w:p w:rsidR="00D6604F" w:rsidRDefault="00D6604F" w:rsidP="00960852">
      <w:pPr>
        <w:pStyle w:val="NoSpacing"/>
        <w:jc w:val="both"/>
      </w:pPr>
    </w:p>
    <w:p w:rsidR="00D6604F" w:rsidRDefault="00D6604F" w:rsidP="00960852">
      <w:pPr>
        <w:pStyle w:val="NoSpacing"/>
        <w:jc w:val="both"/>
      </w:pPr>
    </w:p>
    <w:p w:rsidR="00D6604F" w:rsidRDefault="00D6604F" w:rsidP="00960852">
      <w:pPr>
        <w:pStyle w:val="NoSpacing"/>
        <w:jc w:val="both"/>
      </w:pPr>
    </w:p>
    <w:p w:rsidR="00D6604F" w:rsidRDefault="00D6604F" w:rsidP="00960852">
      <w:pPr>
        <w:pStyle w:val="NoSpacing"/>
        <w:jc w:val="both"/>
      </w:pPr>
    </w:p>
    <w:p w:rsidR="00D6604F" w:rsidRDefault="00D6604F" w:rsidP="00960852">
      <w:pPr>
        <w:pStyle w:val="NoSpacing"/>
        <w:jc w:val="both"/>
      </w:pPr>
    </w:p>
    <w:p w:rsidR="00D6604F" w:rsidRDefault="00D6604F" w:rsidP="00960852">
      <w:pPr>
        <w:pStyle w:val="NoSpacing"/>
        <w:jc w:val="both"/>
      </w:pPr>
    </w:p>
    <w:p w:rsidR="00D6604F" w:rsidRDefault="00D6604F" w:rsidP="00960852">
      <w:pPr>
        <w:pStyle w:val="NoSpacing"/>
        <w:jc w:val="both"/>
      </w:pPr>
    </w:p>
    <w:p w:rsidR="00D6604F" w:rsidRDefault="00D6604F" w:rsidP="00960852">
      <w:pPr>
        <w:pStyle w:val="NoSpacing"/>
        <w:jc w:val="both"/>
      </w:pPr>
    </w:p>
    <w:p w:rsidR="00314A1E" w:rsidRDefault="00314A1E" w:rsidP="00DA7F40">
      <w:pPr>
        <w:pStyle w:val="Heading1"/>
        <w:numPr>
          <w:ilvl w:val="0"/>
          <w:numId w:val="14"/>
        </w:numPr>
      </w:pPr>
      <w:bookmarkStart w:id="9" w:name="_Toc300320235"/>
      <w:r>
        <w:lastRenderedPageBreak/>
        <w:t>Results</w:t>
      </w:r>
      <w:bookmarkEnd w:id="9"/>
    </w:p>
    <w:p w:rsidR="00314A1E" w:rsidRDefault="00314A1E" w:rsidP="00314A1E">
      <w:pPr>
        <w:pStyle w:val="NoSpacing"/>
      </w:pPr>
      <w:r>
        <w:t xml:space="preserve">In this part of the thesis the results of the three steps (testing for unit root, </w:t>
      </w:r>
      <w:proofErr w:type="spellStart"/>
      <w:r>
        <w:t>cointegration</w:t>
      </w:r>
      <w:proofErr w:type="spellEnd"/>
      <w:r>
        <w:t xml:space="preserve"> and Granger causality) are given. As is described in the methodology part, it is important first to test for a unit root in the time series, before testing a possible relationship. The ADF test could exclude the possibility of finding a spurious relationship. The tests for stationary are done for all exchange rates and stock indices. In the interpretation of the results, a link is made with the theory. But it is hardly impossible to give an explanation for every sector on its one. To analyze imports and exports of a sector and to find out in which countries their affiliate companies are and which other variables are responsible for changes lies behind the scope of this thesis and is probably a whole thesis on its own. Despite the difficulties, this paper tries to explain how relationships are created on macro and micro level. But the goals of this paper are to find out if there are relationships between </w:t>
      </w:r>
      <w:proofErr w:type="gramStart"/>
      <w:r>
        <w:t>both markets</w:t>
      </w:r>
      <w:proofErr w:type="gramEnd"/>
      <w:r>
        <w:t>, in the short or long run, in which direction, how sectors behave and what the differences</w:t>
      </w:r>
      <w:r w:rsidR="00110E97">
        <w:t xml:space="preserve"> are</w:t>
      </w:r>
      <w:r>
        <w:t xml:space="preserve"> between Europe and the US. </w:t>
      </w:r>
      <w:r w:rsidR="00110E97">
        <w:t>T</w:t>
      </w:r>
      <w:r>
        <w:t>he results are divided in three parts, market indices, European sector indices and US stock indices. But first, as all variables have to be tested for a unit root, the ADF test on exchange rates.</w:t>
      </w:r>
    </w:p>
    <w:p w:rsidR="00314A1E" w:rsidRDefault="00314A1E" w:rsidP="00314A1E">
      <w:pPr>
        <w:pStyle w:val="NoSpacing"/>
      </w:pPr>
    </w:p>
    <w:p w:rsidR="00314A1E" w:rsidRDefault="00314A1E" w:rsidP="00314A1E">
      <w:pPr>
        <w:pStyle w:val="NoSpacing"/>
      </w:pPr>
      <w:r>
        <w:t>Table</w:t>
      </w:r>
      <w:r w:rsidR="00110E97">
        <w:t xml:space="preserve"> </w:t>
      </w:r>
      <w:r w:rsidR="00CD606C">
        <w:t>6</w:t>
      </w:r>
      <w:r w:rsidR="00110E97">
        <w:t xml:space="preserve"> </w:t>
      </w:r>
      <w:r>
        <w:t xml:space="preserve">shows that both exchange rates </w:t>
      </w:r>
      <w:r w:rsidR="00110E97">
        <w:t>have</w:t>
      </w:r>
      <w:r>
        <w:t xml:space="preserve"> a unit root, meaning that they are non-stationary processes. The same test on the first differences proves that the time series are integrated of order one, as can be seen by the very high t-statistics in the third column. </w:t>
      </w:r>
    </w:p>
    <w:p w:rsidR="00314A1E" w:rsidRDefault="00314A1E" w:rsidP="00314A1E">
      <w:pPr>
        <w:pStyle w:val="NoSpacing"/>
      </w:pPr>
    </w:p>
    <w:p w:rsidR="00314A1E" w:rsidRDefault="00314A1E" w:rsidP="00314A1E">
      <w:pPr>
        <w:pStyle w:val="NoSpacing"/>
      </w:pPr>
      <w:r>
        <w:t xml:space="preserve">Table </w:t>
      </w:r>
      <w:r w:rsidR="00CD606C">
        <w:t>6</w:t>
      </w:r>
      <w:r>
        <w:t>: ADF test on exchange rates</w:t>
      </w:r>
    </w:p>
    <w:tbl>
      <w:tblPr>
        <w:tblW w:w="4825" w:type="dxa"/>
        <w:tblInd w:w="53" w:type="dxa"/>
        <w:tblCellMar>
          <w:left w:w="70" w:type="dxa"/>
          <w:right w:w="70" w:type="dxa"/>
        </w:tblCellMar>
        <w:tblLook w:val="04A0"/>
      </w:tblPr>
      <w:tblGrid>
        <w:gridCol w:w="985"/>
        <w:gridCol w:w="1007"/>
        <w:gridCol w:w="913"/>
        <w:gridCol w:w="1007"/>
        <w:gridCol w:w="913"/>
      </w:tblGrid>
      <w:tr w:rsidR="00314A1E" w:rsidRPr="006D7B9D" w:rsidTr="009C16D2">
        <w:trPr>
          <w:trHeight w:val="255"/>
        </w:trPr>
        <w:tc>
          <w:tcPr>
            <w:tcW w:w="985" w:type="dxa"/>
            <w:tcBorders>
              <w:top w:val="nil"/>
              <w:left w:val="nil"/>
              <w:bottom w:val="nil"/>
              <w:right w:val="nil"/>
            </w:tcBorders>
            <w:shd w:val="clear" w:color="auto" w:fill="auto"/>
            <w:noWrap/>
            <w:vAlign w:val="bottom"/>
            <w:hideMark/>
          </w:tcPr>
          <w:p w:rsidR="00314A1E" w:rsidRPr="006D7B9D" w:rsidRDefault="00314A1E" w:rsidP="009C16D2">
            <w:pPr>
              <w:spacing w:after="0" w:line="240" w:lineRule="auto"/>
              <w:rPr>
                <w:rFonts w:ascii="Arial" w:eastAsia="Times New Roman" w:hAnsi="Arial" w:cs="Arial"/>
                <w:sz w:val="20"/>
                <w:szCs w:val="20"/>
                <w:lang w:eastAsia="nl-NL" w:bidi="ar-SA"/>
              </w:rPr>
            </w:pPr>
          </w:p>
        </w:tc>
        <w:tc>
          <w:tcPr>
            <w:tcW w:w="1920" w:type="dxa"/>
            <w:gridSpan w:val="2"/>
            <w:tcBorders>
              <w:top w:val="single" w:sz="8" w:space="0" w:color="auto"/>
              <w:left w:val="single" w:sz="8" w:space="0" w:color="auto"/>
              <w:bottom w:val="nil"/>
              <w:right w:val="single" w:sz="8" w:space="0" w:color="000000"/>
            </w:tcBorders>
            <w:shd w:val="clear" w:color="auto" w:fill="auto"/>
            <w:noWrap/>
            <w:vAlign w:val="bottom"/>
            <w:hideMark/>
          </w:tcPr>
          <w:p w:rsidR="00314A1E" w:rsidRPr="006D7B9D" w:rsidRDefault="00314A1E" w:rsidP="009C16D2">
            <w:pPr>
              <w:spacing w:after="0" w:line="240" w:lineRule="auto"/>
              <w:rPr>
                <w:rFonts w:ascii="Arial" w:eastAsia="Times New Roman" w:hAnsi="Arial" w:cs="Arial"/>
                <w:sz w:val="20"/>
                <w:szCs w:val="20"/>
                <w:lang w:val="nl-NL" w:eastAsia="nl-NL" w:bidi="ar-SA"/>
              </w:rPr>
            </w:pPr>
            <w:r w:rsidRPr="006D7B9D">
              <w:rPr>
                <w:rFonts w:ascii="Arial" w:eastAsia="Times New Roman" w:hAnsi="Arial" w:cs="Arial"/>
                <w:sz w:val="20"/>
                <w:szCs w:val="20"/>
                <w:lang w:val="nl-NL" w:eastAsia="nl-NL" w:bidi="ar-SA"/>
              </w:rPr>
              <w:t xml:space="preserve">ADF test </w:t>
            </w:r>
            <w:proofErr w:type="spellStart"/>
            <w:r w:rsidRPr="006D7B9D">
              <w:rPr>
                <w:rFonts w:ascii="Arial" w:eastAsia="Times New Roman" w:hAnsi="Arial" w:cs="Arial"/>
                <w:sz w:val="20"/>
                <w:szCs w:val="20"/>
                <w:lang w:val="nl-NL" w:eastAsia="nl-NL" w:bidi="ar-SA"/>
              </w:rPr>
              <w:t>on</w:t>
            </w:r>
            <w:proofErr w:type="spellEnd"/>
            <w:r w:rsidRPr="006D7B9D">
              <w:rPr>
                <w:rFonts w:ascii="Arial" w:eastAsia="Times New Roman" w:hAnsi="Arial" w:cs="Arial"/>
                <w:sz w:val="20"/>
                <w:szCs w:val="20"/>
                <w:lang w:val="nl-NL" w:eastAsia="nl-NL" w:bidi="ar-SA"/>
              </w:rPr>
              <w:t xml:space="preserve"> </w:t>
            </w:r>
            <w:proofErr w:type="spellStart"/>
            <w:proofErr w:type="gramStart"/>
            <w:r w:rsidRPr="006D7B9D">
              <w:rPr>
                <w:rFonts w:ascii="Arial" w:eastAsia="Times New Roman" w:hAnsi="Arial" w:cs="Arial"/>
                <w:sz w:val="20"/>
                <w:szCs w:val="20"/>
                <w:lang w:val="nl-NL" w:eastAsia="nl-NL" w:bidi="ar-SA"/>
              </w:rPr>
              <w:t>levels</w:t>
            </w:r>
            <w:proofErr w:type="spellEnd"/>
            <w:proofErr w:type="gramEnd"/>
          </w:p>
        </w:tc>
        <w:tc>
          <w:tcPr>
            <w:tcW w:w="1920" w:type="dxa"/>
            <w:gridSpan w:val="2"/>
            <w:tcBorders>
              <w:top w:val="single" w:sz="8" w:space="0" w:color="auto"/>
              <w:left w:val="single" w:sz="8" w:space="0" w:color="auto"/>
              <w:bottom w:val="nil"/>
              <w:right w:val="single" w:sz="8" w:space="0" w:color="000000"/>
            </w:tcBorders>
            <w:shd w:val="clear" w:color="auto" w:fill="auto"/>
            <w:noWrap/>
            <w:vAlign w:val="bottom"/>
            <w:hideMark/>
          </w:tcPr>
          <w:p w:rsidR="00314A1E" w:rsidRPr="006D7B9D" w:rsidRDefault="00314A1E" w:rsidP="009C16D2">
            <w:pPr>
              <w:spacing w:after="0" w:line="240" w:lineRule="auto"/>
              <w:rPr>
                <w:rFonts w:ascii="Arial" w:eastAsia="Times New Roman" w:hAnsi="Arial" w:cs="Arial"/>
                <w:sz w:val="20"/>
                <w:szCs w:val="20"/>
                <w:lang w:eastAsia="nl-NL" w:bidi="ar-SA"/>
              </w:rPr>
            </w:pPr>
            <w:r w:rsidRPr="006D7B9D">
              <w:rPr>
                <w:rFonts w:ascii="Arial" w:eastAsia="Times New Roman" w:hAnsi="Arial" w:cs="Arial"/>
                <w:sz w:val="20"/>
                <w:szCs w:val="20"/>
                <w:lang w:eastAsia="nl-NL" w:bidi="ar-SA"/>
              </w:rPr>
              <w:t>ADF test on first differences</w:t>
            </w:r>
          </w:p>
        </w:tc>
      </w:tr>
      <w:tr w:rsidR="00314A1E" w:rsidRPr="006D7B9D" w:rsidTr="009C16D2">
        <w:trPr>
          <w:trHeight w:val="255"/>
        </w:trPr>
        <w:tc>
          <w:tcPr>
            <w:tcW w:w="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4A1E" w:rsidRPr="006D7B9D" w:rsidRDefault="00314A1E" w:rsidP="009C16D2">
            <w:pPr>
              <w:spacing w:after="0" w:line="240" w:lineRule="auto"/>
              <w:rPr>
                <w:rFonts w:ascii="Arial" w:eastAsia="Times New Roman" w:hAnsi="Arial" w:cs="Arial"/>
                <w:sz w:val="20"/>
                <w:szCs w:val="20"/>
                <w:lang w:val="nl-NL" w:eastAsia="nl-NL" w:bidi="ar-SA"/>
              </w:rPr>
            </w:pPr>
            <w:r w:rsidRPr="006D7B9D">
              <w:rPr>
                <w:rFonts w:ascii="Arial" w:eastAsia="Times New Roman" w:hAnsi="Arial" w:cs="Arial"/>
                <w:sz w:val="20"/>
                <w:szCs w:val="20"/>
                <w:lang w:val="nl-NL" w:eastAsia="nl-NL" w:bidi="ar-SA"/>
              </w:rPr>
              <w:t>Series</w:t>
            </w:r>
          </w:p>
        </w:tc>
        <w:tc>
          <w:tcPr>
            <w:tcW w:w="1007" w:type="dxa"/>
            <w:tcBorders>
              <w:top w:val="single" w:sz="4" w:space="0" w:color="auto"/>
              <w:left w:val="nil"/>
              <w:bottom w:val="single" w:sz="4" w:space="0" w:color="auto"/>
              <w:right w:val="single" w:sz="4" w:space="0" w:color="auto"/>
            </w:tcBorders>
            <w:shd w:val="clear" w:color="auto" w:fill="auto"/>
            <w:noWrap/>
            <w:vAlign w:val="bottom"/>
            <w:hideMark/>
          </w:tcPr>
          <w:p w:rsidR="00314A1E" w:rsidRPr="006D7B9D" w:rsidRDefault="00314A1E" w:rsidP="009C16D2">
            <w:pPr>
              <w:spacing w:after="0" w:line="240" w:lineRule="auto"/>
              <w:rPr>
                <w:rFonts w:ascii="Arial" w:eastAsia="Times New Roman" w:hAnsi="Arial" w:cs="Arial"/>
                <w:sz w:val="20"/>
                <w:szCs w:val="20"/>
                <w:lang w:val="nl-NL" w:eastAsia="nl-NL" w:bidi="ar-SA"/>
              </w:rPr>
            </w:pPr>
            <w:proofErr w:type="spellStart"/>
            <w:r w:rsidRPr="006D7B9D">
              <w:rPr>
                <w:rFonts w:ascii="Arial" w:eastAsia="Times New Roman" w:hAnsi="Arial" w:cs="Arial"/>
                <w:sz w:val="20"/>
                <w:szCs w:val="20"/>
                <w:lang w:val="nl-NL" w:eastAsia="nl-NL" w:bidi="ar-SA"/>
              </w:rPr>
              <w:t>t-Stat</w:t>
            </w:r>
            <w:proofErr w:type="spellEnd"/>
          </w:p>
        </w:tc>
        <w:tc>
          <w:tcPr>
            <w:tcW w:w="913" w:type="dxa"/>
            <w:tcBorders>
              <w:top w:val="single" w:sz="4" w:space="0" w:color="auto"/>
              <w:left w:val="nil"/>
              <w:bottom w:val="single" w:sz="4" w:space="0" w:color="auto"/>
              <w:right w:val="single" w:sz="4" w:space="0" w:color="auto"/>
            </w:tcBorders>
            <w:shd w:val="clear" w:color="auto" w:fill="auto"/>
            <w:noWrap/>
            <w:vAlign w:val="bottom"/>
            <w:hideMark/>
          </w:tcPr>
          <w:p w:rsidR="00314A1E" w:rsidRPr="006D7B9D" w:rsidRDefault="00314A1E" w:rsidP="009C16D2">
            <w:pPr>
              <w:spacing w:after="0" w:line="240" w:lineRule="auto"/>
              <w:rPr>
                <w:rFonts w:ascii="Arial" w:eastAsia="Times New Roman" w:hAnsi="Arial" w:cs="Arial"/>
                <w:sz w:val="20"/>
                <w:szCs w:val="20"/>
                <w:lang w:val="nl-NL" w:eastAsia="nl-NL" w:bidi="ar-SA"/>
              </w:rPr>
            </w:pPr>
            <w:proofErr w:type="spellStart"/>
            <w:r w:rsidRPr="006D7B9D">
              <w:rPr>
                <w:rFonts w:ascii="Arial" w:eastAsia="Times New Roman" w:hAnsi="Arial" w:cs="Arial"/>
                <w:sz w:val="20"/>
                <w:szCs w:val="20"/>
                <w:lang w:val="nl-NL" w:eastAsia="nl-NL" w:bidi="ar-SA"/>
              </w:rPr>
              <w:t>Prob</w:t>
            </w:r>
            <w:proofErr w:type="spellEnd"/>
            <w:r w:rsidRPr="006D7B9D">
              <w:rPr>
                <w:rFonts w:ascii="Arial" w:eastAsia="Times New Roman" w:hAnsi="Arial" w:cs="Arial"/>
                <w:sz w:val="20"/>
                <w:szCs w:val="20"/>
                <w:lang w:val="nl-NL" w:eastAsia="nl-NL" w:bidi="ar-SA"/>
              </w:rPr>
              <w:t>.</w:t>
            </w:r>
          </w:p>
        </w:tc>
        <w:tc>
          <w:tcPr>
            <w:tcW w:w="1007" w:type="dxa"/>
            <w:tcBorders>
              <w:top w:val="single" w:sz="4" w:space="0" w:color="auto"/>
              <w:left w:val="nil"/>
              <w:bottom w:val="single" w:sz="4" w:space="0" w:color="auto"/>
              <w:right w:val="single" w:sz="4" w:space="0" w:color="auto"/>
            </w:tcBorders>
            <w:shd w:val="clear" w:color="auto" w:fill="auto"/>
            <w:noWrap/>
            <w:vAlign w:val="bottom"/>
            <w:hideMark/>
          </w:tcPr>
          <w:p w:rsidR="00314A1E" w:rsidRPr="006D7B9D" w:rsidRDefault="00314A1E" w:rsidP="009C16D2">
            <w:pPr>
              <w:spacing w:after="0" w:line="240" w:lineRule="auto"/>
              <w:rPr>
                <w:rFonts w:ascii="Arial" w:eastAsia="Times New Roman" w:hAnsi="Arial" w:cs="Arial"/>
                <w:sz w:val="20"/>
                <w:szCs w:val="20"/>
                <w:lang w:val="nl-NL" w:eastAsia="nl-NL" w:bidi="ar-SA"/>
              </w:rPr>
            </w:pPr>
            <w:proofErr w:type="spellStart"/>
            <w:r w:rsidRPr="006D7B9D">
              <w:rPr>
                <w:rFonts w:ascii="Arial" w:eastAsia="Times New Roman" w:hAnsi="Arial" w:cs="Arial"/>
                <w:sz w:val="20"/>
                <w:szCs w:val="20"/>
                <w:lang w:val="nl-NL" w:eastAsia="nl-NL" w:bidi="ar-SA"/>
              </w:rPr>
              <w:t>t-Stat</w:t>
            </w:r>
            <w:proofErr w:type="spellEnd"/>
          </w:p>
        </w:tc>
        <w:tc>
          <w:tcPr>
            <w:tcW w:w="913" w:type="dxa"/>
            <w:tcBorders>
              <w:top w:val="single" w:sz="4" w:space="0" w:color="auto"/>
              <w:left w:val="nil"/>
              <w:bottom w:val="single" w:sz="4" w:space="0" w:color="auto"/>
              <w:right w:val="single" w:sz="4" w:space="0" w:color="auto"/>
            </w:tcBorders>
            <w:shd w:val="clear" w:color="auto" w:fill="auto"/>
            <w:noWrap/>
            <w:vAlign w:val="bottom"/>
            <w:hideMark/>
          </w:tcPr>
          <w:p w:rsidR="00314A1E" w:rsidRPr="006D7B9D" w:rsidRDefault="00314A1E" w:rsidP="009C16D2">
            <w:pPr>
              <w:spacing w:after="0" w:line="240" w:lineRule="auto"/>
              <w:rPr>
                <w:rFonts w:ascii="Arial" w:eastAsia="Times New Roman" w:hAnsi="Arial" w:cs="Arial"/>
                <w:sz w:val="20"/>
                <w:szCs w:val="20"/>
                <w:lang w:val="nl-NL" w:eastAsia="nl-NL" w:bidi="ar-SA"/>
              </w:rPr>
            </w:pPr>
            <w:proofErr w:type="spellStart"/>
            <w:r w:rsidRPr="006D7B9D">
              <w:rPr>
                <w:rFonts w:ascii="Arial" w:eastAsia="Times New Roman" w:hAnsi="Arial" w:cs="Arial"/>
                <w:sz w:val="20"/>
                <w:szCs w:val="20"/>
                <w:lang w:val="nl-NL" w:eastAsia="nl-NL" w:bidi="ar-SA"/>
              </w:rPr>
              <w:t>Prob</w:t>
            </w:r>
            <w:proofErr w:type="spellEnd"/>
            <w:r w:rsidRPr="006D7B9D">
              <w:rPr>
                <w:rFonts w:ascii="Arial" w:eastAsia="Times New Roman" w:hAnsi="Arial" w:cs="Arial"/>
                <w:sz w:val="20"/>
                <w:szCs w:val="20"/>
                <w:lang w:val="nl-NL" w:eastAsia="nl-NL" w:bidi="ar-SA"/>
              </w:rPr>
              <w:t>.</w:t>
            </w:r>
          </w:p>
        </w:tc>
      </w:tr>
      <w:tr w:rsidR="00314A1E" w:rsidRPr="006D7B9D" w:rsidTr="009C16D2">
        <w:trPr>
          <w:trHeight w:val="255"/>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314A1E" w:rsidRPr="006D7B9D" w:rsidRDefault="00314A1E" w:rsidP="009C16D2">
            <w:pPr>
              <w:spacing w:after="0" w:line="240" w:lineRule="auto"/>
              <w:rPr>
                <w:rFonts w:ascii="Arial" w:eastAsia="Times New Roman" w:hAnsi="Arial" w:cs="Arial"/>
                <w:sz w:val="20"/>
                <w:szCs w:val="20"/>
                <w:lang w:val="nl-NL" w:eastAsia="nl-NL" w:bidi="ar-SA"/>
              </w:rPr>
            </w:pPr>
            <w:r w:rsidRPr="006D7B9D">
              <w:rPr>
                <w:rFonts w:ascii="Arial" w:eastAsia="Times New Roman" w:hAnsi="Arial" w:cs="Arial"/>
                <w:sz w:val="20"/>
                <w:szCs w:val="20"/>
                <w:lang w:val="nl-NL" w:eastAsia="nl-NL" w:bidi="ar-SA"/>
              </w:rPr>
              <w:t>CHFUSD</w:t>
            </w:r>
          </w:p>
        </w:tc>
        <w:tc>
          <w:tcPr>
            <w:tcW w:w="1007" w:type="dxa"/>
            <w:tcBorders>
              <w:top w:val="nil"/>
              <w:left w:val="nil"/>
              <w:bottom w:val="single" w:sz="4" w:space="0" w:color="auto"/>
              <w:right w:val="single" w:sz="4" w:space="0" w:color="auto"/>
            </w:tcBorders>
            <w:shd w:val="clear" w:color="auto" w:fill="auto"/>
            <w:noWrap/>
            <w:vAlign w:val="bottom"/>
            <w:hideMark/>
          </w:tcPr>
          <w:p w:rsidR="00314A1E" w:rsidRPr="006D7B9D" w:rsidRDefault="00314A1E" w:rsidP="009C16D2">
            <w:pPr>
              <w:spacing w:after="0" w:line="240" w:lineRule="auto"/>
              <w:jc w:val="right"/>
              <w:rPr>
                <w:rFonts w:ascii="Arial" w:eastAsia="Times New Roman" w:hAnsi="Arial" w:cs="Arial"/>
                <w:sz w:val="20"/>
                <w:szCs w:val="20"/>
                <w:lang w:val="nl-NL" w:eastAsia="nl-NL" w:bidi="ar-SA"/>
              </w:rPr>
            </w:pPr>
            <w:r w:rsidRPr="006D7B9D">
              <w:rPr>
                <w:rFonts w:ascii="Arial" w:eastAsia="Times New Roman" w:hAnsi="Arial" w:cs="Arial"/>
                <w:sz w:val="20"/>
                <w:szCs w:val="20"/>
                <w:lang w:val="nl-NL" w:eastAsia="nl-NL" w:bidi="ar-SA"/>
              </w:rPr>
              <w:t>0,026</w:t>
            </w:r>
          </w:p>
        </w:tc>
        <w:tc>
          <w:tcPr>
            <w:tcW w:w="913" w:type="dxa"/>
            <w:tcBorders>
              <w:top w:val="nil"/>
              <w:left w:val="nil"/>
              <w:bottom w:val="single" w:sz="4" w:space="0" w:color="auto"/>
              <w:right w:val="single" w:sz="4" w:space="0" w:color="auto"/>
            </w:tcBorders>
            <w:shd w:val="clear" w:color="auto" w:fill="auto"/>
            <w:noWrap/>
            <w:vAlign w:val="bottom"/>
            <w:hideMark/>
          </w:tcPr>
          <w:p w:rsidR="00314A1E" w:rsidRPr="006D7B9D" w:rsidRDefault="00314A1E" w:rsidP="009C16D2">
            <w:pPr>
              <w:spacing w:after="0" w:line="240" w:lineRule="auto"/>
              <w:jc w:val="right"/>
              <w:rPr>
                <w:rFonts w:ascii="Arial" w:eastAsia="Times New Roman" w:hAnsi="Arial" w:cs="Arial"/>
                <w:sz w:val="20"/>
                <w:szCs w:val="20"/>
                <w:lang w:val="nl-NL" w:eastAsia="nl-NL" w:bidi="ar-SA"/>
              </w:rPr>
            </w:pPr>
            <w:r w:rsidRPr="006D7B9D">
              <w:rPr>
                <w:rFonts w:ascii="Arial" w:eastAsia="Times New Roman" w:hAnsi="Arial" w:cs="Arial"/>
                <w:sz w:val="20"/>
                <w:szCs w:val="20"/>
                <w:lang w:val="nl-NL" w:eastAsia="nl-NL" w:bidi="ar-SA"/>
              </w:rPr>
              <w:t>0,9598</w:t>
            </w:r>
          </w:p>
        </w:tc>
        <w:tc>
          <w:tcPr>
            <w:tcW w:w="1007" w:type="dxa"/>
            <w:tcBorders>
              <w:top w:val="nil"/>
              <w:left w:val="nil"/>
              <w:bottom w:val="single" w:sz="4" w:space="0" w:color="auto"/>
              <w:right w:val="single" w:sz="4" w:space="0" w:color="auto"/>
            </w:tcBorders>
            <w:shd w:val="clear" w:color="auto" w:fill="auto"/>
            <w:noWrap/>
            <w:vAlign w:val="bottom"/>
            <w:hideMark/>
          </w:tcPr>
          <w:p w:rsidR="00314A1E" w:rsidRPr="006D7B9D" w:rsidRDefault="00314A1E" w:rsidP="009C16D2">
            <w:pPr>
              <w:spacing w:after="0" w:line="240" w:lineRule="auto"/>
              <w:jc w:val="right"/>
              <w:rPr>
                <w:rFonts w:ascii="Arial" w:eastAsia="Times New Roman" w:hAnsi="Arial" w:cs="Arial"/>
                <w:sz w:val="20"/>
                <w:szCs w:val="20"/>
                <w:lang w:val="nl-NL" w:eastAsia="nl-NL" w:bidi="ar-SA"/>
              </w:rPr>
            </w:pPr>
            <w:r w:rsidRPr="006D7B9D">
              <w:rPr>
                <w:rFonts w:ascii="Arial" w:eastAsia="Times New Roman" w:hAnsi="Arial" w:cs="Arial"/>
                <w:sz w:val="20"/>
                <w:szCs w:val="20"/>
                <w:lang w:val="nl-NL" w:eastAsia="nl-NL" w:bidi="ar-SA"/>
              </w:rPr>
              <w:t>-59,022</w:t>
            </w:r>
          </w:p>
        </w:tc>
        <w:tc>
          <w:tcPr>
            <w:tcW w:w="913" w:type="dxa"/>
            <w:tcBorders>
              <w:top w:val="nil"/>
              <w:left w:val="nil"/>
              <w:bottom w:val="single" w:sz="4" w:space="0" w:color="auto"/>
              <w:right w:val="single" w:sz="4" w:space="0" w:color="auto"/>
            </w:tcBorders>
            <w:shd w:val="clear" w:color="auto" w:fill="auto"/>
            <w:noWrap/>
            <w:vAlign w:val="bottom"/>
            <w:hideMark/>
          </w:tcPr>
          <w:p w:rsidR="00314A1E" w:rsidRPr="006D7B9D" w:rsidRDefault="00314A1E" w:rsidP="009C16D2">
            <w:pPr>
              <w:spacing w:after="0" w:line="240" w:lineRule="auto"/>
              <w:jc w:val="right"/>
              <w:rPr>
                <w:rFonts w:ascii="Arial" w:eastAsia="Times New Roman" w:hAnsi="Arial" w:cs="Arial"/>
                <w:sz w:val="20"/>
                <w:szCs w:val="20"/>
                <w:lang w:val="nl-NL" w:eastAsia="nl-NL" w:bidi="ar-SA"/>
              </w:rPr>
            </w:pPr>
            <w:r w:rsidRPr="006D7B9D">
              <w:rPr>
                <w:rFonts w:ascii="Arial" w:eastAsia="Times New Roman" w:hAnsi="Arial" w:cs="Arial"/>
                <w:sz w:val="20"/>
                <w:szCs w:val="20"/>
                <w:lang w:val="nl-NL" w:eastAsia="nl-NL" w:bidi="ar-SA"/>
              </w:rPr>
              <w:t>0,0001</w:t>
            </w:r>
          </w:p>
        </w:tc>
      </w:tr>
      <w:tr w:rsidR="00314A1E" w:rsidRPr="006D7B9D" w:rsidTr="009C16D2">
        <w:trPr>
          <w:trHeight w:val="255"/>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314A1E" w:rsidRPr="006D7B9D" w:rsidRDefault="00314A1E" w:rsidP="009C16D2">
            <w:pPr>
              <w:spacing w:after="0" w:line="240" w:lineRule="auto"/>
              <w:rPr>
                <w:rFonts w:ascii="Arial" w:eastAsia="Times New Roman" w:hAnsi="Arial" w:cs="Arial"/>
                <w:sz w:val="20"/>
                <w:szCs w:val="20"/>
                <w:lang w:val="nl-NL" w:eastAsia="nl-NL" w:bidi="ar-SA"/>
              </w:rPr>
            </w:pPr>
            <w:r w:rsidRPr="006D7B9D">
              <w:rPr>
                <w:rFonts w:ascii="Arial" w:eastAsia="Times New Roman" w:hAnsi="Arial" w:cs="Arial"/>
                <w:sz w:val="20"/>
                <w:szCs w:val="20"/>
                <w:lang w:val="nl-NL" w:eastAsia="nl-NL" w:bidi="ar-SA"/>
              </w:rPr>
              <w:t>CHFEUR</w:t>
            </w:r>
          </w:p>
        </w:tc>
        <w:tc>
          <w:tcPr>
            <w:tcW w:w="1007" w:type="dxa"/>
            <w:tcBorders>
              <w:top w:val="nil"/>
              <w:left w:val="nil"/>
              <w:bottom w:val="single" w:sz="4" w:space="0" w:color="auto"/>
              <w:right w:val="single" w:sz="4" w:space="0" w:color="auto"/>
            </w:tcBorders>
            <w:shd w:val="clear" w:color="auto" w:fill="auto"/>
            <w:noWrap/>
            <w:vAlign w:val="bottom"/>
            <w:hideMark/>
          </w:tcPr>
          <w:p w:rsidR="00314A1E" w:rsidRPr="006D7B9D" w:rsidRDefault="00314A1E" w:rsidP="009C16D2">
            <w:pPr>
              <w:spacing w:after="0" w:line="240" w:lineRule="auto"/>
              <w:jc w:val="right"/>
              <w:rPr>
                <w:rFonts w:ascii="Arial" w:eastAsia="Times New Roman" w:hAnsi="Arial" w:cs="Arial"/>
                <w:sz w:val="20"/>
                <w:szCs w:val="20"/>
                <w:lang w:val="nl-NL" w:eastAsia="nl-NL" w:bidi="ar-SA"/>
              </w:rPr>
            </w:pPr>
            <w:r w:rsidRPr="006D7B9D">
              <w:rPr>
                <w:rFonts w:ascii="Arial" w:eastAsia="Times New Roman" w:hAnsi="Arial" w:cs="Arial"/>
                <w:sz w:val="20"/>
                <w:szCs w:val="20"/>
                <w:lang w:val="nl-NL" w:eastAsia="nl-NL" w:bidi="ar-SA"/>
              </w:rPr>
              <w:t>0,9214</w:t>
            </w:r>
          </w:p>
        </w:tc>
        <w:tc>
          <w:tcPr>
            <w:tcW w:w="913" w:type="dxa"/>
            <w:tcBorders>
              <w:top w:val="nil"/>
              <w:left w:val="nil"/>
              <w:bottom w:val="single" w:sz="4" w:space="0" w:color="auto"/>
              <w:right w:val="single" w:sz="4" w:space="0" w:color="auto"/>
            </w:tcBorders>
            <w:shd w:val="clear" w:color="auto" w:fill="auto"/>
            <w:noWrap/>
            <w:vAlign w:val="bottom"/>
            <w:hideMark/>
          </w:tcPr>
          <w:p w:rsidR="00314A1E" w:rsidRPr="006D7B9D" w:rsidRDefault="00314A1E" w:rsidP="009C16D2">
            <w:pPr>
              <w:spacing w:after="0" w:line="240" w:lineRule="auto"/>
              <w:jc w:val="right"/>
              <w:rPr>
                <w:rFonts w:ascii="Arial" w:eastAsia="Times New Roman" w:hAnsi="Arial" w:cs="Arial"/>
                <w:sz w:val="20"/>
                <w:szCs w:val="20"/>
                <w:lang w:val="nl-NL" w:eastAsia="nl-NL" w:bidi="ar-SA"/>
              </w:rPr>
            </w:pPr>
            <w:r w:rsidRPr="006D7B9D">
              <w:rPr>
                <w:rFonts w:ascii="Arial" w:eastAsia="Times New Roman" w:hAnsi="Arial" w:cs="Arial"/>
                <w:sz w:val="20"/>
                <w:szCs w:val="20"/>
                <w:lang w:val="nl-NL" w:eastAsia="nl-NL" w:bidi="ar-SA"/>
              </w:rPr>
              <w:t>0,9958</w:t>
            </w:r>
          </w:p>
        </w:tc>
        <w:tc>
          <w:tcPr>
            <w:tcW w:w="1007" w:type="dxa"/>
            <w:tcBorders>
              <w:top w:val="nil"/>
              <w:left w:val="nil"/>
              <w:bottom w:val="single" w:sz="4" w:space="0" w:color="auto"/>
              <w:right w:val="single" w:sz="4" w:space="0" w:color="auto"/>
            </w:tcBorders>
            <w:shd w:val="clear" w:color="auto" w:fill="auto"/>
            <w:noWrap/>
            <w:vAlign w:val="bottom"/>
            <w:hideMark/>
          </w:tcPr>
          <w:p w:rsidR="00314A1E" w:rsidRPr="006D7B9D" w:rsidRDefault="00314A1E" w:rsidP="009C16D2">
            <w:pPr>
              <w:spacing w:after="0" w:line="240" w:lineRule="auto"/>
              <w:jc w:val="right"/>
              <w:rPr>
                <w:rFonts w:ascii="Arial" w:eastAsia="Times New Roman" w:hAnsi="Arial" w:cs="Arial"/>
                <w:sz w:val="20"/>
                <w:szCs w:val="20"/>
                <w:lang w:val="nl-NL" w:eastAsia="nl-NL" w:bidi="ar-SA"/>
              </w:rPr>
            </w:pPr>
            <w:r w:rsidRPr="006D7B9D">
              <w:rPr>
                <w:rFonts w:ascii="Arial" w:eastAsia="Times New Roman" w:hAnsi="Arial" w:cs="Arial"/>
                <w:sz w:val="20"/>
                <w:szCs w:val="20"/>
                <w:lang w:val="nl-NL" w:eastAsia="nl-NL" w:bidi="ar-SA"/>
              </w:rPr>
              <w:t>-26,956</w:t>
            </w:r>
          </w:p>
        </w:tc>
        <w:tc>
          <w:tcPr>
            <w:tcW w:w="913" w:type="dxa"/>
            <w:tcBorders>
              <w:top w:val="nil"/>
              <w:left w:val="nil"/>
              <w:bottom w:val="single" w:sz="4" w:space="0" w:color="auto"/>
              <w:right w:val="single" w:sz="4" w:space="0" w:color="auto"/>
            </w:tcBorders>
            <w:shd w:val="clear" w:color="auto" w:fill="auto"/>
            <w:noWrap/>
            <w:vAlign w:val="bottom"/>
            <w:hideMark/>
          </w:tcPr>
          <w:p w:rsidR="00314A1E" w:rsidRPr="006D7B9D" w:rsidRDefault="00314A1E" w:rsidP="009C16D2">
            <w:pPr>
              <w:spacing w:after="0" w:line="240" w:lineRule="auto"/>
              <w:jc w:val="right"/>
              <w:rPr>
                <w:rFonts w:ascii="Arial" w:eastAsia="Times New Roman" w:hAnsi="Arial" w:cs="Arial"/>
                <w:sz w:val="20"/>
                <w:szCs w:val="20"/>
                <w:lang w:val="nl-NL" w:eastAsia="nl-NL" w:bidi="ar-SA"/>
              </w:rPr>
            </w:pPr>
            <w:r w:rsidRPr="006D7B9D">
              <w:rPr>
                <w:rFonts w:ascii="Arial" w:eastAsia="Times New Roman" w:hAnsi="Arial" w:cs="Arial"/>
                <w:sz w:val="20"/>
                <w:szCs w:val="20"/>
                <w:lang w:val="nl-NL" w:eastAsia="nl-NL" w:bidi="ar-SA"/>
              </w:rPr>
              <w:t>0</w:t>
            </w:r>
          </w:p>
        </w:tc>
      </w:tr>
      <w:tr w:rsidR="00314A1E" w:rsidRPr="006D7B9D" w:rsidTr="009C16D2">
        <w:trPr>
          <w:trHeight w:val="255"/>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rsidR="00314A1E" w:rsidRPr="006D7B9D" w:rsidRDefault="00314A1E" w:rsidP="009C16D2">
            <w:pPr>
              <w:spacing w:after="0" w:line="240" w:lineRule="auto"/>
              <w:rPr>
                <w:rFonts w:ascii="Arial" w:eastAsia="Times New Roman" w:hAnsi="Arial" w:cs="Arial"/>
                <w:sz w:val="20"/>
                <w:szCs w:val="20"/>
                <w:lang w:val="nl-NL" w:eastAsia="nl-NL" w:bidi="ar-SA"/>
              </w:rPr>
            </w:pPr>
            <w:r w:rsidRPr="006D7B9D">
              <w:rPr>
                <w:rFonts w:ascii="Arial" w:eastAsia="Times New Roman" w:hAnsi="Arial" w:cs="Arial"/>
                <w:sz w:val="20"/>
                <w:szCs w:val="20"/>
                <w:lang w:val="nl-NL" w:eastAsia="nl-NL" w:bidi="ar-SA"/>
              </w:rPr>
              <w:t>USDEUR</w:t>
            </w:r>
          </w:p>
        </w:tc>
        <w:tc>
          <w:tcPr>
            <w:tcW w:w="1007" w:type="dxa"/>
            <w:tcBorders>
              <w:top w:val="nil"/>
              <w:left w:val="nil"/>
              <w:bottom w:val="single" w:sz="4" w:space="0" w:color="auto"/>
              <w:right w:val="single" w:sz="4" w:space="0" w:color="auto"/>
            </w:tcBorders>
            <w:shd w:val="clear" w:color="auto" w:fill="auto"/>
            <w:noWrap/>
            <w:vAlign w:val="bottom"/>
            <w:hideMark/>
          </w:tcPr>
          <w:p w:rsidR="00314A1E" w:rsidRPr="006D7B9D" w:rsidRDefault="00314A1E" w:rsidP="009C16D2">
            <w:pPr>
              <w:spacing w:after="0" w:line="240" w:lineRule="auto"/>
              <w:jc w:val="right"/>
              <w:rPr>
                <w:rFonts w:ascii="Arial" w:eastAsia="Times New Roman" w:hAnsi="Arial" w:cs="Arial"/>
                <w:sz w:val="20"/>
                <w:szCs w:val="20"/>
                <w:lang w:val="nl-NL" w:eastAsia="nl-NL" w:bidi="ar-SA"/>
              </w:rPr>
            </w:pPr>
            <w:r w:rsidRPr="006D7B9D">
              <w:rPr>
                <w:rFonts w:ascii="Arial" w:eastAsia="Times New Roman" w:hAnsi="Arial" w:cs="Arial"/>
                <w:sz w:val="20"/>
                <w:szCs w:val="20"/>
                <w:lang w:val="nl-NL" w:eastAsia="nl-NL" w:bidi="ar-SA"/>
              </w:rPr>
              <w:t>-0,9048</w:t>
            </w:r>
          </w:p>
        </w:tc>
        <w:tc>
          <w:tcPr>
            <w:tcW w:w="913" w:type="dxa"/>
            <w:tcBorders>
              <w:top w:val="nil"/>
              <w:left w:val="nil"/>
              <w:bottom w:val="single" w:sz="4" w:space="0" w:color="auto"/>
              <w:right w:val="single" w:sz="4" w:space="0" w:color="auto"/>
            </w:tcBorders>
            <w:shd w:val="clear" w:color="auto" w:fill="auto"/>
            <w:noWrap/>
            <w:vAlign w:val="bottom"/>
            <w:hideMark/>
          </w:tcPr>
          <w:p w:rsidR="00314A1E" w:rsidRPr="006D7B9D" w:rsidRDefault="00314A1E" w:rsidP="009C16D2">
            <w:pPr>
              <w:spacing w:after="0" w:line="240" w:lineRule="auto"/>
              <w:jc w:val="right"/>
              <w:rPr>
                <w:rFonts w:ascii="Arial" w:eastAsia="Times New Roman" w:hAnsi="Arial" w:cs="Arial"/>
                <w:sz w:val="20"/>
                <w:szCs w:val="20"/>
                <w:lang w:val="nl-NL" w:eastAsia="nl-NL" w:bidi="ar-SA"/>
              </w:rPr>
            </w:pPr>
            <w:r w:rsidRPr="006D7B9D">
              <w:rPr>
                <w:rFonts w:ascii="Arial" w:eastAsia="Times New Roman" w:hAnsi="Arial" w:cs="Arial"/>
                <w:sz w:val="20"/>
                <w:szCs w:val="20"/>
                <w:lang w:val="nl-NL" w:eastAsia="nl-NL" w:bidi="ar-SA"/>
              </w:rPr>
              <w:t>0,7873</w:t>
            </w:r>
          </w:p>
        </w:tc>
        <w:tc>
          <w:tcPr>
            <w:tcW w:w="1007" w:type="dxa"/>
            <w:tcBorders>
              <w:top w:val="nil"/>
              <w:left w:val="nil"/>
              <w:bottom w:val="single" w:sz="4" w:space="0" w:color="auto"/>
              <w:right w:val="single" w:sz="4" w:space="0" w:color="auto"/>
            </w:tcBorders>
            <w:shd w:val="clear" w:color="auto" w:fill="auto"/>
            <w:noWrap/>
            <w:vAlign w:val="bottom"/>
            <w:hideMark/>
          </w:tcPr>
          <w:p w:rsidR="00314A1E" w:rsidRPr="006D7B9D" w:rsidRDefault="00314A1E" w:rsidP="009C16D2">
            <w:pPr>
              <w:spacing w:after="0" w:line="240" w:lineRule="auto"/>
              <w:jc w:val="right"/>
              <w:rPr>
                <w:rFonts w:ascii="Arial" w:eastAsia="Times New Roman" w:hAnsi="Arial" w:cs="Arial"/>
                <w:sz w:val="20"/>
                <w:szCs w:val="20"/>
                <w:lang w:val="nl-NL" w:eastAsia="nl-NL" w:bidi="ar-SA"/>
              </w:rPr>
            </w:pPr>
            <w:r w:rsidRPr="006D7B9D">
              <w:rPr>
                <w:rFonts w:ascii="Arial" w:eastAsia="Times New Roman" w:hAnsi="Arial" w:cs="Arial"/>
                <w:sz w:val="20"/>
                <w:szCs w:val="20"/>
                <w:lang w:val="nl-NL" w:eastAsia="nl-NL" w:bidi="ar-SA"/>
              </w:rPr>
              <w:t>-55,739</w:t>
            </w:r>
          </w:p>
        </w:tc>
        <w:tc>
          <w:tcPr>
            <w:tcW w:w="913" w:type="dxa"/>
            <w:tcBorders>
              <w:top w:val="nil"/>
              <w:left w:val="nil"/>
              <w:bottom w:val="single" w:sz="4" w:space="0" w:color="auto"/>
              <w:right w:val="single" w:sz="4" w:space="0" w:color="auto"/>
            </w:tcBorders>
            <w:shd w:val="clear" w:color="auto" w:fill="auto"/>
            <w:noWrap/>
            <w:vAlign w:val="bottom"/>
            <w:hideMark/>
          </w:tcPr>
          <w:p w:rsidR="00314A1E" w:rsidRPr="006D7B9D" w:rsidRDefault="00314A1E" w:rsidP="009C16D2">
            <w:pPr>
              <w:spacing w:after="0" w:line="240" w:lineRule="auto"/>
              <w:jc w:val="right"/>
              <w:rPr>
                <w:rFonts w:ascii="Arial" w:eastAsia="Times New Roman" w:hAnsi="Arial" w:cs="Arial"/>
                <w:sz w:val="20"/>
                <w:szCs w:val="20"/>
                <w:lang w:val="nl-NL" w:eastAsia="nl-NL" w:bidi="ar-SA"/>
              </w:rPr>
            </w:pPr>
            <w:r w:rsidRPr="006D7B9D">
              <w:rPr>
                <w:rFonts w:ascii="Arial" w:eastAsia="Times New Roman" w:hAnsi="Arial" w:cs="Arial"/>
                <w:sz w:val="20"/>
                <w:szCs w:val="20"/>
                <w:lang w:val="nl-NL" w:eastAsia="nl-NL" w:bidi="ar-SA"/>
              </w:rPr>
              <w:t>0,0001</w:t>
            </w:r>
          </w:p>
        </w:tc>
      </w:tr>
    </w:tbl>
    <w:p w:rsidR="00314A1E" w:rsidRDefault="00314A1E" w:rsidP="00314A1E">
      <w:pPr>
        <w:pStyle w:val="NoSpacing"/>
      </w:pPr>
    </w:p>
    <w:p w:rsidR="00314A1E" w:rsidRPr="00DD5C65" w:rsidRDefault="00DA7F40" w:rsidP="009C16D2">
      <w:pPr>
        <w:pStyle w:val="Heading2"/>
      </w:pPr>
      <w:bookmarkStart w:id="10" w:name="_Toc300320236"/>
      <w:r>
        <w:t xml:space="preserve">6.1) </w:t>
      </w:r>
      <w:r w:rsidR="00314A1E" w:rsidRPr="00DD5C65">
        <w:t>Market indices</w:t>
      </w:r>
      <w:bookmarkEnd w:id="10"/>
    </w:p>
    <w:p w:rsidR="00314A1E" w:rsidRDefault="00314A1E" w:rsidP="00314A1E">
      <w:pPr>
        <w:pStyle w:val="NoSpacing"/>
      </w:pPr>
      <w:r>
        <w:t>Looking at the ADF tests on market indices, the same results are</w:t>
      </w:r>
      <w:r w:rsidR="00110E97">
        <w:t xml:space="preserve"> seen</w:t>
      </w:r>
      <w:r>
        <w:t xml:space="preserve">. A unit root in the time series, but stationary after differentiating. The results were expected, as it is known since Nelson and </w:t>
      </w:r>
      <w:proofErr w:type="spellStart"/>
      <w:r>
        <w:t>Plosser</w:t>
      </w:r>
      <w:proofErr w:type="spellEnd"/>
      <w:r>
        <w:t xml:space="preserve"> (1982) that most macro economic data contains a unit root. </w:t>
      </w:r>
    </w:p>
    <w:p w:rsidR="00314A1E" w:rsidRDefault="00314A1E" w:rsidP="00314A1E">
      <w:pPr>
        <w:pStyle w:val="NoSpacing"/>
      </w:pPr>
    </w:p>
    <w:p w:rsidR="00314A1E" w:rsidRDefault="00314A1E" w:rsidP="00314A1E">
      <w:pPr>
        <w:pStyle w:val="NoSpacing"/>
      </w:pPr>
      <w:r>
        <w:t xml:space="preserve">Table </w:t>
      </w:r>
      <w:r w:rsidR="00CD606C">
        <w:t>7</w:t>
      </w:r>
      <w:r>
        <w:t>: ADF test on market indices</w:t>
      </w:r>
    </w:p>
    <w:tbl>
      <w:tblPr>
        <w:tblW w:w="5081" w:type="dxa"/>
        <w:tblInd w:w="55" w:type="dxa"/>
        <w:tblCellMar>
          <w:left w:w="70" w:type="dxa"/>
          <w:right w:w="70" w:type="dxa"/>
        </w:tblCellMar>
        <w:tblLook w:val="04A0"/>
      </w:tblPr>
      <w:tblGrid>
        <w:gridCol w:w="1116"/>
        <w:gridCol w:w="954"/>
        <w:gridCol w:w="954"/>
        <w:gridCol w:w="1135"/>
        <w:gridCol w:w="922"/>
      </w:tblGrid>
      <w:tr w:rsidR="00314A1E" w:rsidRPr="004B0428" w:rsidTr="009C16D2">
        <w:trPr>
          <w:trHeight w:val="262"/>
        </w:trPr>
        <w:tc>
          <w:tcPr>
            <w:tcW w:w="1116" w:type="dxa"/>
            <w:tcBorders>
              <w:top w:val="nil"/>
              <w:left w:val="nil"/>
              <w:bottom w:val="nil"/>
              <w:right w:val="nil"/>
            </w:tcBorders>
            <w:shd w:val="clear" w:color="auto" w:fill="auto"/>
            <w:noWrap/>
            <w:vAlign w:val="bottom"/>
            <w:hideMark/>
          </w:tcPr>
          <w:p w:rsidR="00314A1E" w:rsidRPr="004B0428" w:rsidRDefault="00314A1E" w:rsidP="009C16D2">
            <w:pPr>
              <w:spacing w:after="0" w:line="240" w:lineRule="auto"/>
              <w:rPr>
                <w:rFonts w:ascii="Arial" w:eastAsia="Times New Roman" w:hAnsi="Arial" w:cs="Arial"/>
                <w:sz w:val="20"/>
                <w:szCs w:val="20"/>
                <w:lang w:eastAsia="nl-NL" w:bidi="ar-SA"/>
              </w:rPr>
            </w:pP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4A1E" w:rsidRPr="004B0428" w:rsidRDefault="00314A1E" w:rsidP="009C16D2">
            <w:pPr>
              <w:spacing w:after="0" w:line="240" w:lineRule="auto"/>
              <w:rPr>
                <w:rFonts w:ascii="Arial" w:eastAsia="Times New Roman" w:hAnsi="Arial" w:cs="Arial"/>
                <w:sz w:val="20"/>
                <w:szCs w:val="20"/>
                <w:lang w:val="nl-NL" w:eastAsia="nl-NL" w:bidi="ar-SA"/>
              </w:rPr>
            </w:pPr>
            <w:r w:rsidRPr="004B0428">
              <w:rPr>
                <w:rFonts w:ascii="Arial" w:eastAsia="Times New Roman" w:hAnsi="Arial" w:cs="Arial"/>
                <w:sz w:val="20"/>
                <w:szCs w:val="20"/>
                <w:lang w:val="nl-NL" w:eastAsia="nl-NL" w:bidi="ar-SA"/>
              </w:rPr>
              <w:t xml:space="preserve">ADF test </w:t>
            </w:r>
            <w:proofErr w:type="spellStart"/>
            <w:r w:rsidRPr="004B0428">
              <w:rPr>
                <w:rFonts w:ascii="Arial" w:eastAsia="Times New Roman" w:hAnsi="Arial" w:cs="Arial"/>
                <w:sz w:val="20"/>
                <w:szCs w:val="20"/>
                <w:lang w:val="nl-NL" w:eastAsia="nl-NL" w:bidi="ar-SA"/>
              </w:rPr>
              <w:t>on</w:t>
            </w:r>
            <w:proofErr w:type="spellEnd"/>
            <w:r w:rsidRPr="004B0428">
              <w:rPr>
                <w:rFonts w:ascii="Arial" w:eastAsia="Times New Roman" w:hAnsi="Arial" w:cs="Arial"/>
                <w:sz w:val="20"/>
                <w:szCs w:val="20"/>
                <w:lang w:val="nl-NL" w:eastAsia="nl-NL" w:bidi="ar-SA"/>
              </w:rPr>
              <w:t xml:space="preserve"> </w:t>
            </w:r>
            <w:proofErr w:type="spellStart"/>
            <w:proofErr w:type="gramStart"/>
            <w:r w:rsidRPr="004B0428">
              <w:rPr>
                <w:rFonts w:ascii="Arial" w:eastAsia="Times New Roman" w:hAnsi="Arial" w:cs="Arial"/>
                <w:sz w:val="20"/>
                <w:szCs w:val="20"/>
                <w:lang w:val="nl-NL" w:eastAsia="nl-NL" w:bidi="ar-SA"/>
              </w:rPr>
              <w:t>levels</w:t>
            </w:r>
            <w:proofErr w:type="spellEnd"/>
            <w:proofErr w:type="gramEnd"/>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rsidR="00314A1E" w:rsidRPr="004B0428" w:rsidRDefault="00314A1E" w:rsidP="009C16D2">
            <w:pPr>
              <w:spacing w:after="0" w:line="240" w:lineRule="auto"/>
              <w:rPr>
                <w:rFonts w:ascii="Arial" w:eastAsia="Times New Roman" w:hAnsi="Arial" w:cs="Arial"/>
                <w:sz w:val="20"/>
                <w:szCs w:val="20"/>
                <w:lang w:val="nl-NL" w:eastAsia="nl-NL" w:bidi="ar-SA"/>
              </w:rPr>
            </w:pPr>
            <w:r w:rsidRPr="004B0428">
              <w:rPr>
                <w:rFonts w:ascii="Arial" w:eastAsia="Times New Roman" w:hAnsi="Arial" w:cs="Arial"/>
                <w:sz w:val="20"/>
                <w:szCs w:val="20"/>
                <w:lang w:val="nl-NL" w:eastAsia="nl-NL" w:bidi="ar-SA"/>
              </w:rPr>
              <w:t> </w:t>
            </w:r>
          </w:p>
        </w:tc>
        <w:tc>
          <w:tcPr>
            <w:tcW w:w="1135" w:type="dxa"/>
            <w:tcBorders>
              <w:top w:val="single" w:sz="4" w:space="0" w:color="auto"/>
              <w:left w:val="nil"/>
              <w:bottom w:val="single" w:sz="4" w:space="0" w:color="auto"/>
              <w:right w:val="single" w:sz="4" w:space="0" w:color="auto"/>
            </w:tcBorders>
            <w:shd w:val="clear" w:color="auto" w:fill="auto"/>
            <w:noWrap/>
            <w:vAlign w:val="bottom"/>
            <w:hideMark/>
          </w:tcPr>
          <w:p w:rsidR="00314A1E" w:rsidRPr="004B0428" w:rsidRDefault="00314A1E" w:rsidP="009C16D2">
            <w:pPr>
              <w:spacing w:after="0" w:line="240" w:lineRule="auto"/>
              <w:rPr>
                <w:rFonts w:ascii="Arial" w:eastAsia="Times New Roman" w:hAnsi="Arial" w:cs="Arial"/>
                <w:sz w:val="20"/>
                <w:szCs w:val="20"/>
                <w:lang w:eastAsia="nl-NL" w:bidi="ar-SA"/>
              </w:rPr>
            </w:pPr>
            <w:r w:rsidRPr="004B0428">
              <w:rPr>
                <w:rFonts w:ascii="Arial" w:eastAsia="Times New Roman" w:hAnsi="Arial" w:cs="Arial"/>
                <w:sz w:val="20"/>
                <w:szCs w:val="20"/>
                <w:lang w:eastAsia="nl-NL" w:bidi="ar-SA"/>
              </w:rPr>
              <w:t>ADF test on first differences</w:t>
            </w:r>
          </w:p>
        </w:tc>
        <w:tc>
          <w:tcPr>
            <w:tcW w:w="922" w:type="dxa"/>
            <w:tcBorders>
              <w:top w:val="single" w:sz="4" w:space="0" w:color="auto"/>
              <w:left w:val="nil"/>
              <w:bottom w:val="single" w:sz="4" w:space="0" w:color="auto"/>
              <w:right w:val="single" w:sz="4" w:space="0" w:color="auto"/>
            </w:tcBorders>
            <w:shd w:val="clear" w:color="auto" w:fill="auto"/>
            <w:noWrap/>
            <w:vAlign w:val="bottom"/>
            <w:hideMark/>
          </w:tcPr>
          <w:p w:rsidR="00314A1E" w:rsidRPr="004B0428" w:rsidRDefault="00314A1E" w:rsidP="009C16D2">
            <w:pPr>
              <w:spacing w:after="0" w:line="240" w:lineRule="auto"/>
              <w:rPr>
                <w:rFonts w:ascii="Arial" w:eastAsia="Times New Roman" w:hAnsi="Arial" w:cs="Arial"/>
                <w:sz w:val="20"/>
                <w:szCs w:val="20"/>
                <w:lang w:eastAsia="nl-NL" w:bidi="ar-SA"/>
              </w:rPr>
            </w:pPr>
            <w:r w:rsidRPr="004B0428">
              <w:rPr>
                <w:rFonts w:ascii="Arial" w:eastAsia="Times New Roman" w:hAnsi="Arial" w:cs="Arial"/>
                <w:sz w:val="20"/>
                <w:szCs w:val="20"/>
                <w:lang w:eastAsia="nl-NL" w:bidi="ar-SA"/>
              </w:rPr>
              <w:t> </w:t>
            </w:r>
          </w:p>
        </w:tc>
      </w:tr>
      <w:tr w:rsidR="00314A1E" w:rsidRPr="004B0428" w:rsidTr="009C16D2">
        <w:trPr>
          <w:trHeight w:val="276"/>
        </w:trPr>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4A1E" w:rsidRPr="004B0428" w:rsidRDefault="00314A1E" w:rsidP="009C16D2">
            <w:pPr>
              <w:spacing w:after="0" w:line="240" w:lineRule="auto"/>
              <w:rPr>
                <w:rFonts w:ascii="Arial" w:eastAsia="Times New Roman" w:hAnsi="Arial" w:cs="Arial"/>
                <w:sz w:val="20"/>
                <w:szCs w:val="20"/>
                <w:lang w:val="nl-NL" w:eastAsia="nl-NL" w:bidi="ar-SA"/>
              </w:rPr>
            </w:pPr>
            <w:r w:rsidRPr="004B0428">
              <w:rPr>
                <w:rFonts w:ascii="Arial" w:eastAsia="Times New Roman" w:hAnsi="Arial" w:cs="Arial"/>
                <w:sz w:val="20"/>
                <w:szCs w:val="20"/>
                <w:lang w:val="nl-NL" w:eastAsia="nl-NL" w:bidi="ar-SA"/>
              </w:rPr>
              <w:t>Series</w:t>
            </w:r>
          </w:p>
        </w:tc>
        <w:tc>
          <w:tcPr>
            <w:tcW w:w="954" w:type="dxa"/>
            <w:tcBorders>
              <w:top w:val="nil"/>
              <w:left w:val="nil"/>
              <w:bottom w:val="single" w:sz="4" w:space="0" w:color="auto"/>
              <w:right w:val="single" w:sz="4" w:space="0" w:color="auto"/>
            </w:tcBorders>
            <w:shd w:val="clear" w:color="auto" w:fill="auto"/>
            <w:noWrap/>
            <w:vAlign w:val="bottom"/>
            <w:hideMark/>
          </w:tcPr>
          <w:p w:rsidR="00314A1E" w:rsidRPr="004B0428" w:rsidRDefault="00314A1E" w:rsidP="009C16D2">
            <w:pPr>
              <w:spacing w:after="0" w:line="240" w:lineRule="auto"/>
              <w:rPr>
                <w:rFonts w:ascii="Arial" w:eastAsia="Times New Roman" w:hAnsi="Arial" w:cs="Arial"/>
                <w:sz w:val="20"/>
                <w:szCs w:val="20"/>
                <w:lang w:val="nl-NL" w:eastAsia="nl-NL" w:bidi="ar-SA"/>
              </w:rPr>
            </w:pPr>
            <w:proofErr w:type="spellStart"/>
            <w:r w:rsidRPr="004B0428">
              <w:rPr>
                <w:rFonts w:ascii="Arial" w:eastAsia="Times New Roman" w:hAnsi="Arial" w:cs="Arial"/>
                <w:sz w:val="20"/>
                <w:szCs w:val="20"/>
                <w:lang w:val="nl-NL" w:eastAsia="nl-NL" w:bidi="ar-SA"/>
              </w:rPr>
              <w:t>t-statistic</w:t>
            </w:r>
            <w:proofErr w:type="spellEnd"/>
          </w:p>
        </w:tc>
        <w:tc>
          <w:tcPr>
            <w:tcW w:w="954" w:type="dxa"/>
            <w:tcBorders>
              <w:top w:val="nil"/>
              <w:left w:val="nil"/>
              <w:bottom w:val="single" w:sz="4" w:space="0" w:color="auto"/>
              <w:right w:val="single" w:sz="4" w:space="0" w:color="auto"/>
            </w:tcBorders>
            <w:shd w:val="clear" w:color="auto" w:fill="auto"/>
            <w:noWrap/>
            <w:vAlign w:val="bottom"/>
            <w:hideMark/>
          </w:tcPr>
          <w:p w:rsidR="00314A1E" w:rsidRPr="004B0428" w:rsidRDefault="00314A1E" w:rsidP="009C16D2">
            <w:pPr>
              <w:spacing w:after="0" w:line="240" w:lineRule="auto"/>
              <w:rPr>
                <w:rFonts w:ascii="Arial" w:eastAsia="Times New Roman" w:hAnsi="Arial" w:cs="Arial"/>
                <w:sz w:val="20"/>
                <w:szCs w:val="20"/>
                <w:lang w:val="nl-NL" w:eastAsia="nl-NL" w:bidi="ar-SA"/>
              </w:rPr>
            </w:pPr>
            <w:proofErr w:type="spellStart"/>
            <w:r w:rsidRPr="004B0428">
              <w:rPr>
                <w:rFonts w:ascii="Arial" w:eastAsia="Times New Roman" w:hAnsi="Arial" w:cs="Arial"/>
                <w:sz w:val="20"/>
                <w:szCs w:val="20"/>
                <w:lang w:val="nl-NL" w:eastAsia="nl-NL" w:bidi="ar-SA"/>
              </w:rPr>
              <w:t>p-value</w:t>
            </w:r>
            <w:proofErr w:type="spellEnd"/>
          </w:p>
        </w:tc>
        <w:tc>
          <w:tcPr>
            <w:tcW w:w="1135" w:type="dxa"/>
            <w:tcBorders>
              <w:top w:val="nil"/>
              <w:left w:val="nil"/>
              <w:bottom w:val="single" w:sz="4" w:space="0" w:color="auto"/>
              <w:right w:val="single" w:sz="4" w:space="0" w:color="auto"/>
            </w:tcBorders>
            <w:shd w:val="clear" w:color="auto" w:fill="auto"/>
            <w:noWrap/>
            <w:vAlign w:val="bottom"/>
            <w:hideMark/>
          </w:tcPr>
          <w:p w:rsidR="00314A1E" w:rsidRPr="004B0428" w:rsidRDefault="00314A1E" w:rsidP="009C16D2">
            <w:pPr>
              <w:spacing w:after="0" w:line="240" w:lineRule="auto"/>
              <w:rPr>
                <w:rFonts w:ascii="Arial" w:eastAsia="Times New Roman" w:hAnsi="Arial" w:cs="Arial"/>
                <w:sz w:val="20"/>
                <w:szCs w:val="20"/>
                <w:lang w:val="nl-NL" w:eastAsia="nl-NL" w:bidi="ar-SA"/>
              </w:rPr>
            </w:pPr>
            <w:proofErr w:type="spellStart"/>
            <w:r w:rsidRPr="004B0428">
              <w:rPr>
                <w:rFonts w:ascii="Arial" w:eastAsia="Times New Roman" w:hAnsi="Arial" w:cs="Arial"/>
                <w:sz w:val="20"/>
                <w:szCs w:val="20"/>
                <w:lang w:val="nl-NL" w:eastAsia="nl-NL" w:bidi="ar-SA"/>
              </w:rPr>
              <w:t>t-statistic</w:t>
            </w:r>
            <w:proofErr w:type="spellEnd"/>
          </w:p>
        </w:tc>
        <w:tc>
          <w:tcPr>
            <w:tcW w:w="922" w:type="dxa"/>
            <w:tcBorders>
              <w:top w:val="nil"/>
              <w:left w:val="nil"/>
              <w:bottom w:val="single" w:sz="4" w:space="0" w:color="auto"/>
              <w:right w:val="single" w:sz="4" w:space="0" w:color="auto"/>
            </w:tcBorders>
            <w:shd w:val="clear" w:color="auto" w:fill="auto"/>
            <w:noWrap/>
            <w:vAlign w:val="bottom"/>
            <w:hideMark/>
          </w:tcPr>
          <w:p w:rsidR="00314A1E" w:rsidRPr="004B0428" w:rsidRDefault="00314A1E" w:rsidP="009C16D2">
            <w:pPr>
              <w:spacing w:after="0" w:line="240" w:lineRule="auto"/>
              <w:rPr>
                <w:rFonts w:ascii="Arial" w:eastAsia="Times New Roman" w:hAnsi="Arial" w:cs="Arial"/>
                <w:sz w:val="20"/>
                <w:szCs w:val="20"/>
                <w:lang w:val="nl-NL" w:eastAsia="nl-NL" w:bidi="ar-SA"/>
              </w:rPr>
            </w:pPr>
            <w:proofErr w:type="spellStart"/>
            <w:r w:rsidRPr="004B0428">
              <w:rPr>
                <w:rFonts w:ascii="Arial" w:eastAsia="Times New Roman" w:hAnsi="Arial" w:cs="Arial"/>
                <w:sz w:val="20"/>
                <w:szCs w:val="20"/>
                <w:lang w:val="nl-NL" w:eastAsia="nl-NL" w:bidi="ar-SA"/>
              </w:rPr>
              <w:t>p-value</w:t>
            </w:r>
            <w:proofErr w:type="spellEnd"/>
          </w:p>
        </w:tc>
      </w:tr>
      <w:tr w:rsidR="00314A1E" w:rsidRPr="004B0428" w:rsidTr="009C16D2">
        <w:trPr>
          <w:trHeight w:val="262"/>
        </w:trPr>
        <w:tc>
          <w:tcPr>
            <w:tcW w:w="1116" w:type="dxa"/>
            <w:tcBorders>
              <w:top w:val="nil"/>
              <w:left w:val="single" w:sz="4" w:space="0" w:color="auto"/>
              <w:bottom w:val="single" w:sz="4" w:space="0" w:color="auto"/>
              <w:right w:val="single" w:sz="4" w:space="0" w:color="auto"/>
            </w:tcBorders>
            <w:shd w:val="clear" w:color="auto" w:fill="auto"/>
            <w:noWrap/>
            <w:vAlign w:val="bottom"/>
            <w:hideMark/>
          </w:tcPr>
          <w:p w:rsidR="00314A1E" w:rsidRPr="004B0428" w:rsidRDefault="00314A1E" w:rsidP="009C16D2">
            <w:pPr>
              <w:spacing w:after="0" w:line="240" w:lineRule="auto"/>
              <w:rPr>
                <w:rFonts w:ascii="Arial" w:eastAsia="Times New Roman" w:hAnsi="Arial" w:cs="Arial"/>
                <w:sz w:val="20"/>
                <w:szCs w:val="20"/>
                <w:lang w:val="nl-NL" w:eastAsia="nl-NL" w:bidi="ar-SA"/>
              </w:rPr>
            </w:pPr>
            <w:r w:rsidRPr="004B0428">
              <w:rPr>
                <w:rFonts w:ascii="Arial" w:eastAsia="Times New Roman" w:hAnsi="Arial" w:cs="Arial"/>
                <w:sz w:val="20"/>
                <w:szCs w:val="20"/>
                <w:lang w:val="nl-NL" w:eastAsia="nl-NL" w:bidi="ar-SA"/>
              </w:rPr>
              <w:t>EUROPE</w:t>
            </w:r>
          </w:p>
        </w:tc>
        <w:tc>
          <w:tcPr>
            <w:tcW w:w="954" w:type="dxa"/>
            <w:tcBorders>
              <w:top w:val="nil"/>
              <w:left w:val="nil"/>
              <w:bottom w:val="single" w:sz="4" w:space="0" w:color="auto"/>
              <w:right w:val="single" w:sz="4" w:space="0" w:color="auto"/>
            </w:tcBorders>
            <w:shd w:val="clear" w:color="auto" w:fill="auto"/>
            <w:noWrap/>
            <w:vAlign w:val="bottom"/>
            <w:hideMark/>
          </w:tcPr>
          <w:p w:rsidR="00314A1E" w:rsidRPr="004B0428" w:rsidRDefault="00314A1E" w:rsidP="009C16D2">
            <w:pPr>
              <w:spacing w:after="0" w:line="240" w:lineRule="auto"/>
              <w:jc w:val="right"/>
              <w:rPr>
                <w:rFonts w:ascii="Arial" w:eastAsia="Times New Roman" w:hAnsi="Arial" w:cs="Arial"/>
                <w:sz w:val="20"/>
                <w:szCs w:val="20"/>
                <w:lang w:val="nl-NL" w:eastAsia="nl-NL" w:bidi="ar-SA"/>
              </w:rPr>
            </w:pPr>
            <w:r w:rsidRPr="004B0428">
              <w:rPr>
                <w:rFonts w:ascii="Arial" w:eastAsia="Times New Roman" w:hAnsi="Arial" w:cs="Arial"/>
                <w:sz w:val="20"/>
                <w:szCs w:val="20"/>
                <w:lang w:val="nl-NL" w:eastAsia="nl-NL" w:bidi="ar-SA"/>
              </w:rPr>
              <w:t>-1,5697</w:t>
            </w:r>
          </w:p>
        </w:tc>
        <w:tc>
          <w:tcPr>
            <w:tcW w:w="954" w:type="dxa"/>
            <w:tcBorders>
              <w:top w:val="nil"/>
              <w:left w:val="nil"/>
              <w:bottom w:val="single" w:sz="4" w:space="0" w:color="auto"/>
              <w:right w:val="single" w:sz="4" w:space="0" w:color="auto"/>
            </w:tcBorders>
            <w:shd w:val="clear" w:color="auto" w:fill="auto"/>
            <w:noWrap/>
            <w:vAlign w:val="bottom"/>
            <w:hideMark/>
          </w:tcPr>
          <w:p w:rsidR="00314A1E" w:rsidRPr="004B0428" w:rsidRDefault="00314A1E" w:rsidP="009C16D2">
            <w:pPr>
              <w:spacing w:after="0" w:line="240" w:lineRule="auto"/>
              <w:jc w:val="right"/>
              <w:rPr>
                <w:rFonts w:ascii="Arial" w:eastAsia="Times New Roman" w:hAnsi="Arial" w:cs="Arial"/>
                <w:sz w:val="20"/>
                <w:szCs w:val="20"/>
                <w:lang w:val="nl-NL" w:eastAsia="nl-NL" w:bidi="ar-SA"/>
              </w:rPr>
            </w:pPr>
            <w:r w:rsidRPr="004B0428">
              <w:rPr>
                <w:rFonts w:ascii="Arial" w:eastAsia="Times New Roman" w:hAnsi="Arial" w:cs="Arial"/>
                <w:sz w:val="20"/>
                <w:szCs w:val="20"/>
                <w:lang w:val="nl-NL" w:eastAsia="nl-NL" w:bidi="ar-SA"/>
              </w:rPr>
              <w:t>0,498</w:t>
            </w:r>
          </w:p>
        </w:tc>
        <w:tc>
          <w:tcPr>
            <w:tcW w:w="1135" w:type="dxa"/>
            <w:tcBorders>
              <w:top w:val="nil"/>
              <w:left w:val="nil"/>
              <w:bottom w:val="single" w:sz="4" w:space="0" w:color="auto"/>
              <w:right w:val="single" w:sz="4" w:space="0" w:color="auto"/>
            </w:tcBorders>
            <w:shd w:val="clear" w:color="auto" w:fill="auto"/>
            <w:noWrap/>
            <w:vAlign w:val="bottom"/>
            <w:hideMark/>
          </w:tcPr>
          <w:p w:rsidR="00314A1E" w:rsidRPr="004B0428" w:rsidRDefault="00314A1E" w:rsidP="009C16D2">
            <w:pPr>
              <w:spacing w:after="0" w:line="240" w:lineRule="auto"/>
              <w:jc w:val="right"/>
              <w:rPr>
                <w:rFonts w:ascii="Arial" w:eastAsia="Times New Roman" w:hAnsi="Arial" w:cs="Arial"/>
                <w:sz w:val="20"/>
                <w:szCs w:val="20"/>
                <w:lang w:val="nl-NL" w:eastAsia="nl-NL" w:bidi="ar-SA"/>
              </w:rPr>
            </w:pPr>
            <w:r w:rsidRPr="004B0428">
              <w:rPr>
                <w:rFonts w:ascii="Arial" w:eastAsia="Times New Roman" w:hAnsi="Arial" w:cs="Arial"/>
                <w:sz w:val="20"/>
                <w:szCs w:val="20"/>
                <w:lang w:val="nl-NL" w:eastAsia="nl-NL" w:bidi="ar-SA"/>
              </w:rPr>
              <w:t>-56,35</w:t>
            </w:r>
          </w:p>
        </w:tc>
        <w:tc>
          <w:tcPr>
            <w:tcW w:w="922" w:type="dxa"/>
            <w:tcBorders>
              <w:top w:val="nil"/>
              <w:left w:val="nil"/>
              <w:bottom w:val="single" w:sz="4" w:space="0" w:color="auto"/>
              <w:right w:val="single" w:sz="4" w:space="0" w:color="auto"/>
            </w:tcBorders>
            <w:shd w:val="clear" w:color="auto" w:fill="auto"/>
            <w:noWrap/>
            <w:vAlign w:val="bottom"/>
            <w:hideMark/>
          </w:tcPr>
          <w:p w:rsidR="00314A1E" w:rsidRPr="004B0428" w:rsidRDefault="00314A1E" w:rsidP="009C16D2">
            <w:pPr>
              <w:spacing w:after="0" w:line="240" w:lineRule="auto"/>
              <w:jc w:val="right"/>
              <w:rPr>
                <w:rFonts w:ascii="Arial" w:eastAsia="Times New Roman" w:hAnsi="Arial" w:cs="Arial"/>
                <w:sz w:val="20"/>
                <w:szCs w:val="20"/>
                <w:lang w:val="nl-NL" w:eastAsia="nl-NL" w:bidi="ar-SA"/>
              </w:rPr>
            </w:pPr>
            <w:r w:rsidRPr="004B0428">
              <w:rPr>
                <w:rFonts w:ascii="Arial" w:eastAsia="Times New Roman" w:hAnsi="Arial" w:cs="Arial"/>
                <w:sz w:val="20"/>
                <w:szCs w:val="20"/>
                <w:lang w:val="nl-NL" w:eastAsia="nl-NL" w:bidi="ar-SA"/>
              </w:rPr>
              <w:t>0,0001</w:t>
            </w:r>
          </w:p>
        </w:tc>
      </w:tr>
      <w:tr w:rsidR="00314A1E" w:rsidRPr="004B0428" w:rsidTr="009C16D2">
        <w:trPr>
          <w:trHeight w:val="276"/>
        </w:trPr>
        <w:tc>
          <w:tcPr>
            <w:tcW w:w="1116" w:type="dxa"/>
            <w:tcBorders>
              <w:top w:val="nil"/>
              <w:left w:val="single" w:sz="4" w:space="0" w:color="auto"/>
              <w:bottom w:val="single" w:sz="4" w:space="0" w:color="auto"/>
              <w:right w:val="single" w:sz="4" w:space="0" w:color="auto"/>
            </w:tcBorders>
            <w:shd w:val="clear" w:color="auto" w:fill="auto"/>
            <w:noWrap/>
            <w:vAlign w:val="bottom"/>
            <w:hideMark/>
          </w:tcPr>
          <w:p w:rsidR="00314A1E" w:rsidRPr="004B0428" w:rsidRDefault="00314A1E" w:rsidP="009C16D2">
            <w:pPr>
              <w:spacing w:after="0" w:line="240" w:lineRule="auto"/>
              <w:rPr>
                <w:rFonts w:ascii="Arial" w:eastAsia="Times New Roman" w:hAnsi="Arial" w:cs="Arial"/>
                <w:sz w:val="20"/>
                <w:szCs w:val="20"/>
                <w:lang w:val="nl-NL" w:eastAsia="nl-NL" w:bidi="ar-SA"/>
              </w:rPr>
            </w:pPr>
            <w:r w:rsidRPr="004B0428">
              <w:rPr>
                <w:rFonts w:ascii="Arial" w:eastAsia="Times New Roman" w:hAnsi="Arial" w:cs="Arial"/>
                <w:sz w:val="20"/>
                <w:szCs w:val="20"/>
                <w:lang w:val="nl-NL" w:eastAsia="nl-NL" w:bidi="ar-SA"/>
              </w:rPr>
              <w:t>US</w:t>
            </w:r>
          </w:p>
        </w:tc>
        <w:tc>
          <w:tcPr>
            <w:tcW w:w="954" w:type="dxa"/>
            <w:tcBorders>
              <w:top w:val="nil"/>
              <w:left w:val="nil"/>
              <w:bottom w:val="single" w:sz="4" w:space="0" w:color="auto"/>
              <w:right w:val="single" w:sz="4" w:space="0" w:color="auto"/>
            </w:tcBorders>
            <w:shd w:val="clear" w:color="auto" w:fill="auto"/>
            <w:noWrap/>
            <w:vAlign w:val="bottom"/>
            <w:hideMark/>
          </w:tcPr>
          <w:p w:rsidR="00314A1E" w:rsidRPr="004B0428" w:rsidRDefault="00314A1E" w:rsidP="009C16D2">
            <w:pPr>
              <w:spacing w:after="0" w:line="240" w:lineRule="auto"/>
              <w:jc w:val="right"/>
              <w:rPr>
                <w:rFonts w:ascii="Arial" w:eastAsia="Times New Roman" w:hAnsi="Arial" w:cs="Arial"/>
                <w:sz w:val="20"/>
                <w:szCs w:val="20"/>
                <w:lang w:val="nl-NL" w:eastAsia="nl-NL" w:bidi="ar-SA"/>
              </w:rPr>
            </w:pPr>
            <w:r w:rsidRPr="004B0428">
              <w:rPr>
                <w:rFonts w:ascii="Arial" w:eastAsia="Times New Roman" w:hAnsi="Arial" w:cs="Arial"/>
                <w:sz w:val="20"/>
                <w:szCs w:val="20"/>
                <w:lang w:val="nl-NL" w:eastAsia="nl-NL" w:bidi="ar-SA"/>
              </w:rPr>
              <w:t>-1,9252</w:t>
            </w:r>
          </w:p>
        </w:tc>
        <w:tc>
          <w:tcPr>
            <w:tcW w:w="954" w:type="dxa"/>
            <w:tcBorders>
              <w:top w:val="nil"/>
              <w:left w:val="nil"/>
              <w:bottom w:val="single" w:sz="4" w:space="0" w:color="auto"/>
              <w:right w:val="single" w:sz="4" w:space="0" w:color="auto"/>
            </w:tcBorders>
            <w:shd w:val="clear" w:color="auto" w:fill="auto"/>
            <w:noWrap/>
            <w:vAlign w:val="bottom"/>
            <w:hideMark/>
          </w:tcPr>
          <w:p w:rsidR="00314A1E" w:rsidRPr="004B0428" w:rsidRDefault="00314A1E" w:rsidP="009C16D2">
            <w:pPr>
              <w:spacing w:after="0" w:line="240" w:lineRule="auto"/>
              <w:jc w:val="right"/>
              <w:rPr>
                <w:rFonts w:ascii="Arial" w:eastAsia="Times New Roman" w:hAnsi="Arial" w:cs="Arial"/>
                <w:sz w:val="20"/>
                <w:szCs w:val="20"/>
                <w:lang w:val="nl-NL" w:eastAsia="nl-NL" w:bidi="ar-SA"/>
              </w:rPr>
            </w:pPr>
            <w:r w:rsidRPr="004B0428">
              <w:rPr>
                <w:rFonts w:ascii="Arial" w:eastAsia="Times New Roman" w:hAnsi="Arial" w:cs="Arial"/>
                <w:sz w:val="20"/>
                <w:szCs w:val="20"/>
                <w:lang w:val="nl-NL" w:eastAsia="nl-NL" w:bidi="ar-SA"/>
              </w:rPr>
              <w:t>0,3208</w:t>
            </w:r>
          </w:p>
        </w:tc>
        <w:tc>
          <w:tcPr>
            <w:tcW w:w="1135" w:type="dxa"/>
            <w:tcBorders>
              <w:top w:val="nil"/>
              <w:left w:val="nil"/>
              <w:bottom w:val="single" w:sz="4" w:space="0" w:color="auto"/>
              <w:right w:val="single" w:sz="4" w:space="0" w:color="auto"/>
            </w:tcBorders>
            <w:shd w:val="clear" w:color="auto" w:fill="auto"/>
            <w:noWrap/>
            <w:vAlign w:val="bottom"/>
            <w:hideMark/>
          </w:tcPr>
          <w:p w:rsidR="00314A1E" w:rsidRPr="004B0428" w:rsidRDefault="00314A1E" w:rsidP="009C16D2">
            <w:pPr>
              <w:spacing w:after="0" w:line="240" w:lineRule="auto"/>
              <w:jc w:val="right"/>
              <w:rPr>
                <w:rFonts w:ascii="Arial" w:eastAsia="Times New Roman" w:hAnsi="Arial" w:cs="Arial"/>
                <w:sz w:val="20"/>
                <w:szCs w:val="20"/>
                <w:lang w:val="nl-NL" w:eastAsia="nl-NL" w:bidi="ar-SA"/>
              </w:rPr>
            </w:pPr>
            <w:r w:rsidRPr="004B0428">
              <w:rPr>
                <w:rFonts w:ascii="Arial" w:eastAsia="Times New Roman" w:hAnsi="Arial" w:cs="Arial"/>
                <w:sz w:val="20"/>
                <w:szCs w:val="20"/>
                <w:lang w:val="nl-NL" w:eastAsia="nl-NL" w:bidi="ar-SA"/>
              </w:rPr>
              <w:t>-43,549</w:t>
            </w:r>
          </w:p>
        </w:tc>
        <w:tc>
          <w:tcPr>
            <w:tcW w:w="922" w:type="dxa"/>
            <w:tcBorders>
              <w:top w:val="nil"/>
              <w:left w:val="nil"/>
              <w:bottom w:val="single" w:sz="4" w:space="0" w:color="auto"/>
              <w:right w:val="single" w:sz="4" w:space="0" w:color="auto"/>
            </w:tcBorders>
            <w:shd w:val="clear" w:color="auto" w:fill="auto"/>
            <w:noWrap/>
            <w:vAlign w:val="bottom"/>
            <w:hideMark/>
          </w:tcPr>
          <w:p w:rsidR="00314A1E" w:rsidRPr="004B0428" w:rsidRDefault="00314A1E" w:rsidP="009C16D2">
            <w:pPr>
              <w:spacing w:after="0" w:line="240" w:lineRule="auto"/>
              <w:jc w:val="right"/>
              <w:rPr>
                <w:rFonts w:ascii="Arial" w:eastAsia="Times New Roman" w:hAnsi="Arial" w:cs="Arial"/>
                <w:sz w:val="20"/>
                <w:szCs w:val="20"/>
                <w:lang w:val="nl-NL" w:eastAsia="nl-NL" w:bidi="ar-SA"/>
              </w:rPr>
            </w:pPr>
            <w:r w:rsidRPr="004B0428">
              <w:rPr>
                <w:rFonts w:ascii="Arial" w:eastAsia="Times New Roman" w:hAnsi="Arial" w:cs="Arial"/>
                <w:sz w:val="20"/>
                <w:szCs w:val="20"/>
                <w:lang w:val="nl-NL" w:eastAsia="nl-NL" w:bidi="ar-SA"/>
              </w:rPr>
              <w:t>0</w:t>
            </w:r>
          </w:p>
        </w:tc>
      </w:tr>
    </w:tbl>
    <w:p w:rsidR="00314A1E" w:rsidRDefault="00314A1E" w:rsidP="00314A1E">
      <w:pPr>
        <w:pStyle w:val="NoSpacing"/>
      </w:pPr>
    </w:p>
    <w:p w:rsidR="00314A1E" w:rsidRDefault="00314A1E" w:rsidP="00314A1E">
      <w:r>
        <w:t xml:space="preserve">After the certainty of a unit root in the exchange rates and market indices, the </w:t>
      </w:r>
      <w:proofErr w:type="spellStart"/>
      <w:r>
        <w:t>cointegration</w:t>
      </w:r>
      <w:proofErr w:type="spellEnd"/>
      <w:r>
        <w:t xml:space="preserve"> tests can be done. </w:t>
      </w:r>
    </w:p>
    <w:p w:rsidR="00D6604F" w:rsidRDefault="00D6604F" w:rsidP="00314A1E"/>
    <w:p w:rsidR="00534D6D" w:rsidRDefault="00534D6D" w:rsidP="00314A1E"/>
    <w:p w:rsidR="00D6604F" w:rsidRDefault="00D6604F" w:rsidP="00314A1E"/>
    <w:p w:rsidR="00D6604F" w:rsidRDefault="00D6604F" w:rsidP="00314A1E"/>
    <w:p w:rsidR="00314A1E" w:rsidRDefault="00314A1E" w:rsidP="00314A1E">
      <w:pPr>
        <w:pStyle w:val="NoSpacing"/>
      </w:pPr>
      <w:r>
        <w:lastRenderedPageBreak/>
        <w:t xml:space="preserve">Table </w:t>
      </w:r>
      <w:r w:rsidR="00CD606C">
        <w:t>8</w:t>
      </w:r>
      <w:r>
        <w:t xml:space="preserve">: </w:t>
      </w:r>
      <w:proofErr w:type="spellStart"/>
      <w:r>
        <w:t>Cointegration</w:t>
      </w:r>
      <w:proofErr w:type="spellEnd"/>
      <w:r>
        <w:t xml:space="preserve"> test between market indices and exchange rates</w:t>
      </w:r>
    </w:p>
    <w:tbl>
      <w:tblPr>
        <w:tblW w:w="6182" w:type="dxa"/>
        <w:tblInd w:w="55" w:type="dxa"/>
        <w:tblCellMar>
          <w:left w:w="70" w:type="dxa"/>
          <w:right w:w="70" w:type="dxa"/>
        </w:tblCellMar>
        <w:tblLook w:val="04A0"/>
      </w:tblPr>
      <w:tblGrid>
        <w:gridCol w:w="1390"/>
        <w:gridCol w:w="1187"/>
        <w:gridCol w:w="1187"/>
        <w:gridCol w:w="1270"/>
        <w:gridCol w:w="1148"/>
      </w:tblGrid>
      <w:tr w:rsidR="00314A1E" w:rsidRPr="004B0428" w:rsidTr="009C16D2">
        <w:trPr>
          <w:trHeight w:val="272"/>
        </w:trPr>
        <w:tc>
          <w:tcPr>
            <w:tcW w:w="13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4A1E" w:rsidRPr="004B0428" w:rsidRDefault="00314A1E" w:rsidP="009C16D2">
            <w:pPr>
              <w:spacing w:after="0" w:line="240" w:lineRule="auto"/>
              <w:rPr>
                <w:rFonts w:ascii="Arial" w:eastAsia="Times New Roman" w:hAnsi="Arial" w:cs="Arial"/>
                <w:sz w:val="20"/>
                <w:szCs w:val="20"/>
                <w:lang w:val="nl-NL" w:eastAsia="nl-NL" w:bidi="ar-SA"/>
              </w:rPr>
            </w:pPr>
            <w:proofErr w:type="spellStart"/>
            <w:r w:rsidRPr="004B0428">
              <w:rPr>
                <w:rFonts w:ascii="Arial" w:eastAsia="Times New Roman" w:hAnsi="Arial" w:cs="Arial"/>
                <w:sz w:val="20"/>
                <w:szCs w:val="20"/>
                <w:lang w:val="nl-NL" w:eastAsia="nl-NL" w:bidi="ar-SA"/>
              </w:rPr>
              <w:t>Dependent</w:t>
            </w:r>
            <w:proofErr w:type="spellEnd"/>
          </w:p>
        </w:tc>
        <w:tc>
          <w:tcPr>
            <w:tcW w:w="1187" w:type="dxa"/>
            <w:tcBorders>
              <w:top w:val="single" w:sz="4" w:space="0" w:color="auto"/>
              <w:left w:val="nil"/>
              <w:bottom w:val="single" w:sz="4" w:space="0" w:color="auto"/>
              <w:right w:val="single" w:sz="4" w:space="0" w:color="auto"/>
            </w:tcBorders>
            <w:shd w:val="clear" w:color="auto" w:fill="auto"/>
            <w:noWrap/>
            <w:vAlign w:val="bottom"/>
            <w:hideMark/>
          </w:tcPr>
          <w:p w:rsidR="00314A1E" w:rsidRPr="004B0428" w:rsidRDefault="00314A1E" w:rsidP="009C16D2">
            <w:pPr>
              <w:spacing w:after="0" w:line="240" w:lineRule="auto"/>
              <w:rPr>
                <w:rFonts w:ascii="Arial" w:eastAsia="Times New Roman" w:hAnsi="Arial" w:cs="Arial"/>
                <w:sz w:val="20"/>
                <w:szCs w:val="20"/>
                <w:lang w:val="nl-NL" w:eastAsia="nl-NL" w:bidi="ar-SA"/>
              </w:rPr>
            </w:pPr>
            <w:proofErr w:type="spellStart"/>
            <w:r w:rsidRPr="004B0428">
              <w:rPr>
                <w:rFonts w:ascii="Arial" w:eastAsia="Times New Roman" w:hAnsi="Arial" w:cs="Arial"/>
                <w:sz w:val="20"/>
                <w:szCs w:val="20"/>
                <w:lang w:val="nl-NL" w:eastAsia="nl-NL" w:bidi="ar-SA"/>
              </w:rPr>
              <w:t>tau-statistic</w:t>
            </w:r>
            <w:proofErr w:type="spellEnd"/>
          </w:p>
        </w:tc>
        <w:tc>
          <w:tcPr>
            <w:tcW w:w="1187" w:type="dxa"/>
            <w:tcBorders>
              <w:top w:val="single" w:sz="4" w:space="0" w:color="auto"/>
              <w:left w:val="nil"/>
              <w:bottom w:val="single" w:sz="4" w:space="0" w:color="auto"/>
              <w:right w:val="single" w:sz="4" w:space="0" w:color="auto"/>
            </w:tcBorders>
            <w:shd w:val="clear" w:color="auto" w:fill="auto"/>
            <w:noWrap/>
            <w:vAlign w:val="bottom"/>
            <w:hideMark/>
          </w:tcPr>
          <w:p w:rsidR="00314A1E" w:rsidRPr="004B0428" w:rsidRDefault="00314A1E" w:rsidP="009C16D2">
            <w:pPr>
              <w:spacing w:after="0" w:line="240" w:lineRule="auto"/>
              <w:rPr>
                <w:rFonts w:ascii="Arial" w:eastAsia="Times New Roman" w:hAnsi="Arial" w:cs="Arial"/>
                <w:sz w:val="20"/>
                <w:szCs w:val="20"/>
                <w:lang w:val="nl-NL" w:eastAsia="nl-NL" w:bidi="ar-SA"/>
              </w:rPr>
            </w:pPr>
            <w:proofErr w:type="spellStart"/>
            <w:r w:rsidRPr="004B0428">
              <w:rPr>
                <w:rFonts w:ascii="Arial" w:eastAsia="Times New Roman" w:hAnsi="Arial" w:cs="Arial"/>
                <w:sz w:val="20"/>
                <w:szCs w:val="20"/>
                <w:lang w:val="nl-NL" w:eastAsia="nl-NL" w:bidi="ar-SA"/>
              </w:rPr>
              <w:t>Prob</w:t>
            </w:r>
            <w:proofErr w:type="spellEnd"/>
            <w:r w:rsidRPr="004B0428">
              <w:rPr>
                <w:rFonts w:ascii="Arial" w:eastAsia="Times New Roman" w:hAnsi="Arial" w:cs="Arial"/>
                <w:sz w:val="20"/>
                <w:szCs w:val="20"/>
                <w:lang w:val="nl-NL" w:eastAsia="nl-NL" w:bidi="ar-SA"/>
              </w:rPr>
              <w:t>.*</w:t>
            </w:r>
          </w:p>
        </w:tc>
        <w:tc>
          <w:tcPr>
            <w:tcW w:w="1270" w:type="dxa"/>
            <w:tcBorders>
              <w:top w:val="single" w:sz="4" w:space="0" w:color="auto"/>
              <w:left w:val="nil"/>
              <w:bottom w:val="single" w:sz="4" w:space="0" w:color="auto"/>
              <w:right w:val="single" w:sz="4" w:space="0" w:color="auto"/>
            </w:tcBorders>
            <w:shd w:val="clear" w:color="auto" w:fill="auto"/>
            <w:noWrap/>
            <w:vAlign w:val="bottom"/>
            <w:hideMark/>
          </w:tcPr>
          <w:p w:rsidR="00314A1E" w:rsidRPr="004B0428" w:rsidRDefault="00314A1E" w:rsidP="009C16D2">
            <w:pPr>
              <w:spacing w:after="0" w:line="240" w:lineRule="auto"/>
              <w:rPr>
                <w:rFonts w:ascii="Arial" w:eastAsia="Times New Roman" w:hAnsi="Arial" w:cs="Arial"/>
                <w:sz w:val="20"/>
                <w:szCs w:val="20"/>
                <w:lang w:val="nl-NL" w:eastAsia="nl-NL" w:bidi="ar-SA"/>
              </w:rPr>
            </w:pPr>
            <w:proofErr w:type="spellStart"/>
            <w:r w:rsidRPr="004B0428">
              <w:rPr>
                <w:rFonts w:ascii="Arial" w:eastAsia="Times New Roman" w:hAnsi="Arial" w:cs="Arial"/>
                <w:sz w:val="20"/>
                <w:szCs w:val="20"/>
                <w:lang w:val="nl-NL" w:eastAsia="nl-NL" w:bidi="ar-SA"/>
              </w:rPr>
              <w:t>z-statistic</w:t>
            </w:r>
            <w:proofErr w:type="spellEnd"/>
          </w:p>
        </w:tc>
        <w:tc>
          <w:tcPr>
            <w:tcW w:w="1148" w:type="dxa"/>
            <w:tcBorders>
              <w:top w:val="single" w:sz="4" w:space="0" w:color="auto"/>
              <w:left w:val="nil"/>
              <w:bottom w:val="single" w:sz="4" w:space="0" w:color="auto"/>
              <w:right w:val="single" w:sz="4" w:space="0" w:color="auto"/>
            </w:tcBorders>
            <w:shd w:val="clear" w:color="auto" w:fill="auto"/>
            <w:noWrap/>
            <w:vAlign w:val="bottom"/>
            <w:hideMark/>
          </w:tcPr>
          <w:p w:rsidR="00314A1E" w:rsidRPr="004B0428" w:rsidRDefault="00314A1E" w:rsidP="009C16D2">
            <w:pPr>
              <w:spacing w:after="0" w:line="240" w:lineRule="auto"/>
              <w:rPr>
                <w:rFonts w:ascii="Arial" w:eastAsia="Times New Roman" w:hAnsi="Arial" w:cs="Arial"/>
                <w:sz w:val="20"/>
                <w:szCs w:val="20"/>
                <w:lang w:val="nl-NL" w:eastAsia="nl-NL" w:bidi="ar-SA"/>
              </w:rPr>
            </w:pPr>
            <w:proofErr w:type="spellStart"/>
            <w:r w:rsidRPr="004B0428">
              <w:rPr>
                <w:rFonts w:ascii="Arial" w:eastAsia="Times New Roman" w:hAnsi="Arial" w:cs="Arial"/>
                <w:sz w:val="20"/>
                <w:szCs w:val="20"/>
                <w:lang w:val="nl-NL" w:eastAsia="nl-NL" w:bidi="ar-SA"/>
              </w:rPr>
              <w:t>Prob</w:t>
            </w:r>
            <w:proofErr w:type="spellEnd"/>
            <w:r w:rsidRPr="004B0428">
              <w:rPr>
                <w:rFonts w:ascii="Arial" w:eastAsia="Times New Roman" w:hAnsi="Arial" w:cs="Arial"/>
                <w:sz w:val="20"/>
                <w:szCs w:val="20"/>
                <w:lang w:val="nl-NL" w:eastAsia="nl-NL" w:bidi="ar-SA"/>
              </w:rPr>
              <w:t>.*</w:t>
            </w:r>
          </w:p>
        </w:tc>
      </w:tr>
      <w:tr w:rsidR="00314A1E" w:rsidRPr="004B0428" w:rsidTr="009C16D2">
        <w:trPr>
          <w:trHeight w:val="272"/>
        </w:trPr>
        <w:tc>
          <w:tcPr>
            <w:tcW w:w="1390" w:type="dxa"/>
            <w:tcBorders>
              <w:top w:val="nil"/>
              <w:left w:val="single" w:sz="4" w:space="0" w:color="auto"/>
              <w:bottom w:val="nil"/>
              <w:right w:val="single" w:sz="4" w:space="0" w:color="auto"/>
            </w:tcBorders>
            <w:shd w:val="clear" w:color="auto" w:fill="auto"/>
            <w:noWrap/>
            <w:vAlign w:val="bottom"/>
            <w:hideMark/>
          </w:tcPr>
          <w:p w:rsidR="00314A1E" w:rsidRPr="004B0428" w:rsidRDefault="00314A1E" w:rsidP="009C16D2">
            <w:pPr>
              <w:spacing w:after="0" w:line="240" w:lineRule="auto"/>
              <w:rPr>
                <w:rFonts w:ascii="Arial" w:eastAsia="Times New Roman" w:hAnsi="Arial" w:cs="Arial"/>
                <w:sz w:val="20"/>
                <w:szCs w:val="20"/>
                <w:lang w:val="nl-NL" w:eastAsia="nl-NL" w:bidi="ar-SA"/>
              </w:rPr>
            </w:pPr>
            <w:r w:rsidRPr="004B0428">
              <w:rPr>
                <w:rFonts w:ascii="Arial" w:eastAsia="Times New Roman" w:hAnsi="Arial" w:cs="Arial"/>
                <w:sz w:val="20"/>
                <w:szCs w:val="20"/>
                <w:lang w:val="nl-NL" w:eastAsia="nl-NL" w:bidi="ar-SA"/>
              </w:rPr>
              <w:t>CHFEUR</w:t>
            </w:r>
          </w:p>
        </w:tc>
        <w:tc>
          <w:tcPr>
            <w:tcW w:w="1187" w:type="dxa"/>
            <w:tcBorders>
              <w:top w:val="nil"/>
              <w:left w:val="nil"/>
              <w:bottom w:val="nil"/>
              <w:right w:val="nil"/>
            </w:tcBorders>
            <w:shd w:val="clear" w:color="auto" w:fill="auto"/>
            <w:noWrap/>
            <w:vAlign w:val="bottom"/>
            <w:hideMark/>
          </w:tcPr>
          <w:p w:rsidR="00314A1E" w:rsidRPr="004B0428" w:rsidRDefault="00314A1E" w:rsidP="009C16D2">
            <w:pPr>
              <w:spacing w:after="0" w:line="240" w:lineRule="auto"/>
              <w:jc w:val="right"/>
              <w:rPr>
                <w:rFonts w:ascii="Arial" w:eastAsia="Times New Roman" w:hAnsi="Arial" w:cs="Arial"/>
                <w:sz w:val="20"/>
                <w:szCs w:val="20"/>
                <w:lang w:val="nl-NL" w:eastAsia="nl-NL" w:bidi="ar-SA"/>
              </w:rPr>
            </w:pPr>
            <w:r w:rsidRPr="004B0428">
              <w:rPr>
                <w:rFonts w:ascii="Arial" w:eastAsia="Times New Roman" w:hAnsi="Arial" w:cs="Arial"/>
                <w:sz w:val="20"/>
                <w:szCs w:val="20"/>
                <w:lang w:val="nl-NL" w:eastAsia="nl-NL" w:bidi="ar-SA"/>
              </w:rPr>
              <w:t>1,140064</w:t>
            </w:r>
          </w:p>
        </w:tc>
        <w:tc>
          <w:tcPr>
            <w:tcW w:w="1187" w:type="dxa"/>
            <w:tcBorders>
              <w:top w:val="nil"/>
              <w:left w:val="single" w:sz="4" w:space="0" w:color="auto"/>
              <w:bottom w:val="nil"/>
              <w:right w:val="single" w:sz="4" w:space="0" w:color="auto"/>
            </w:tcBorders>
            <w:shd w:val="clear" w:color="auto" w:fill="auto"/>
            <w:noWrap/>
            <w:vAlign w:val="bottom"/>
            <w:hideMark/>
          </w:tcPr>
          <w:p w:rsidR="00314A1E" w:rsidRPr="004B0428" w:rsidRDefault="00314A1E" w:rsidP="009C16D2">
            <w:pPr>
              <w:spacing w:after="0" w:line="240" w:lineRule="auto"/>
              <w:jc w:val="right"/>
              <w:rPr>
                <w:rFonts w:ascii="Arial" w:eastAsia="Times New Roman" w:hAnsi="Arial" w:cs="Arial"/>
                <w:sz w:val="20"/>
                <w:szCs w:val="20"/>
                <w:lang w:val="nl-NL" w:eastAsia="nl-NL" w:bidi="ar-SA"/>
              </w:rPr>
            </w:pPr>
            <w:r w:rsidRPr="004B0428">
              <w:rPr>
                <w:rFonts w:ascii="Arial" w:eastAsia="Times New Roman" w:hAnsi="Arial" w:cs="Arial"/>
                <w:sz w:val="20"/>
                <w:szCs w:val="20"/>
                <w:lang w:val="nl-NL" w:eastAsia="nl-NL" w:bidi="ar-SA"/>
              </w:rPr>
              <w:t>0,9995</w:t>
            </w:r>
          </w:p>
        </w:tc>
        <w:tc>
          <w:tcPr>
            <w:tcW w:w="1270" w:type="dxa"/>
            <w:tcBorders>
              <w:top w:val="nil"/>
              <w:left w:val="nil"/>
              <w:bottom w:val="nil"/>
              <w:right w:val="single" w:sz="4" w:space="0" w:color="auto"/>
            </w:tcBorders>
            <w:shd w:val="clear" w:color="auto" w:fill="auto"/>
            <w:noWrap/>
            <w:vAlign w:val="bottom"/>
            <w:hideMark/>
          </w:tcPr>
          <w:p w:rsidR="00314A1E" w:rsidRPr="004B0428" w:rsidRDefault="00314A1E" w:rsidP="009C16D2">
            <w:pPr>
              <w:spacing w:after="0" w:line="240" w:lineRule="auto"/>
              <w:jc w:val="right"/>
              <w:rPr>
                <w:rFonts w:ascii="Arial" w:eastAsia="Times New Roman" w:hAnsi="Arial" w:cs="Arial"/>
                <w:sz w:val="20"/>
                <w:szCs w:val="20"/>
                <w:lang w:val="nl-NL" w:eastAsia="nl-NL" w:bidi="ar-SA"/>
              </w:rPr>
            </w:pPr>
            <w:r w:rsidRPr="004B0428">
              <w:rPr>
                <w:rFonts w:ascii="Arial" w:eastAsia="Times New Roman" w:hAnsi="Arial" w:cs="Arial"/>
                <w:sz w:val="20"/>
                <w:szCs w:val="20"/>
                <w:lang w:val="nl-NL" w:eastAsia="nl-NL" w:bidi="ar-SA"/>
              </w:rPr>
              <w:t>4,849672</w:t>
            </w:r>
          </w:p>
        </w:tc>
        <w:tc>
          <w:tcPr>
            <w:tcW w:w="1148" w:type="dxa"/>
            <w:tcBorders>
              <w:top w:val="nil"/>
              <w:left w:val="nil"/>
              <w:bottom w:val="nil"/>
              <w:right w:val="single" w:sz="4" w:space="0" w:color="auto"/>
            </w:tcBorders>
            <w:shd w:val="clear" w:color="auto" w:fill="auto"/>
            <w:noWrap/>
            <w:vAlign w:val="bottom"/>
            <w:hideMark/>
          </w:tcPr>
          <w:p w:rsidR="00314A1E" w:rsidRPr="004B0428" w:rsidRDefault="00314A1E" w:rsidP="009C16D2">
            <w:pPr>
              <w:spacing w:after="0" w:line="240" w:lineRule="auto"/>
              <w:jc w:val="right"/>
              <w:rPr>
                <w:rFonts w:ascii="Arial" w:eastAsia="Times New Roman" w:hAnsi="Arial" w:cs="Arial"/>
                <w:sz w:val="20"/>
                <w:szCs w:val="20"/>
                <w:lang w:val="nl-NL" w:eastAsia="nl-NL" w:bidi="ar-SA"/>
              </w:rPr>
            </w:pPr>
            <w:r w:rsidRPr="004B0428">
              <w:rPr>
                <w:rFonts w:ascii="Arial" w:eastAsia="Times New Roman" w:hAnsi="Arial" w:cs="Arial"/>
                <w:sz w:val="20"/>
                <w:szCs w:val="20"/>
                <w:lang w:val="nl-NL" w:eastAsia="nl-NL" w:bidi="ar-SA"/>
              </w:rPr>
              <w:t>1</w:t>
            </w:r>
          </w:p>
        </w:tc>
      </w:tr>
      <w:tr w:rsidR="00314A1E" w:rsidRPr="004B0428" w:rsidTr="009C16D2">
        <w:trPr>
          <w:trHeight w:val="257"/>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rsidR="00314A1E" w:rsidRPr="004B0428" w:rsidRDefault="00314A1E" w:rsidP="009C16D2">
            <w:pPr>
              <w:spacing w:after="0" w:line="240" w:lineRule="auto"/>
              <w:rPr>
                <w:rFonts w:ascii="Arial" w:eastAsia="Times New Roman" w:hAnsi="Arial" w:cs="Arial"/>
                <w:sz w:val="20"/>
                <w:szCs w:val="20"/>
                <w:lang w:val="nl-NL" w:eastAsia="nl-NL" w:bidi="ar-SA"/>
              </w:rPr>
            </w:pPr>
            <w:r w:rsidRPr="004B0428">
              <w:rPr>
                <w:rFonts w:ascii="Arial" w:eastAsia="Times New Roman" w:hAnsi="Arial" w:cs="Arial"/>
                <w:sz w:val="20"/>
                <w:szCs w:val="20"/>
                <w:lang w:val="nl-NL" w:eastAsia="nl-NL" w:bidi="ar-SA"/>
              </w:rPr>
              <w:t>EUROPE</w:t>
            </w:r>
          </w:p>
        </w:tc>
        <w:tc>
          <w:tcPr>
            <w:tcW w:w="1187" w:type="dxa"/>
            <w:tcBorders>
              <w:top w:val="nil"/>
              <w:left w:val="nil"/>
              <w:bottom w:val="single" w:sz="4" w:space="0" w:color="auto"/>
              <w:right w:val="nil"/>
            </w:tcBorders>
            <w:shd w:val="clear" w:color="auto" w:fill="auto"/>
            <w:noWrap/>
            <w:vAlign w:val="bottom"/>
            <w:hideMark/>
          </w:tcPr>
          <w:p w:rsidR="00314A1E" w:rsidRPr="004B0428" w:rsidRDefault="00314A1E" w:rsidP="009C16D2">
            <w:pPr>
              <w:spacing w:after="0" w:line="240" w:lineRule="auto"/>
              <w:jc w:val="right"/>
              <w:rPr>
                <w:rFonts w:ascii="Arial" w:eastAsia="Times New Roman" w:hAnsi="Arial" w:cs="Arial"/>
                <w:sz w:val="20"/>
                <w:szCs w:val="20"/>
                <w:lang w:val="nl-NL" w:eastAsia="nl-NL" w:bidi="ar-SA"/>
              </w:rPr>
            </w:pPr>
            <w:r w:rsidRPr="004B0428">
              <w:rPr>
                <w:rFonts w:ascii="Arial" w:eastAsia="Times New Roman" w:hAnsi="Arial" w:cs="Arial"/>
                <w:sz w:val="20"/>
                <w:szCs w:val="20"/>
                <w:lang w:val="nl-NL" w:eastAsia="nl-NL" w:bidi="ar-SA"/>
              </w:rPr>
              <w:t>-0,971255</w:t>
            </w:r>
          </w:p>
        </w:tc>
        <w:tc>
          <w:tcPr>
            <w:tcW w:w="1187" w:type="dxa"/>
            <w:tcBorders>
              <w:top w:val="nil"/>
              <w:left w:val="single" w:sz="4" w:space="0" w:color="auto"/>
              <w:bottom w:val="single" w:sz="4" w:space="0" w:color="auto"/>
              <w:right w:val="single" w:sz="4" w:space="0" w:color="auto"/>
            </w:tcBorders>
            <w:shd w:val="clear" w:color="auto" w:fill="auto"/>
            <w:noWrap/>
            <w:vAlign w:val="bottom"/>
            <w:hideMark/>
          </w:tcPr>
          <w:p w:rsidR="00314A1E" w:rsidRPr="004B0428" w:rsidRDefault="00314A1E" w:rsidP="009C16D2">
            <w:pPr>
              <w:spacing w:after="0" w:line="240" w:lineRule="auto"/>
              <w:jc w:val="right"/>
              <w:rPr>
                <w:rFonts w:ascii="Arial" w:eastAsia="Times New Roman" w:hAnsi="Arial" w:cs="Arial"/>
                <w:sz w:val="20"/>
                <w:szCs w:val="20"/>
                <w:lang w:val="nl-NL" w:eastAsia="nl-NL" w:bidi="ar-SA"/>
              </w:rPr>
            </w:pPr>
            <w:r w:rsidRPr="004B0428">
              <w:rPr>
                <w:rFonts w:ascii="Arial" w:eastAsia="Times New Roman" w:hAnsi="Arial" w:cs="Arial"/>
                <w:sz w:val="20"/>
                <w:szCs w:val="20"/>
                <w:lang w:val="nl-NL" w:eastAsia="nl-NL" w:bidi="ar-SA"/>
              </w:rPr>
              <w:t>0,9067</w:t>
            </w:r>
          </w:p>
        </w:tc>
        <w:tc>
          <w:tcPr>
            <w:tcW w:w="1270" w:type="dxa"/>
            <w:tcBorders>
              <w:top w:val="nil"/>
              <w:left w:val="nil"/>
              <w:bottom w:val="single" w:sz="4" w:space="0" w:color="auto"/>
              <w:right w:val="single" w:sz="4" w:space="0" w:color="auto"/>
            </w:tcBorders>
            <w:shd w:val="clear" w:color="auto" w:fill="auto"/>
            <w:noWrap/>
            <w:vAlign w:val="bottom"/>
            <w:hideMark/>
          </w:tcPr>
          <w:p w:rsidR="00314A1E" w:rsidRPr="004B0428" w:rsidRDefault="00314A1E" w:rsidP="009C16D2">
            <w:pPr>
              <w:spacing w:after="0" w:line="240" w:lineRule="auto"/>
              <w:jc w:val="right"/>
              <w:rPr>
                <w:rFonts w:ascii="Arial" w:eastAsia="Times New Roman" w:hAnsi="Arial" w:cs="Arial"/>
                <w:sz w:val="20"/>
                <w:szCs w:val="20"/>
                <w:lang w:val="nl-NL" w:eastAsia="nl-NL" w:bidi="ar-SA"/>
              </w:rPr>
            </w:pPr>
            <w:r w:rsidRPr="004B0428">
              <w:rPr>
                <w:rFonts w:ascii="Arial" w:eastAsia="Times New Roman" w:hAnsi="Arial" w:cs="Arial"/>
                <w:sz w:val="20"/>
                <w:szCs w:val="20"/>
                <w:lang w:val="nl-NL" w:eastAsia="nl-NL" w:bidi="ar-SA"/>
              </w:rPr>
              <w:t>-3,555038</w:t>
            </w:r>
          </w:p>
        </w:tc>
        <w:tc>
          <w:tcPr>
            <w:tcW w:w="1148" w:type="dxa"/>
            <w:tcBorders>
              <w:top w:val="nil"/>
              <w:left w:val="nil"/>
              <w:bottom w:val="single" w:sz="4" w:space="0" w:color="auto"/>
              <w:right w:val="single" w:sz="4" w:space="0" w:color="auto"/>
            </w:tcBorders>
            <w:shd w:val="clear" w:color="auto" w:fill="auto"/>
            <w:noWrap/>
            <w:vAlign w:val="bottom"/>
            <w:hideMark/>
          </w:tcPr>
          <w:p w:rsidR="00314A1E" w:rsidRPr="004B0428" w:rsidRDefault="00314A1E" w:rsidP="009C16D2">
            <w:pPr>
              <w:spacing w:after="0" w:line="240" w:lineRule="auto"/>
              <w:jc w:val="right"/>
              <w:rPr>
                <w:rFonts w:ascii="Arial" w:eastAsia="Times New Roman" w:hAnsi="Arial" w:cs="Arial"/>
                <w:sz w:val="20"/>
                <w:szCs w:val="20"/>
                <w:lang w:val="nl-NL" w:eastAsia="nl-NL" w:bidi="ar-SA"/>
              </w:rPr>
            </w:pPr>
            <w:r w:rsidRPr="004B0428">
              <w:rPr>
                <w:rFonts w:ascii="Arial" w:eastAsia="Times New Roman" w:hAnsi="Arial" w:cs="Arial"/>
                <w:sz w:val="20"/>
                <w:szCs w:val="20"/>
                <w:lang w:val="nl-NL" w:eastAsia="nl-NL" w:bidi="ar-SA"/>
              </w:rPr>
              <w:t>0,8415</w:t>
            </w:r>
          </w:p>
        </w:tc>
      </w:tr>
      <w:tr w:rsidR="00314A1E" w:rsidRPr="004B0428" w:rsidTr="009C16D2">
        <w:trPr>
          <w:trHeight w:val="272"/>
        </w:trPr>
        <w:tc>
          <w:tcPr>
            <w:tcW w:w="1390" w:type="dxa"/>
            <w:tcBorders>
              <w:top w:val="nil"/>
              <w:left w:val="single" w:sz="4" w:space="0" w:color="auto"/>
              <w:bottom w:val="nil"/>
              <w:right w:val="single" w:sz="4" w:space="0" w:color="auto"/>
            </w:tcBorders>
            <w:shd w:val="clear" w:color="auto" w:fill="auto"/>
            <w:noWrap/>
            <w:vAlign w:val="bottom"/>
            <w:hideMark/>
          </w:tcPr>
          <w:p w:rsidR="00314A1E" w:rsidRPr="004B0428" w:rsidRDefault="00314A1E" w:rsidP="009C16D2">
            <w:pPr>
              <w:spacing w:after="0" w:line="240" w:lineRule="auto"/>
              <w:rPr>
                <w:rFonts w:ascii="Arial" w:eastAsia="Times New Roman" w:hAnsi="Arial" w:cs="Arial"/>
                <w:sz w:val="20"/>
                <w:szCs w:val="20"/>
                <w:lang w:val="nl-NL" w:eastAsia="nl-NL" w:bidi="ar-SA"/>
              </w:rPr>
            </w:pPr>
            <w:r w:rsidRPr="004B0428">
              <w:rPr>
                <w:rFonts w:ascii="Arial" w:eastAsia="Times New Roman" w:hAnsi="Arial" w:cs="Arial"/>
                <w:sz w:val="20"/>
                <w:szCs w:val="20"/>
                <w:lang w:val="nl-NL" w:eastAsia="nl-NL" w:bidi="ar-SA"/>
              </w:rPr>
              <w:t>USDEUR</w:t>
            </w:r>
          </w:p>
        </w:tc>
        <w:tc>
          <w:tcPr>
            <w:tcW w:w="1187" w:type="dxa"/>
            <w:tcBorders>
              <w:top w:val="nil"/>
              <w:left w:val="nil"/>
              <w:bottom w:val="nil"/>
              <w:right w:val="nil"/>
            </w:tcBorders>
            <w:shd w:val="clear" w:color="auto" w:fill="auto"/>
            <w:noWrap/>
            <w:vAlign w:val="bottom"/>
            <w:hideMark/>
          </w:tcPr>
          <w:p w:rsidR="00314A1E" w:rsidRPr="004B0428" w:rsidRDefault="00314A1E" w:rsidP="009C16D2">
            <w:pPr>
              <w:spacing w:after="0" w:line="240" w:lineRule="auto"/>
              <w:jc w:val="right"/>
              <w:rPr>
                <w:rFonts w:ascii="Arial" w:eastAsia="Times New Roman" w:hAnsi="Arial" w:cs="Arial"/>
                <w:sz w:val="20"/>
                <w:szCs w:val="20"/>
                <w:lang w:val="nl-NL" w:eastAsia="nl-NL" w:bidi="ar-SA"/>
              </w:rPr>
            </w:pPr>
            <w:r w:rsidRPr="004B0428">
              <w:rPr>
                <w:rFonts w:ascii="Arial" w:eastAsia="Times New Roman" w:hAnsi="Arial" w:cs="Arial"/>
                <w:sz w:val="20"/>
                <w:szCs w:val="20"/>
                <w:lang w:val="nl-NL" w:eastAsia="nl-NL" w:bidi="ar-SA"/>
              </w:rPr>
              <w:t>-0,907732</w:t>
            </w:r>
          </w:p>
        </w:tc>
        <w:tc>
          <w:tcPr>
            <w:tcW w:w="1187" w:type="dxa"/>
            <w:tcBorders>
              <w:top w:val="nil"/>
              <w:left w:val="single" w:sz="4" w:space="0" w:color="auto"/>
              <w:bottom w:val="nil"/>
              <w:right w:val="single" w:sz="4" w:space="0" w:color="auto"/>
            </w:tcBorders>
            <w:shd w:val="clear" w:color="auto" w:fill="auto"/>
            <w:noWrap/>
            <w:vAlign w:val="bottom"/>
            <w:hideMark/>
          </w:tcPr>
          <w:p w:rsidR="00314A1E" w:rsidRPr="004B0428" w:rsidRDefault="00314A1E" w:rsidP="009C16D2">
            <w:pPr>
              <w:spacing w:after="0" w:line="240" w:lineRule="auto"/>
              <w:jc w:val="right"/>
              <w:rPr>
                <w:rFonts w:ascii="Arial" w:eastAsia="Times New Roman" w:hAnsi="Arial" w:cs="Arial"/>
                <w:sz w:val="20"/>
                <w:szCs w:val="20"/>
                <w:lang w:val="nl-NL" w:eastAsia="nl-NL" w:bidi="ar-SA"/>
              </w:rPr>
            </w:pPr>
            <w:r w:rsidRPr="004B0428">
              <w:rPr>
                <w:rFonts w:ascii="Arial" w:eastAsia="Times New Roman" w:hAnsi="Arial" w:cs="Arial"/>
                <w:sz w:val="20"/>
                <w:szCs w:val="20"/>
                <w:lang w:val="nl-NL" w:eastAsia="nl-NL" w:bidi="ar-SA"/>
              </w:rPr>
              <w:t>0,917</w:t>
            </w:r>
          </w:p>
        </w:tc>
        <w:tc>
          <w:tcPr>
            <w:tcW w:w="1270" w:type="dxa"/>
            <w:tcBorders>
              <w:top w:val="nil"/>
              <w:left w:val="nil"/>
              <w:bottom w:val="nil"/>
              <w:right w:val="nil"/>
            </w:tcBorders>
            <w:shd w:val="clear" w:color="auto" w:fill="auto"/>
            <w:noWrap/>
            <w:vAlign w:val="bottom"/>
            <w:hideMark/>
          </w:tcPr>
          <w:p w:rsidR="00314A1E" w:rsidRPr="004B0428" w:rsidRDefault="00314A1E" w:rsidP="009C16D2">
            <w:pPr>
              <w:spacing w:after="0" w:line="240" w:lineRule="auto"/>
              <w:jc w:val="right"/>
              <w:rPr>
                <w:rFonts w:ascii="Arial" w:eastAsia="Times New Roman" w:hAnsi="Arial" w:cs="Arial"/>
                <w:sz w:val="20"/>
                <w:szCs w:val="20"/>
                <w:lang w:val="nl-NL" w:eastAsia="nl-NL" w:bidi="ar-SA"/>
              </w:rPr>
            </w:pPr>
            <w:r w:rsidRPr="004B0428">
              <w:rPr>
                <w:rFonts w:ascii="Arial" w:eastAsia="Times New Roman" w:hAnsi="Arial" w:cs="Arial"/>
                <w:sz w:val="20"/>
                <w:szCs w:val="20"/>
                <w:lang w:val="nl-NL" w:eastAsia="nl-NL" w:bidi="ar-SA"/>
              </w:rPr>
              <w:t>-1,907629</w:t>
            </w:r>
          </w:p>
        </w:tc>
        <w:tc>
          <w:tcPr>
            <w:tcW w:w="1148" w:type="dxa"/>
            <w:tcBorders>
              <w:top w:val="nil"/>
              <w:left w:val="single" w:sz="4" w:space="0" w:color="auto"/>
              <w:bottom w:val="nil"/>
              <w:right w:val="single" w:sz="4" w:space="0" w:color="auto"/>
            </w:tcBorders>
            <w:shd w:val="clear" w:color="auto" w:fill="auto"/>
            <w:noWrap/>
            <w:vAlign w:val="bottom"/>
            <w:hideMark/>
          </w:tcPr>
          <w:p w:rsidR="00314A1E" w:rsidRPr="004B0428" w:rsidRDefault="00314A1E" w:rsidP="009C16D2">
            <w:pPr>
              <w:spacing w:after="0" w:line="240" w:lineRule="auto"/>
              <w:jc w:val="right"/>
              <w:rPr>
                <w:rFonts w:ascii="Arial" w:eastAsia="Times New Roman" w:hAnsi="Arial" w:cs="Arial"/>
                <w:sz w:val="20"/>
                <w:szCs w:val="20"/>
                <w:lang w:val="nl-NL" w:eastAsia="nl-NL" w:bidi="ar-SA"/>
              </w:rPr>
            </w:pPr>
            <w:r w:rsidRPr="004B0428">
              <w:rPr>
                <w:rFonts w:ascii="Arial" w:eastAsia="Times New Roman" w:hAnsi="Arial" w:cs="Arial"/>
                <w:sz w:val="20"/>
                <w:szCs w:val="20"/>
                <w:lang w:val="nl-NL" w:eastAsia="nl-NL" w:bidi="ar-SA"/>
              </w:rPr>
              <w:t>0,9352</w:t>
            </w:r>
          </w:p>
        </w:tc>
      </w:tr>
      <w:tr w:rsidR="00314A1E" w:rsidRPr="004B0428" w:rsidTr="009C16D2">
        <w:trPr>
          <w:trHeight w:val="257"/>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rsidR="00314A1E" w:rsidRPr="004B0428" w:rsidRDefault="00314A1E" w:rsidP="009C16D2">
            <w:pPr>
              <w:spacing w:after="0" w:line="240" w:lineRule="auto"/>
              <w:rPr>
                <w:rFonts w:ascii="Arial" w:eastAsia="Times New Roman" w:hAnsi="Arial" w:cs="Arial"/>
                <w:sz w:val="20"/>
                <w:szCs w:val="20"/>
                <w:lang w:val="nl-NL" w:eastAsia="nl-NL" w:bidi="ar-SA"/>
              </w:rPr>
            </w:pPr>
            <w:r w:rsidRPr="004B0428">
              <w:rPr>
                <w:rFonts w:ascii="Arial" w:eastAsia="Times New Roman" w:hAnsi="Arial" w:cs="Arial"/>
                <w:sz w:val="20"/>
                <w:szCs w:val="20"/>
                <w:lang w:val="nl-NL" w:eastAsia="nl-NL" w:bidi="ar-SA"/>
              </w:rPr>
              <w:t>EUROPE</w:t>
            </w:r>
          </w:p>
        </w:tc>
        <w:tc>
          <w:tcPr>
            <w:tcW w:w="1187" w:type="dxa"/>
            <w:tcBorders>
              <w:top w:val="nil"/>
              <w:left w:val="nil"/>
              <w:bottom w:val="single" w:sz="4" w:space="0" w:color="auto"/>
              <w:right w:val="nil"/>
            </w:tcBorders>
            <w:shd w:val="clear" w:color="auto" w:fill="auto"/>
            <w:noWrap/>
            <w:vAlign w:val="bottom"/>
            <w:hideMark/>
          </w:tcPr>
          <w:p w:rsidR="00314A1E" w:rsidRPr="004B0428" w:rsidRDefault="00314A1E" w:rsidP="009C16D2">
            <w:pPr>
              <w:spacing w:after="0" w:line="240" w:lineRule="auto"/>
              <w:jc w:val="right"/>
              <w:rPr>
                <w:rFonts w:ascii="Arial" w:eastAsia="Times New Roman" w:hAnsi="Arial" w:cs="Arial"/>
                <w:sz w:val="20"/>
                <w:szCs w:val="20"/>
                <w:lang w:val="nl-NL" w:eastAsia="nl-NL" w:bidi="ar-SA"/>
              </w:rPr>
            </w:pPr>
            <w:r w:rsidRPr="004B0428">
              <w:rPr>
                <w:rFonts w:ascii="Arial" w:eastAsia="Times New Roman" w:hAnsi="Arial" w:cs="Arial"/>
                <w:sz w:val="20"/>
                <w:szCs w:val="20"/>
                <w:lang w:val="nl-NL" w:eastAsia="nl-NL" w:bidi="ar-SA"/>
              </w:rPr>
              <w:t>-1,560145</w:t>
            </w:r>
          </w:p>
        </w:tc>
        <w:tc>
          <w:tcPr>
            <w:tcW w:w="1187" w:type="dxa"/>
            <w:tcBorders>
              <w:top w:val="nil"/>
              <w:left w:val="single" w:sz="4" w:space="0" w:color="auto"/>
              <w:bottom w:val="single" w:sz="4" w:space="0" w:color="auto"/>
              <w:right w:val="single" w:sz="4" w:space="0" w:color="auto"/>
            </w:tcBorders>
            <w:shd w:val="clear" w:color="auto" w:fill="auto"/>
            <w:noWrap/>
            <w:vAlign w:val="bottom"/>
            <w:hideMark/>
          </w:tcPr>
          <w:p w:rsidR="00314A1E" w:rsidRPr="004B0428" w:rsidRDefault="00314A1E" w:rsidP="009C16D2">
            <w:pPr>
              <w:spacing w:after="0" w:line="240" w:lineRule="auto"/>
              <w:jc w:val="right"/>
              <w:rPr>
                <w:rFonts w:ascii="Arial" w:eastAsia="Times New Roman" w:hAnsi="Arial" w:cs="Arial"/>
                <w:sz w:val="20"/>
                <w:szCs w:val="20"/>
                <w:lang w:val="nl-NL" w:eastAsia="nl-NL" w:bidi="ar-SA"/>
              </w:rPr>
            </w:pPr>
            <w:r w:rsidRPr="004B0428">
              <w:rPr>
                <w:rFonts w:ascii="Arial" w:eastAsia="Times New Roman" w:hAnsi="Arial" w:cs="Arial"/>
                <w:sz w:val="20"/>
                <w:szCs w:val="20"/>
                <w:lang w:val="nl-NL" w:eastAsia="nl-NL" w:bidi="ar-SA"/>
              </w:rPr>
              <w:t>0,7394</w:t>
            </w:r>
          </w:p>
        </w:tc>
        <w:tc>
          <w:tcPr>
            <w:tcW w:w="1270" w:type="dxa"/>
            <w:tcBorders>
              <w:top w:val="nil"/>
              <w:left w:val="nil"/>
              <w:bottom w:val="single" w:sz="4" w:space="0" w:color="auto"/>
              <w:right w:val="nil"/>
            </w:tcBorders>
            <w:shd w:val="clear" w:color="auto" w:fill="auto"/>
            <w:noWrap/>
            <w:vAlign w:val="bottom"/>
            <w:hideMark/>
          </w:tcPr>
          <w:p w:rsidR="00314A1E" w:rsidRPr="004B0428" w:rsidRDefault="00314A1E" w:rsidP="009C16D2">
            <w:pPr>
              <w:spacing w:after="0" w:line="240" w:lineRule="auto"/>
              <w:jc w:val="right"/>
              <w:rPr>
                <w:rFonts w:ascii="Arial" w:eastAsia="Times New Roman" w:hAnsi="Arial" w:cs="Arial"/>
                <w:sz w:val="20"/>
                <w:szCs w:val="20"/>
                <w:lang w:val="nl-NL" w:eastAsia="nl-NL" w:bidi="ar-SA"/>
              </w:rPr>
            </w:pPr>
            <w:r w:rsidRPr="004B0428">
              <w:rPr>
                <w:rFonts w:ascii="Arial" w:eastAsia="Times New Roman" w:hAnsi="Arial" w:cs="Arial"/>
                <w:sz w:val="20"/>
                <w:szCs w:val="20"/>
                <w:lang w:val="nl-NL" w:eastAsia="nl-NL" w:bidi="ar-SA"/>
              </w:rPr>
              <w:t>-4,866988</w:t>
            </w:r>
          </w:p>
        </w:tc>
        <w:tc>
          <w:tcPr>
            <w:tcW w:w="1148" w:type="dxa"/>
            <w:tcBorders>
              <w:top w:val="nil"/>
              <w:left w:val="single" w:sz="4" w:space="0" w:color="auto"/>
              <w:bottom w:val="single" w:sz="4" w:space="0" w:color="auto"/>
              <w:right w:val="single" w:sz="4" w:space="0" w:color="auto"/>
            </w:tcBorders>
            <w:shd w:val="clear" w:color="auto" w:fill="auto"/>
            <w:noWrap/>
            <w:vAlign w:val="bottom"/>
            <w:hideMark/>
          </w:tcPr>
          <w:p w:rsidR="00314A1E" w:rsidRPr="004B0428" w:rsidRDefault="00314A1E" w:rsidP="009C16D2">
            <w:pPr>
              <w:spacing w:after="0" w:line="240" w:lineRule="auto"/>
              <w:jc w:val="right"/>
              <w:rPr>
                <w:rFonts w:ascii="Arial" w:eastAsia="Times New Roman" w:hAnsi="Arial" w:cs="Arial"/>
                <w:sz w:val="20"/>
                <w:szCs w:val="20"/>
                <w:lang w:val="nl-NL" w:eastAsia="nl-NL" w:bidi="ar-SA"/>
              </w:rPr>
            </w:pPr>
            <w:r w:rsidRPr="004B0428">
              <w:rPr>
                <w:rFonts w:ascii="Arial" w:eastAsia="Times New Roman" w:hAnsi="Arial" w:cs="Arial"/>
                <w:sz w:val="20"/>
                <w:szCs w:val="20"/>
                <w:lang w:val="nl-NL" w:eastAsia="nl-NL" w:bidi="ar-SA"/>
              </w:rPr>
              <w:t>0,7431</w:t>
            </w:r>
          </w:p>
        </w:tc>
      </w:tr>
      <w:tr w:rsidR="00314A1E" w:rsidRPr="004B0428" w:rsidTr="009C16D2">
        <w:trPr>
          <w:trHeight w:val="272"/>
        </w:trPr>
        <w:tc>
          <w:tcPr>
            <w:tcW w:w="1390" w:type="dxa"/>
            <w:tcBorders>
              <w:top w:val="nil"/>
              <w:left w:val="single" w:sz="4" w:space="0" w:color="auto"/>
              <w:bottom w:val="nil"/>
              <w:right w:val="single" w:sz="4" w:space="0" w:color="auto"/>
            </w:tcBorders>
            <w:shd w:val="clear" w:color="auto" w:fill="auto"/>
            <w:noWrap/>
            <w:vAlign w:val="bottom"/>
            <w:hideMark/>
          </w:tcPr>
          <w:p w:rsidR="00314A1E" w:rsidRPr="004B0428" w:rsidRDefault="00314A1E" w:rsidP="009C16D2">
            <w:pPr>
              <w:spacing w:after="0" w:line="240" w:lineRule="auto"/>
              <w:rPr>
                <w:rFonts w:ascii="Arial" w:eastAsia="Times New Roman" w:hAnsi="Arial" w:cs="Arial"/>
                <w:sz w:val="20"/>
                <w:szCs w:val="20"/>
                <w:lang w:val="nl-NL" w:eastAsia="nl-NL" w:bidi="ar-SA"/>
              </w:rPr>
            </w:pPr>
            <w:r w:rsidRPr="004B0428">
              <w:rPr>
                <w:rFonts w:ascii="Arial" w:eastAsia="Times New Roman" w:hAnsi="Arial" w:cs="Arial"/>
                <w:sz w:val="20"/>
                <w:szCs w:val="20"/>
                <w:lang w:val="nl-NL" w:eastAsia="nl-NL" w:bidi="ar-SA"/>
              </w:rPr>
              <w:t>USA</w:t>
            </w:r>
          </w:p>
        </w:tc>
        <w:tc>
          <w:tcPr>
            <w:tcW w:w="1187" w:type="dxa"/>
            <w:tcBorders>
              <w:top w:val="nil"/>
              <w:left w:val="nil"/>
              <w:bottom w:val="nil"/>
              <w:right w:val="nil"/>
            </w:tcBorders>
            <w:shd w:val="clear" w:color="auto" w:fill="auto"/>
            <w:noWrap/>
            <w:vAlign w:val="bottom"/>
            <w:hideMark/>
          </w:tcPr>
          <w:p w:rsidR="00314A1E" w:rsidRPr="004B0428" w:rsidRDefault="00314A1E" w:rsidP="009C16D2">
            <w:pPr>
              <w:spacing w:after="0" w:line="240" w:lineRule="auto"/>
              <w:jc w:val="right"/>
              <w:rPr>
                <w:rFonts w:ascii="Arial" w:eastAsia="Times New Roman" w:hAnsi="Arial" w:cs="Arial"/>
                <w:sz w:val="20"/>
                <w:szCs w:val="20"/>
                <w:lang w:val="nl-NL" w:eastAsia="nl-NL" w:bidi="ar-SA"/>
              </w:rPr>
            </w:pPr>
            <w:r w:rsidRPr="004B0428">
              <w:rPr>
                <w:rFonts w:ascii="Arial" w:eastAsia="Times New Roman" w:hAnsi="Arial" w:cs="Arial"/>
                <w:sz w:val="20"/>
                <w:szCs w:val="20"/>
                <w:lang w:val="nl-NL" w:eastAsia="nl-NL" w:bidi="ar-SA"/>
              </w:rPr>
              <w:t>-1,932743</w:t>
            </w:r>
          </w:p>
        </w:tc>
        <w:tc>
          <w:tcPr>
            <w:tcW w:w="1187" w:type="dxa"/>
            <w:tcBorders>
              <w:top w:val="nil"/>
              <w:left w:val="single" w:sz="4" w:space="0" w:color="auto"/>
              <w:bottom w:val="nil"/>
              <w:right w:val="single" w:sz="4" w:space="0" w:color="auto"/>
            </w:tcBorders>
            <w:shd w:val="clear" w:color="auto" w:fill="auto"/>
            <w:noWrap/>
            <w:vAlign w:val="bottom"/>
            <w:hideMark/>
          </w:tcPr>
          <w:p w:rsidR="00314A1E" w:rsidRPr="004B0428" w:rsidRDefault="00314A1E" w:rsidP="009C16D2">
            <w:pPr>
              <w:spacing w:after="0" w:line="240" w:lineRule="auto"/>
              <w:jc w:val="right"/>
              <w:rPr>
                <w:rFonts w:ascii="Arial" w:eastAsia="Times New Roman" w:hAnsi="Arial" w:cs="Arial"/>
                <w:sz w:val="20"/>
                <w:szCs w:val="20"/>
                <w:lang w:val="nl-NL" w:eastAsia="nl-NL" w:bidi="ar-SA"/>
              </w:rPr>
            </w:pPr>
            <w:r w:rsidRPr="004B0428">
              <w:rPr>
                <w:rFonts w:ascii="Arial" w:eastAsia="Times New Roman" w:hAnsi="Arial" w:cs="Arial"/>
                <w:sz w:val="20"/>
                <w:szCs w:val="20"/>
                <w:lang w:val="nl-NL" w:eastAsia="nl-NL" w:bidi="ar-SA"/>
              </w:rPr>
              <w:t>0,5631</w:t>
            </w:r>
          </w:p>
        </w:tc>
        <w:tc>
          <w:tcPr>
            <w:tcW w:w="1270" w:type="dxa"/>
            <w:tcBorders>
              <w:top w:val="nil"/>
              <w:left w:val="nil"/>
              <w:bottom w:val="nil"/>
              <w:right w:val="nil"/>
            </w:tcBorders>
            <w:shd w:val="clear" w:color="auto" w:fill="auto"/>
            <w:noWrap/>
            <w:vAlign w:val="bottom"/>
            <w:hideMark/>
          </w:tcPr>
          <w:p w:rsidR="00314A1E" w:rsidRPr="004B0428" w:rsidRDefault="00314A1E" w:rsidP="009C16D2">
            <w:pPr>
              <w:spacing w:after="0" w:line="240" w:lineRule="auto"/>
              <w:jc w:val="right"/>
              <w:rPr>
                <w:rFonts w:ascii="Arial" w:eastAsia="Times New Roman" w:hAnsi="Arial" w:cs="Arial"/>
                <w:sz w:val="20"/>
                <w:szCs w:val="20"/>
                <w:lang w:val="nl-NL" w:eastAsia="nl-NL" w:bidi="ar-SA"/>
              </w:rPr>
            </w:pPr>
            <w:r w:rsidRPr="004B0428">
              <w:rPr>
                <w:rFonts w:ascii="Arial" w:eastAsia="Times New Roman" w:hAnsi="Arial" w:cs="Arial"/>
                <w:sz w:val="20"/>
                <w:szCs w:val="20"/>
                <w:lang w:val="nl-NL" w:eastAsia="nl-NL" w:bidi="ar-SA"/>
              </w:rPr>
              <w:t>-7,458973</w:t>
            </w:r>
          </w:p>
        </w:tc>
        <w:tc>
          <w:tcPr>
            <w:tcW w:w="1148" w:type="dxa"/>
            <w:tcBorders>
              <w:top w:val="nil"/>
              <w:left w:val="single" w:sz="4" w:space="0" w:color="auto"/>
              <w:bottom w:val="nil"/>
              <w:right w:val="single" w:sz="4" w:space="0" w:color="auto"/>
            </w:tcBorders>
            <w:shd w:val="clear" w:color="auto" w:fill="auto"/>
            <w:noWrap/>
            <w:vAlign w:val="bottom"/>
            <w:hideMark/>
          </w:tcPr>
          <w:p w:rsidR="00314A1E" w:rsidRPr="004B0428" w:rsidRDefault="00314A1E" w:rsidP="009C16D2">
            <w:pPr>
              <w:spacing w:after="0" w:line="240" w:lineRule="auto"/>
              <w:jc w:val="right"/>
              <w:rPr>
                <w:rFonts w:ascii="Arial" w:eastAsia="Times New Roman" w:hAnsi="Arial" w:cs="Arial"/>
                <w:sz w:val="20"/>
                <w:szCs w:val="20"/>
                <w:lang w:val="nl-NL" w:eastAsia="nl-NL" w:bidi="ar-SA"/>
              </w:rPr>
            </w:pPr>
            <w:r w:rsidRPr="004B0428">
              <w:rPr>
                <w:rFonts w:ascii="Arial" w:eastAsia="Times New Roman" w:hAnsi="Arial" w:cs="Arial"/>
                <w:sz w:val="20"/>
                <w:szCs w:val="20"/>
                <w:lang w:val="nl-NL" w:eastAsia="nl-NL" w:bidi="ar-SA"/>
              </w:rPr>
              <w:t>0,537</w:t>
            </w:r>
          </w:p>
        </w:tc>
      </w:tr>
      <w:tr w:rsidR="00314A1E" w:rsidRPr="004B0428" w:rsidTr="009C16D2">
        <w:trPr>
          <w:trHeight w:val="257"/>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rsidR="00314A1E" w:rsidRPr="004B0428" w:rsidRDefault="00314A1E" w:rsidP="009C16D2">
            <w:pPr>
              <w:spacing w:after="0" w:line="240" w:lineRule="auto"/>
              <w:rPr>
                <w:rFonts w:ascii="Arial" w:eastAsia="Times New Roman" w:hAnsi="Arial" w:cs="Arial"/>
                <w:sz w:val="20"/>
                <w:szCs w:val="20"/>
                <w:lang w:val="nl-NL" w:eastAsia="nl-NL" w:bidi="ar-SA"/>
              </w:rPr>
            </w:pPr>
            <w:r w:rsidRPr="004B0428">
              <w:rPr>
                <w:rFonts w:ascii="Arial" w:eastAsia="Times New Roman" w:hAnsi="Arial" w:cs="Arial"/>
                <w:sz w:val="20"/>
                <w:szCs w:val="20"/>
                <w:lang w:val="nl-NL" w:eastAsia="nl-NL" w:bidi="ar-SA"/>
              </w:rPr>
              <w:t>EURUSD</w:t>
            </w:r>
          </w:p>
        </w:tc>
        <w:tc>
          <w:tcPr>
            <w:tcW w:w="1187" w:type="dxa"/>
            <w:tcBorders>
              <w:top w:val="nil"/>
              <w:left w:val="nil"/>
              <w:bottom w:val="single" w:sz="4" w:space="0" w:color="auto"/>
              <w:right w:val="nil"/>
            </w:tcBorders>
            <w:shd w:val="clear" w:color="auto" w:fill="auto"/>
            <w:noWrap/>
            <w:vAlign w:val="bottom"/>
            <w:hideMark/>
          </w:tcPr>
          <w:p w:rsidR="00314A1E" w:rsidRPr="004B0428" w:rsidRDefault="00314A1E" w:rsidP="009C16D2">
            <w:pPr>
              <w:spacing w:after="0" w:line="240" w:lineRule="auto"/>
              <w:jc w:val="right"/>
              <w:rPr>
                <w:rFonts w:ascii="Arial" w:eastAsia="Times New Roman" w:hAnsi="Arial" w:cs="Arial"/>
                <w:sz w:val="20"/>
                <w:szCs w:val="20"/>
                <w:lang w:val="nl-NL" w:eastAsia="nl-NL" w:bidi="ar-SA"/>
              </w:rPr>
            </w:pPr>
            <w:r w:rsidRPr="004B0428">
              <w:rPr>
                <w:rFonts w:ascii="Arial" w:eastAsia="Times New Roman" w:hAnsi="Arial" w:cs="Arial"/>
                <w:sz w:val="20"/>
                <w:szCs w:val="20"/>
                <w:lang w:val="nl-NL" w:eastAsia="nl-NL" w:bidi="ar-SA"/>
              </w:rPr>
              <w:t>-1,061125</w:t>
            </w:r>
          </w:p>
        </w:tc>
        <w:tc>
          <w:tcPr>
            <w:tcW w:w="1187" w:type="dxa"/>
            <w:tcBorders>
              <w:top w:val="nil"/>
              <w:left w:val="single" w:sz="4" w:space="0" w:color="auto"/>
              <w:bottom w:val="single" w:sz="4" w:space="0" w:color="auto"/>
              <w:right w:val="single" w:sz="4" w:space="0" w:color="auto"/>
            </w:tcBorders>
            <w:shd w:val="clear" w:color="auto" w:fill="auto"/>
            <w:noWrap/>
            <w:vAlign w:val="bottom"/>
            <w:hideMark/>
          </w:tcPr>
          <w:p w:rsidR="00314A1E" w:rsidRPr="004B0428" w:rsidRDefault="00314A1E" w:rsidP="009C16D2">
            <w:pPr>
              <w:spacing w:after="0" w:line="240" w:lineRule="auto"/>
              <w:jc w:val="right"/>
              <w:rPr>
                <w:rFonts w:ascii="Arial" w:eastAsia="Times New Roman" w:hAnsi="Arial" w:cs="Arial"/>
                <w:sz w:val="20"/>
                <w:szCs w:val="20"/>
                <w:lang w:val="nl-NL" w:eastAsia="nl-NL" w:bidi="ar-SA"/>
              </w:rPr>
            </w:pPr>
            <w:r w:rsidRPr="004B0428">
              <w:rPr>
                <w:rFonts w:ascii="Arial" w:eastAsia="Times New Roman" w:hAnsi="Arial" w:cs="Arial"/>
                <w:sz w:val="20"/>
                <w:szCs w:val="20"/>
                <w:lang w:val="nl-NL" w:eastAsia="nl-NL" w:bidi="ar-SA"/>
              </w:rPr>
              <w:t>0,8899</w:t>
            </w:r>
          </w:p>
        </w:tc>
        <w:tc>
          <w:tcPr>
            <w:tcW w:w="1270" w:type="dxa"/>
            <w:tcBorders>
              <w:top w:val="nil"/>
              <w:left w:val="nil"/>
              <w:bottom w:val="single" w:sz="4" w:space="0" w:color="auto"/>
              <w:right w:val="nil"/>
            </w:tcBorders>
            <w:shd w:val="clear" w:color="auto" w:fill="auto"/>
            <w:noWrap/>
            <w:vAlign w:val="bottom"/>
            <w:hideMark/>
          </w:tcPr>
          <w:p w:rsidR="00314A1E" w:rsidRPr="004B0428" w:rsidRDefault="00314A1E" w:rsidP="009C16D2">
            <w:pPr>
              <w:spacing w:after="0" w:line="240" w:lineRule="auto"/>
              <w:jc w:val="right"/>
              <w:rPr>
                <w:rFonts w:ascii="Arial" w:eastAsia="Times New Roman" w:hAnsi="Arial" w:cs="Arial"/>
                <w:sz w:val="20"/>
                <w:szCs w:val="20"/>
                <w:lang w:val="nl-NL" w:eastAsia="nl-NL" w:bidi="ar-SA"/>
              </w:rPr>
            </w:pPr>
            <w:r w:rsidRPr="004B0428">
              <w:rPr>
                <w:rFonts w:ascii="Arial" w:eastAsia="Times New Roman" w:hAnsi="Arial" w:cs="Arial"/>
                <w:sz w:val="20"/>
                <w:szCs w:val="20"/>
                <w:lang w:val="nl-NL" w:eastAsia="nl-NL" w:bidi="ar-SA"/>
              </w:rPr>
              <w:t>-2,465175</w:t>
            </w:r>
          </w:p>
        </w:tc>
        <w:tc>
          <w:tcPr>
            <w:tcW w:w="1148" w:type="dxa"/>
            <w:tcBorders>
              <w:top w:val="nil"/>
              <w:left w:val="single" w:sz="4" w:space="0" w:color="auto"/>
              <w:bottom w:val="single" w:sz="4" w:space="0" w:color="auto"/>
              <w:right w:val="single" w:sz="4" w:space="0" w:color="auto"/>
            </w:tcBorders>
            <w:shd w:val="clear" w:color="auto" w:fill="auto"/>
            <w:noWrap/>
            <w:vAlign w:val="bottom"/>
            <w:hideMark/>
          </w:tcPr>
          <w:p w:rsidR="00314A1E" w:rsidRPr="004B0428" w:rsidRDefault="00314A1E" w:rsidP="009C16D2">
            <w:pPr>
              <w:spacing w:after="0" w:line="240" w:lineRule="auto"/>
              <w:jc w:val="right"/>
              <w:rPr>
                <w:rFonts w:ascii="Arial" w:eastAsia="Times New Roman" w:hAnsi="Arial" w:cs="Arial"/>
                <w:sz w:val="20"/>
                <w:szCs w:val="20"/>
                <w:lang w:val="nl-NL" w:eastAsia="nl-NL" w:bidi="ar-SA"/>
              </w:rPr>
            </w:pPr>
            <w:r w:rsidRPr="004B0428">
              <w:rPr>
                <w:rFonts w:ascii="Arial" w:eastAsia="Times New Roman" w:hAnsi="Arial" w:cs="Arial"/>
                <w:sz w:val="20"/>
                <w:szCs w:val="20"/>
                <w:lang w:val="nl-NL" w:eastAsia="nl-NL" w:bidi="ar-SA"/>
              </w:rPr>
              <w:t>0,9085</w:t>
            </w:r>
          </w:p>
        </w:tc>
      </w:tr>
      <w:tr w:rsidR="00314A1E" w:rsidRPr="004B0428" w:rsidTr="009C16D2">
        <w:trPr>
          <w:trHeight w:val="272"/>
        </w:trPr>
        <w:tc>
          <w:tcPr>
            <w:tcW w:w="1390" w:type="dxa"/>
            <w:tcBorders>
              <w:top w:val="nil"/>
              <w:left w:val="single" w:sz="4" w:space="0" w:color="auto"/>
              <w:bottom w:val="nil"/>
              <w:right w:val="single" w:sz="4" w:space="0" w:color="auto"/>
            </w:tcBorders>
            <w:shd w:val="clear" w:color="auto" w:fill="auto"/>
            <w:noWrap/>
            <w:vAlign w:val="bottom"/>
            <w:hideMark/>
          </w:tcPr>
          <w:p w:rsidR="00314A1E" w:rsidRPr="004B0428" w:rsidRDefault="00314A1E" w:rsidP="009C16D2">
            <w:pPr>
              <w:spacing w:after="0" w:line="240" w:lineRule="auto"/>
              <w:rPr>
                <w:rFonts w:ascii="Arial" w:eastAsia="Times New Roman" w:hAnsi="Arial" w:cs="Arial"/>
                <w:sz w:val="20"/>
                <w:szCs w:val="20"/>
                <w:lang w:val="nl-NL" w:eastAsia="nl-NL" w:bidi="ar-SA"/>
              </w:rPr>
            </w:pPr>
            <w:r w:rsidRPr="004B0428">
              <w:rPr>
                <w:rFonts w:ascii="Arial" w:eastAsia="Times New Roman" w:hAnsi="Arial" w:cs="Arial"/>
                <w:sz w:val="20"/>
                <w:szCs w:val="20"/>
                <w:lang w:val="nl-NL" w:eastAsia="nl-NL" w:bidi="ar-SA"/>
              </w:rPr>
              <w:t>USA</w:t>
            </w:r>
          </w:p>
        </w:tc>
        <w:tc>
          <w:tcPr>
            <w:tcW w:w="1187" w:type="dxa"/>
            <w:tcBorders>
              <w:top w:val="nil"/>
              <w:left w:val="nil"/>
              <w:bottom w:val="nil"/>
              <w:right w:val="nil"/>
            </w:tcBorders>
            <w:shd w:val="clear" w:color="auto" w:fill="auto"/>
            <w:noWrap/>
            <w:vAlign w:val="bottom"/>
            <w:hideMark/>
          </w:tcPr>
          <w:p w:rsidR="00314A1E" w:rsidRPr="004B0428" w:rsidRDefault="00314A1E" w:rsidP="009C16D2">
            <w:pPr>
              <w:spacing w:after="0" w:line="240" w:lineRule="auto"/>
              <w:jc w:val="right"/>
              <w:rPr>
                <w:rFonts w:ascii="Arial" w:eastAsia="Times New Roman" w:hAnsi="Arial" w:cs="Arial"/>
                <w:sz w:val="20"/>
                <w:szCs w:val="20"/>
                <w:lang w:val="nl-NL" w:eastAsia="nl-NL" w:bidi="ar-SA"/>
              </w:rPr>
            </w:pPr>
            <w:r w:rsidRPr="004B0428">
              <w:rPr>
                <w:rFonts w:ascii="Arial" w:eastAsia="Times New Roman" w:hAnsi="Arial" w:cs="Arial"/>
                <w:sz w:val="20"/>
                <w:szCs w:val="20"/>
                <w:lang w:val="nl-NL" w:eastAsia="nl-NL" w:bidi="ar-SA"/>
              </w:rPr>
              <w:t>-1,903229</w:t>
            </w:r>
          </w:p>
        </w:tc>
        <w:tc>
          <w:tcPr>
            <w:tcW w:w="1187" w:type="dxa"/>
            <w:tcBorders>
              <w:top w:val="nil"/>
              <w:left w:val="single" w:sz="4" w:space="0" w:color="auto"/>
              <w:bottom w:val="nil"/>
              <w:right w:val="single" w:sz="4" w:space="0" w:color="auto"/>
            </w:tcBorders>
            <w:shd w:val="clear" w:color="auto" w:fill="auto"/>
            <w:noWrap/>
            <w:vAlign w:val="bottom"/>
            <w:hideMark/>
          </w:tcPr>
          <w:p w:rsidR="00314A1E" w:rsidRPr="004B0428" w:rsidRDefault="00314A1E" w:rsidP="009C16D2">
            <w:pPr>
              <w:spacing w:after="0" w:line="240" w:lineRule="auto"/>
              <w:jc w:val="right"/>
              <w:rPr>
                <w:rFonts w:ascii="Arial" w:eastAsia="Times New Roman" w:hAnsi="Arial" w:cs="Arial"/>
                <w:sz w:val="20"/>
                <w:szCs w:val="20"/>
                <w:lang w:val="nl-NL" w:eastAsia="nl-NL" w:bidi="ar-SA"/>
              </w:rPr>
            </w:pPr>
            <w:r w:rsidRPr="004B0428">
              <w:rPr>
                <w:rFonts w:ascii="Arial" w:eastAsia="Times New Roman" w:hAnsi="Arial" w:cs="Arial"/>
                <w:sz w:val="20"/>
                <w:szCs w:val="20"/>
                <w:lang w:val="nl-NL" w:eastAsia="nl-NL" w:bidi="ar-SA"/>
              </w:rPr>
              <w:t>0,5783</w:t>
            </w:r>
          </w:p>
        </w:tc>
        <w:tc>
          <w:tcPr>
            <w:tcW w:w="1270" w:type="dxa"/>
            <w:tcBorders>
              <w:top w:val="nil"/>
              <w:left w:val="nil"/>
              <w:bottom w:val="nil"/>
              <w:right w:val="nil"/>
            </w:tcBorders>
            <w:shd w:val="clear" w:color="auto" w:fill="auto"/>
            <w:noWrap/>
            <w:vAlign w:val="bottom"/>
            <w:hideMark/>
          </w:tcPr>
          <w:p w:rsidR="00314A1E" w:rsidRPr="004B0428" w:rsidRDefault="00314A1E" w:rsidP="009C16D2">
            <w:pPr>
              <w:spacing w:after="0" w:line="240" w:lineRule="auto"/>
              <w:jc w:val="right"/>
              <w:rPr>
                <w:rFonts w:ascii="Arial" w:eastAsia="Times New Roman" w:hAnsi="Arial" w:cs="Arial"/>
                <w:sz w:val="20"/>
                <w:szCs w:val="20"/>
                <w:lang w:val="nl-NL" w:eastAsia="nl-NL" w:bidi="ar-SA"/>
              </w:rPr>
            </w:pPr>
            <w:r w:rsidRPr="004B0428">
              <w:rPr>
                <w:rFonts w:ascii="Arial" w:eastAsia="Times New Roman" w:hAnsi="Arial" w:cs="Arial"/>
                <w:sz w:val="20"/>
                <w:szCs w:val="20"/>
                <w:lang w:val="nl-NL" w:eastAsia="nl-NL" w:bidi="ar-SA"/>
              </w:rPr>
              <w:t>-7,455223</w:t>
            </w:r>
          </w:p>
        </w:tc>
        <w:tc>
          <w:tcPr>
            <w:tcW w:w="1148" w:type="dxa"/>
            <w:tcBorders>
              <w:top w:val="nil"/>
              <w:left w:val="single" w:sz="4" w:space="0" w:color="auto"/>
              <w:bottom w:val="nil"/>
              <w:right w:val="single" w:sz="4" w:space="0" w:color="auto"/>
            </w:tcBorders>
            <w:shd w:val="clear" w:color="auto" w:fill="auto"/>
            <w:noWrap/>
            <w:vAlign w:val="bottom"/>
            <w:hideMark/>
          </w:tcPr>
          <w:p w:rsidR="00314A1E" w:rsidRPr="004B0428" w:rsidRDefault="00314A1E" w:rsidP="009C16D2">
            <w:pPr>
              <w:spacing w:after="0" w:line="240" w:lineRule="auto"/>
              <w:jc w:val="right"/>
              <w:rPr>
                <w:rFonts w:ascii="Arial" w:eastAsia="Times New Roman" w:hAnsi="Arial" w:cs="Arial"/>
                <w:sz w:val="20"/>
                <w:szCs w:val="20"/>
                <w:lang w:val="nl-NL" w:eastAsia="nl-NL" w:bidi="ar-SA"/>
              </w:rPr>
            </w:pPr>
            <w:r w:rsidRPr="004B0428">
              <w:rPr>
                <w:rFonts w:ascii="Arial" w:eastAsia="Times New Roman" w:hAnsi="Arial" w:cs="Arial"/>
                <w:sz w:val="20"/>
                <w:szCs w:val="20"/>
                <w:lang w:val="nl-NL" w:eastAsia="nl-NL" w:bidi="ar-SA"/>
              </w:rPr>
              <w:t>0,5373</w:t>
            </w:r>
          </w:p>
        </w:tc>
      </w:tr>
      <w:tr w:rsidR="00314A1E" w:rsidRPr="004B0428" w:rsidTr="009C16D2">
        <w:trPr>
          <w:trHeight w:val="257"/>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rsidR="00314A1E" w:rsidRPr="004B0428" w:rsidRDefault="00314A1E" w:rsidP="009C16D2">
            <w:pPr>
              <w:spacing w:after="0" w:line="240" w:lineRule="auto"/>
              <w:rPr>
                <w:rFonts w:ascii="Arial" w:eastAsia="Times New Roman" w:hAnsi="Arial" w:cs="Arial"/>
                <w:sz w:val="20"/>
                <w:szCs w:val="20"/>
                <w:lang w:val="nl-NL" w:eastAsia="nl-NL" w:bidi="ar-SA"/>
              </w:rPr>
            </w:pPr>
            <w:r w:rsidRPr="004B0428">
              <w:rPr>
                <w:rFonts w:ascii="Arial" w:eastAsia="Times New Roman" w:hAnsi="Arial" w:cs="Arial"/>
                <w:sz w:val="20"/>
                <w:szCs w:val="20"/>
                <w:lang w:val="nl-NL" w:eastAsia="nl-NL" w:bidi="ar-SA"/>
              </w:rPr>
              <w:t>CHFUSD</w:t>
            </w:r>
          </w:p>
        </w:tc>
        <w:tc>
          <w:tcPr>
            <w:tcW w:w="1187" w:type="dxa"/>
            <w:tcBorders>
              <w:top w:val="nil"/>
              <w:left w:val="nil"/>
              <w:bottom w:val="single" w:sz="4" w:space="0" w:color="auto"/>
              <w:right w:val="nil"/>
            </w:tcBorders>
            <w:shd w:val="clear" w:color="auto" w:fill="auto"/>
            <w:noWrap/>
            <w:vAlign w:val="bottom"/>
            <w:hideMark/>
          </w:tcPr>
          <w:p w:rsidR="00314A1E" w:rsidRPr="004B0428" w:rsidRDefault="00314A1E" w:rsidP="009C16D2">
            <w:pPr>
              <w:spacing w:after="0" w:line="240" w:lineRule="auto"/>
              <w:jc w:val="right"/>
              <w:rPr>
                <w:rFonts w:ascii="Arial" w:eastAsia="Times New Roman" w:hAnsi="Arial" w:cs="Arial"/>
                <w:sz w:val="20"/>
                <w:szCs w:val="20"/>
                <w:lang w:val="nl-NL" w:eastAsia="nl-NL" w:bidi="ar-SA"/>
              </w:rPr>
            </w:pPr>
            <w:r w:rsidRPr="004B0428">
              <w:rPr>
                <w:rFonts w:ascii="Arial" w:eastAsia="Times New Roman" w:hAnsi="Arial" w:cs="Arial"/>
                <w:sz w:val="20"/>
                <w:szCs w:val="20"/>
                <w:lang w:val="nl-NL" w:eastAsia="nl-NL" w:bidi="ar-SA"/>
              </w:rPr>
              <w:t>-0,073668</w:t>
            </w:r>
          </w:p>
        </w:tc>
        <w:tc>
          <w:tcPr>
            <w:tcW w:w="1187" w:type="dxa"/>
            <w:tcBorders>
              <w:top w:val="nil"/>
              <w:left w:val="single" w:sz="4" w:space="0" w:color="auto"/>
              <w:bottom w:val="single" w:sz="4" w:space="0" w:color="auto"/>
              <w:right w:val="single" w:sz="4" w:space="0" w:color="auto"/>
            </w:tcBorders>
            <w:shd w:val="clear" w:color="auto" w:fill="auto"/>
            <w:noWrap/>
            <w:vAlign w:val="bottom"/>
            <w:hideMark/>
          </w:tcPr>
          <w:p w:rsidR="00314A1E" w:rsidRPr="004B0428" w:rsidRDefault="00314A1E" w:rsidP="009C16D2">
            <w:pPr>
              <w:spacing w:after="0" w:line="240" w:lineRule="auto"/>
              <w:jc w:val="right"/>
              <w:rPr>
                <w:rFonts w:ascii="Arial" w:eastAsia="Times New Roman" w:hAnsi="Arial" w:cs="Arial"/>
                <w:sz w:val="20"/>
                <w:szCs w:val="20"/>
                <w:lang w:val="nl-NL" w:eastAsia="nl-NL" w:bidi="ar-SA"/>
              </w:rPr>
            </w:pPr>
            <w:r w:rsidRPr="004B0428">
              <w:rPr>
                <w:rFonts w:ascii="Arial" w:eastAsia="Times New Roman" w:hAnsi="Arial" w:cs="Arial"/>
                <w:sz w:val="20"/>
                <w:szCs w:val="20"/>
                <w:lang w:val="nl-NL" w:eastAsia="nl-NL" w:bidi="ar-SA"/>
              </w:rPr>
              <w:t>0,9852</w:t>
            </w:r>
          </w:p>
        </w:tc>
        <w:tc>
          <w:tcPr>
            <w:tcW w:w="1270" w:type="dxa"/>
            <w:tcBorders>
              <w:top w:val="nil"/>
              <w:left w:val="nil"/>
              <w:bottom w:val="single" w:sz="4" w:space="0" w:color="auto"/>
              <w:right w:val="nil"/>
            </w:tcBorders>
            <w:shd w:val="clear" w:color="auto" w:fill="auto"/>
            <w:noWrap/>
            <w:vAlign w:val="bottom"/>
            <w:hideMark/>
          </w:tcPr>
          <w:p w:rsidR="00314A1E" w:rsidRPr="004B0428" w:rsidRDefault="00314A1E" w:rsidP="009C16D2">
            <w:pPr>
              <w:spacing w:after="0" w:line="240" w:lineRule="auto"/>
              <w:jc w:val="right"/>
              <w:rPr>
                <w:rFonts w:ascii="Arial" w:eastAsia="Times New Roman" w:hAnsi="Arial" w:cs="Arial"/>
                <w:sz w:val="20"/>
                <w:szCs w:val="20"/>
                <w:lang w:val="nl-NL" w:eastAsia="nl-NL" w:bidi="ar-SA"/>
              </w:rPr>
            </w:pPr>
            <w:r w:rsidRPr="004B0428">
              <w:rPr>
                <w:rFonts w:ascii="Arial" w:eastAsia="Times New Roman" w:hAnsi="Arial" w:cs="Arial"/>
                <w:sz w:val="20"/>
                <w:szCs w:val="20"/>
                <w:lang w:val="nl-NL" w:eastAsia="nl-NL" w:bidi="ar-SA"/>
              </w:rPr>
              <w:t>-0,179776</w:t>
            </w:r>
          </w:p>
        </w:tc>
        <w:tc>
          <w:tcPr>
            <w:tcW w:w="1148" w:type="dxa"/>
            <w:tcBorders>
              <w:top w:val="nil"/>
              <w:left w:val="single" w:sz="4" w:space="0" w:color="auto"/>
              <w:bottom w:val="single" w:sz="4" w:space="0" w:color="auto"/>
              <w:right w:val="single" w:sz="4" w:space="0" w:color="auto"/>
            </w:tcBorders>
            <w:shd w:val="clear" w:color="auto" w:fill="auto"/>
            <w:noWrap/>
            <w:vAlign w:val="bottom"/>
            <w:hideMark/>
          </w:tcPr>
          <w:p w:rsidR="00314A1E" w:rsidRPr="004B0428" w:rsidRDefault="00314A1E" w:rsidP="009C16D2">
            <w:pPr>
              <w:spacing w:after="0" w:line="240" w:lineRule="auto"/>
              <w:jc w:val="right"/>
              <w:rPr>
                <w:rFonts w:ascii="Arial" w:eastAsia="Times New Roman" w:hAnsi="Arial" w:cs="Arial"/>
                <w:sz w:val="20"/>
                <w:szCs w:val="20"/>
                <w:lang w:val="nl-NL" w:eastAsia="nl-NL" w:bidi="ar-SA"/>
              </w:rPr>
            </w:pPr>
            <w:r w:rsidRPr="004B0428">
              <w:rPr>
                <w:rFonts w:ascii="Arial" w:eastAsia="Times New Roman" w:hAnsi="Arial" w:cs="Arial"/>
                <w:sz w:val="20"/>
                <w:szCs w:val="20"/>
                <w:lang w:val="nl-NL" w:eastAsia="nl-NL" w:bidi="ar-SA"/>
              </w:rPr>
              <w:t>0,9848</w:t>
            </w:r>
          </w:p>
        </w:tc>
      </w:tr>
    </w:tbl>
    <w:p w:rsidR="00314A1E" w:rsidRDefault="00314A1E" w:rsidP="00314A1E">
      <w:pPr>
        <w:pStyle w:val="NoSpacing"/>
      </w:pPr>
    </w:p>
    <w:p w:rsidR="00314A1E" w:rsidRDefault="00314A1E" w:rsidP="00314A1E">
      <w:pPr>
        <w:pStyle w:val="NoSpacing"/>
      </w:pPr>
      <w:r>
        <w:t>The results of the Engle</w:t>
      </w:r>
      <w:r w:rsidR="00110E97">
        <w:t xml:space="preserve"> and</w:t>
      </w:r>
      <w:r>
        <w:t xml:space="preserve"> Granger </w:t>
      </w:r>
      <w:proofErr w:type="spellStart"/>
      <w:r>
        <w:t>cointegration</w:t>
      </w:r>
      <w:proofErr w:type="spellEnd"/>
      <w:r>
        <w:t xml:space="preserve"> tests show that there </w:t>
      </w:r>
      <w:r w:rsidR="00110E97">
        <w:t>are</w:t>
      </w:r>
      <w:r>
        <w:t xml:space="preserve"> no </w:t>
      </w:r>
      <w:proofErr w:type="spellStart"/>
      <w:r>
        <w:t>cointegrat</w:t>
      </w:r>
      <w:r w:rsidR="00110E97">
        <w:t>ed</w:t>
      </w:r>
      <w:proofErr w:type="spellEnd"/>
      <w:r w:rsidR="00110E97">
        <w:t xml:space="preserve"> relationships</w:t>
      </w:r>
      <w:r>
        <w:t xml:space="preserve"> found for all combinations.  None of the market indices is </w:t>
      </w:r>
      <w:proofErr w:type="spellStart"/>
      <w:r>
        <w:t>cointegrated</w:t>
      </w:r>
      <w:proofErr w:type="spellEnd"/>
      <w:r>
        <w:t xml:space="preserve"> in the currency or vice versa, as the tests are done on both OLS regression residuals:</w:t>
      </w:r>
    </w:p>
    <w:p w:rsidR="00110E97" w:rsidRDefault="00110E97" w:rsidP="00314A1E">
      <w:pPr>
        <w:pStyle w:val="NoSpacing"/>
      </w:pPr>
    </w:p>
    <w:p w:rsidR="00314A1E" w:rsidRDefault="00E44EA8" w:rsidP="00314A1E">
      <w:pPr>
        <w:pStyle w:val="NoSpacing"/>
        <w:jc w:val="center"/>
      </w:pPr>
      <m:oMathPara>
        <m:oMath>
          <m:sSub>
            <m:sSubPr>
              <m:ctrlPr>
                <w:rPr>
                  <w:rFonts w:ascii="Cambria Math" w:hAnsi="Cambria Math"/>
                  <w:i/>
                </w:rPr>
              </m:ctrlPr>
            </m:sSubPr>
            <m:e>
              <m:r>
                <w:rPr>
                  <w:rFonts w:ascii="Cambria Math" w:hAnsi="Cambria Math"/>
                </w:rPr>
                <m:t>S</m:t>
              </m:r>
            </m:e>
            <m:sub>
              <m:r>
                <w:rPr>
                  <w:rFonts w:ascii="Cambria Math" w:hAnsi="Cambria Math"/>
                </w:rPr>
                <m:t>t</m:t>
              </m:r>
            </m:sub>
          </m:sSub>
          <m:r>
            <w:rPr>
              <w:rFonts w:ascii="Cambria Math" w:hAnsi="Cambria Math"/>
            </w:rPr>
            <m:t>= α+ βE</m:t>
          </m:r>
          <m:sSub>
            <m:sSubPr>
              <m:ctrlPr>
                <w:rPr>
                  <w:rFonts w:ascii="Cambria Math" w:hAnsi="Cambria Math"/>
                  <w:i/>
                </w:rPr>
              </m:ctrlPr>
            </m:sSubPr>
            <m:e>
              <m:r>
                <w:rPr>
                  <w:rFonts w:ascii="Cambria Math" w:hAnsi="Cambria Math"/>
                </w:rPr>
                <m:t>R</m:t>
              </m:r>
            </m:e>
            <m:sub>
              <m:r>
                <w:rPr>
                  <w:rFonts w:ascii="Cambria Math" w:hAnsi="Cambria Math"/>
                </w:rPr>
                <m:t>t</m:t>
              </m:r>
            </m:sub>
          </m:sSub>
          <m:r>
            <w:rPr>
              <w:rFonts w:ascii="Cambria Math" w:hAnsi="Cambria Math"/>
            </w:rPr>
            <m:t xml:space="preserve">+ </m:t>
          </m:r>
          <m:sSub>
            <m:sSubPr>
              <m:ctrlPr>
                <w:rPr>
                  <w:rFonts w:ascii="Cambria Math" w:hAnsi="Cambria Math"/>
                  <w:i/>
                </w:rPr>
              </m:ctrlPr>
            </m:sSubPr>
            <m:e>
              <m:r>
                <w:rPr>
                  <w:rFonts w:ascii="Cambria Math" w:hAnsi="Cambria Math"/>
                </w:rPr>
                <m:t>ϵ</m:t>
              </m:r>
            </m:e>
            <m:sub>
              <m:r>
                <w:rPr>
                  <w:rFonts w:ascii="Cambria Math" w:hAnsi="Cambria Math"/>
                </w:rPr>
                <m:t>1t</m:t>
              </m:r>
            </m:sub>
          </m:sSub>
        </m:oMath>
      </m:oMathPara>
    </w:p>
    <w:p w:rsidR="00314A1E" w:rsidRDefault="00314A1E" w:rsidP="00314A1E">
      <w:pPr>
        <w:pStyle w:val="NoSpacing"/>
        <w:jc w:val="center"/>
      </w:pPr>
    </w:p>
    <w:p w:rsidR="00314A1E" w:rsidRDefault="00314A1E" w:rsidP="00314A1E">
      <w:pPr>
        <w:pStyle w:val="NoSpacing"/>
        <w:jc w:val="center"/>
      </w:pPr>
      <m:oMathPara>
        <m:oMath>
          <m:r>
            <w:rPr>
              <w:rFonts w:ascii="Cambria Math" w:hAnsi="Cambria Math"/>
            </w:rPr>
            <m:t>E</m:t>
          </m:r>
          <m:sSub>
            <m:sSubPr>
              <m:ctrlPr>
                <w:rPr>
                  <w:rFonts w:ascii="Cambria Math" w:hAnsi="Cambria Math"/>
                  <w:i/>
                </w:rPr>
              </m:ctrlPr>
            </m:sSubPr>
            <m:e>
              <m:r>
                <w:rPr>
                  <w:rFonts w:ascii="Cambria Math" w:hAnsi="Cambria Math"/>
                </w:rPr>
                <m:t>R</m:t>
              </m:r>
            </m:e>
            <m:sub>
              <m:r>
                <w:rPr>
                  <w:rFonts w:ascii="Cambria Math" w:hAnsi="Cambria Math"/>
                </w:rPr>
                <m:t>t</m:t>
              </m:r>
            </m:sub>
          </m:sSub>
          <m:r>
            <w:rPr>
              <w:rFonts w:ascii="Cambria Math" w:hAnsi="Cambria Math"/>
            </w:rPr>
            <m:t>= α+ β</m:t>
          </m:r>
          <m:sSub>
            <m:sSubPr>
              <m:ctrlPr>
                <w:rPr>
                  <w:rFonts w:ascii="Cambria Math" w:hAnsi="Cambria Math"/>
                  <w:i/>
                </w:rPr>
              </m:ctrlPr>
            </m:sSubPr>
            <m:e>
              <m:r>
                <w:rPr>
                  <w:rFonts w:ascii="Cambria Math" w:hAnsi="Cambria Math"/>
                </w:rPr>
                <m:t>S</m:t>
              </m:r>
            </m:e>
            <m:sub>
              <m:r>
                <w:rPr>
                  <w:rFonts w:ascii="Cambria Math" w:hAnsi="Cambria Math"/>
                </w:rPr>
                <m:t>t</m:t>
              </m:r>
            </m:sub>
          </m:sSub>
          <m:r>
            <w:rPr>
              <w:rFonts w:ascii="Cambria Math" w:hAnsi="Cambria Math"/>
            </w:rPr>
            <m:t xml:space="preserve">+ </m:t>
          </m:r>
          <m:sSub>
            <m:sSubPr>
              <m:ctrlPr>
                <w:rPr>
                  <w:rFonts w:ascii="Cambria Math" w:hAnsi="Cambria Math"/>
                  <w:i/>
                </w:rPr>
              </m:ctrlPr>
            </m:sSubPr>
            <m:e>
              <m:r>
                <w:rPr>
                  <w:rFonts w:ascii="Cambria Math" w:hAnsi="Cambria Math"/>
                </w:rPr>
                <m:t>ϵ</m:t>
              </m:r>
            </m:e>
            <m:sub>
              <m:r>
                <w:rPr>
                  <w:rFonts w:ascii="Cambria Math" w:hAnsi="Cambria Math"/>
                </w:rPr>
                <m:t>2t</m:t>
              </m:r>
            </m:sub>
          </m:sSub>
        </m:oMath>
      </m:oMathPara>
    </w:p>
    <w:p w:rsidR="00314A1E" w:rsidRDefault="00314A1E" w:rsidP="00314A1E">
      <w:pPr>
        <w:pStyle w:val="NoSpacing"/>
      </w:pPr>
    </w:p>
    <w:p w:rsidR="00314A1E" w:rsidRDefault="00314A1E" w:rsidP="00314A1E">
      <w:pPr>
        <w:pStyle w:val="NoSpacing"/>
      </w:pPr>
      <w:r>
        <w:t xml:space="preserve">The null of no </w:t>
      </w:r>
      <w:proofErr w:type="spellStart"/>
      <w:r>
        <w:t>cointegration</w:t>
      </w:r>
      <w:proofErr w:type="spellEnd"/>
      <w:r>
        <w:t xml:space="preserve"> is rejected if the residuals are proved to be stationary, which is, according to the results, not the case. Seeing these results, we can conclude that there </w:t>
      </w:r>
      <w:r w:rsidR="00110E97">
        <w:t>is not</w:t>
      </w:r>
      <w:r>
        <w:t xml:space="preserve"> a long term relationship between exchange rates and the market indices for the US and Europe. The finding of no </w:t>
      </w:r>
      <w:proofErr w:type="spellStart"/>
      <w:r>
        <w:t>cointegration</w:t>
      </w:r>
      <w:proofErr w:type="spellEnd"/>
      <w:r>
        <w:t xml:space="preserve"> is in line with other recent research</w:t>
      </w:r>
      <w:r w:rsidR="000F0A0A">
        <w:t>es</w:t>
      </w:r>
      <w:r>
        <w:t xml:space="preserve"> on developed markets. </w:t>
      </w:r>
      <w:proofErr w:type="spellStart"/>
      <w:r>
        <w:t>Stavarek</w:t>
      </w:r>
      <w:proofErr w:type="spellEnd"/>
      <w:r>
        <w:t xml:space="preserve"> (2004) and </w:t>
      </w:r>
      <w:proofErr w:type="spellStart"/>
      <w:r>
        <w:t>Nieh</w:t>
      </w:r>
      <w:proofErr w:type="spellEnd"/>
      <w:r>
        <w:t xml:space="preserve"> and Lee (2001) found no </w:t>
      </w:r>
      <w:proofErr w:type="spellStart"/>
      <w:r>
        <w:t>cointegration</w:t>
      </w:r>
      <w:proofErr w:type="spellEnd"/>
      <w:r>
        <w:t xml:space="preserve"> between US and European leading stock indices and the euro/dollar rate. Because of the conclusion of no </w:t>
      </w:r>
      <w:proofErr w:type="spellStart"/>
      <w:r>
        <w:t>cointegration</w:t>
      </w:r>
      <w:proofErr w:type="spellEnd"/>
      <w:r>
        <w:t>, the relationship between stock indices and exchange rates can be tested for Granger causality using two VAR models:</w:t>
      </w:r>
    </w:p>
    <w:p w:rsidR="00314A1E" w:rsidRDefault="00314A1E" w:rsidP="00314A1E">
      <w:pPr>
        <w:pStyle w:val="NoSpacing"/>
      </w:pPr>
    </w:p>
    <w:p w:rsidR="00314A1E" w:rsidRDefault="00314A1E" w:rsidP="00314A1E">
      <w:pPr>
        <w:pStyle w:val="NoSpacing"/>
      </w:pPr>
      <m:oMathPara>
        <m:oMath>
          <m:r>
            <w:rPr>
              <w:rFonts w:ascii="Cambria Math" w:hAnsi="Cambria Math"/>
            </w:rPr>
            <m:t>∆E</m:t>
          </m:r>
          <m:sSub>
            <m:sSubPr>
              <m:ctrlPr>
                <w:rPr>
                  <w:rFonts w:ascii="Cambria Math" w:hAnsi="Cambria Math"/>
                  <w:i/>
                </w:rPr>
              </m:ctrlPr>
            </m:sSubPr>
            <m:e>
              <m:r>
                <w:rPr>
                  <w:rFonts w:ascii="Cambria Math" w:hAnsi="Cambria Math"/>
                </w:rPr>
                <m:t>R</m:t>
              </m:r>
            </m:e>
            <m:sub>
              <m:r>
                <w:rPr>
                  <w:rFonts w:ascii="Cambria Math" w:hAnsi="Cambria Math"/>
                </w:rPr>
                <m:t>t</m:t>
              </m:r>
            </m:sub>
          </m:sSub>
          <m:r>
            <w:rPr>
              <w:rFonts w:ascii="Cambria Math" w:hAnsi="Cambria Math"/>
            </w:rPr>
            <m:t xml:space="preserve">= </m:t>
          </m:r>
          <m:sSub>
            <m:sSubPr>
              <m:ctrlPr>
                <w:rPr>
                  <w:rFonts w:ascii="Cambria Math" w:hAnsi="Cambria Math"/>
                  <w:i/>
                </w:rPr>
              </m:ctrlPr>
            </m:sSubPr>
            <m:e>
              <m:r>
                <w:rPr>
                  <w:rFonts w:ascii="Cambria Math" w:hAnsi="Cambria Math"/>
                </w:rPr>
                <m:t>β</m:t>
              </m:r>
            </m:e>
            <m:sub>
              <m:r>
                <w:rPr>
                  <w:rFonts w:ascii="Cambria Math" w:hAnsi="Cambria Math"/>
                </w:rPr>
                <m:t>0</m:t>
              </m:r>
            </m:sub>
          </m:sSub>
          <m:r>
            <w:rPr>
              <w:rFonts w:ascii="Cambria Math" w:hAnsi="Cambria Math"/>
            </w:rPr>
            <m:t xml:space="preserve">+ </m:t>
          </m:r>
          <m:nary>
            <m:naryPr>
              <m:chr m:val="∑"/>
              <m:limLoc m:val="undOvr"/>
              <m:ctrlPr>
                <w:rPr>
                  <w:rFonts w:ascii="Cambria Math" w:hAnsi="Cambria Math"/>
                  <w:i/>
                </w:rPr>
              </m:ctrlPr>
            </m:naryPr>
            <m:sub>
              <m:r>
                <w:rPr>
                  <w:rFonts w:ascii="Cambria Math" w:hAnsi="Cambria Math"/>
                </w:rPr>
                <m:t>i=2</m:t>
              </m:r>
            </m:sub>
            <m:sup>
              <m:r>
                <w:rPr>
                  <w:rFonts w:ascii="Cambria Math" w:hAnsi="Cambria Math"/>
                </w:rPr>
                <m:t>p</m:t>
              </m:r>
            </m:sup>
            <m:e>
              <m:sSub>
                <m:sSubPr>
                  <m:ctrlPr>
                    <w:rPr>
                      <w:rFonts w:ascii="Cambria Math" w:hAnsi="Cambria Math"/>
                      <w:i/>
                    </w:rPr>
                  </m:ctrlPr>
                </m:sSubPr>
                <m:e>
                  <m:r>
                    <w:rPr>
                      <w:rFonts w:ascii="Cambria Math" w:hAnsi="Cambria Math"/>
                    </w:rPr>
                    <m:t>β</m:t>
                  </m:r>
                </m:e>
                <m:sub>
                  <m:r>
                    <w:rPr>
                      <w:rFonts w:ascii="Cambria Math" w:hAnsi="Cambria Math"/>
                    </w:rPr>
                    <m:t>1i</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t-i</m:t>
                  </m:r>
                </m:sub>
              </m:sSub>
            </m:e>
          </m:nary>
          <m:r>
            <w:rPr>
              <w:rFonts w:ascii="Cambria Math" w:hAnsi="Cambria Math"/>
            </w:rPr>
            <m:t xml:space="preserve">+ </m:t>
          </m:r>
          <m:nary>
            <m:naryPr>
              <m:chr m:val="∑"/>
              <m:limLoc m:val="undOvr"/>
              <m:ctrlPr>
                <w:rPr>
                  <w:rFonts w:ascii="Cambria Math" w:hAnsi="Cambria Math"/>
                  <w:i/>
                </w:rPr>
              </m:ctrlPr>
            </m:naryPr>
            <m:sub>
              <m:r>
                <w:rPr>
                  <w:rFonts w:ascii="Cambria Math" w:hAnsi="Cambria Math"/>
                </w:rPr>
                <m:t>i=2</m:t>
              </m:r>
            </m:sub>
            <m:sup>
              <m:r>
                <w:rPr>
                  <w:rFonts w:ascii="Cambria Math" w:hAnsi="Cambria Math"/>
                </w:rPr>
                <m:t>p</m:t>
              </m:r>
            </m:sup>
            <m:e>
              <m:sSub>
                <m:sSubPr>
                  <m:ctrlPr>
                    <w:rPr>
                      <w:rFonts w:ascii="Cambria Math" w:hAnsi="Cambria Math"/>
                      <w:i/>
                    </w:rPr>
                  </m:ctrlPr>
                </m:sSubPr>
                <m:e>
                  <m:r>
                    <w:rPr>
                      <w:rFonts w:ascii="Cambria Math" w:hAnsi="Cambria Math"/>
                    </w:rPr>
                    <m:t>β</m:t>
                  </m:r>
                </m:e>
                <m:sub>
                  <m:r>
                    <w:rPr>
                      <w:rFonts w:ascii="Cambria Math" w:hAnsi="Cambria Math"/>
                    </w:rPr>
                    <m:t>2</m:t>
                  </m:r>
                </m:sub>
              </m:sSub>
              <m:r>
                <w:rPr>
                  <w:rFonts w:ascii="Cambria Math" w:hAnsi="Cambria Math"/>
                </w:rPr>
                <m:t>∆E</m:t>
              </m:r>
              <m:sSub>
                <m:sSubPr>
                  <m:ctrlPr>
                    <w:rPr>
                      <w:rFonts w:ascii="Cambria Math" w:hAnsi="Cambria Math"/>
                      <w:i/>
                    </w:rPr>
                  </m:ctrlPr>
                </m:sSubPr>
                <m:e>
                  <m:r>
                    <w:rPr>
                      <w:rFonts w:ascii="Cambria Math" w:hAnsi="Cambria Math"/>
                    </w:rPr>
                    <m:t>R</m:t>
                  </m:r>
                </m:e>
                <m:sub>
                  <m:r>
                    <w:rPr>
                      <w:rFonts w:ascii="Cambria Math" w:hAnsi="Cambria Math"/>
                    </w:rPr>
                    <m:t>t-i</m:t>
                  </m:r>
                </m:sub>
              </m:sSub>
            </m:e>
          </m:nary>
          <m:r>
            <w:rPr>
              <w:rFonts w:ascii="Cambria Math" w:hAnsi="Cambria Math"/>
            </w:rPr>
            <m:t xml:space="preserve">+ </m:t>
          </m:r>
          <m:sSub>
            <m:sSubPr>
              <m:ctrlPr>
                <w:rPr>
                  <w:rFonts w:ascii="Cambria Math" w:hAnsi="Cambria Math"/>
                  <w:i/>
                </w:rPr>
              </m:ctrlPr>
            </m:sSubPr>
            <m:e>
              <m:r>
                <w:rPr>
                  <w:rFonts w:ascii="Cambria Math" w:hAnsi="Cambria Math"/>
                </w:rPr>
                <m:t>ϵ</m:t>
              </m:r>
            </m:e>
            <m:sub>
              <m:r>
                <w:rPr>
                  <w:rFonts w:ascii="Cambria Math" w:hAnsi="Cambria Math"/>
                </w:rPr>
                <m:t>2t</m:t>
              </m:r>
            </m:sub>
          </m:sSub>
        </m:oMath>
      </m:oMathPara>
    </w:p>
    <w:p w:rsidR="00314A1E" w:rsidRDefault="00314A1E" w:rsidP="00314A1E">
      <w:pPr>
        <w:pStyle w:val="NoSpacing"/>
      </w:pPr>
    </w:p>
    <w:p w:rsidR="00314A1E" w:rsidRDefault="00314A1E" w:rsidP="00314A1E">
      <m:oMathPara>
        <m:oMath>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t</m:t>
              </m:r>
            </m:sub>
          </m:sSub>
          <m:r>
            <w:rPr>
              <w:rFonts w:ascii="Cambria Math" w:hAnsi="Cambria Math"/>
            </w:rPr>
            <m:t xml:space="preserve">= </m:t>
          </m:r>
          <m:sSub>
            <m:sSubPr>
              <m:ctrlPr>
                <w:rPr>
                  <w:rFonts w:ascii="Cambria Math" w:hAnsi="Cambria Math"/>
                  <w:i/>
                </w:rPr>
              </m:ctrlPr>
            </m:sSubPr>
            <m:e>
              <m:r>
                <w:rPr>
                  <w:rFonts w:ascii="Cambria Math" w:hAnsi="Cambria Math"/>
                </w:rPr>
                <m:t>α</m:t>
              </m:r>
            </m:e>
            <m:sub>
              <m:r>
                <w:rPr>
                  <w:rFonts w:ascii="Cambria Math" w:hAnsi="Cambria Math"/>
                </w:rPr>
                <m:t>0</m:t>
              </m:r>
            </m:sub>
          </m:sSub>
          <m:r>
            <w:rPr>
              <w:rFonts w:ascii="Cambria Math" w:hAnsi="Cambria Math"/>
            </w:rPr>
            <m:t xml:space="preserve">+ </m:t>
          </m:r>
          <m:nary>
            <m:naryPr>
              <m:chr m:val="∑"/>
              <m:limLoc m:val="undOvr"/>
              <m:ctrlPr>
                <w:rPr>
                  <w:rFonts w:ascii="Cambria Math" w:hAnsi="Cambria Math"/>
                  <w:i/>
                </w:rPr>
              </m:ctrlPr>
            </m:naryPr>
            <m:sub>
              <m:r>
                <w:rPr>
                  <w:rFonts w:ascii="Cambria Math" w:hAnsi="Cambria Math"/>
                </w:rPr>
                <m:t>i=2</m:t>
              </m:r>
            </m:sub>
            <m:sup>
              <m:r>
                <w:rPr>
                  <w:rFonts w:ascii="Cambria Math" w:hAnsi="Cambria Math"/>
                </w:rPr>
                <m:t>p</m:t>
              </m:r>
            </m:sup>
            <m:e>
              <m:sSub>
                <m:sSubPr>
                  <m:ctrlPr>
                    <w:rPr>
                      <w:rFonts w:ascii="Cambria Math" w:hAnsi="Cambria Math"/>
                      <w:i/>
                    </w:rPr>
                  </m:ctrlPr>
                </m:sSubPr>
                <m:e>
                  <m:r>
                    <w:rPr>
                      <w:rFonts w:ascii="Cambria Math" w:hAnsi="Cambria Math"/>
                    </w:rPr>
                    <m:t>α</m:t>
                  </m:r>
                </m:e>
                <m:sub>
                  <m:r>
                    <w:rPr>
                      <w:rFonts w:ascii="Cambria Math" w:hAnsi="Cambria Math"/>
                    </w:rPr>
                    <m:t>1i</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t-i</m:t>
                  </m:r>
                </m:sub>
              </m:sSub>
            </m:e>
          </m:nary>
          <m:r>
            <w:rPr>
              <w:rFonts w:ascii="Cambria Math" w:hAnsi="Cambria Math"/>
            </w:rPr>
            <m:t>+</m:t>
          </m:r>
          <m:nary>
            <m:naryPr>
              <m:chr m:val="∑"/>
              <m:limLoc m:val="undOvr"/>
              <m:ctrlPr>
                <w:rPr>
                  <w:rFonts w:ascii="Cambria Math" w:hAnsi="Cambria Math"/>
                  <w:i/>
                </w:rPr>
              </m:ctrlPr>
            </m:naryPr>
            <m:sub>
              <m:r>
                <w:rPr>
                  <w:rFonts w:ascii="Cambria Math" w:hAnsi="Cambria Math"/>
                </w:rPr>
                <m:t>i=2</m:t>
              </m:r>
            </m:sub>
            <m:sup>
              <m:r>
                <w:rPr>
                  <w:rFonts w:ascii="Cambria Math" w:hAnsi="Cambria Math"/>
                </w:rPr>
                <m:t>p</m:t>
              </m:r>
            </m:sup>
            <m:e>
              <m:sSub>
                <m:sSubPr>
                  <m:ctrlPr>
                    <w:rPr>
                      <w:rFonts w:ascii="Cambria Math" w:hAnsi="Cambria Math"/>
                      <w:i/>
                    </w:rPr>
                  </m:ctrlPr>
                </m:sSubPr>
                <m:e>
                  <m:r>
                    <w:rPr>
                      <w:rFonts w:ascii="Cambria Math" w:hAnsi="Cambria Math"/>
                    </w:rPr>
                    <m:t>α</m:t>
                  </m:r>
                </m:e>
                <m:sub>
                  <m:r>
                    <w:rPr>
                      <w:rFonts w:ascii="Cambria Math" w:hAnsi="Cambria Math"/>
                    </w:rPr>
                    <m:t>2i</m:t>
                  </m:r>
                </m:sub>
              </m:sSub>
            </m:e>
          </m:nary>
          <m:r>
            <w:rPr>
              <w:rFonts w:ascii="Cambria Math" w:hAnsi="Cambria Math"/>
            </w:rPr>
            <m:t>∆E</m:t>
          </m:r>
          <m:sSub>
            <m:sSubPr>
              <m:ctrlPr>
                <w:rPr>
                  <w:rFonts w:ascii="Cambria Math" w:hAnsi="Cambria Math"/>
                  <w:i/>
                </w:rPr>
              </m:ctrlPr>
            </m:sSubPr>
            <m:e>
              <m:r>
                <w:rPr>
                  <w:rFonts w:ascii="Cambria Math" w:hAnsi="Cambria Math"/>
                </w:rPr>
                <m:t>R</m:t>
              </m:r>
            </m:e>
            <m:sub>
              <m:r>
                <w:rPr>
                  <w:rFonts w:ascii="Cambria Math" w:hAnsi="Cambria Math"/>
                </w:rPr>
                <m:t>t-i</m:t>
              </m:r>
            </m:sub>
          </m:sSub>
          <m:r>
            <w:rPr>
              <w:rFonts w:ascii="Cambria Math" w:hAnsi="Cambria Math"/>
            </w:rPr>
            <m:t>+</m:t>
          </m:r>
          <m:sSub>
            <m:sSubPr>
              <m:ctrlPr>
                <w:rPr>
                  <w:rFonts w:ascii="Cambria Math" w:hAnsi="Cambria Math"/>
                  <w:i/>
                </w:rPr>
              </m:ctrlPr>
            </m:sSubPr>
            <m:e>
              <m:r>
                <w:rPr>
                  <w:rFonts w:ascii="Cambria Math" w:hAnsi="Cambria Math"/>
                </w:rPr>
                <m:t>ϵ</m:t>
              </m:r>
            </m:e>
            <m:sub>
              <m:r>
                <w:rPr>
                  <w:rFonts w:ascii="Cambria Math" w:hAnsi="Cambria Math"/>
                </w:rPr>
                <m:t>1t</m:t>
              </m:r>
            </m:sub>
          </m:sSub>
        </m:oMath>
      </m:oMathPara>
    </w:p>
    <w:p w:rsidR="00314A1E" w:rsidRDefault="00314A1E" w:rsidP="00314A1E">
      <w:pPr>
        <w:pStyle w:val="NoSpacing"/>
      </w:pPr>
      <w:r>
        <w:t xml:space="preserve">The results are showed in the next table. </w:t>
      </w:r>
    </w:p>
    <w:p w:rsidR="00314A1E" w:rsidRDefault="00314A1E" w:rsidP="00314A1E">
      <w:pPr>
        <w:pStyle w:val="NoSpacing"/>
      </w:pPr>
    </w:p>
    <w:p w:rsidR="00314A1E" w:rsidRDefault="00314A1E" w:rsidP="00314A1E">
      <w:pPr>
        <w:pStyle w:val="NoSpacing"/>
      </w:pPr>
      <w:r>
        <w:t xml:space="preserve">Table </w:t>
      </w:r>
      <w:r w:rsidR="00CD606C">
        <w:t>9</w:t>
      </w:r>
      <w:r>
        <w:t>: Granger causality tests for market indices and exchange rates</w:t>
      </w:r>
    </w:p>
    <w:tbl>
      <w:tblPr>
        <w:tblW w:w="8780" w:type="dxa"/>
        <w:tblInd w:w="55" w:type="dxa"/>
        <w:tblCellMar>
          <w:left w:w="70" w:type="dxa"/>
          <w:right w:w="70" w:type="dxa"/>
        </w:tblCellMar>
        <w:tblLook w:val="04A0"/>
      </w:tblPr>
      <w:tblGrid>
        <w:gridCol w:w="2400"/>
        <w:gridCol w:w="1000"/>
        <w:gridCol w:w="960"/>
        <w:gridCol w:w="2460"/>
        <w:gridCol w:w="1000"/>
        <w:gridCol w:w="960"/>
      </w:tblGrid>
      <w:tr w:rsidR="00314A1E" w:rsidRPr="00DD5C65" w:rsidTr="009C16D2">
        <w:trPr>
          <w:trHeight w:val="270"/>
        </w:trPr>
        <w:tc>
          <w:tcPr>
            <w:tcW w:w="2400" w:type="dxa"/>
            <w:tcBorders>
              <w:top w:val="single" w:sz="8" w:space="0" w:color="auto"/>
              <w:left w:val="single" w:sz="8" w:space="0" w:color="auto"/>
              <w:bottom w:val="single" w:sz="8" w:space="0" w:color="auto"/>
              <w:right w:val="nil"/>
            </w:tcBorders>
            <w:shd w:val="clear" w:color="auto" w:fill="auto"/>
            <w:noWrap/>
            <w:vAlign w:val="bottom"/>
            <w:hideMark/>
          </w:tcPr>
          <w:p w:rsidR="00314A1E" w:rsidRPr="00DD5C65" w:rsidRDefault="00314A1E" w:rsidP="009C16D2">
            <w:pPr>
              <w:spacing w:after="0" w:line="240" w:lineRule="auto"/>
              <w:rPr>
                <w:rFonts w:ascii="Arial" w:eastAsia="Times New Roman" w:hAnsi="Arial" w:cs="Arial"/>
                <w:sz w:val="20"/>
                <w:szCs w:val="20"/>
                <w:lang w:val="nl-NL" w:eastAsia="nl-NL" w:bidi="ar-SA"/>
              </w:rPr>
            </w:pPr>
            <w:proofErr w:type="spellStart"/>
            <w:r w:rsidRPr="00DD5C65">
              <w:rPr>
                <w:rFonts w:ascii="Arial" w:eastAsia="Times New Roman" w:hAnsi="Arial" w:cs="Arial"/>
                <w:sz w:val="20"/>
                <w:szCs w:val="20"/>
                <w:lang w:val="nl-NL" w:eastAsia="nl-NL" w:bidi="ar-SA"/>
              </w:rPr>
              <w:t>Null</w:t>
            </w:r>
            <w:proofErr w:type="spellEnd"/>
            <w:r w:rsidRPr="00DD5C65">
              <w:rPr>
                <w:rFonts w:ascii="Arial" w:eastAsia="Times New Roman" w:hAnsi="Arial" w:cs="Arial"/>
                <w:sz w:val="20"/>
                <w:szCs w:val="20"/>
                <w:lang w:val="nl-NL" w:eastAsia="nl-NL" w:bidi="ar-SA"/>
              </w:rPr>
              <w:t xml:space="preserve"> Hypothesis:</w:t>
            </w:r>
          </w:p>
        </w:tc>
        <w:tc>
          <w:tcPr>
            <w:tcW w:w="1000" w:type="dxa"/>
            <w:tcBorders>
              <w:top w:val="single" w:sz="8" w:space="0" w:color="auto"/>
              <w:left w:val="nil"/>
              <w:bottom w:val="single" w:sz="8" w:space="0" w:color="auto"/>
              <w:right w:val="nil"/>
            </w:tcBorders>
            <w:shd w:val="clear" w:color="auto" w:fill="auto"/>
            <w:noWrap/>
            <w:vAlign w:val="bottom"/>
            <w:hideMark/>
          </w:tcPr>
          <w:p w:rsidR="00314A1E" w:rsidRPr="00DD5C65" w:rsidRDefault="00314A1E" w:rsidP="009C16D2">
            <w:pPr>
              <w:spacing w:after="0" w:line="240" w:lineRule="auto"/>
              <w:rPr>
                <w:rFonts w:ascii="Arial" w:eastAsia="Times New Roman" w:hAnsi="Arial" w:cs="Arial"/>
                <w:sz w:val="20"/>
                <w:szCs w:val="20"/>
                <w:lang w:val="nl-NL" w:eastAsia="nl-NL" w:bidi="ar-SA"/>
              </w:rPr>
            </w:pPr>
            <w:proofErr w:type="spellStart"/>
            <w:r w:rsidRPr="00DD5C65">
              <w:rPr>
                <w:rFonts w:ascii="Arial" w:eastAsia="Times New Roman" w:hAnsi="Arial" w:cs="Arial"/>
                <w:sz w:val="20"/>
                <w:szCs w:val="20"/>
                <w:lang w:val="nl-NL" w:eastAsia="nl-NL" w:bidi="ar-SA"/>
              </w:rPr>
              <w:t>F-Statistic</w:t>
            </w:r>
            <w:proofErr w:type="spellEnd"/>
          </w:p>
        </w:tc>
        <w:tc>
          <w:tcPr>
            <w:tcW w:w="960" w:type="dxa"/>
            <w:tcBorders>
              <w:top w:val="single" w:sz="8" w:space="0" w:color="auto"/>
              <w:left w:val="nil"/>
              <w:bottom w:val="single" w:sz="8" w:space="0" w:color="auto"/>
              <w:right w:val="nil"/>
            </w:tcBorders>
            <w:shd w:val="clear" w:color="auto" w:fill="auto"/>
            <w:noWrap/>
            <w:vAlign w:val="bottom"/>
            <w:hideMark/>
          </w:tcPr>
          <w:p w:rsidR="00314A1E" w:rsidRPr="00DD5C65" w:rsidRDefault="00314A1E" w:rsidP="009C16D2">
            <w:pPr>
              <w:spacing w:after="0" w:line="240" w:lineRule="auto"/>
              <w:rPr>
                <w:rFonts w:ascii="Arial" w:eastAsia="Times New Roman" w:hAnsi="Arial" w:cs="Arial"/>
                <w:sz w:val="20"/>
                <w:szCs w:val="20"/>
                <w:lang w:val="nl-NL" w:eastAsia="nl-NL" w:bidi="ar-SA"/>
              </w:rPr>
            </w:pPr>
            <w:proofErr w:type="spellStart"/>
            <w:r w:rsidRPr="00DD5C65">
              <w:rPr>
                <w:rFonts w:ascii="Arial" w:eastAsia="Times New Roman" w:hAnsi="Arial" w:cs="Arial"/>
                <w:sz w:val="20"/>
                <w:szCs w:val="20"/>
                <w:lang w:val="nl-NL" w:eastAsia="nl-NL" w:bidi="ar-SA"/>
              </w:rPr>
              <w:t>Prob</w:t>
            </w:r>
            <w:proofErr w:type="spellEnd"/>
            <w:r w:rsidRPr="00DD5C65">
              <w:rPr>
                <w:rFonts w:ascii="Arial" w:eastAsia="Times New Roman" w:hAnsi="Arial" w:cs="Arial"/>
                <w:sz w:val="20"/>
                <w:szCs w:val="20"/>
                <w:lang w:val="nl-NL" w:eastAsia="nl-NL" w:bidi="ar-SA"/>
              </w:rPr>
              <w:t xml:space="preserve">. </w:t>
            </w:r>
          </w:p>
        </w:tc>
        <w:tc>
          <w:tcPr>
            <w:tcW w:w="2460" w:type="dxa"/>
            <w:tcBorders>
              <w:top w:val="single" w:sz="8" w:space="0" w:color="auto"/>
              <w:left w:val="single" w:sz="8" w:space="0" w:color="auto"/>
              <w:bottom w:val="single" w:sz="8" w:space="0" w:color="auto"/>
              <w:right w:val="nil"/>
            </w:tcBorders>
            <w:shd w:val="clear" w:color="auto" w:fill="auto"/>
            <w:noWrap/>
            <w:vAlign w:val="bottom"/>
            <w:hideMark/>
          </w:tcPr>
          <w:p w:rsidR="00314A1E" w:rsidRPr="00DD5C65" w:rsidRDefault="00314A1E" w:rsidP="009C16D2">
            <w:pPr>
              <w:spacing w:after="0" w:line="240" w:lineRule="auto"/>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 xml:space="preserve"> </w:t>
            </w:r>
            <w:proofErr w:type="spellStart"/>
            <w:r w:rsidRPr="00DD5C65">
              <w:rPr>
                <w:rFonts w:ascii="Arial" w:eastAsia="Times New Roman" w:hAnsi="Arial" w:cs="Arial"/>
                <w:sz w:val="20"/>
                <w:szCs w:val="20"/>
                <w:lang w:val="nl-NL" w:eastAsia="nl-NL" w:bidi="ar-SA"/>
              </w:rPr>
              <w:t>Null</w:t>
            </w:r>
            <w:proofErr w:type="spellEnd"/>
            <w:r w:rsidRPr="00DD5C65">
              <w:rPr>
                <w:rFonts w:ascii="Arial" w:eastAsia="Times New Roman" w:hAnsi="Arial" w:cs="Arial"/>
                <w:sz w:val="20"/>
                <w:szCs w:val="20"/>
                <w:lang w:val="nl-NL" w:eastAsia="nl-NL" w:bidi="ar-SA"/>
              </w:rPr>
              <w:t xml:space="preserve"> Hypothesis:</w:t>
            </w:r>
          </w:p>
        </w:tc>
        <w:tc>
          <w:tcPr>
            <w:tcW w:w="1000" w:type="dxa"/>
            <w:tcBorders>
              <w:top w:val="single" w:sz="8" w:space="0" w:color="auto"/>
              <w:left w:val="nil"/>
              <w:bottom w:val="single" w:sz="8" w:space="0" w:color="auto"/>
              <w:right w:val="nil"/>
            </w:tcBorders>
            <w:shd w:val="clear" w:color="auto" w:fill="auto"/>
            <w:noWrap/>
            <w:vAlign w:val="bottom"/>
            <w:hideMark/>
          </w:tcPr>
          <w:p w:rsidR="00314A1E" w:rsidRPr="00DD5C65" w:rsidRDefault="00314A1E" w:rsidP="009C16D2">
            <w:pPr>
              <w:spacing w:after="0" w:line="240" w:lineRule="auto"/>
              <w:rPr>
                <w:rFonts w:ascii="Arial" w:eastAsia="Times New Roman" w:hAnsi="Arial" w:cs="Arial"/>
                <w:sz w:val="20"/>
                <w:szCs w:val="20"/>
                <w:lang w:val="nl-NL" w:eastAsia="nl-NL" w:bidi="ar-SA"/>
              </w:rPr>
            </w:pPr>
            <w:proofErr w:type="spellStart"/>
            <w:r w:rsidRPr="00DD5C65">
              <w:rPr>
                <w:rFonts w:ascii="Arial" w:eastAsia="Times New Roman" w:hAnsi="Arial" w:cs="Arial"/>
                <w:sz w:val="20"/>
                <w:szCs w:val="20"/>
                <w:lang w:val="nl-NL" w:eastAsia="nl-NL" w:bidi="ar-SA"/>
              </w:rPr>
              <w:t>F-Statistic</w:t>
            </w:r>
            <w:proofErr w:type="spellEnd"/>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314A1E" w:rsidRPr="00DD5C65" w:rsidRDefault="00314A1E" w:rsidP="009C16D2">
            <w:pPr>
              <w:spacing w:after="0" w:line="240" w:lineRule="auto"/>
              <w:rPr>
                <w:rFonts w:ascii="Arial" w:eastAsia="Times New Roman" w:hAnsi="Arial" w:cs="Arial"/>
                <w:sz w:val="20"/>
                <w:szCs w:val="20"/>
                <w:lang w:val="nl-NL" w:eastAsia="nl-NL" w:bidi="ar-SA"/>
              </w:rPr>
            </w:pPr>
            <w:proofErr w:type="spellStart"/>
            <w:r w:rsidRPr="00DD5C65">
              <w:rPr>
                <w:rFonts w:ascii="Arial" w:eastAsia="Times New Roman" w:hAnsi="Arial" w:cs="Arial"/>
                <w:sz w:val="20"/>
                <w:szCs w:val="20"/>
                <w:lang w:val="nl-NL" w:eastAsia="nl-NL" w:bidi="ar-SA"/>
              </w:rPr>
              <w:t>Prob</w:t>
            </w:r>
            <w:proofErr w:type="spellEnd"/>
            <w:r w:rsidRPr="00DD5C65">
              <w:rPr>
                <w:rFonts w:ascii="Arial" w:eastAsia="Times New Roman" w:hAnsi="Arial" w:cs="Arial"/>
                <w:sz w:val="20"/>
                <w:szCs w:val="20"/>
                <w:lang w:val="nl-NL" w:eastAsia="nl-NL" w:bidi="ar-SA"/>
              </w:rPr>
              <w:t xml:space="preserve">. </w:t>
            </w:r>
          </w:p>
        </w:tc>
      </w:tr>
      <w:tr w:rsidR="00314A1E" w:rsidRPr="00DD5C65" w:rsidTr="009C16D2">
        <w:trPr>
          <w:trHeight w:val="255"/>
        </w:trPr>
        <w:tc>
          <w:tcPr>
            <w:tcW w:w="2400" w:type="dxa"/>
            <w:tcBorders>
              <w:top w:val="nil"/>
              <w:left w:val="single" w:sz="8" w:space="0" w:color="auto"/>
              <w:bottom w:val="nil"/>
              <w:right w:val="nil"/>
            </w:tcBorders>
            <w:shd w:val="clear" w:color="auto" w:fill="auto"/>
            <w:noWrap/>
            <w:vAlign w:val="bottom"/>
            <w:hideMark/>
          </w:tcPr>
          <w:p w:rsidR="00314A1E" w:rsidRPr="00DD5C65" w:rsidRDefault="00314A1E" w:rsidP="009C16D2">
            <w:pPr>
              <w:spacing w:after="0" w:line="240" w:lineRule="auto"/>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 xml:space="preserve"> EUROPE -/-&gt; CHFEUR</w:t>
            </w:r>
          </w:p>
        </w:tc>
        <w:tc>
          <w:tcPr>
            <w:tcW w:w="1000" w:type="dxa"/>
            <w:tcBorders>
              <w:top w:val="nil"/>
              <w:left w:val="nil"/>
              <w:bottom w:val="nil"/>
              <w:right w:val="nil"/>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18,2326</w:t>
            </w:r>
          </w:p>
        </w:tc>
        <w:tc>
          <w:tcPr>
            <w:tcW w:w="960" w:type="dxa"/>
            <w:tcBorders>
              <w:top w:val="nil"/>
              <w:left w:val="nil"/>
              <w:bottom w:val="nil"/>
              <w:right w:val="single" w:sz="8" w:space="0" w:color="auto"/>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0</w:t>
            </w:r>
          </w:p>
        </w:tc>
        <w:tc>
          <w:tcPr>
            <w:tcW w:w="2460" w:type="dxa"/>
            <w:tcBorders>
              <w:top w:val="nil"/>
              <w:left w:val="nil"/>
              <w:bottom w:val="nil"/>
              <w:right w:val="nil"/>
            </w:tcBorders>
            <w:shd w:val="clear" w:color="auto" w:fill="auto"/>
            <w:noWrap/>
            <w:vAlign w:val="bottom"/>
            <w:hideMark/>
          </w:tcPr>
          <w:p w:rsidR="00314A1E" w:rsidRPr="00DD5C65" w:rsidRDefault="00314A1E" w:rsidP="009C16D2">
            <w:pPr>
              <w:spacing w:after="0" w:line="240" w:lineRule="auto"/>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 xml:space="preserve"> EUROPE -/-&gt; USDEUR</w:t>
            </w:r>
          </w:p>
        </w:tc>
        <w:tc>
          <w:tcPr>
            <w:tcW w:w="1000" w:type="dxa"/>
            <w:tcBorders>
              <w:top w:val="nil"/>
              <w:left w:val="nil"/>
              <w:bottom w:val="nil"/>
              <w:right w:val="nil"/>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2,2502</w:t>
            </w:r>
          </w:p>
        </w:tc>
        <w:tc>
          <w:tcPr>
            <w:tcW w:w="960" w:type="dxa"/>
            <w:tcBorders>
              <w:top w:val="nil"/>
              <w:left w:val="nil"/>
              <w:bottom w:val="nil"/>
              <w:right w:val="single" w:sz="8" w:space="0" w:color="auto"/>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0,1056</w:t>
            </w:r>
          </w:p>
        </w:tc>
      </w:tr>
      <w:tr w:rsidR="00314A1E" w:rsidRPr="00DD5C65" w:rsidTr="009C16D2">
        <w:trPr>
          <w:trHeight w:val="270"/>
        </w:trPr>
        <w:tc>
          <w:tcPr>
            <w:tcW w:w="2400" w:type="dxa"/>
            <w:tcBorders>
              <w:top w:val="nil"/>
              <w:left w:val="single" w:sz="8" w:space="0" w:color="auto"/>
              <w:bottom w:val="single" w:sz="8" w:space="0" w:color="auto"/>
              <w:right w:val="nil"/>
            </w:tcBorders>
            <w:shd w:val="clear" w:color="auto" w:fill="auto"/>
            <w:noWrap/>
            <w:vAlign w:val="bottom"/>
            <w:hideMark/>
          </w:tcPr>
          <w:p w:rsidR="00314A1E" w:rsidRPr="00DD5C65" w:rsidRDefault="00314A1E" w:rsidP="009C16D2">
            <w:pPr>
              <w:spacing w:after="0" w:line="240" w:lineRule="auto"/>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 xml:space="preserve"> CHFEUR -/-&gt;EUROPE</w:t>
            </w:r>
          </w:p>
        </w:tc>
        <w:tc>
          <w:tcPr>
            <w:tcW w:w="1000" w:type="dxa"/>
            <w:tcBorders>
              <w:top w:val="nil"/>
              <w:left w:val="nil"/>
              <w:bottom w:val="single" w:sz="8" w:space="0" w:color="auto"/>
              <w:right w:val="nil"/>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2,9397</w:t>
            </w:r>
          </w:p>
        </w:tc>
        <w:tc>
          <w:tcPr>
            <w:tcW w:w="960" w:type="dxa"/>
            <w:tcBorders>
              <w:top w:val="nil"/>
              <w:left w:val="nil"/>
              <w:bottom w:val="single" w:sz="8" w:space="0" w:color="auto"/>
              <w:right w:val="single" w:sz="8" w:space="0" w:color="auto"/>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0,053</w:t>
            </w:r>
          </w:p>
        </w:tc>
        <w:tc>
          <w:tcPr>
            <w:tcW w:w="2460" w:type="dxa"/>
            <w:tcBorders>
              <w:top w:val="nil"/>
              <w:left w:val="nil"/>
              <w:bottom w:val="single" w:sz="8" w:space="0" w:color="auto"/>
              <w:right w:val="nil"/>
            </w:tcBorders>
            <w:shd w:val="clear" w:color="auto" w:fill="auto"/>
            <w:noWrap/>
            <w:vAlign w:val="bottom"/>
            <w:hideMark/>
          </w:tcPr>
          <w:p w:rsidR="00314A1E" w:rsidRPr="00DD5C65" w:rsidRDefault="00314A1E" w:rsidP="009C16D2">
            <w:pPr>
              <w:spacing w:after="0" w:line="240" w:lineRule="auto"/>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 xml:space="preserve"> USDEUR -/-&gt;EUROPE</w:t>
            </w:r>
          </w:p>
        </w:tc>
        <w:tc>
          <w:tcPr>
            <w:tcW w:w="1000" w:type="dxa"/>
            <w:tcBorders>
              <w:top w:val="nil"/>
              <w:left w:val="nil"/>
              <w:bottom w:val="single" w:sz="8" w:space="0" w:color="auto"/>
              <w:right w:val="nil"/>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0,279</w:t>
            </w:r>
          </w:p>
        </w:tc>
        <w:tc>
          <w:tcPr>
            <w:tcW w:w="960" w:type="dxa"/>
            <w:tcBorders>
              <w:top w:val="nil"/>
              <w:left w:val="nil"/>
              <w:bottom w:val="single" w:sz="8" w:space="0" w:color="auto"/>
              <w:right w:val="single" w:sz="8" w:space="0" w:color="auto"/>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0,7566</w:t>
            </w:r>
          </w:p>
        </w:tc>
      </w:tr>
      <w:tr w:rsidR="00314A1E" w:rsidRPr="00DD5C65" w:rsidTr="009C16D2">
        <w:trPr>
          <w:trHeight w:val="255"/>
        </w:trPr>
        <w:tc>
          <w:tcPr>
            <w:tcW w:w="2400" w:type="dxa"/>
            <w:tcBorders>
              <w:top w:val="nil"/>
              <w:left w:val="single" w:sz="8" w:space="0" w:color="auto"/>
              <w:bottom w:val="nil"/>
              <w:right w:val="nil"/>
            </w:tcBorders>
            <w:shd w:val="clear" w:color="auto" w:fill="auto"/>
            <w:noWrap/>
            <w:vAlign w:val="bottom"/>
            <w:hideMark/>
          </w:tcPr>
          <w:p w:rsidR="00314A1E" w:rsidRPr="00DD5C65" w:rsidRDefault="00314A1E" w:rsidP="009C16D2">
            <w:pPr>
              <w:spacing w:after="0" w:line="240" w:lineRule="auto"/>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 xml:space="preserve"> USA -/-&gt; CHFUSD</w:t>
            </w:r>
          </w:p>
        </w:tc>
        <w:tc>
          <w:tcPr>
            <w:tcW w:w="1000" w:type="dxa"/>
            <w:tcBorders>
              <w:top w:val="nil"/>
              <w:left w:val="nil"/>
              <w:bottom w:val="nil"/>
              <w:right w:val="nil"/>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2,08</w:t>
            </w:r>
          </w:p>
        </w:tc>
        <w:tc>
          <w:tcPr>
            <w:tcW w:w="960" w:type="dxa"/>
            <w:tcBorders>
              <w:top w:val="nil"/>
              <w:left w:val="nil"/>
              <w:bottom w:val="nil"/>
              <w:right w:val="single" w:sz="8" w:space="0" w:color="auto"/>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0,1251</w:t>
            </w:r>
          </w:p>
        </w:tc>
        <w:tc>
          <w:tcPr>
            <w:tcW w:w="2460" w:type="dxa"/>
            <w:tcBorders>
              <w:top w:val="nil"/>
              <w:left w:val="nil"/>
              <w:bottom w:val="nil"/>
              <w:right w:val="nil"/>
            </w:tcBorders>
            <w:shd w:val="clear" w:color="auto" w:fill="auto"/>
            <w:noWrap/>
            <w:vAlign w:val="bottom"/>
            <w:hideMark/>
          </w:tcPr>
          <w:p w:rsidR="00314A1E" w:rsidRPr="00DD5C65" w:rsidRDefault="00314A1E" w:rsidP="009C16D2">
            <w:pPr>
              <w:spacing w:after="0" w:line="240" w:lineRule="auto"/>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 xml:space="preserve"> USA -/-&gt; EURUSD</w:t>
            </w:r>
          </w:p>
        </w:tc>
        <w:tc>
          <w:tcPr>
            <w:tcW w:w="1000" w:type="dxa"/>
            <w:tcBorders>
              <w:top w:val="nil"/>
              <w:left w:val="nil"/>
              <w:bottom w:val="nil"/>
              <w:right w:val="nil"/>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1,0766</w:t>
            </w:r>
          </w:p>
        </w:tc>
        <w:tc>
          <w:tcPr>
            <w:tcW w:w="960" w:type="dxa"/>
            <w:tcBorders>
              <w:top w:val="nil"/>
              <w:left w:val="nil"/>
              <w:bottom w:val="nil"/>
              <w:right w:val="single" w:sz="8" w:space="0" w:color="auto"/>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0,3409</w:t>
            </w:r>
          </w:p>
        </w:tc>
      </w:tr>
      <w:tr w:rsidR="00314A1E" w:rsidRPr="00DD5C65" w:rsidTr="009C16D2">
        <w:trPr>
          <w:trHeight w:val="270"/>
        </w:trPr>
        <w:tc>
          <w:tcPr>
            <w:tcW w:w="2400" w:type="dxa"/>
            <w:tcBorders>
              <w:top w:val="nil"/>
              <w:left w:val="single" w:sz="8" w:space="0" w:color="auto"/>
              <w:bottom w:val="single" w:sz="8" w:space="0" w:color="auto"/>
              <w:right w:val="nil"/>
            </w:tcBorders>
            <w:shd w:val="clear" w:color="auto" w:fill="auto"/>
            <w:noWrap/>
            <w:vAlign w:val="bottom"/>
            <w:hideMark/>
          </w:tcPr>
          <w:p w:rsidR="00314A1E" w:rsidRPr="00DD5C65" w:rsidRDefault="00314A1E" w:rsidP="009C16D2">
            <w:pPr>
              <w:spacing w:after="0" w:line="240" w:lineRule="auto"/>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 xml:space="preserve"> CHFUSD -/-&gt; USA</w:t>
            </w:r>
          </w:p>
        </w:tc>
        <w:tc>
          <w:tcPr>
            <w:tcW w:w="1000" w:type="dxa"/>
            <w:tcBorders>
              <w:top w:val="nil"/>
              <w:left w:val="nil"/>
              <w:bottom w:val="single" w:sz="8" w:space="0" w:color="auto"/>
              <w:right w:val="nil"/>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0,919</w:t>
            </w:r>
          </w:p>
        </w:tc>
        <w:tc>
          <w:tcPr>
            <w:tcW w:w="960" w:type="dxa"/>
            <w:tcBorders>
              <w:top w:val="nil"/>
              <w:left w:val="nil"/>
              <w:bottom w:val="single" w:sz="8" w:space="0" w:color="auto"/>
              <w:right w:val="single" w:sz="8" w:space="0" w:color="auto"/>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0,399</w:t>
            </w:r>
          </w:p>
        </w:tc>
        <w:tc>
          <w:tcPr>
            <w:tcW w:w="2460" w:type="dxa"/>
            <w:tcBorders>
              <w:top w:val="nil"/>
              <w:left w:val="nil"/>
              <w:bottom w:val="single" w:sz="8" w:space="0" w:color="auto"/>
              <w:right w:val="nil"/>
            </w:tcBorders>
            <w:shd w:val="clear" w:color="auto" w:fill="auto"/>
            <w:noWrap/>
            <w:vAlign w:val="bottom"/>
            <w:hideMark/>
          </w:tcPr>
          <w:p w:rsidR="00314A1E" w:rsidRPr="00DD5C65" w:rsidRDefault="00314A1E" w:rsidP="009C16D2">
            <w:pPr>
              <w:spacing w:after="0" w:line="240" w:lineRule="auto"/>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 xml:space="preserve"> EURUSD -/-&gt; USA</w:t>
            </w:r>
          </w:p>
        </w:tc>
        <w:tc>
          <w:tcPr>
            <w:tcW w:w="1000" w:type="dxa"/>
            <w:tcBorders>
              <w:top w:val="nil"/>
              <w:left w:val="nil"/>
              <w:bottom w:val="single" w:sz="8" w:space="0" w:color="auto"/>
              <w:right w:val="nil"/>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1,505</w:t>
            </w:r>
          </w:p>
        </w:tc>
        <w:tc>
          <w:tcPr>
            <w:tcW w:w="960" w:type="dxa"/>
            <w:tcBorders>
              <w:top w:val="nil"/>
              <w:left w:val="nil"/>
              <w:bottom w:val="single" w:sz="8" w:space="0" w:color="auto"/>
              <w:right w:val="single" w:sz="8" w:space="0" w:color="auto"/>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0,2222</w:t>
            </w:r>
          </w:p>
        </w:tc>
      </w:tr>
    </w:tbl>
    <w:p w:rsidR="00314A1E" w:rsidRDefault="00314A1E" w:rsidP="00314A1E">
      <w:pPr>
        <w:pStyle w:val="NoSpacing"/>
      </w:pPr>
    </w:p>
    <w:p w:rsidR="00314A1E" w:rsidRPr="00C97ABB" w:rsidRDefault="00314A1E" w:rsidP="00314A1E">
      <w:pPr>
        <w:pStyle w:val="NoSpacing"/>
        <w:rPr>
          <w:color w:val="FF0000"/>
        </w:rPr>
      </w:pPr>
      <w:r>
        <w:t>No Granger causality is found, except for the EUROPE/CHFEUR and CHFEUR/EUROPE combinations.  Looking at a significance level of 5%, we can say that Europe’s market index Granger causes the Swiss franc with a very high F-st</w:t>
      </w:r>
      <w:r w:rsidR="000F0A0A">
        <w:t>atistic. The Swiss franc</w:t>
      </w:r>
      <w:r>
        <w:t xml:space="preserve"> falls just outside the 5% level. In the appendix can be seen that EUROPE leads CHFEUR in a negative way. But as an increase in CHFEUR means the euro depreciates, an increase in EUROPE means an appreciation of the euro. This finding is according to the portfolio-balanced model</w:t>
      </w:r>
      <w:r w:rsidR="000F0A0A">
        <w:t>s</w:t>
      </w:r>
      <w:r>
        <w:t xml:space="preserve">. </w:t>
      </w:r>
      <w:r w:rsidR="00C97ABB" w:rsidRPr="00C97ABB">
        <w:rPr>
          <w:color w:val="FF0000"/>
        </w:rPr>
        <w:t>These models say that an increase in stock prices leads to more foreign demand and an appreciation of the domestic currency</w:t>
      </w:r>
      <w:r w:rsidR="00C97ABB">
        <w:rPr>
          <w:color w:val="FF0000"/>
        </w:rPr>
        <w:t>.</w:t>
      </w:r>
      <w:r w:rsidR="00C97ABB" w:rsidRPr="00C97ABB">
        <w:rPr>
          <w:color w:val="FF0000"/>
        </w:rPr>
        <w:t xml:space="preserve">  </w:t>
      </w:r>
    </w:p>
    <w:p w:rsidR="00314A1E" w:rsidRDefault="00314A1E" w:rsidP="00314A1E">
      <w:pPr>
        <w:pStyle w:val="NoSpacing"/>
      </w:pPr>
      <w:r>
        <w:lastRenderedPageBreak/>
        <w:t xml:space="preserve">Looking to the other combinations, we see that only the European index has some explanation power for the USDEUR, but the probability is not strong enough, it is just outside the 10% level. The other combinations are characterized by low F-statistics, indicating that there are no relationships. </w:t>
      </w:r>
    </w:p>
    <w:p w:rsidR="00314A1E" w:rsidRDefault="00314A1E" w:rsidP="00314A1E">
      <w:pPr>
        <w:pStyle w:val="NoSpacing"/>
      </w:pPr>
    </w:p>
    <w:p w:rsidR="00314A1E" w:rsidRPr="00C97ABB" w:rsidRDefault="00314A1E" w:rsidP="00314A1E">
      <w:pPr>
        <w:pStyle w:val="NoSpacing"/>
        <w:rPr>
          <w:color w:val="FF0000"/>
        </w:rPr>
      </w:pPr>
      <w:r>
        <w:t xml:space="preserve">As stated in the data section, the market indices contain stocks of all kind of sectors and are composite by a lot of different stocks. The amounts are 500 and 600 stocks, for the US and Europe respectively. This huge diversity could be a reason for not finding relationships. Individual companies react different on exchange rate movements and thus, the sum of those companies (the market index) is </w:t>
      </w:r>
      <w:r w:rsidR="000F0A0A">
        <w:t>dependent</w:t>
      </w:r>
      <w:r>
        <w:t xml:space="preserve"> on its composition. </w:t>
      </w:r>
      <w:r w:rsidR="00C97ABB" w:rsidRPr="00534D6D">
        <w:rPr>
          <w:color w:val="FF0000"/>
        </w:rPr>
        <w:t xml:space="preserve">The same can be said about the sectors, as </w:t>
      </w:r>
      <w:r w:rsidR="00534D6D">
        <w:rPr>
          <w:color w:val="FF0000"/>
        </w:rPr>
        <w:t>we will</w:t>
      </w:r>
      <w:r w:rsidR="00C97ABB" w:rsidRPr="00534D6D">
        <w:rPr>
          <w:color w:val="FF0000"/>
        </w:rPr>
        <w:t xml:space="preserve"> se</w:t>
      </w:r>
      <w:r w:rsidR="00534D6D">
        <w:rPr>
          <w:color w:val="FF0000"/>
        </w:rPr>
        <w:t>e</w:t>
      </w:r>
      <w:r w:rsidR="00C97ABB" w:rsidRPr="00534D6D">
        <w:rPr>
          <w:color w:val="FF0000"/>
        </w:rPr>
        <w:t xml:space="preserve"> later </w:t>
      </w:r>
      <w:r w:rsidR="00534D6D">
        <w:rPr>
          <w:color w:val="FF0000"/>
        </w:rPr>
        <w:t xml:space="preserve">that </w:t>
      </w:r>
      <w:r w:rsidR="00C97ABB" w:rsidRPr="00534D6D">
        <w:rPr>
          <w:color w:val="FF0000"/>
        </w:rPr>
        <w:t xml:space="preserve">sectors do not </w:t>
      </w:r>
      <w:proofErr w:type="gramStart"/>
      <w:r w:rsidR="00C97ABB" w:rsidRPr="00534D6D">
        <w:rPr>
          <w:color w:val="FF0000"/>
        </w:rPr>
        <w:t>react</w:t>
      </w:r>
      <w:proofErr w:type="gramEnd"/>
      <w:r w:rsidR="00C97ABB" w:rsidRPr="00534D6D">
        <w:rPr>
          <w:color w:val="FF0000"/>
        </w:rPr>
        <w:t xml:space="preserve"> the same. If some se</w:t>
      </w:r>
      <w:r w:rsidR="00C97ABB" w:rsidRPr="00C97ABB">
        <w:rPr>
          <w:color w:val="FF0000"/>
        </w:rPr>
        <w:t xml:space="preserve">ctors will increase after </w:t>
      </w:r>
      <w:proofErr w:type="gramStart"/>
      <w:r w:rsidR="00C97ABB" w:rsidRPr="00C97ABB">
        <w:rPr>
          <w:color w:val="FF0000"/>
        </w:rPr>
        <w:t>a currency</w:t>
      </w:r>
      <w:proofErr w:type="gramEnd"/>
      <w:r w:rsidR="00C97ABB" w:rsidRPr="00C97ABB">
        <w:rPr>
          <w:color w:val="FF0000"/>
        </w:rPr>
        <w:t xml:space="preserve"> depreciation and other decrease, then the effects could cancel each other out.  </w:t>
      </w:r>
    </w:p>
    <w:p w:rsidR="00314A1E" w:rsidRDefault="00314A1E" w:rsidP="00314A1E">
      <w:pPr>
        <w:pStyle w:val="NoSpacing"/>
      </w:pPr>
    </w:p>
    <w:p w:rsidR="00314A1E" w:rsidRDefault="00314A1E" w:rsidP="00314A1E">
      <w:pPr>
        <w:pStyle w:val="NoSpacing"/>
      </w:pPr>
      <w:r>
        <w:t xml:space="preserve">Another possibility is that markets are just too large to be caused by one variable. </w:t>
      </w:r>
      <w:r w:rsidR="000F0A0A">
        <w:t>T</w:t>
      </w:r>
      <w:r>
        <w:t>he US dollar is the most traded currency in the world, in 2010 the dollar contained a market share of 84</w:t>
      </w:r>
      <w:proofErr w:type="gramStart"/>
      <w:r>
        <w:t>,9</w:t>
      </w:r>
      <w:proofErr w:type="gramEnd"/>
      <w:r>
        <w:t>% of all currency trades</w:t>
      </w:r>
      <w:r>
        <w:rPr>
          <w:rStyle w:val="FootnoteReference"/>
        </w:rPr>
        <w:footnoteReference w:id="7"/>
      </w:r>
      <w:r>
        <w:t xml:space="preserve">. Because of this huge value and the world wide importance, there are many variables from all over the world influencing the US dollar. Maybe it is a little bit unrealistic to expect that Europe’s stock index can lead the US dollar. Although the euro is in one third of the trades the counterpart of the dollar, this makes it the most important counterpart, but it is still just one third of the total dollar trade. </w:t>
      </w:r>
    </w:p>
    <w:p w:rsidR="00314A1E" w:rsidRDefault="00314A1E" w:rsidP="00314A1E">
      <w:pPr>
        <w:pStyle w:val="NoSpacing"/>
      </w:pPr>
    </w:p>
    <w:p w:rsidR="00314A1E" w:rsidRDefault="00314A1E" w:rsidP="00314A1E">
      <w:pPr>
        <w:pStyle w:val="NoSpacing"/>
      </w:pPr>
      <w:r>
        <w:t>The euro is with 39</w:t>
      </w:r>
      <w:proofErr w:type="gramStart"/>
      <w:r>
        <w:t>,1</w:t>
      </w:r>
      <w:proofErr w:type="gramEnd"/>
      <w:r>
        <w:t>% the second most traded currency. Again, this high importance makes it reasonable that the currency is influenced by much more variables. This seems a reasonable explanation, especially for the Swiss franc not influencing Europe’s stock market. But it is remarkable that the Swiss franc is of significant influence if we look to the 10% level. While the US stock market, seen as a very important indicator worldwide, does not Granger cause</w:t>
      </w:r>
      <w:r w:rsidR="00534D6D">
        <w:t>s</w:t>
      </w:r>
      <w:r>
        <w:t xml:space="preserve"> the EURUSD at all. Probably the US stock index is not </w:t>
      </w:r>
      <w:r w:rsidR="00534D6D">
        <w:t>as</w:t>
      </w:r>
      <w:r>
        <w:t xml:space="preserve"> important as expected, at least for the USDEUR. The geographical location of Switzerland could explain the importance of the Swiss franc for the European stock index. In the tests on sectors, this possibility is further </w:t>
      </w:r>
      <w:r w:rsidR="00534D6D">
        <w:t>discussed</w:t>
      </w:r>
      <w:r>
        <w:t xml:space="preserve">.      </w:t>
      </w:r>
    </w:p>
    <w:p w:rsidR="00314A1E" w:rsidRDefault="00314A1E" w:rsidP="00314A1E">
      <w:pPr>
        <w:pStyle w:val="NoSpacing"/>
      </w:pPr>
    </w:p>
    <w:p w:rsidR="00314A1E" w:rsidRDefault="00314A1E" w:rsidP="00314A1E">
      <w:pPr>
        <w:pStyle w:val="NoSpacing"/>
      </w:pPr>
      <w:r>
        <w:t>The Swiss franc market is much smaller than the dollar or euro market. Although it is the sixth most traded currency in the world, the market share is only 6</w:t>
      </w:r>
      <w:proofErr w:type="gramStart"/>
      <w:r>
        <w:t>,4</w:t>
      </w:r>
      <w:proofErr w:type="gramEnd"/>
      <w:r>
        <w:t xml:space="preserve"> percent. Because of this much smaller volume than the US dollar, it seems more probable that the Swiss franc could be influenced by one important variable. The highly significant result of the test with Europe’s market index shows that this theory is realistic. And the small market share of the Swiss franc makes it plausible that the currency is unable to influence both stock markets.     </w:t>
      </w:r>
    </w:p>
    <w:p w:rsidR="00314A1E" w:rsidRDefault="00314A1E" w:rsidP="00314A1E">
      <w:pPr>
        <w:pStyle w:val="NoSpacing"/>
      </w:pPr>
    </w:p>
    <w:p w:rsidR="00314A1E" w:rsidRDefault="00314A1E" w:rsidP="00314A1E">
      <w:pPr>
        <w:pStyle w:val="NoSpacing"/>
      </w:pPr>
      <w:r>
        <w:t xml:space="preserve">       </w:t>
      </w:r>
    </w:p>
    <w:p w:rsidR="00314A1E" w:rsidRDefault="00314A1E" w:rsidP="00314A1E">
      <w:pPr>
        <w:pStyle w:val="NoSpacing"/>
      </w:pPr>
    </w:p>
    <w:p w:rsidR="00314A1E" w:rsidRDefault="00314A1E" w:rsidP="00314A1E">
      <w:pPr>
        <w:pStyle w:val="NoSpacing"/>
      </w:pPr>
    </w:p>
    <w:p w:rsidR="00314A1E" w:rsidRDefault="00314A1E" w:rsidP="00314A1E">
      <w:pPr>
        <w:pStyle w:val="NoSpacing"/>
      </w:pPr>
      <w:r>
        <w:t xml:space="preserve"> </w:t>
      </w:r>
    </w:p>
    <w:p w:rsidR="00314A1E" w:rsidRDefault="00314A1E" w:rsidP="00314A1E">
      <w:pPr>
        <w:pStyle w:val="NoSpacing"/>
      </w:pPr>
    </w:p>
    <w:p w:rsidR="00534D6D" w:rsidRDefault="00534D6D" w:rsidP="00314A1E">
      <w:pPr>
        <w:pStyle w:val="NoSpacing"/>
      </w:pPr>
    </w:p>
    <w:p w:rsidR="00534D6D" w:rsidRDefault="00534D6D" w:rsidP="00314A1E">
      <w:pPr>
        <w:pStyle w:val="NoSpacing"/>
      </w:pPr>
    </w:p>
    <w:p w:rsidR="00534D6D" w:rsidRDefault="00534D6D" w:rsidP="00314A1E">
      <w:pPr>
        <w:pStyle w:val="NoSpacing"/>
      </w:pPr>
    </w:p>
    <w:p w:rsidR="00314A1E" w:rsidRDefault="00314A1E" w:rsidP="00314A1E">
      <w:pPr>
        <w:pStyle w:val="NoSpacing"/>
      </w:pPr>
    </w:p>
    <w:p w:rsidR="00314A1E" w:rsidRDefault="00314A1E" w:rsidP="00314A1E">
      <w:pPr>
        <w:pStyle w:val="NoSpacing"/>
      </w:pPr>
    </w:p>
    <w:p w:rsidR="00314A1E" w:rsidRDefault="00314A1E" w:rsidP="00314A1E">
      <w:pPr>
        <w:pStyle w:val="NoSpacing"/>
      </w:pPr>
    </w:p>
    <w:p w:rsidR="00314A1E" w:rsidRDefault="00314A1E" w:rsidP="00314A1E">
      <w:pPr>
        <w:pStyle w:val="NoSpacing"/>
      </w:pPr>
    </w:p>
    <w:p w:rsidR="00314A1E" w:rsidRDefault="00DA7F40" w:rsidP="009C16D2">
      <w:pPr>
        <w:pStyle w:val="Heading2"/>
      </w:pPr>
      <w:bookmarkStart w:id="11" w:name="_Toc300320237"/>
      <w:r>
        <w:lastRenderedPageBreak/>
        <w:t xml:space="preserve">6.2) </w:t>
      </w:r>
      <w:r w:rsidR="00314A1E" w:rsidRPr="00DD5C65">
        <w:t>Sector indices Europe</w:t>
      </w:r>
      <w:bookmarkEnd w:id="11"/>
    </w:p>
    <w:p w:rsidR="00314A1E" w:rsidRPr="00243493" w:rsidRDefault="00314A1E" w:rsidP="00314A1E">
      <w:pPr>
        <w:pStyle w:val="NoSpacing"/>
      </w:pPr>
      <w:r>
        <w:t xml:space="preserve">The results of the ADF tests are already more or less expected. The series contain a unit root, but are stationary after taking the first differences. The ADF tests on the </w:t>
      </w:r>
      <w:r w:rsidR="000F0A0A">
        <w:t xml:space="preserve">Europe´s </w:t>
      </w:r>
      <w:r>
        <w:t xml:space="preserve">sector indices do not change this pattern.  </w:t>
      </w:r>
    </w:p>
    <w:p w:rsidR="00314A1E" w:rsidRPr="00D3722D" w:rsidRDefault="00314A1E" w:rsidP="00314A1E">
      <w:pPr>
        <w:pStyle w:val="NoSpacing"/>
      </w:pPr>
    </w:p>
    <w:p w:rsidR="00314A1E" w:rsidRDefault="00314A1E" w:rsidP="00314A1E">
      <w:pPr>
        <w:pStyle w:val="NoSpacing"/>
      </w:pPr>
      <w:r>
        <w:t xml:space="preserve">Table </w:t>
      </w:r>
      <w:r w:rsidR="00CD606C">
        <w:t>10</w:t>
      </w:r>
      <w:r>
        <w:t>: ADF test on stocks (Europe)</w:t>
      </w:r>
    </w:p>
    <w:tbl>
      <w:tblPr>
        <w:tblW w:w="4942" w:type="dxa"/>
        <w:tblInd w:w="55" w:type="dxa"/>
        <w:tblCellMar>
          <w:left w:w="70" w:type="dxa"/>
          <w:right w:w="70" w:type="dxa"/>
        </w:tblCellMar>
        <w:tblLook w:val="04A0"/>
      </w:tblPr>
      <w:tblGrid>
        <w:gridCol w:w="1163"/>
        <w:gridCol w:w="960"/>
        <w:gridCol w:w="960"/>
        <w:gridCol w:w="1119"/>
        <w:gridCol w:w="960"/>
      </w:tblGrid>
      <w:tr w:rsidR="00314A1E" w:rsidRPr="004817D3" w:rsidTr="009C16D2">
        <w:trPr>
          <w:trHeight w:val="255"/>
        </w:trPr>
        <w:tc>
          <w:tcPr>
            <w:tcW w:w="1053" w:type="dxa"/>
            <w:tcBorders>
              <w:top w:val="nil"/>
              <w:left w:val="nil"/>
              <w:bottom w:val="nil"/>
              <w:right w:val="nil"/>
            </w:tcBorders>
            <w:shd w:val="clear" w:color="auto" w:fill="auto"/>
            <w:noWrap/>
            <w:vAlign w:val="bottom"/>
            <w:hideMark/>
          </w:tcPr>
          <w:p w:rsidR="00314A1E" w:rsidRPr="004817D3" w:rsidRDefault="00314A1E" w:rsidP="009C16D2">
            <w:pPr>
              <w:spacing w:after="0" w:line="240" w:lineRule="auto"/>
              <w:rPr>
                <w:rFonts w:ascii="Arial" w:eastAsia="Times New Roman" w:hAnsi="Arial" w:cs="Arial"/>
                <w:sz w:val="20"/>
                <w:szCs w:val="20"/>
                <w:lang w:eastAsia="nl-NL" w:bidi="ar-SA"/>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4A1E" w:rsidRPr="004817D3" w:rsidRDefault="00314A1E" w:rsidP="009C16D2">
            <w:pPr>
              <w:spacing w:after="0" w:line="240" w:lineRule="auto"/>
              <w:rPr>
                <w:rFonts w:ascii="Arial" w:eastAsia="Times New Roman" w:hAnsi="Arial" w:cs="Arial"/>
                <w:sz w:val="20"/>
                <w:szCs w:val="20"/>
                <w:lang w:val="nl-NL" w:eastAsia="nl-NL" w:bidi="ar-SA"/>
              </w:rPr>
            </w:pPr>
            <w:r w:rsidRPr="004817D3">
              <w:rPr>
                <w:rFonts w:ascii="Arial" w:eastAsia="Times New Roman" w:hAnsi="Arial" w:cs="Arial"/>
                <w:sz w:val="20"/>
                <w:szCs w:val="20"/>
                <w:lang w:val="nl-NL" w:eastAsia="nl-NL" w:bidi="ar-SA"/>
              </w:rPr>
              <w:t xml:space="preserve">ADF test </w:t>
            </w:r>
            <w:proofErr w:type="spellStart"/>
            <w:r w:rsidRPr="004817D3">
              <w:rPr>
                <w:rFonts w:ascii="Arial" w:eastAsia="Times New Roman" w:hAnsi="Arial" w:cs="Arial"/>
                <w:sz w:val="20"/>
                <w:szCs w:val="20"/>
                <w:lang w:val="nl-NL" w:eastAsia="nl-NL" w:bidi="ar-SA"/>
              </w:rPr>
              <w:t>on</w:t>
            </w:r>
            <w:proofErr w:type="spellEnd"/>
            <w:r w:rsidRPr="004817D3">
              <w:rPr>
                <w:rFonts w:ascii="Arial" w:eastAsia="Times New Roman" w:hAnsi="Arial" w:cs="Arial"/>
                <w:sz w:val="20"/>
                <w:szCs w:val="20"/>
                <w:lang w:val="nl-NL" w:eastAsia="nl-NL" w:bidi="ar-SA"/>
              </w:rPr>
              <w:t xml:space="preserve"> </w:t>
            </w:r>
            <w:proofErr w:type="spellStart"/>
            <w:proofErr w:type="gramStart"/>
            <w:r w:rsidRPr="004817D3">
              <w:rPr>
                <w:rFonts w:ascii="Arial" w:eastAsia="Times New Roman" w:hAnsi="Arial" w:cs="Arial"/>
                <w:sz w:val="20"/>
                <w:szCs w:val="20"/>
                <w:lang w:val="nl-NL" w:eastAsia="nl-NL" w:bidi="ar-SA"/>
              </w:rPr>
              <w:t>levels</w:t>
            </w:r>
            <w:proofErr w:type="spellEnd"/>
            <w:proofErr w:type="gramEnd"/>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314A1E" w:rsidRPr="004817D3" w:rsidRDefault="00314A1E" w:rsidP="009C16D2">
            <w:pPr>
              <w:spacing w:after="0" w:line="240" w:lineRule="auto"/>
              <w:rPr>
                <w:rFonts w:ascii="Arial" w:eastAsia="Times New Roman" w:hAnsi="Arial" w:cs="Arial"/>
                <w:sz w:val="20"/>
                <w:szCs w:val="20"/>
                <w:lang w:val="nl-NL" w:eastAsia="nl-NL" w:bidi="ar-SA"/>
              </w:rPr>
            </w:pPr>
            <w:r w:rsidRPr="004817D3">
              <w:rPr>
                <w:rFonts w:ascii="Arial" w:eastAsia="Times New Roman" w:hAnsi="Arial" w:cs="Arial"/>
                <w:sz w:val="20"/>
                <w:szCs w:val="20"/>
                <w:lang w:val="nl-NL" w:eastAsia="nl-NL" w:bidi="ar-SA"/>
              </w:rPr>
              <w:t> </w:t>
            </w:r>
          </w:p>
        </w:tc>
        <w:tc>
          <w:tcPr>
            <w:tcW w:w="1009" w:type="dxa"/>
            <w:tcBorders>
              <w:top w:val="single" w:sz="4" w:space="0" w:color="auto"/>
              <w:left w:val="nil"/>
              <w:bottom w:val="single" w:sz="4" w:space="0" w:color="auto"/>
              <w:right w:val="single" w:sz="4" w:space="0" w:color="auto"/>
            </w:tcBorders>
            <w:shd w:val="clear" w:color="auto" w:fill="auto"/>
            <w:noWrap/>
            <w:vAlign w:val="bottom"/>
            <w:hideMark/>
          </w:tcPr>
          <w:p w:rsidR="00314A1E" w:rsidRPr="004817D3" w:rsidRDefault="00314A1E" w:rsidP="009C16D2">
            <w:pPr>
              <w:spacing w:after="0" w:line="240" w:lineRule="auto"/>
              <w:rPr>
                <w:rFonts w:ascii="Arial" w:eastAsia="Times New Roman" w:hAnsi="Arial" w:cs="Arial"/>
                <w:sz w:val="20"/>
                <w:szCs w:val="20"/>
                <w:lang w:eastAsia="nl-NL" w:bidi="ar-SA"/>
              </w:rPr>
            </w:pPr>
            <w:r w:rsidRPr="004817D3">
              <w:rPr>
                <w:rFonts w:ascii="Arial" w:eastAsia="Times New Roman" w:hAnsi="Arial" w:cs="Arial"/>
                <w:sz w:val="20"/>
                <w:szCs w:val="20"/>
                <w:lang w:eastAsia="nl-NL" w:bidi="ar-SA"/>
              </w:rPr>
              <w:t>ADF test on first differences</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314A1E" w:rsidRPr="004817D3" w:rsidRDefault="00314A1E" w:rsidP="009C16D2">
            <w:pPr>
              <w:spacing w:after="0" w:line="240" w:lineRule="auto"/>
              <w:rPr>
                <w:rFonts w:ascii="Arial" w:eastAsia="Times New Roman" w:hAnsi="Arial" w:cs="Arial"/>
                <w:sz w:val="20"/>
                <w:szCs w:val="20"/>
                <w:lang w:eastAsia="nl-NL" w:bidi="ar-SA"/>
              </w:rPr>
            </w:pPr>
            <w:r w:rsidRPr="004817D3">
              <w:rPr>
                <w:rFonts w:ascii="Arial" w:eastAsia="Times New Roman" w:hAnsi="Arial" w:cs="Arial"/>
                <w:sz w:val="20"/>
                <w:szCs w:val="20"/>
                <w:lang w:eastAsia="nl-NL" w:bidi="ar-SA"/>
              </w:rPr>
              <w:t> </w:t>
            </w:r>
          </w:p>
        </w:tc>
      </w:tr>
      <w:tr w:rsidR="00314A1E" w:rsidRPr="004817D3" w:rsidTr="009C16D2">
        <w:trPr>
          <w:trHeight w:val="255"/>
        </w:trPr>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4A1E" w:rsidRPr="004817D3" w:rsidRDefault="00314A1E" w:rsidP="009C16D2">
            <w:pPr>
              <w:spacing w:after="0" w:line="240" w:lineRule="auto"/>
              <w:rPr>
                <w:rFonts w:ascii="Arial" w:eastAsia="Times New Roman" w:hAnsi="Arial" w:cs="Arial"/>
                <w:sz w:val="20"/>
                <w:szCs w:val="20"/>
                <w:lang w:val="nl-NL" w:eastAsia="nl-NL" w:bidi="ar-SA"/>
              </w:rPr>
            </w:pPr>
            <w:r w:rsidRPr="004817D3">
              <w:rPr>
                <w:rFonts w:ascii="Arial" w:eastAsia="Times New Roman" w:hAnsi="Arial" w:cs="Arial"/>
                <w:sz w:val="20"/>
                <w:szCs w:val="20"/>
                <w:lang w:val="nl-NL" w:eastAsia="nl-NL" w:bidi="ar-SA"/>
              </w:rPr>
              <w:t>Series</w:t>
            </w:r>
          </w:p>
        </w:tc>
        <w:tc>
          <w:tcPr>
            <w:tcW w:w="960" w:type="dxa"/>
            <w:tcBorders>
              <w:top w:val="nil"/>
              <w:left w:val="nil"/>
              <w:bottom w:val="single" w:sz="4" w:space="0" w:color="auto"/>
              <w:right w:val="single" w:sz="4" w:space="0" w:color="auto"/>
            </w:tcBorders>
            <w:shd w:val="clear" w:color="auto" w:fill="auto"/>
            <w:noWrap/>
            <w:vAlign w:val="bottom"/>
            <w:hideMark/>
          </w:tcPr>
          <w:p w:rsidR="00314A1E" w:rsidRPr="004817D3" w:rsidRDefault="00314A1E" w:rsidP="009C16D2">
            <w:pPr>
              <w:spacing w:after="0" w:line="240" w:lineRule="auto"/>
              <w:rPr>
                <w:rFonts w:ascii="Arial" w:eastAsia="Times New Roman" w:hAnsi="Arial" w:cs="Arial"/>
                <w:sz w:val="20"/>
                <w:szCs w:val="20"/>
                <w:lang w:val="nl-NL" w:eastAsia="nl-NL" w:bidi="ar-SA"/>
              </w:rPr>
            </w:pPr>
            <w:proofErr w:type="spellStart"/>
            <w:r w:rsidRPr="004817D3">
              <w:rPr>
                <w:rFonts w:ascii="Arial" w:eastAsia="Times New Roman" w:hAnsi="Arial" w:cs="Arial"/>
                <w:sz w:val="20"/>
                <w:szCs w:val="20"/>
                <w:lang w:val="nl-NL" w:eastAsia="nl-NL" w:bidi="ar-SA"/>
              </w:rPr>
              <w:t>t-statistic</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314A1E" w:rsidRPr="004817D3" w:rsidRDefault="00314A1E" w:rsidP="009C16D2">
            <w:pPr>
              <w:spacing w:after="0" w:line="240" w:lineRule="auto"/>
              <w:rPr>
                <w:rFonts w:ascii="Arial" w:eastAsia="Times New Roman" w:hAnsi="Arial" w:cs="Arial"/>
                <w:sz w:val="20"/>
                <w:szCs w:val="20"/>
                <w:lang w:val="nl-NL" w:eastAsia="nl-NL" w:bidi="ar-SA"/>
              </w:rPr>
            </w:pPr>
            <w:proofErr w:type="spellStart"/>
            <w:r w:rsidRPr="004817D3">
              <w:rPr>
                <w:rFonts w:ascii="Arial" w:eastAsia="Times New Roman" w:hAnsi="Arial" w:cs="Arial"/>
                <w:sz w:val="20"/>
                <w:szCs w:val="20"/>
                <w:lang w:val="nl-NL" w:eastAsia="nl-NL" w:bidi="ar-SA"/>
              </w:rPr>
              <w:t>p-value</w:t>
            </w:r>
            <w:proofErr w:type="spellEnd"/>
          </w:p>
        </w:tc>
        <w:tc>
          <w:tcPr>
            <w:tcW w:w="1009" w:type="dxa"/>
            <w:tcBorders>
              <w:top w:val="nil"/>
              <w:left w:val="nil"/>
              <w:bottom w:val="single" w:sz="4" w:space="0" w:color="auto"/>
              <w:right w:val="single" w:sz="4" w:space="0" w:color="auto"/>
            </w:tcBorders>
            <w:shd w:val="clear" w:color="auto" w:fill="auto"/>
            <w:noWrap/>
            <w:vAlign w:val="bottom"/>
            <w:hideMark/>
          </w:tcPr>
          <w:p w:rsidR="00314A1E" w:rsidRPr="004817D3" w:rsidRDefault="00314A1E" w:rsidP="009C16D2">
            <w:pPr>
              <w:spacing w:after="0" w:line="240" w:lineRule="auto"/>
              <w:rPr>
                <w:rFonts w:ascii="Arial" w:eastAsia="Times New Roman" w:hAnsi="Arial" w:cs="Arial"/>
                <w:sz w:val="20"/>
                <w:szCs w:val="20"/>
                <w:lang w:val="nl-NL" w:eastAsia="nl-NL" w:bidi="ar-SA"/>
              </w:rPr>
            </w:pPr>
            <w:proofErr w:type="spellStart"/>
            <w:r w:rsidRPr="004817D3">
              <w:rPr>
                <w:rFonts w:ascii="Arial" w:eastAsia="Times New Roman" w:hAnsi="Arial" w:cs="Arial"/>
                <w:sz w:val="20"/>
                <w:szCs w:val="20"/>
                <w:lang w:val="nl-NL" w:eastAsia="nl-NL" w:bidi="ar-SA"/>
              </w:rPr>
              <w:t>t-statistic</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314A1E" w:rsidRPr="004817D3" w:rsidRDefault="00314A1E" w:rsidP="009C16D2">
            <w:pPr>
              <w:spacing w:after="0" w:line="240" w:lineRule="auto"/>
              <w:rPr>
                <w:rFonts w:ascii="Arial" w:eastAsia="Times New Roman" w:hAnsi="Arial" w:cs="Arial"/>
                <w:sz w:val="20"/>
                <w:szCs w:val="20"/>
                <w:lang w:val="nl-NL" w:eastAsia="nl-NL" w:bidi="ar-SA"/>
              </w:rPr>
            </w:pPr>
            <w:proofErr w:type="spellStart"/>
            <w:r w:rsidRPr="004817D3">
              <w:rPr>
                <w:rFonts w:ascii="Arial" w:eastAsia="Times New Roman" w:hAnsi="Arial" w:cs="Arial"/>
                <w:sz w:val="20"/>
                <w:szCs w:val="20"/>
                <w:lang w:val="nl-NL" w:eastAsia="nl-NL" w:bidi="ar-SA"/>
              </w:rPr>
              <w:t>p-value</w:t>
            </w:r>
            <w:proofErr w:type="spellEnd"/>
          </w:p>
        </w:tc>
      </w:tr>
      <w:tr w:rsidR="00314A1E" w:rsidRPr="004817D3" w:rsidTr="009C16D2">
        <w:trPr>
          <w:trHeight w:val="255"/>
        </w:trPr>
        <w:tc>
          <w:tcPr>
            <w:tcW w:w="1053" w:type="dxa"/>
            <w:tcBorders>
              <w:top w:val="nil"/>
              <w:left w:val="single" w:sz="4" w:space="0" w:color="auto"/>
              <w:bottom w:val="single" w:sz="4" w:space="0" w:color="auto"/>
              <w:right w:val="single" w:sz="4" w:space="0" w:color="auto"/>
            </w:tcBorders>
            <w:shd w:val="clear" w:color="auto" w:fill="auto"/>
            <w:noWrap/>
            <w:vAlign w:val="bottom"/>
            <w:hideMark/>
          </w:tcPr>
          <w:p w:rsidR="00314A1E" w:rsidRPr="004817D3" w:rsidRDefault="00314A1E" w:rsidP="009C16D2">
            <w:pPr>
              <w:spacing w:after="0" w:line="240" w:lineRule="auto"/>
              <w:rPr>
                <w:rFonts w:ascii="Arial" w:eastAsia="Times New Roman" w:hAnsi="Arial" w:cs="Arial"/>
                <w:sz w:val="20"/>
                <w:szCs w:val="20"/>
                <w:lang w:val="nl-NL" w:eastAsia="nl-NL" w:bidi="ar-SA"/>
              </w:rPr>
            </w:pPr>
            <w:r w:rsidRPr="004817D3">
              <w:rPr>
                <w:rFonts w:ascii="Arial" w:eastAsia="Times New Roman" w:hAnsi="Arial" w:cs="Arial"/>
                <w:sz w:val="20"/>
                <w:szCs w:val="20"/>
                <w:lang w:val="nl-NL" w:eastAsia="nl-NL" w:bidi="ar-SA"/>
              </w:rPr>
              <w:t>EUBASICR</w:t>
            </w:r>
          </w:p>
        </w:tc>
        <w:tc>
          <w:tcPr>
            <w:tcW w:w="960" w:type="dxa"/>
            <w:tcBorders>
              <w:top w:val="nil"/>
              <w:left w:val="nil"/>
              <w:bottom w:val="single" w:sz="4" w:space="0" w:color="auto"/>
              <w:right w:val="single" w:sz="4" w:space="0" w:color="auto"/>
            </w:tcBorders>
            <w:shd w:val="clear" w:color="auto" w:fill="auto"/>
            <w:noWrap/>
            <w:vAlign w:val="bottom"/>
            <w:hideMark/>
          </w:tcPr>
          <w:p w:rsidR="00314A1E" w:rsidRPr="004817D3" w:rsidRDefault="00314A1E" w:rsidP="009C16D2">
            <w:pPr>
              <w:spacing w:after="0" w:line="240" w:lineRule="auto"/>
              <w:jc w:val="right"/>
              <w:rPr>
                <w:rFonts w:ascii="Arial" w:eastAsia="Times New Roman" w:hAnsi="Arial" w:cs="Arial"/>
                <w:sz w:val="20"/>
                <w:szCs w:val="20"/>
                <w:lang w:val="nl-NL" w:eastAsia="nl-NL" w:bidi="ar-SA"/>
              </w:rPr>
            </w:pPr>
            <w:r w:rsidRPr="004817D3">
              <w:rPr>
                <w:rFonts w:ascii="Arial" w:eastAsia="Times New Roman" w:hAnsi="Arial" w:cs="Arial"/>
                <w:sz w:val="20"/>
                <w:szCs w:val="20"/>
                <w:lang w:val="nl-NL" w:eastAsia="nl-NL" w:bidi="ar-SA"/>
              </w:rPr>
              <w:t>-1,4712</w:t>
            </w:r>
          </w:p>
        </w:tc>
        <w:tc>
          <w:tcPr>
            <w:tcW w:w="960" w:type="dxa"/>
            <w:tcBorders>
              <w:top w:val="nil"/>
              <w:left w:val="nil"/>
              <w:bottom w:val="single" w:sz="4" w:space="0" w:color="auto"/>
              <w:right w:val="single" w:sz="4" w:space="0" w:color="auto"/>
            </w:tcBorders>
            <w:shd w:val="clear" w:color="auto" w:fill="auto"/>
            <w:noWrap/>
            <w:vAlign w:val="bottom"/>
            <w:hideMark/>
          </w:tcPr>
          <w:p w:rsidR="00314A1E" w:rsidRPr="004817D3" w:rsidRDefault="00314A1E" w:rsidP="009C16D2">
            <w:pPr>
              <w:spacing w:after="0" w:line="240" w:lineRule="auto"/>
              <w:jc w:val="right"/>
              <w:rPr>
                <w:rFonts w:ascii="Arial" w:eastAsia="Times New Roman" w:hAnsi="Arial" w:cs="Arial"/>
                <w:sz w:val="20"/>
                <w:szCs w:val="20"/>
                <w:lang w:val="nl-NL" w:eastAsia="nl-NL" w:bidi="ar-SA"/>
              </w:rPr>
            </w:pPr>
            <w:r w:rsidRPr="004817D3">
              <w:rPr>
                <w:rFonts w:ascii="Arial" w:eastAsia="Times New Roman" w:hAnsi="Arial" w:cs="Arial"/>
                <w:sz w:val="20"/>
                <w:szCs w:val="20"/>
                <w:lang w:val="nl-NL" w:eastAsia="nl-NL" w:bidi="ar-SA"/>
              </w:rPr>
              <w:t>0,5483</w:t>
            </w:r>
          </w:p>
        </w:tc>
        <w:tc>
          <w:tcPr>
            <w:tcW w:w="1009" w:type="dxa"/>
            <w:tcBorders>
              <w:top w:val="nil"/>
              <w:left w:val="nil"/>
              <w:bottom w:val="single" w:sz="4" w:space="0" w:color="auto"/>
              <w:right w:val="single" w:sz="4" w:space="0" w:color="auto"/>
            </w:tcBorders>
            <w:shd w:val="clear" w:color="auto" w:fill="auto"/>
            <w:noWrap/>
            <w:vAlign w:val="bottom"/>
            <w:hideMark/>
          </w:tcPr>
          <w:p w:rsidR="00314A1E" w:rsidRPr="004817D3" w:rsidRDefault="00314A1E" w:rsidP="009C16D2">
            <w:pPr>
              <w:spacing w:after="0" w:line="240" w:lineRule="auto"/>
              <w:jc w:val="right"/>
              <w:rPr>
                <w:rFonts w:ascii="Arial" w:eastAsia="Times New Roman" w:hAnsi="Arial" w:cs="Arial"/>
                <w:sz w:val="20"/>
                <w:szCs w:val="20"/>
                <w:lang w:val="nl-NL" w:eastAsia="nl-NL" w:bidi="ar-SA"/>
              </w:rPr>
            </w:pPr>
            <w:r w:rsidRPr="004817D3">
              <w:rPr>
                <w:rFonts w:ascii="Arial" w:eastAsia="Times New Roman" w:hAnsi="Arial" w:cs="Arial"/>
                <w:sz w:val="20"/>
                <w:szCs w:val="20"/>
                <w:lang w:val="nl-NL" w:eastAsia="nl-NL" w:bidi="ar-SA"/>
              </w:rPr>
              <w:t>-55,859</w:t>
            </w:r>
          </w:p>
        </w:tc>
        <w:tc>
          <w:tcPr>
            <w:tcW w:w="960" w:type="dxa"/>
            <w:tcBorders>
              <w:top w:val="nil"/>
              <w:left w:val="nil"/>
              <w:bottom w:val="single" w:sz="4" w:space="0" w:color="auto"/>
              <w:right w:val="single" w:sz="4" w:space="0" w:color="auto"/>
            </w:tcBorders>
            <w:shd w:val="clear" w:color="auto" w:fill="auto"/>
            <w:noWrap/>
            <w:vAlign w:val="bottom"/>
            <w:hideMark/>
          </w:tcPr>
          <w:p w:rsidR="00314A1E" w:rsidRPr="004817D3" w:rsidRDefault="00314A1E" w:rsidP="009C16D2">
            <w:pPr>
              <w:spacing w:after="0" w:line="240" w:lineRule="auto"/>
              <w:jc w:val="right"/>
              <w:rPr>
                <w:rFonts w:ascii="Arial" w:eastAsia="Times New Roman" w:hAnsi="Arial" w:cs="Arial"/>
                <w:sz w:val="20"/>
                <w:szCs w:val="20"/>
                <w:lang w:val="nl-NL" w:eastAsia="nl-NL" w:bidi="ar-SA"/>
              </w:rPr>
            </w:pPr>
            <w:r w:rsidRPr="004817D3">
              <w:rPr>
                <w:rFonts w:ascii="Arial" w:eastAsia="Times New Roman" w:hAnsi="Arial" w:cs="Arial"/>
                <w:sz w:val="20"/>
                <w:szCs w:val="20"/>
                <w:lang w:val="nl-NL" w:eastAsia="nl-NL" w:bidi="ar-SA"/>
              </w:rPr>
              <w:t>0,0001</w:t>
            </w:r>
          </w:p>
        </w:tc>
      </w:tr>
      <w:tr w:rsidR="00314A1E" w:rsidRPr="004817D3" w:rsidTr="009C16D2">
        <w:trPr>
          <w:trHeight w:val="255"/>
        </w:trPr>
        <w:tc>
          <w:tcPr>
            <w:tcW w:w="1053" w:type="dxa"/>
            <w:tcBorders>
              <w:top w:val="nil"/>
              <w:left w:val="single" w:sz="4" w:space="0" w:color="auto"/>
              <w:bottom w:val="single" w:sz="4" w:space="0" w:color="auto"/>
              <w:right w:val="single" w:sz="4" w:space="0" w:color="auto"/>
            </w:tcBorders>
            <w:shd w:val="clear" w:color="auto" w:fill="auto"/>
            <w:noWrap/>
            <w:vAlign w:val="bottom"/>
            <w:hideMark/>
          </w:tcPr>
          <w:p w:rsidR="00314A1E" w:rsidRPr="004817D3" w:rsidRDefault="00314A1E" w:rsidP="009C16D2">
            <w:pPr>
              <w:spacing w:after="0" w:line="240" w:lineRule="auto"/>
              <w:rPr>
                <w:rFonts w:ascii="Arial" w:eastAsia="Times New Roman" w:hAnsi="Arial" w:cs="Arial"/>
                <w:sz w:val="20"/>
                <w:szCs w:val="20"/>
                <w:lang w:val="nl-NL" w:eastAsia="nl-NL" w:bidi="ar-SA"/>
              </w:rPr>
            </w:pPr>
            <w:r w:rsidRPr="004817D3">
              <w:rPr>
                <w:rFonts w:ascii="Arial" w:eastAsia="Times New Roman" w:hAnsi="Arial" w:cs="Arial"/>
                <w:sz w:val="20"/>
                <w:szCs w:val="20"/>
                <w:lang w:val="nl-NL" w:eastAsia="nl-NL" w:bidi="ar-SA"/>
              </w:rPr>
              <w:t>EUCGDS</w:t>
            </w:r>
          </w:p>
        </w:tc>
        <w:tc>
          <w:tcPr>
            <w:tcW w:w="960" w:type="dxa"/>
            <w:tcBorders>
              <w:top w:val="nil"/>
              <w:left w:val="nil"/>
              <w:bottom w:val="single" w:sz="4" w:space="0" w:color="auto"/>
              <w:right w:val="single" w:sz="4" w:space="0" w:color="auto"/>
            </w:tcBorders>
            <w:shd w:val="clear" w:color="auto" w:fill="auto"/>
            <w:noWrap/>
            <w:vAlign w:val="bottom"/>
            <w:hideMark/>
          </w:tcPr>
          <w:p w:rsidR="00314A1E" w:rsidRPr="004817D3" w:rsidRDefault="00314A1E" w:rsidP="009C16D2">
            <w:pPr>
              <w:spacing w:after="0" w:line="240" w:lineRule="auto"/>
              <w:jc w:val="right"/>
              <w:rPr>
                <w:rFonts w:ascii="Arial" w:eastAsia="Times New Roman" w:hAnsi="Arial" w:cs="Arial"/>
                <w:sz w:val="20"/>
                <w:szCs w:val="20"/>
                <w:lang w:val="nl-NL" w:eastAsia="nl-NL" w:bidi="ar-SA"/>
              </w:rPr>
            </w:pPr>
            <w:r w:rsidRPr="004817D3">
              <w:rPr>
                <w:rFonts w:ascii="Arial" w:eastAsia="Times New Roman" w:hAnsi="Arial" w:cs="Arial"/>
                <w:sz w:val="20"/>
                <w:szCs w:val="20"/>
                <w:lang w:val="nl-NL" w:eastAsia="nl-NL" w:bidi="ar-SA"/>
              </w:rPr>
              <w:t>-1,4307</w:t>
            </w:r>
          </w:p>
        </w:tc>
        <w:tc>
          <w:tcPr>
            <w:tcW w:w="960" w:type="dxa"/>
            <w:tcBorders>
              <w:top w:val="nil"/>
              <w:left w:val="nil"/>
              <w:bottom w:val="single" w:sz="4" w:space="0" w:color="auto"/>
              <w:right w:val="single" w:sz="4" w:space="0" w:color="auto"/>
            </w:tcBorders>
            <w:shd w:val="clear" w:color="auto" w:fill="auto"/>
            <w:noWrap/>
            <w:vAlign w:val="bottom"/>
            <w:hideMark/>
          </w:tcPr>
          <w:p w:rsidR="00314A1E" w:rsidRPr="004817D3" w:rsidRDefault="00314A1E" w:rsidP="009C16D2">
            <w:pPr>
              <w:spacing w:after="0" w:line="240" w:lineRule="auto"/>
              <w:jc w:val="right"/>
              <w:rPr>
                <w:rFonts w:ascii="Arial" w:eastAsia="Times New Roman" w:hAnsi="Arial" w:cs="Arial"/>
                <w:sz w:val="20"/>
                <w:szCs w:val="20"/>
                <w:lang w:val="nl-NL" w:eastAsia="nl-NL" w:bidi="ar-SA"/>
              </w:rPr>
            </w:pPr>
            <w:r w:rsidRPr="004817D3">
              <w:rPr>
                <w:rFonts w:ascii="Arial" w:eastAsia="Times New Roman" w:hAnsi="Arial" w:cs="Arial"/>
                <w:sz w:val="20"/>
                <w:szCs w:val="20"/>
                <w:lang w:val="nl-NL" w:eastAsia="nl-NL" w:bidi="ar-SA"/>
              </w:rPr>
              <w:t>0,5687</w:t>
            </w:r>
          </w:p>
        </w:tc>
        <w:tc>
          <w:tcPr>
            <w:tcW w:w="1009" w:type="dxa"/>
            <w:tcBorders>
              <w:top w:val="nil"/>
              <w:left w:val="nil"/>
              <w:bottom w:val="single" w:sz="4" w:space="0" w:color="auto"/>
              <w:right w:val="single" w:sz="4" w:space="0" w:color="auto"/>
            </w:tcBorders>
            <w:shd w:val="clear" w:color="auto" w:fill="auto"/>
            <w:noWrap/>
            <w:vAlign w:val="bottom"/>
            <w:hideMark/>
          </w:tcPr>
          <w:p w:rsidR="00314A1E" w:rsidRPr="004817D3" w:rsidRDefault="00314A1E" w:rsidP="009C16D2">
            <w:pPr>
              <w:spacing w:after="0" w:line="240" w:lineRule="auto"/>
              <w:jc w:val="right"/>
              <w:rPr>
                <w:rFonts w:ascii="Arial" w:eastAsia="Times New Roman" w:hAnsi="Arial" w:cs="Arial"/>
                <w:sz w:val="20"/>
                <w:szCs w:val="20"/>
                <w:lang w:val="nl-NL" w:eastAsia="nl-NL" w:bidi="ar-SA"/>
              </w:rPr>
            </w:pPr>
            <w:r w:rsidRPr="004817D3">
              <w:rPr>
                <w:rFonts w:ascii="Arial" w:eastAsia="Times New Roman" w:hAnsi="Arial" w:cs="Arial"/>
                <w:sz w:val="20"/>
                <w:szCs w:val="20"/>
                <w:lang w:val="nl-NL" w:eastAsia="nl-NL" w:bidi="ar-SA"/>
              </w:rPr>
              <w:t>-42,386</w:t>
            </w:r>
          </w:p>
        </w:tc>
        <w:tc>
          <w:tcPr>
            <w:tcW w:w="960" w:type="dxa"/>
            <w:tcBorders>
              <w:top w:val="nil"/>
              <w:left w:val="nil"/>
              <w:bottom w:val="single" w:sz="4" w:space="0" w:color="auto"/>
              <w:right w:val="single" w:sz="4" w:space="0" w:color="auto"/>
            </w:tcBorders>
            <w:shd w:val="clear" w:color="auto" w:fill="auto"/>
            <w:noWrap/>
            <w:vAlign w:val="bottom"/>
            <w:hideMark/>
          </w:tcPr>
          <w:p w:rsidR="00314A1E" w:rsidRPr="004817D3" w:rsidRDefault="00314A1E" w:rsidP="009C16D2">
            <w:pPr>
              <w:spacing w:after="0" w:line="240" w:lineRule="auto"/>
              <w:jc w:val="right"/>
              <w:rPr>
                <w:rFonts w:ascii="Arial" w:eastAsia="Times New Roman" w:hAnsi="Arial" w:cs="Arial"/>
                <w:sz w:val="20"/>
                <w:szCs w:val="20"/>
                <w:lang w:val="nl-NL" w:eastAsia="nl-NL" w:bidi="ar-SA"/>
              </w:rPr>
            </w:pPr>
            <w:r w:rsidRPr="004817D3">
              <w:rPr>
                <w:rFonts w:ascii="Arial" w:eastAsia="Times New Roman" w:hAnsi="Arial" w:cs="Arial"/>
                <w:sz w:val="20"/>
                <w:szCs w:val="20"/>
                <w:lang w:val="nl-NL" w:eastAsia="nl-NL" w:bidi="ar-SA"/>
              </w:rPr>
              <w:t>0</w:t>
            </w:r>
          </w:p>
        </w:tc>
      </w:tr>
      <w:tr w:rsidR="00314A1E" w:rsidRPr="004817D3" w:rsidTr="009C16D2">
        <w:trPr>
          <w:trHeight w:val="255"/>
        </w:trPr>
        <w:tc>
          <w:tcPr>
            <w:tcW w:w="1053" w:type="dxa"/>
            <w:tcBorders>
              <w:top w:val="nil"/>
              <w:left w:val="single" w:sz="4" w:space="0" w:color="auto"/>
              <w:bottom w:val="single" w:sz="4" w:space="0" w:color="auto"/>
              <w:right w:val="single" w:sz="4" w:space="0" w:color="auto"/>
            </w:tcBorders>
            <w:shd w:val="clear" w:color="auto" w:fill="auto"/>
            <w:noWrap/>
            <w:vAlign w:val="bottom"/>
            <w:hideMark/>
          </w:tcPr>
          <w:p w:rsidR="00314A1E" w:rsidRPr="004817D3" w:rsidRDefault="00314A1E" w:rsidP="009C16D2">
            <w:pPr>
              <w:spacing w:after="0" w:line="240" w:lineRule="auto"/>
              <w:rPr>
                <w:rFonts w:ascii="Arial" w:eastAsia="Times New Roman" w:hAnsi="Arial" w:cs="Arial"/>
                <w:sz w:val="20"/>
                <w:szCs w:val="20"/>
                <w:lang w:val="nl-NL" w:eastAsia="nl-NL" w:bidi="ar-SA"/>
              </w:rPr>
            </w:pPr>
            <w:r w:rsidRPr="004817D3">
              <w:rPr>
                <w:rFonts w:ascii="Arial" w:eastAsia="Times New Roman" w:hAnsi="Arial" w:cs="Arial"/>
                <w:sz w:val="20"/>
                <w:szCs w:val="20"/>
                <w:lang w:val="nl-NL" w:eastAsia="nl-NL" w:bidi="ar-SA"/>
              </w:rPr>
              <w:t>EUCSVS</w:t>
            </w:r>
          </w:p>
        </w:tc>
        <w:tc>
          <w:tcPr>
            <w:tcW w:w="960" w:type="dxa"/>
            <w:tcBorders>
              <w:top w:val="nil"/>
              <w:left w:val="nil"/>
              <w:bottom w:val="single" w:sz="4" w:space="0" w:color="auto"/>
              <w:right w:val="single" w:sz="4" w:space="0" w:color="auto"/>
            </w:tcBorders>
            <w:shd w:val="clear" w:color="auto" w:fill="auto"/>
            <w:noWrap/>
            <w:vAlign w:val="bottom"/>
            <w:hideMark/>
          </w:tcPr>
          <w:p w:rsidR="00314A1E" w:rsidRPr="004817D3" w:rsidRDefault="00314A1E" w:rsidP="009C16D2">
            <w:pPr>
              <w:spacing w:after="0" w:line="240" w:lineRule="auto"/>
              <w:jc w:val="right"/>
              <w:rPr>
                <w:rFonts w:ascii="Arial" w:eastAsia="Times New Roman" w:hAnsi="Arial" w:cs="Arial"/>
                <w:sz w:val="20"/>
                <w:szCs w:val="20"/>
                <w:lang w:val="nl-NL" w:eastAsia="nl-NL" w:bidi="ar-SA"/>
              </w:rPr>
            </w:pPr>
            <w:r w:rsidRPr="004817D3">
              <w:rPr>
                <w:rFonts w:ascii="Arial" w:eastAsia="Times New Roman" w:hAnsi="Arial" w:cs="Arial"/>
                <w:sz w:val="20"/>
                <w:szCs w:val="20"/>
                <w:lang w:val="nl-NL" w:eastAsia="nl-NL" w:bidi="ar-SA"/>
              </w:rPr>
              <w:t>-1,4587</w:t>
            </w:r>
          </w:p>
        </w:tc>
        <w:tc>
          <w:tcPr>
            <w:tcW w:w="960" w:type="dxa"/>
            <w:tcBorders>
              <w:top w:val="nil"/>
              <w:left w:val="nil"/>
              <w:bottom w:val="single" w:sz="4" w:space="0" w:color="auto"/>
              <w:right w:val="single" w:sz="4" w:space="0" w:color="auto"/>
            </w:tcBorders>
            <w:shd w:val="clear" w:color="auto" w:fill="auto"/>
            <w:noWrap/>
            <w:vAlign w:val="bottom"/>
            <w:hideMark/>
          </w:tcPr>
          <w:p w:rsidR="00314A1E" w:rsidRPr="004817D3" w:rsidRDefault="00314A1E" w:rsidP="009C16D2">
            <w:pPr>
              <w:spacing w:after="0" w:line="240" w:lineRule="auto"/>
              <w:jc w:val="right"/>
              <w:rPr>
                <w:rFonts w:ascii="Arial" w:eastAsia="Times New Roman" w:hAnsi="Arial" w:cs="Arial"/>
                <w:sz w:val="20"/>
                <w:szCs w:val="20"/>
                <w:lang w:val="nl-NL" w:eastAsia="nl-NL" w:bidi="ar-SA"/>
              </w:rPr>
            </w:pPr>
            <w:r w:rsidRPr="004817D3">
              <w:rPr>
                <w:rFonts w:ascii="Arial" w:eastAsia="Times New Roman" w:hAnsi="Arial" w:cs="Arial"/>
                <w:sz w:val="20"/>
                <w:szCs w:val="20"/>
                <w:lang w:val="nl-NL" w:eastAsia="nl-NL" w:bidi="ar-SA"/>
              </w:rPr>
              <w:t>0,5546</w:t>
            </w:r>
          </w:p>
        </w:tc>
        <w:tc>
          <w:tcPr>
            <w:tcW w:w="1009" w:type="dxa"/>
            <w:tcBorders>
              <w:top w:val="nil"/>
              <w:left w:val="nil"/>
              <w:bottom w:val="single" w:sz="4" w:space="0" w:color="auto"/>
              <w:right w:val="single" w:sz="4" w:space="0" w:color="auto"/>
            </w:tcBorders>
            <w:shd w:val="clear" w:color="auto" w:fill="auto"/>
            <w:noWrap/>
            <w:vAlign w:val="bottom"/>
            <w:hideMark/>
          </w:tcPr>
          <w:p w:rsidR="00314A1E" w:rsidRPr="004817D3" w:rsidRDefault="00314A1E" w:rsidP="009C16D2">
            <w:pPr>
              <w:spacing w:after="0" w:line="240" w:lineRule="auto"/>
              <w:jc w:val="right"/>
              <w:rPr>
                <w:rFonts w:ascii="Arial" w:eastAsia="Times New Roman" w:hAnsi="Arial" w:cs="Arial"/>
                <w:sz w:val="20"/>
                <w:szCs w:val="20"/>
                <w:lang w:val="nl-NL" w:eastAsia="nl-NL" w:bidi="ar-SA"/>
              </w:rPr>
            </w:pPr>
            <w:r w:rsidRPr="004817D3">
              <w:rPr>
                <w:rFonts w:ascii="Arial" w:eastAsia="Times New Roman" w:hAnsi="Arial" w:cs="Arial"/>
                <w:sz w:val="20"/>
                <w:szCs w:val="20"/>
                <w:lang w:val="nl-NL" w:eastAsia="nl-NL" w:bidi="ar-SA"/>
              </w:rPr>
              <w:t>-51,276</w:t>
            </w:r>
          </w:p>
        </w:tc>
        <w:tc>
          <w:tcPr>
            <w:tcW w:w="960" w:type="dxa"/>
            <w:tcBorders>
              <w:top w:val="nil"/>
              <w:left w:val="nil"/>
              <w:bottom w:val="single" w:sz="4" w:space="0" w:color="auto"/>
              <w:right w:val="single" w:sz="4" w:space="0" w:color="auto"/>
            </w:tcBorders>
            <w:shd w:val="clear" w:color="auto" w:fill="auto"/>
            <w:noWrap/>
            <w:vAlign w:val="bottom"/>
            <w:hideMark/>
          </w:tcPr>
          <w:p w:rsidR="00314A1E" w:rsidRPr="004817D3" w:rsidRDefault="00314A1E" w:rsidP="009C16D2">
            <w:pPr>
              <w:spacing w:after="0" w:line="240" w:lineRule="auto"/>
              <w:jc w:val="right"/>
              <w:rPr>
                <w:rFonts w:ascii="Arial" w:eastAsia="Times New Roman" w:hAnsi="Arial" w:cs="Arial"/>
                <w:sz w:val="20"/>
                <w:szCs w:val="20"/>
                <w:lang w:val="nl-NL" w:eastAsia="nl-NL" w:bidi="ar-SA"/>
              </w:rPr>
            </w:pPr>
            <w:r w:rsidRPr="004817D3">
              <w:rPr>
                <w:rFonts w:ascii="Arial" w:eastAsia="Times New Roman" w:hAnsi="Arial" w:cs="Arial"/>
                <w:sz w:val="20"/>
                <w:szCs w:val="20"/>
                <w:lang w:val="nl-NL" w:eastAsia="nl-NL" w:bidi="ar-SA"/>
              </w:rPr>
              <w:t>0,0001</w:t>
            </w:r>
          </w:p>
        </w:tc>
      </w:tr>
      <w:tr w:rsidR="00314A1E" w:rsidRPr="004817D3" w:rsidTr="009C16D2">
        <w:trPr>
          <w:trHeight w:val="255"/>
        </w:trPr>
        <w:tc>
          <w:tcPr>
            <w:tcW w:w="1053" w:type="dxa"/>
            <w:tcBorders>
              <w:top w:val="nil"/>
              <w:left w:val="single" w:sz="4" w:space="0" w:color="auto"/>
              <w:bottom w:val="single" w:sz="4" w:space="0" w:color="auto"/>
              <w:right w:val="single" w:sz="4" w:space="0" w:color="auto"/>
            </w:tcBorders>
            <w:shd w:val="clear" w:color="auto" w:fill="auto"/>
            <w:noWrap/>
            <w:vAlign w:val="bottom"/>
            <w:hideMark/>
          </w:tcPr>
          <w:p w:rsidR="00314A1E" w:rsidRPr="004817D3" w:rsidRDefault="00314A1E" w:rsidP="009C16D2">
            <w:pPr>
              <w:spacing w:after="0" w:line="240" w:lineRule="auto"/>
              <w:rPr>
                <w:rFonts w:ascii="Arial" w:eastAsia="Times New Roman" w:hAnsi="Arial" w:cs="Arial"/>
                <w:sz w:val="20"/>
                <w:szCs w:val="20"/>
                <w:lang w:val="nl-NL" w:eastAsia="nl-NL" w:bidi="ar-SA"/>
              </w:rPr>
            </w:pPr>
            <w:r w:rsidRPr="004817D3">
              <w:rPr>
                <w:rFonts w:ascii="Arial" w:eastAsia="Times New Roman" w:hAnsi="Arial" w:cs="Arial"/>
                <w:sz w:val="20"/>
                <w:szCs w:val="20"/>
                <w:lang w:val="nl-NL" w:eastAsia="nl-NL" w:bidi="ar-SA"/>
              </w:rPr>
              <w:t>EUFSVS</w:t>
            </w:r>
          </w:p>
        </w:tc>
        <w:tc>
          <w:tcPr>
            <w:tcW w:w="960" w:type="dxa"/>
            <w:tcBorders>
              <w:top w:val="nil"/>
              <w:left w:val="nil"/>
              <w:bottom w:val="single" w:sz="4" w:space="0" w:color="auto"/>
              <w:right w:val="single" w:sz="4" w:space="0" w:color="auto"/>
            </w:tcBorders>
            <w:shd w:val="clear" w:color="auto" w:fill="auto"/>
            <w:noWrap/>
            <w:vAlign w:val="bottom"/>
            <w:hideMark/>
          </w:tcPr>
          <w:p w:rsidR="00314A1E" w:rsidRPr="004817D3" w:rsidRDefault="00314A1E" w:rsidP="009C16D2">
            <w:pPr>
              <w:spacing w:after="0" w:line="240" w:lineRule="auto"/>
              <w:jc w:val="right"/>
              <w:rPr>
                <w:rFonts w:ascii="Arial" w:eastAsia="Times New Roman" w:hAnsi="Arial" w:cs="Arial"/>
                <w:sz w:val="20"/>
                <w:szCs w:val="20"/>
                <w:lang w:val="nl-NL" w:eastAsia="nl-NL" w:bidi="ar-SA"/>
              </w:rPr>
            </w:pPr>
            <w:r w:rsidRPr="004817D3">
              <w:rPr>
                <w:rFonts w:ascii="Arial" w:eastAsia="Times New Roman" w:hAnsi="Arial" w:cs="Arial"/>
                <w:sz w:val="20"/>
                <w:szCs w:val="20"/>
                <w:lang w:val="nl-NL" w:eastAsia="nl-NL" w:bidi="ar-SA"/>
              </w:rPr>
              <w:t>-1,3526</w:t>
            </w:r>
          </w:p>
        </w:tc>
        <w:tc>
          <w:tcPr>
            <w:tcW w:w="960" w:type="dxa"/>
            <w:tcBorders>
              <w:top w:val="nil"/>
              <w:left w:val="nil"/>
              <w:bottom w:val="single" w:sz="4" w:space="0" w:color="auto"/>
              <w:right w:val="single" w:sz="4" w:space="0" w:color="auto"/>
            </w:tcBorders>
            <w:shd w:val="clear" w:color="auto" w:fill="auto"/>
            <w:noWrap/>
            <w:vAlign w:val="bottom"/>
            <w:hideMark/>
          </w:tcPr>
          <w:p w:rsidR="00314A1E" w:rsidRPr="004817D3" w:rsidRDefault="00314A1E" w:rsidP="009C16D2">
            <w:pPr>
              <w:spacing w:after="0" w:line="240" w:lineRule="auto"/>
              <w:jc w:val="right"/>
              <w:rPr>
                <w:rFonts w:ascii="Arial" w:eastAsia="Times New Roman" w:hAnsi="Arial" w:cs="Arial"/>
                <w:sz w:val="20"/>
                <w:szCs w:val="20"/>
                <w:lang w:val="nl-NL" w:eastAsia="nl-NL" w:bidi="ar-SA"/>
              </w:rPr>
            </w:pPr>
            <w:r w:rsidRPr="004817D3">
              <w:rPr>
                <w:rFonts w:ascii="Arial" w:eastAsia="Times New Roman" w:hAnsi="Arial" w:cs="Arial"/>
                <w:sz w:val="20"/>
                <w:szCs w:val="20"/>
                <w:lang w:val="nl-NL" w:eastAsia="nl-NL" w:bidi="ar-SA"/>
              </w:rPr>
              <w:t>0,6069</w:t>
            </w:r>
          </w:p>
        </w:tc>
        <w:tc>
          <w:tcPr>
            <w:tcW w:w="1009" w:type="dxa"/>
            <w:tcBorders>
              <w:top w:val="nil"/>
              <w:left w:val="nil"/>
              <w:bottom w:val="single" w:sz="4" w:space="0" w:color="auto"/>
              <w:right w:val="single" w:sz="4" w:space="0" w:color="auto"/>
            </w:tcBorders>
            <w:shd w:val="clear" w:color="auto" w:fill="auto"/>
            <w:noWrap/>
            <w:vAlign w:val="bottom"/>
            <w:hideMark/>
          </w:tcPr>
          <w:p w:rsidR="00314A1E" w:rsidRPr="004817D3" w:rsidRDefault="00314A1E" w:rsidP="009C16D2">
            <w:pPr>
              <w:spacing w:after="0" w:line="240" w:lineRule="auto"/>
              <w:jc w:val="right"/>
              <w:rPr>
                <w:rFonts w:ascii="Arial" w:eastAsia="Times New Roman" w:hAnsi="Arial" w:cs="Arial"/>
                <w:sz w:val="20"/>
                <w:szCs w:val="20"/>
                <w:lang w:val="nl-NL" w:eastAsia="nl-NL" w:bidi="ar-SA"/>
              </w:rPr>
            </w:pPr>
            <w:r w:rsidRPr="004817D3">
              <w:rPr>
                <w:rFonts w:ascii="Arial" w:eastAsia="Times New Roman" w:hAnsi="Arial" w:cs="Arial"/>
                <w:sz w:val="20"/>
                <w:szCs w:val="20"/>
                <w:lang w:val="nl-NL" w:eastAsia="nl-NL" w:bidi="ar-SA"/>
              </w:rPr>
              <w:t>-54,354</w:t>
            </w:r>
          </w:p>
        </w:tc>
        <w:tc>
          <w:tcPr>
            <w:tcW w:w="960" w:type="dxa"/>
            <w:tcBorders>
              <w:top w:val="nil"/>
              <w:left w:val="nil"/>
              <w:bottom w:val="single" w:sz="4" w:space="0" w:color="auto"/>
              <w:right w:val="single" w:sz="4" w:space="0" w:color="auto"/>
            </w:tcBorders>
            <w:shd w:val="clear" w:color="auto" w:fill="auto"/>
            <w:noWrap/>
            <w:vAlign w:val="bottom"/>
            <w:hideMark/>
          </w:tcPr>
          <w:p w:rsidR="00314A1E" w:rsidRPr="004817D3" w:rsidRDefault="00314A1E" w:rsidP="009C16D2">
            <w:pPr>
              <w:spacing w:after="0" w:line="240" w:lineRule="auto"/>
              <w:jc w:val="right"/>
              <w:rPr>
                <w:rFonts w:ascii="Arial" w:eastAsia="Times New Roman" w:hAnsi="Arial" w:cs="Arial"/>
                <w:sz w:val="20"/>
                <w:szCs w:val="20"/>
                <w:lang w:val="nl-NL" w:eastAsia="nl-NL" w:bidi="ar-SA"/>
              </w:rPr>
            </w:pPr>
            <w:r w:rsidRPr="004817D3">
              <w:rPr>
                <w:rFonts w:ascii="Arial" w:eastAsia="Times New Roman" w:hAnsi="Arial" w:cs="Arial"/>
                <w:sz w:val="20"/>
                <w:szCs w:val="20"/>
                <w:lang w:val="nl-NL" w:eastAsia="nl-NL" w:bidi="ar-SA"/>
              </w:rPr>
              <w:t>0,0001</w:t>
            </w:r>
          </w:p>
        </w:tc>
      </w:tr>
      <w:tr w:rsidR="00314A1E" w:rsidRPr="004817D3" w:rsidTr="009C16D2">
        <w:trPr>
          <w:trHeight w:val="255"/>
        </w:trPr>
        <w:tc>
          <w:tcPr>
            <w:tcW w:w="1053" w:type="dxa"/>
            <w:tcBorders>
              <w:top w:val="nil"/>
              <w:left w:val="single" w:sz="4" w:space="0" w:color="auto"/>
              <w:bottom w:val="single" w:sz="4" w:space="0" w:color="auto"/>
              <w:right w:val="single" w:sz="4" w:space="0" w:color="auto"/>
            </w:tcBorders>
            <w:shd w:val="clear" w:color="auto" w:fill="auto"/>
            <w:noWrap/>
            <w:vAlign w:val="bottom"/>
            <w:hideMark/>
          </w:tcPr>
          <w:p w:rsidR="00314A1E" w:rsidRPr="004817D3" w:rsidRDefault="00314A1E" w:rsidP="009C16D2">
            <w:pPr>
              <w:spacing w:after="0" w:line="240" w:lineRule="auto"/>
              <w:rPr>
                <w:rFonts w:ascii="Arial" w:eastAsia="Times New Roman" w:hAnsi="Arial" w:cs="Arial"/>
                <w:sz w:val="20"/>
                <w:szCs w:val="20"/>
                <w:lang w:val="nl-NL" w:eastAsia="nl-NL" w:bidi="ar-SA"/>
              </w:rPr>
            </w:pPr>
            <w:r w:rsidRPr="004817D3">
              <w:rPr>
                <w:rFonts w:ascii="Arial" w:eastAsia="Times New Roman" w:hAnsi="Arial" w:cs="Arial"/>
                <w:sz w:val="20"/>
                <w:szCs w:val="20"/>
                <w:lang w:val="nl-NL" w:eastAsia="nl-NL" w:bidi="ar-SA"/>
              </w:rPr>
              <w:t>EUHC</w:t>
            </w:r>
          </w:p>
        </w:tc>
        <w:tc>
          <w:tcPr>
            <w:tcW w:w="960" w:type="dxa"/>
            <w:tcBorders>
              <w:top w:val="nil"/>
              <w:left w:val="nil"/>
              <w:bottom w:val="single" w:sz="4" w:space="0" w:color="auto"/>
              <w:right w:val="single" w:sz="4" w:space="0" w:color="auto"/>
            </w:tcBorders>
            <w:shd w:val="clear" w:color="auto" w:fill="auto"/>
            <w:noWrap/>
            <w:vAlign w:val="bottom"/>
            <w:hideMark/>
          </w:tcPr>
          <w:p w:rsidR="00314A1E" w:rsidRPr="004817D3" w:rsidRDefault="00314A1E" w:rsidP="009C16D2">
            <w:pPr>
              <w:spacing w:after="0" w:line="240" w:lineRule="auto"/>
              <w:jc w:val="right"/>
              <w:rPr>
                <w:rFonts w:ascii="Arial" w:eastAsia="Times New Roman" w:hAnsi="Arial" w:cs="Arial"/>
                <w:sz w:val="20"/>
                <w:szCs w:val="20"/>
                <w:lang w:val="nl-NL" w:eastAsia="nl-NL" w:bidi="ar-SA"/>
              </w:rPr>
            </w:pPr>
            <w:r w:rsidRPr="004817D3">
              <w:rPr>
                <w:rFonts w:ascii="Arial" w:eastAsia="Times New Roman" w:hAnsi="Arial" w:cs="Arial"/>
                <w:sz w:val="20"/>
                <w:szCs w:val="20"/>
                <w:lang w:val="nl-NL" w:eastAsia="nl-NL" w:bidi="ar-SA"/>
              </w:rPr>
              <w:t>-1,9044</w:t>
            </w:r>
          </w:p>
        </w:tc>
        <w:tc>
          <w:tcPr>
            <w:tcW w:w="960" w:type="dxa"/>
            <w:tcBorders>
              <w:top w:val="nil"/>
              <w:left w:val="nil"/>
              <w:bottom w:val="single" w:sz="4" w:space="0" w:color="auto"/>
              <w:right w:val="single" w:sz="4" w:space="0" w:color="auto"/>
            </w:tcBorders>
            <w:shd w:val="clear" w:color="auto" w:fill="auto"/>
            <w:noWrap/>
            <w:vAlign w:val="bottom"/>
            <w:hideMark/>
          </w:tcPr>
          <w:p w:rsidR="00314A1E" w:rsidRPr="004817D3" w:rsidRDefault="00314A1E" w:rsidP="009C16D2">
            <w:pPr>
              <w:spacing w:after="0" w:line="240" w:lineRule="auto"/>
              <w:jc w:val="right"/>
              <w:rPr>
                <w:rFonts w:ascii="Arial" w:eastAsia="Times New Roman" w:hAnsi="Arial" w:cs="Arial"/>
                <w:sz w:val="20"/>
                <w:szCs w:val="20"/>
                <w:lang w:val="nl-NL" w:eastAsia="nl-NL" w:bidi="ar-SA"/>
              </w:rPr>
            </w:pPr>
            <w:r w:rsidRPr="004817D3">
              <w:rPr>
                <w:rFonts w:ascii="Arial" w:eastAsia="Times New Roman" w:hAnsi="Arial" w:cs="Arial"/>
                <w:sz w:val="20"/>
                <w:szCs w:val="20"/>
                <w:lang w:val="nl-NL" w:eastAsia="nl-NL" w:bidi="ar-SA"/>
              </w:rPr>
              <w:t>0,3305</w:t>
            </w:r>
          </w:p>
        </w:tc>
        <w:tc>
          <w:tcPr>
            <w:tcW w:w="1009" w:type="dxa"/>
            <w:tcBorders>
              <w:top w:val="nil"/>
              <w:left w:val="nil"/>
              <w:bottom w:val="single" w:sz="4" w:space="0" w:color="auto"/>
              <w:right w:val="single" w:sz="4" w:space="0" w:color="auto"/>
            </w:tcBorders>
            <w:shd w:val="clear" w:color="auto" w:fill="auto"/>
            <w:noWrap/>
            <w:vAlign w:val="bottom"/>
            <w:hideMark/>
          </w:tcPr>
          <w:p w:rsidR="00314A1E" w:rsidRPr="004817D3" w:rsidRDefault="00314A1E" w:rsidP="009C16D2">
            <w:pPr>
              <w:spacing w:after="0" w:line="240" w:lineRule="auto"/>
              <w:jc w:val="right"/>
              <w:rPr>
                <w:rFonts w:ascii="Arial" w:eastAsia="Times New Roman" w:hAnsi="Arial" w:cs="Arial"/>
                <w:sz w:val="20"/>
                <w:szCs w:val="20"/>
                <w:lang w:val="nl-NL" w:eastAsia="nl-NL" w:bidi="ar-SA"/>
              </w:rPr>
            </w:pPr>
            <w:r w:rsidRPr="004817D3">
              <w:rPr>
                <w:rFonts w:ascii="Arial" w:eastAsia="Times New Roman" w:hAnsi="Arial" w:cs="Arial"/>
                <w:sz w:val="20"/>
                <w:szCs w:val="20"/>
                <w:lang w:val="nl-NL" w:eastAsia="nl-NL" w:bidi="ar-SA"/>
              </w:rPr>
              <w:t>-55,423</w:t>
            </w:r>
          </w:p>
        </w:tc>
        <w:tc>
          <w:tcPr>
            <w:tcW w:w="960" w:type="dxa"/>
            <w:tcBorders>
              <w:top w:val="nil"/>
              <w:left w:val="nil"/>
              <w:bottom w:val="single" w:sz="4" w:space="0" w:color="auto"/>
              <w:right w:val="single" w:sz="4" w:space="0" w:color="auto"/>
            </w:tcBorders>
            <w:shd w:val="clear" w:color="auto" w:fill="auto"/>
            <w:noWrap/>
            <w:vAlign w:val="bottom"/>
            <w:hideMark/>
          </w:tcPr>
          <w:p w:rsidR="00314A1E" w:rsidRPr="004817D3" w:rsidRDefault="00314A1E" w:rsidP="009C16D2">
            <w:pPr>
              <w:spacing w:after="0" w:line="240" w:lineRule="auto"/>
              <w:jc w:val="right"/>
              <w:rPr>
                <w:rFonts w:ascii="Arial" w:eastAsia="Times New Roman" w:hAnsi="Arial" w:cs="Arial"/>
                <w:sz w:val="20"/>
                <w:szCs w:val="20"/>
                <w:lang w:val="nl-NL" w:eastAsia="nl-NL" w:bidi="ar-SA"/>
              </w:rPr>
            </w:pPr>
            <w:r w:rsidRPr="004817D3">
              <w:rPr>
                <w:rFonts w:ascii="Arial" w:eastAsia="Times New Roman" w:hAnsi="Arial" w:cs="Arial"/>
                <w:sz w:val="20"/>
                <w:szCs w:val="20"/>
                <w:lang w:val="nl-NL" w:eastAsia="nl-NL" w:bidi="ar-SA"/>
              </w:rPr>
              <w:t>0,0001</w:t>
            </w:r>
          </w:p>
        </w:tc>
      </w:tr>
      <w:tr w:rsidR="00314A1E" w:rsidRPr="004817D3" w:rsidTr="009C16D2">
        <w:trPr>
          <w:trHeight w:val="255"/>
        </w:trPr>
        <w:tc>
          <w:tcPr>
            <w:tcW w:w="1053" w:type="dxa"/>
            <w:tcBorders>
              <w:top w:val="nil"/>
              <w:left w:val="single" w:sz="4" w:space="0" w:color="auto"/>
              <w:bottom w:val="single" w:sz="4" w:space="0" w:color="auto"/>
              <w:right w:val="single" w:sz="4" w:space="0" w:color="auto"/>
            </w:tcBorders>
            <w:shd w:val="clear" w:color="auto" w:fill="auto"/>
            <w:noWrap/>
            <w:vAlign w:val="bottom"/>
            <w:hideMark/>
          </w:tcPr>
          <w:p w:rsidR="00314A1E" w:rsidRPr="004817D3" w:rsidRDefault="00314A1E" w:rsidP="009C16D2">
            <w:pPr>
              <w:spacing w:after="0" w:line="240" w:lineRule="auto"/>
              <w:rPr>
                <w:rFonts w:ascii="Arial" w:eastAsia="Times New Roman" w:hAnsi="Arial" w:cs="Arial"/>
                <w:sz w:val="20"/>
                <w:szCs w:val="20"/>
                <w:lang w:val="nl-NL" w:eastAsia="nl-NL" w:bidi="ar-SA"/>
              </w:rPr>
            </w:pPr>
            <w:r w:rsidRPr="004817D3">
              <w:rPr>
                <w:rFonts w:ascii="Arial" w:eastAsia="Times New Roman" w:hAnsi="Arial" w:cs="Arial"/>
                <w:sz w:val="20"/>
                <w:szCs w:val="20"/>
                <w:lang w:val="nl-NL" w:eastAsia="nl-NL" w:bidi="ar-SA"/>
              </w:rPr>
              <w:t>EUIND</w:t>
            </w:r>
          </w:p>
        </w:tc>
        <w:tc>
          <w:tcPr>
            <w:tcW w:w="960" w:type="dxa"/>
            <w:tcBorders>
              <w:top w:val="nil"/>
              <w:left w:val="nil"/>
              <w:bottom w:val="single" w:sz="4" w:space="0" w:color="auto"/>
              <w:right w:val="single" w:sz="4" w:space="0" w:color="auto"/>
            </w:tcBorders>
            <w:shd w:val="clear" w:color="auto" w:fill="auto"/>
            <w:noWrap/>
            <w:vAlign w:val="bottom"/>
            <w:hideMark/>
          </w:tcPr>
          <w:p w:rsidR="00314A1E" w:rsidRPr="004817D3" w:rsidRDefault="00314A1E" w:rsidP="009C16D2">
            <w:pPr>
              <w:spacing w:after="0" w:line="240" w:lineRule="auto"/>
              <w:jc w:val="right"/>
              <w:rPr>
                <w:rFonts w:ascii="Arial" w:eastAsia="Times New Roman" w:hAnsi="Arial" w:cs="Arial"/>
                <w:sz w:val="20"/>
                <w:szCs w:val="20"/>
                <w:lang w:val="nl-NL" w:eastAsia="nl-NL" w:bidi="ar-SA"/>
              </w:rPr>
            </w:pPr>
            <w:r w:rsidRPr="004817D3">
              <w:rPr>
                <w:rFonts w:ascii="Arial" w:eastAsia="Times New Roman" w:hAnsi="Arial" w:cs="Arial"/>
                <w:sz w:val="20"/>
                <w:szCs w:val="20"/>
                <w:lang w:val="nl-NL" w:eastAsia="nl-NL" w:bidi="ar-SA"/>
              </w:rPr>
              <w:t>-1,3459</w:t>
            </w:r>
          </w:p>
        </w:tc>
        <w:tc>
          <w:tcPr>
            <w:tcW w:w="960" w:type="dxa"/>
            <w:tcBorders>
              <w:top w:val="nil"/>
              <w:left w:val="nil"/>
              <w:bottom w:val="single" w:sz="4" w:space="0" w:color="auto"/>
              <w:right w:val="single" w:sz="4" w:space="0" w:color="auto"/>
            </w:tcBorders>
            <w:shd w:val="clear" w:color="auto" w:fill="auto"/>
            <w:noWrap/>
            <w:vAlign w:val="bottom"/>
            <w:hideMark/>
          </w:tcPr>
          <w:p w:rsidR="00314A1E" w:rsidRPr="004817D3" w:rsidRDefault="00314A1E" w:rsidP="009C16D2">
            <w:pPr>
              <w:spacing w:after="0" w:line="240" w:lineRule="auto"/>
              <w:jc w:val="right"/>
              <w:rPr>
                <w:rFonts w:ascii="Arial" w:eastAsia="Times New Roman" w:hAnsi="Arial" w:cs="Arial"/>
                <w:sz w:val="20"/>
                <w:szCs w:val="20"/>
                <w:lang w:val="nl-NL" w:eastAsia="nl-NL" w:bidi="ar-SA"/>
              </w:rPr>
            </w:pPr>
            <w:r w:rsidRPr="004817D3">
              <w:rPr>
                <w:rFonts w:ascii="Arial" w:eastAsia="Times New Roman" w:hAnsi="Arial" w:cs="Arial"/>
                <w:sz w:val="20"/>
                <w:szCs w:val="20"/>
                <w:lang w:val="nl-NL" w:eastAsia="nl-NL" w:bidi="ar-SA"/>
              </w:rPr>
              <w:t>0,6101</w:t>
            </w:r>
          </w:p>
        </w:tc>
        <w:tc>
          <w:tcPr>
            <w:tcW w:w="1009" w:type="dxa"/>
            <w:tcBorders>
              <w:top w:val="nil"/>
              <w:left w:val="nil"/>
              <w:bottom w:val="single" w:sz="4" w:space="0" w:color="auto"/>
              <w:right w:val="single" w:sz="4" w:space="0" w:color="auto"/>
            </w:tcBorders>
            <w:shd w:val="clear" w:color="auto" w:fill="auto"/>
            <w:noWrap/>
            <w:vAlign w:val="bottom"/>
            <w:hideMark/>
          </w:tcPr>
          <w:p w:rsidR="00314A1E" w:rsidRPr="004817D3" w:rsidRDefault="00314A1E" w:rsidP="009C16D2">
            <w:pPr>
              <w:spacing w:after="0" w:line="240" w:lineRule="auto"/>
              <w:jc w:val="right"/>
              <w:rPr>
                <w:rFonts w:ascii="Arial" w:eastAsia="Times New Roman" w:hAnsi="Arial" w:cs="Arial"/>
                <w:sz w:val="20"/>
                <w:szCs w:val="20"/>
                <w:lang w:val="nl-NL" w:eastAsia="nl-NL" w:bidi="ar-SA"/>
              </w:rPr>
            </w:pPr>
            <w:r w:rsidRPr="004817D3">
              <w:rPr>
                <w:rFonts w:ascii="Arial" w:eastAsia="Times New Roman" w:hAnsi="Arial" w:cs="Arial"/>
                <w:sz w:val="20"/>
                <w:szCs w:val="20"/>
                <w:lang w:val="nl-NL" w:eastAsia="nl-NL" w:bidi="ar-SA"/>
              </w:rPr>
              <w:t>-54,306</w:t>
            </w:r>
          </w:p>
        </w:tc>
        <w:tc>
          <w:tcPr>
            <w:tcW w:w="960" w:type="dxa"/>
            <w:tcBorders>
              <w:top w:val="nil"/>
              <w:left w:val="nil"/>
              <w:bottom w:val="single" w:sz="4" w:space="0" w:color="auto"/>
              <w:right w:val="single" w:sz="4" w:space="0" w:color="auto"/>
            </w:tcBorders>
            <w:shd w:val="clear" w:color="auto" w:fill="auto"/>
            <w:noWrap/>
            <w:vAlign w:val="bottom"/>
            <w:hideMark/>
          </w:tcPr>
          <w:p w:rsidR="00314A1E" w:rsidRPr="004817D3" w:rsidRDefault="00314A1E" w:rsidP="009C16D2">
            <w:pPr>
              <w:spacing w:after="0" w:line="240" w:lineRule="auto"/>
              <w:jc w:val="right"/>
              <w:rPr>
                <w:rFonts w:ascii="Arial" w:eastAsia="Times New Roman" w:hAnsi="Arial" w:cs="Arial"/>
                <w:sz w:val="20"/>
                <w:szCs w:val="20"/>
                <w:lang w:val="nl-NL" w:eastAsia="nl-NL" w:bidi="ar-SA"/>
              </w:rPr>
            </w:pPr>
            <w:r w:rsidRPr="004817D3">
              <w:rPr>
                <w:rFonts w:ascii="Arial" w:eastAsia="Times New Roman" w:hAnsi="Arial" w:cs="Arial"/>
                <w:sz w:val="20"/>
                <w:szCs w:val="20"/>
                <w:lang w:val="nl-NL" w:eastAsia="nl-NL" w:bidi="ar-SA"/>
              </w:rPr>
              <w:t>0,0001</w:t>
            </w:r>
          </w:p>
        </w:tc>
      </w:tr>
      <w:tr w:rsidR="00314A1E" w:rsidRPr="004817D3" w:rsidTr="009C16D2">
        <w:trPr>
          <w:trHeight w:val="255"/>
        </w:trPr>
        <w:tc>
          <w:tcPr>
            <w:tcW w:w="1053" w:type="dxa"/>
            <w:tcBorders>
              <w:top w:val="nil"/>
              <w:left w:val="single" w:sz="4" w:space="0" w:color="auto"/>
              <w:bottom w:val="single" w:sz="4" w:space="0" w:color="auto"/>
              <w:right w:val="single" w:sz="4" w:space="0" w:color="auto"/>
            </w:tcBorders>
            <w:shd w:val="clear" w:color="auto" w:fill="auto"/>
            <w:noWrap/>
            <w:vAlign w:val="bottom"/>
            <w:hideMark/>
          </w:tcPr>
          <w:p w:rsidR="00314A1E" w:rsidRPr="004817D3" w:rsidRDefault="00314A1E" w:rsidP="009C16D2">
            <w:pPr>
              <w:spacing w:after="0" w:line="240" w:lineRule="auto"/>
              <w:rPr>
                <w:rFonts w:ascii="Arial" w:eastAsia="Times New Roman" w:hAnsi="Arial" w:cs="Arial"/>
                <w:sz w:val="20"/>
                <w:szCs w:val="20"/>
                <w:lang w:val="nl-NL" w:eastAsia="nl-NL" w:bidi="ar-SA"/>
              </w:rPr>
            </w:pPr>
            <w:r w:rsidRPr="004817D3">
              <w:rPr>
                <w:rFonts w:ascii="Arial" w:eastAsia="Times New Roman" w:hAnsi="Arial" w:cs="Arial"/>
                <w:sz w:val="20"/>
                <w:szCs w:val="20"/>
                <w:lang w:val="nl-NL" w:eastAsia="nl-NL" w:bidi="ar-SA"/>
              </w:rPr>
              <w:t>EUOG</w:t>
            </w:r>
          </w:p>
        </w:tc>
        <w:tc>
          <w:tcPr>
            <w:tcW w:w="960" w:type="dxa"/>
            <w:tcBorders>
              <w:top w:val="nil"/>
              <w:left w:val="nil"/>
              <w:bottom w:val="single" w:sz="4" w:space="0" w:color="auto"/>
              <w:right w:val="single" w:sz="4" w:space="0" w:color="auto"/>
            </w:tcBorders>
            <w:shd w:val="clear" w:color="auto" w:fill="auto"/>
            <w:noWrap/>
            <w:vAlign w:val="bottom"/>
            <w:hideMark/>
          </w:tcPr>
          <w:p w:rsidR="00314A1E" w:rsidRPr="004817D3" w:rsidRDefault="00314A1E" w:rsidP="009C16D2">
            <w:pPr>
              <w:spacing w:after="0" w:line="240" w:lineRule="auto"/>
              <w:jc w:val="right"/>
              <w:rPr>
                <w:rFonts w:ascii="Arial" w:eastAsia="Times New Roman" w:hAnsi="Arial" w:cs="Arial"/>
                <w:sz w:val="20"/>
                <w:szCs w:val="20"/>
                <w:lang w:val="nl-NL" w:eastAsia="nl-NL" w:bidi="ar-SA"/>
              </w:rPr>
            </w:pPr>
            <w:r w:rsidRPr="004817D3">
              <w:rPr>
                <w:rFonts w:ascii="Arial" w:eastAsia="Times New Roman" w:hAnsi="Arial" w:cs="Arial"/>
                <w:sz w:val="20"/>
                <w:szCs w:val="20"/>
                <w:lang w:val="nl-NL" w:eastAsia="nl-NL" w:bidi="ar-SA"/>
              </w:rPr>
              <w:t>-2,3466</w:t>
            </w:r>
          </w:p>
        </w:tc>
        <w:tc>
          <w:tcPr>
            <w:tcW w:w="960" w:type="dxa"/>
            <w:tcBorders>
              <w:top w:val="nil"/>
              <w:left w:val="nil"/>
              <w:bottom w:val="single" w:sz="4" w:space="0" w:color="auto"/>
              <w:right w:val="single" w:sz="4" w:space="0" w:color="auto"/>
            </w:tcBorders>
            <w:shd w:val="clear" w:color="auto" w:fill="auto"/>
            <w:noWrap/>
            <w:vAlign w:val="bottom"/>
            <w:hideMark/>
          </w:tcPr>
          <w:p w:rsidR="00314A1E" w:rsidRPr="004817D3" w:rsidRDefault="00314A1E" w:rsidP="009C16D2">
            <w:pPr>
              <w:spacing w:after="0" w:line="240" w:lineRule="auto"/>
              <w:jc w:val="right"/>
              <w:rPr>
                <w:rFonts w:ascii="Arial" w:eastAsia="Times New Roman" w:hAnsi="Arial" w:cs="Arial"/>
                <w:sz w:val="20"/>
                <w:szCs w:val="20"/>
                <w:lang w:val="nl-NL" w:eastAsia="nl-NL" w:bidi="ar-SA"/>
              </w:rPr>
            </w:pPr>
            <w:r w:rsidRPr="004817D3">
              <w:rPr>
                <w:rFonts w:ascii="Arial" w:eastAsia="Times New Roman" w:hAnsi="Arial" w:cs="Arial"/>
                <w:sz w:val="20"/>
                <w:szCs w:val="20"/>
                <w:lang w:val="nl-NL" w:eastAsia="nl-NL" w:bidi="ar-SA"/>
              </w:rPr>
              <w:t>0,1575</w:t>
            </w:r>
          </w:p>
        </w:tc>
        <w:tc>
          <w:tcPr>
            <w:tcW w:w="1009" w:type="dxa"/>
            <w:tcBorders>
              <w:top w:val="nil"/>
              <w:left w:val="nil"/>
              <w:bottom w:val="single" w:sz="4" w:space="0" w:color="auto"/>
              <w:right w:val="single" w:sz="4" w:space="0" w:color="auto"/>
            </w:tcBorders>
            <w:shd w:val="clear" w:color="auto" w:fill="auto"/>
            <w:noWrap/>
            <w:vAlign w:val="bottom"/>
            <w:hideMark/>
          </w:tcPr>
          <w:p w:rsidR="00314A1E" w:rsidRPr="004817D3" w:rsidRDefault="00314A1E" w:rsidP="009C16D2">
            <w:pPr>
              <w:spacing w:after="0" w:line="240" w:lineRule="auto"/>
              <w:jc w:val="right"/>
              <w:rPr>
                <w:rFonts w:ascii="Arial" w:eastAsia="Times New Roman" w:hAnsi="Arial" w:cs="Arial"/>
                <w:sz w:val="20"/>
                <w:szCs w:val="20"/>
                <w:lang w:val="nl-NL" w:eastAsia="nl-NL" w:bidi="ar-SA"/>
              </w:rPr>
            </w:pPr>
            <w:r w:rsidRPr="004817D3">
              <w:rPr>
                <w:rFonts w:ascii="Arial" w:eastAsia="Times New Roman" w:hAnsi="Arial" w:cs="Arial"/>
                <w:sz w:val="20"/>
                <w:szCs w:val="20"/>
                <w:lang w:val="nl-NL" w:eastAsia="nl-NL" w:bidi="ar-SA"/>
              </w:rPr>
              <w:t>-56,812</w:t>
            </w:r>
          </w:p>
        </w:tc>
        <w:tc>
          <w:tcPr>
            <w:tcW w:w="960" w:type="dxa"/>
            <w:tcBorders>
              <w:top w:val="nil"/>
              <w:left w:val="nil"/>
              <w:bottom w:val="single" w:sz="4" w:space="0" w:color="auto"/>
              <w:right w:val="single" w:sz="4" w:space="0" w:color="auto"/>
            </w:tcBorders>
            <w:shd w:val="clear" w:color="auto" w:fill="auto"/>
            <w:noWrap/>
            <w:vAlign w:val="bottom"/>
            <w:hideMark/>
          </w:tcPr>
          <w:p w:rsidR="00314A1E" w:rsidRPr="004817D3" w:rsidRDefault="00314A1E" w:rsidP="009C16D2">
            <w:pPr>
              <w:spacing w:after="0" w:line="240" w:lineRule="auto"/>
              <w:jc w:val="right"/>
              <w:rPr>
                <w:rFonts w:ascii="Arial" w:eastAsia="Times New Roman" w:hAnsi="Arial" w:cs="Arial"/>
                <w:sz w:val="20"/>
                <w:szCs w:val="20"/>
                <w:lang w:val="nl-NL" w:eastAsia="nl-NL" w:bidi="ar-SA"/>
              </w:rPr>
            </w:pPr>
            <w:r w:rsidRPr="004817D3">
              <w:rPr>
                <w:rFonts w:ascii="Arial" w:eastAsia="Times New Roman" w:hAnsi="Arial" w:cs="Arial"/>
                <w:sz w:val="20"/>
                <w:szCs w:val="20"/>
                <w:lang w:val="nl-NL" w:eastAsia="nl-NL" w:bidi="ar-SA"/>
              </w:rPr>
              <w:t>0,0001</w:t>
            </w:r>
          </w:p>
        </w:tc>
      </w:tr>
      <w:tr w:rsidR="00314A1E" w:rsidRPr="004817D3" w:rsidTr="009C16D2">
        <w:trPr>
          <w:trHeight w:val="255"/>
        </w:trPr>
        <w:tc>
          <w:tcPr>
            <w:tcW w:w="1053" w:type="dxa"/>
            <w:tcBorders>
              <w:top w:val="nil"/>
              <w:left w:val="single" w:sz="4" w:space="0" w:color="auto"/>
              <w:bottom w:val="single" w:sz="4" w:space="0" w:color="auto"/>
              <w:right w:val="single" w:sz="4" w:space="0" w:color="auto"/>
            </w:tcBorders>
            <w:shd w:val="clear" w:color="auto" w:fill="auto"/>
            <w:noWrap/>
            <w:vAlign w:val="bottom"/>
            <w:hideMark/>
          </w:tcPr>
          <w:p w:rsidR="00314A1E" w:rsidRPr="004817D3" w:rsidRDefault="00314A1E" w:rsidP="009C16D2">
            <w:pPr>
              <w:spacing w:after="0" w:line="240" w:lineRule="auto"/>
              <w:rPr>
                <w:rFonts w:ascii="Arial" w:eastAsia="Times New Roman" w:hAnsi="Arial" w:cs="Arial"/>
                <w:sz w:val="20"/>
                <w:szCs w:val="20"/>
                <w:lang w:val="nl-NL" w:eastAsia="nl-NL" w:bidi="ar-SA"/>
              </w:rPr>
            </w:pPr>
            <w:r w:rsidRPr="004817D3">
              <w:rPr>
                <w:rFonts w:ascii="Arial" w:eastAsia="Times New Roman" w:hAnsi="Arial" w:cs="Arial"/>
                <w:sz w:val="20"/>
                <w:szCs w:val="20"/>
                <w:lang w:val="nl-NL" w:eastAsia="nl-NL" w:bidi="ar-SA"/>
              </w:rPr>
              <w:t>EUTECH</w:t>
            </w:r>
          </w:p>
        </w:tc>
        <w:tc>
          <w:tcPr>
            <w:tcW w:w="960" w:type="dxa"/>
            <w:tcBorders>
              <w:top w:val="nil"/>
              <w:left w:val="nil"/>
              <w:bottom w:val="single" w:sz="4" w:space="0" w:color="auto"/>
              <w:right w:val="single" w:sz="4" w:space="0" w:color="auto"/>
            </w:tcBorders>
            <w:shd w:val="clear" w:color="auto" w:fill="auto"/>
            <w:noWrap/>
            <w:vAlign w:val="bottom"/>
            <w:hideMark/>
          </w:tcPr>
          <w:p w:rsidR="00314A1E" w:rsidRPr="004817D3" w:rsidRDefault="00314A1E" w:rsidP="009C16D2">
            <w:pPr>
              <w:spacing w:after="0" w:line="240" w:lineRule="auto"/>
              <w:jc w:val="right"/>
              <w:rPr>
                <w:rFonts w:ascii="Arial" w:eastAsia="Times New Roman" w:hAnsi="Arial" w:cs="Arial"/>
                <w:sz w:val="20"/>
                <w:szCs w:val="20"/>
                <w:lang w:val="nl-NL" w:eastAsia="nl-NL" w:bidi="ar-SA"/>
              </w:rPr>
            </w:pPr>
            <w:r w:rsidRPr="004817D3">
              <w:rPr>
                <w:rFonts w:ascii="Arial" w:eastAsia="Times New Roman" w:hAnsi="Arial" w:cs="Arial"/>
                <w:sz w:val="20"/>
                <w:szCs w:val="20"/>
                <w:lang w:val="nl-NL" w:eastAsia="nl-NL" w:bidi="ar-SA"/>
              </w:rPr>
              <w:t>-1,4535</w:t>
            </w:r>
          </w:p>
        </w:tc>
        <w:tc>
          <w:tcPr>
            <w:tcW w:w="960" w:type="dxa"/>
            <w:tcBorders>
              <w:top w:val="nil"/>
              <w:left w:val="nil"/>
              <w:bottom w:val="single" w:sz="4" w:space="0" w:color="auto"/>
              <w:right w:val="single" w:sz="4" w:space="0" w:color="auto"/>
            </w:tcBorders>
            <w:shd w:val="clear" w:color="auto" w:fill="auto"/>
            <w:noWrap/>
            <w:vAlign w:val="bottom"/>
            <w:hideMark/>
          </w:tcPr>
          <w:p w:rsidR="00314A1E" w:rsidRPr="004817D3" w:rsidRDefault="00314A1E" w:rsidP="009C16D2">
            <w:pPr>
              <w:spacing w:after="0" w:line="240" w:lineRule="auto"/>
              <w:jc w:val="right"/>
              <w:rPr>
                <w:rFonts w:ascii="Arial" w:eastAsia="Times New Roman" w:hAnsi="Arial" w:cs="Arial"/>
                <w:sz w:val="20"/>
                <w:szCs w:val="20"/>
                <w:lang w:val="nl-NL" w:eastAsia="nl-NL" w:bidi="ar-SA"/>
              </w:rPr>
            </w:pPr>
            <w:r w:rsidRPr="004817D3">
              <w:rPr>
                <w:rFonts w:ascii="Arial" w:eastAsia="Times New Roman" w:hAnsi="Arial" w:cs="Arial"/>
                <w:sz w:val="20"/>
                <w:szCs w:val="20"/>
                <w:lang w:val="nl-NL" w:eastAsia="nl-NL" w:bidi="ar-SA"/>
              </w:rPr>
              <w:t>0,5572</w:t>
            </w:r>
          </w:p>
        </w:tc>
        <w:tc>
          <w:tcPr>
            <w:tcW w:w="1009" w:type="dxa"/>
            <w:tcBorders>
              <w:top w:val="nil"/>
              <w:left w:val="nil"/>
              <w:bottom w:val="single" w:sz="4" w:space="0" w:color="auto"/>
              <w:right w:val="single" w:sz="4" w:space="0" w:color="auto"/>
            </w:tcBorders>
            <w:shd w:val="clear" w:color="auto" w:fill="auto"/>
            <w:noWrap/>
            <w:vAlign w:val="bottom"/>
            <w:hideMark/>
          </w:tcPr>
          <w:p w:rsidR="00314A1E" w:rsidRPr="004817D3" w:rsidRDefault="00314A1E" w:rsidP="009C16D2">
            <w:pPr>
              <w:spacing w:after="0" w:line="240" w:lineRule="auto"/>
              <w:jc w:val="right"/>
              <w:rPr>
                <w:rFonts w:ascii="Arial" w:eastAsia="Times New Roman" w:hAnsi="Arial" w:cs="Arial"/>
                <w:sz w:val="20"/>
                <w:szCs w:val="20"/>
                <w:lang w:val="nl-NL" w:eastAsia="nl-NL" w:bidi="ar-SA"/>
              </w:rPr>
            </w:pPr>
            <w:r w:rsidRPr="004817D3">
              <w:rPr>
                <w:rFonts w:ascii="Arial" w:eastAsia="Times New Roman" w:hAnsi="Arial" w:cs="Arial"/>
                <w:sz w:val="20"/>
                <w:szCs w:val="20"/>
                <w:lang w:val="nl-NL" w:eastAsia="nl-NL" w:bidi="ar-SA"/>
              </w:rPr>
              <w:t>-52,765</w:t>
            </w:r>
          </w:p>
        </w:tc>
        <w:tc>
          <w:tcPr>
            <w:tcW w:w="960" w:type="dxa"/>
            <w:tcBorders>
              <w:top w:val="nil"/>
              <w:left w:val="nil"/>
              <w:bottom w:val="single" w:sz="4" w:space="0" w:color="auto"/>
              <w:right w:val="single" w:sz="4" w:space="0" w:color="auto"/>
            </w:tcBorders>
            <w:shd w:val="clear" w:color="auto" w:fill="auto"/>
            <w:noWrap/>
            <w:vAlign w:val="bottom"/>
            <w:hideMark/>
          </w:tcPr>
          <w:p w:rsidR="00314A1E" w:rsidRPr="004817D3" w:rsidRDefault="00314A1E" w:rsidP="009C16D2">
            <w:pPr>
              <w:spacing w:after="0" w:line="240" w:lineRule="auto"/>
              <w:jc w:val="right"/>
              <w:rPr>
                <w:rFonts w:ascii="Arial" w:eastAsia="Times New Roman" w:hAnsi="Arial" w:cs="Arial"/>
                <w:sz w:val="20"/>
                <w:szCs w:val="20"/>
                <w:lang w:val="nl-NL" w:eastAsia="nl-NL" w:bidi="ar-SA"/>
              </w:rPr>
            </w:pPr>
            <w:r w:rsidRPr="004817D3">
              <w:rPr>
                <w:rFonts w:ascii="Arial" w:eastAsia="Times New Roman" w:hAnsi="Arial" w:cs="Arial"/>
                <w:sz w:val="20"/>
                <w:szCs w:val="20"/>
                <w:lang w:val="nl-NL" w:eastAsia="nl-NL" w:bidi="ar-SA"/>
              </w:rPr>
              <w:t>0,0001</w:t>
            </w:r>
          </w:p>
        </w:tc>
      </w:tr>
      <w:tr w:rsidR="00314A1E" w:rsidRPr="004817D3" w:rsidTr="009C16D2">
        <w:trPr>
          <w:trHeight w:val="255"/>
        </w:trPr>
        <w:tc>
          <w:tcPr>
            <w:tcW w:w="1053" w:type="dxa"/>
            <w:tcBorders>
              <w:top w:val="nil"/>
              <w:left w:val="single" w:sz="4" w:space="0" w:color="auto"/>
              <w:bottom w:val="single" w:sz="4" w:space="0" w:color="auto"/>
              <w:right w:val="single" w:sz="4" w:space="0" w:color="auto"/>
            </w:tcBorders>
            <w:shd w:val="clear" w:color="auto" w:fill="auto"/>
            <w:noWrap/>
            <w:vAlign w:val="bottom"/>
            <w:hideMark/>
          </w:tcPr>
          <w:p w:rsidR="00314A1E" w:rsidRPr="004817D3" w:rsidRDefault="00314A1E" w:rsidP="009C16D2">
            <w:pPr>
              <w:spacing w:after="0" w:line="240" w:lineRule="auto"/>
              <w:rPr>
                <w:rFonts w:ascii="Arial" w:eastAsia="Times New Roman" w:hAnsi="Arial" w:cs="Arial"/>
                <w:sz w:val="20"/>
                <w:szCs w:val="20"/>
                <w:lang w:val="nl-NL" w:eastAsia="nl-NL" w:bidi="ar-SA"/>
              </w:rPr>
            </w:pPr>
            <w:r w:rsidRPr="004817D3">
              <w:rPr>
                <w:rFonts w:ascii="Arial" w:eastAsia="Times New Roman" w:hAnsi="Arial" w:cs="Arial"/>
                <w:sz w:val="20"/>
                <w:szCs w:val="20"/>
                <w:lang w:val="nl-NL" w:eastAsia="nl-NL" w:bidi="ar-SA"/>
              </w:rPr>
              <w:t>EUTEL</w:t>
            </w:r>
          </w:p>
        </w:tc>
        <w:tc>
          <w:tcPr>
            <w:tcW w:w="960" w:type="dxa"/>
            <w:tcBorders>
              <w:top w:val="nil"/>
              <w:left w:val="nil"/>
              <w:bottom w:val="single" w:sz="4" w:space="0" w:color="auto"/>
              <w:right w:val="single" w:sz="4" w:space="0" w:color="auto"/>
            </w:tcBorders>
            <w:shd w:val="clear" w:color="auto" w:fill="auto"/>
            <w:noWrap/>
            <w:vAlign w:val="bottom"/>
            <w:hideMark/>
          </w:tcPr>
          <w:p w:rsidR="00314A1E" w:rsidRPr="004817D3" w:rsidRDefault="00314A1E" w:rsidP="009C16D2">
            <w:pPr>
              <w:spacing w:after="0" w:line="240" w:lineRule="auto"/>
              <w:jc w:val="right"/>
              <w:rPr>
                <w:rFonts w:ascii="Arial" w:eastAsia="Times New Roman" w:hAnsi="Arial" w:cs="Arial"/>
                <w:sz w:val="20"/>
                <w:szCs w:val="20"/>
                <w:lang w:val="nl-NL" w:eastAsia="nl-NL" w:bidi="ar-SA"/>
              </w:rPr>
            </w:pPr>
            <w:r w:rsidRPr="004817D3">
              <w:rPr>
                <w:rFonts w:ascii="Arial" w:eastAsia="Times New Roman" w:hAnsi="Arial" w:cs="Arial"/>
                <w:sz w:val="20"/>
                <w:szCs w:val="20"/>
                <w:lang w:val="nl-NL" w:eastAsia="nl-NL" w:bidi="ar-SA"/>
              </w:rPr>
              <w:t>-1,5968</w:t>
            </w:r>
          </w:p>
        </w:tc>
        <w:tc>
          <w:tcPr>
            <w:tcW w:w="960" w:type="dxa"/>
            <w:tcBorders>
              <w:top w:val="nil"/>
              <w:left w:val="nil"/>
              <w:bottom w:val="single" w:sz="4" w:space="0" w:color="auto"/>
              <w:right w:val="single" w:sz="4" w:space="0" w:color="auto"/>
            </w:tcBorders>
            <w:shd w:val="clear" w:color="auto" w:fill="auto"/>
            <w:noWrap/>
            <w:vAlign w:val="bottom"/>
            <w:hideMark/>
          </w:tcPr>
          <w:p w:rsidR="00314A1E" w:rsidRPr="004817D3" w:rsidRDefault="00314A1E" w:rsidP="009C16D2">
            <w:pPr>
              <w:spacing w:after="0" w:line="240" w:lineRule="auto"/>
              <w:jc w:val="right"/>
              <w:rPr>
                <w:rFonts w:ascii="Arial" w:eastAsia="Times New Roman" w:hAnsi="Arial" w:cs="Arial"/>
                <w:sz w:val="20"/>
                <w:szCs w:val="20"/>
                <w:lang w:val="nl-NL" w:eastAsia="nl-NL" w:bidi="ar-SA"/>
              </w:rPr>
            </w:pPr>
            <w:r w:rsidRPr="004817D3">
              <w:rPr>
                <w:rFonts w:ascii="Arial" w:eastAsia="Times New Roman" w:hAnsi="Arial" w:cs="Arial"/>
                <w:sz w:val="20"/>
                <w:szCs w:val="20"/>
                <w:lang w:val="nl-NL" w:eastAsia="nl-NL" w:bidi="ar-SA"/>
              </w:rPr>
              <w:t>0,4841</w:t>
            </w:r>
          </w:p>
        </w:tc>
        <w:tc>
          <w:tcPr>
            <w:tcW w:w="1009" w:type="dxa"/>
            <w:tcBorders>
              <w:top w:val="nil"/>
              <w:left w:val="nil"/>
              <w:bottom w:val="single" w:sz="4" w:space="0" w:color="auto"/>
              <w:right w:val="single" w:sz="4" w:space="0" w:color="auto"/>
            </w:tcBorders>
            <w:shd w:val="clear" w:color="auto" w:fill="auto"/>
            <w:noWrap/>
            <w:vAlign w:val="bottom"/>
            <w:hideMark/>
          </w:tcPr>
          <w:p w:rsidR="00314A1E" w:rsidRPr="004817D3" w:rsidRDefault="00314A1E" w:rsidP="009C16D2">
            <w:pPr>
              <w:spacing w:after="0" w:line="240" w:lineRule="auto"/>
              <w:jc w:val="right"/>
              <w:rPr>
                <w:rFonts w:ascii="Arial" w:eastAsia="Times New Roman" w:hAnsi="Arial" w:cs="Arial"/>
                <w:sz w:val="20"/>
                <w:szCs w:val="20"/>
                <w:lang w:val="nl-NL" w:eastAsia="nl-NL" w:bidi="ar-SA"/>
              </w:rPr>
            </w:pPr>
            <w:r w:rsidRPr="004817D3">
              <w:rPr>
                <w:rFonts w:ascii="Arial" w:eastAsia="Times New Roman" w:hAnsi="Arial" w:cs="Arial"/>
                <w:sz w:val="20"/>
                <w:szCs w:val="20"/>
                <w:lang w:val="nl-NL" w:eastAsia="nl-NL" w:bidi="ar-SA"/>
              </w:rPr>
              <w:t>-34,086</w:t>
            </w:r>
          </w:p>
        </w:tc>
        <w:tc>
          <w:tcPr>
            <w:tcW w:w="960" w:type="dxa"/>
            <w:tcBorders>
              <w:top w:val="nil"/>
              <w:left w:val="nil"/>
              <w:bottom w:val="single" w:sz="4" w:space="0" w:color="auto"/>
              <w:right w:val="single" w:sz="4" w:space="0" w:color="auto"/>
            </w:tcBorders>
            <w:shd w:val="clear" w:color="auto" w:fill="auto"/>
            <w:noWrap/>
            <w:vAlign w:val="bottom"/>
            <w:hideMark/>
          </w:tcPr>
          <w:p w:rsidR="00314A1E" w:rsidRPr="004817D3" w:rsidRDefault="00314A1E" w:rsidP="009C16D2">
            <w:pPr>
              <w:spacing w:after="0" w:line="240" w:lineRule="auto"/>
              <w:jc w:val="right"/>
              <w:rPr>
                <w:rFonts w:ascii="Arial" w:eastAsia="Times New Roman" w:hAnsi="Arial" w:cs="Arial"/>
                <w:sz w:val="20"/>
                <w:szCs w:val="20"/>
                <w:lang w:val="nl-NL" w:eastAsia="nl-NL" w:bidi="ar-SA"/>
              </w:rPr>
            </w:pPr>
            <w:r w:rsidRPr="004817D3">
              <w:rPr>
                <w:rFonts w:ascii="Arial" w:eastAsia="Times New Roman" w:hAnsi="Arial" w:cs="Arial"/>
                <w:sz w:val="20"/>
                <w:szCs w:val="20"/>
                <w:lang w:val="nl-NL" w:eastAsia="nl-NL" w:bidi="ar-SA"/>
              </w:rPr>
              <w:t>0</w:t>
            </w:r>
          </w:p>
        </w:tc>
      </w:tr>
      <w:tr w:rsidR="00314A1E" w:rsidRPr="004817D3" w:rsidTr="009C16D2">
        <w:trPr>
          <w:trHeight w:val="255"/>
        </w:trPr>
        <w:tc>
          <w:tcPr>
            <w:tcW w:w="1053" w:type="dxa"/>
            <w:tcBorders>
              <w:top w:val="nil"/>
              <w:left w:val="single" w:sz="4" w:space="0" w:color="auto"/>
              <w:bottom w:val="single" w:sz="4" w:space="0" w:color="auto"/>
              <w:right w:val="single" w:sz="4" w:space="0" w:color="auto"/>
            </w:tcBorders>
            <w:shd w:val="clear" w:color="auto" w:fill="auto"/>
            <w:noWrap/>
            <w:vAlign w:val="bottom"/>
            <w:hideMark/>
          </w:tcPr>
          <w:p w:rsidR="00314A1E" w:rsidRPr="004817D3" w:rsidRDefault="00314A1E" w:rsidP="009C16D2">
            <w:pPr>
              <w:spacing w:after="0" w:line="240" w:lineRule="auto"/>
              <w:rPr>
                <w:rFonts w:ascii="Arial" w:eastAsia="Times New Roman" w:hAnsi="Arial" w:cs="Arial"/>
                <w:sz w:val="20"/>
                <w:szCs w:val="20"/>
                <w:lang w:val="nl-NL" w:eastAsia="nl-NL" w:bidi="ar-SA"/>
              </w:rPr>
            </w:pPr>
            <w:r w:rsidRPr="004817D3">
              <w:rPr>
                <w:rFonts w:ascii="Arial" w:eastAsia="Times New Roman" w:hAnsi="Arial" w:cs="Arial"/>
                <w:sz w:val="20"/>
                <w:szCs w:val="20"/>
                <w:lang w:val="nl-NL" w:eastAsia="nl-NL" w:bidi="ar-SA"/>
              </w:rPr>
              <w:t>EUUT</w:t>
            </w:r>
          </w:p>
        </w:tc>
        <w:tc>
          <w:tcPr>
            <w:tcW w:w="960" w:type="dxa"/>
            <w:tcBorders>
              <w:top w:val="nil"/>
              <w:left w:val="nil"/>
              <w:bottom w:val="single" w:sz="4" w:space="0" w:color="auto"/>
              <w:right w:val="single" w:sz="4" w:space="0" w:color="auto"/>
            </w:tcBorders>
            <w:shd w:val="clear" w:color="auto" w:fill="auto"/>
            <w:noWrap/>
            <w:vAlign w:val="bottom"/>
            <w:hideMark/>
          </w:tcPr>
          <w:p w:rsidR="00314A1E" w:rsidRPr="004817D3" w:rsidRDefault="00314A1E" w:rsidP="009C16D2">
            <w:pPr>
              <w:spacing w:after="0" w:line="240" w:lineRule="auto"/>
              <w:jc w:val="right"/>
              <w:rPr>
                <w:rFonts w:ascii="Arial" w:eastAsia="Times New Roman" w:hAnsi="Arial" w:cs="Arial"/>
                <w:sz w:val="20"/>
                <w:szCs w:val="20"/>
                <w:lang w:val="nl-NL" w:eastAsia="nl-NL" w:bidi="ar-SA"/>
              </w:rPr>
            </w:pPr>
            <w:r w:rsidRPr="004817D3">
              <w:rPr>
                <w:rFonts w:ascii="Arial" w:eastAsia="Times New Roman" w:hAnsi="Arial" w:cs="Arial"/>
                <w:sz w:val="20"/>
                <w:szCs w:val="20"/>
                <w:lang w:val="nl-NL" w:eastAsia="nl-NL" w:bidi="ar-SA"/>
              </w:rPr>
              <w:t>-1,2762</w:t>
            </w:r>
          </w:p>
        </w:tc>
        <w:tc>
          <w:tcPr>
            <w:tcW w:w="960" w:type="dxa"/>
            <w:tcBorders>
              <w:top w:val="nil"/>
              <w:left w:val="nil"/>
              <w:bottom w:val="single" w:sz="4" w:space="0" w:color="auto"/>
              <w:right w:val="single" w:sz="4" w:space="0" w:color="auto"/>
            </w:tcBorders>
            <w:shd w:val="clear" w:color="auto" w:fill="auto"/>
            <w:noWrap/>
            <w:vAlign w:val="bottom"/>
            <w:hideMark/>
          </w:tcPr>
          <w:p w:rsidR="00314A1E" w:rsidRPr="004817D3" w:rsidRDefault="00314A1E" w:rsidP="009C16D2">
            <w:pPr>
              <w:spacing w:after="0" w:line="240" w:lineRule="auto"/>
              <w:jc w:val="right"/>
              <w:rPr>
                <w:rFonts w:ascii="Arial" w:eastAsia="Times New Roman" w:hAnsi="Arial" w:cs="Arial"/>
                <w:sz w:val="20"/>
                <w:szCs w:val="20"/>
                <w:lang w:val="nl-NL" w:eastAsia="nl-NL" w:bidi="ar-SA"/>
              </w:rPr>
            </w:pPr>
            <w:r w:rsidRPr="004817D3">
              <w:rPr>
                <w:rFonts w:ascii="Arial" w:eastAsia="Times New Roman" w:hAnsi="Arial" w:cs="Arial"/>
                <w:sz w:val="20"/>
                <w:szCs w:val="20"/>
                <w:lang w:val="nl-NL" w:eastAsia="nl-NL" w:bidi="ar-SA"/>
              </w:rPr>
              <w:t>0,6428</w:t>
            </w:r>
          </w:p>
        </w:tc>
        <w:tc>
          <w:tcPr>
            <w:tcW w:w="1009" w:type="dxa"/>
            <w:tcBorders>
              <w:top w:val="nil"/>
              <w:left w:val="nil"/>
              <w:bottom w:val="single" w:sz="4" w:space="0" w:color="auto"/>
              <w:right w:val="single" w:sz="4" w:space="0" w:color="auto"/>
            </w:tcBorders>
            <w:shd w:val="clear" w:color="auto" w:fill="auto"/>
            <w:noWrap/>
            <w:vAlign w:val="bottom"/>
            <w:hideMark/>
          </w:tcPr>
          <w:p w:rsidR="00314A1E" w:rsidRPr="004817D3" w:rsidRDefault="00314A1E" w:rsidP="009C16D2">
            <w:pPr>
              <w:spacing w:after="0" w:line="240" w:lineRule="auto"/>
              <w:jc w:val="right"/>
              <w:rPr>
                <w:rFonts w:ascii="Arial" w:eastAsia="Times New Roman" w:hAnsi="Arial" w:cs="Arial"/>
                <w:sz w:val="20"/>
                <w:szCs w:val="20"/>
                <w:lang w:val="nl-NL" w:eastAsia="nl-NL" w:bidi="ar-SA"/>
              </w:rPr>
            </w:pPr>
            <w:r w:rsidRPr="004817D3">
              <w:rPr>
                <w:rFonts w:ascii="Arial" w:eastAsia="Times New Roman" w:hAnsi="Arial" w:cs="Arial"/>
                <w:sz w:val="20"/>
                <w:szCs w:val="20"/>
                <w:lang w:val="nl-NL" w:eastAsia="nl-NL" w:bidi="ar-SA"/>
              </w:rPr>
              <w:t>-27,364</w:t>
            </w:r>
          </w:p>
        </w:tc>
        <w:tc>
          <w:tcPr>
            <w:tcW w:w="960" w:type="dxa"/>
            <w:tcBorders>
              <w:top w:val="nil"/>
              <w:left w:val="nil"/>
              <w:bottom w:val="single" w:sz="4" w:space="0" w:color="auto"/>
              <w:right w:val="single" w:sz="4" w:space="0" w:color="auto"/>
            </w:tcBorders>
            <w:shd w:val="clear" w:color="auto" w:fill="auto"/>
            <w:noWrap/>
            <w:vAlign w:val="bottom"/>
            <w:hideMark/>
          </w:tcPr>
          <w:p w:rsidR="00314A1E" w:rsidRPr="004817D3" w:rsidRDefault="00314A1E" w:rsidP="009C16D2">
            <w:pPr>
              <w:spacing w:after="0" w:line="240" w:lineRule="auto"/>
              <w:jc w:val="right"/>
              <w:rPr>
                <w:rFonts w:ascii="Arial" w:eastAsia="Times New Roman" w:hAnsi="Arial" w:cs="Arial"/>
                <w:sz w:val="20"/>
                <w:szCs w:val="20"/>
                <w:lang w:val="nl-NL" w:eastAsia="nl-NL" w:bidi="ar-SA"/>
              </w:rPr>
            </w:pPr>
            <w:r w:rsidRPr="004817D3">
              <w:rPr>
                <w:rFonts w:ascii="Arial" w:eastAsia="Times New Roman" w:hAnsi="Arial" w:cs="Arial"/>
                <w:sz w:val="20"/>
                <w:szCs w:val="20"/>
                <w:lang w:val="nl-NL" w:eastAsia="nl-NL" w:bidi="ar-SA"/>
              </w:rPr>
              <w:t>0</w:t>
            </w:r>
          </w:p>
        </w:tc>
      </w:tr>
    </w:tbl>
    <w:p w:rsidR="00314A1E" w:rsidRDefault="00314A1E" w:rsidP="00314A1E">
      <w:pPr>
        <w:pStyle w:val="NoSpacing"/>
      </w:pPr>
    </w:p>
    <w:p w:rsidR="00314A1E" w:rsidRDefault="00314A1E" w:rsidP="00314A1E">
      <w:pPr>
        <w:pStyle w:val="NoSpacing"/>
      </w:pPr>
      <w:r>
        <w:t xml:space="preserve">Again no </w:t>
      </w:r>
      <w:proofErr w:type="spellStart"/>
      <w:r>
        <w:t>cointegration</w:t>
      </w:r>
      <w:proofErr w:type="spellEnd"/>
      <w:r>
        <w:t xml:space="preserve"> is found</w:t>
      </w:r>
      <w:r w:rsidR="00107DB1">
        <w:t xml:space="preserve"> (see appendix). </w:t>
      </w:r>
    </w:p>
    <w:p w:rsidR="00107DB1" w:rsidRDefault="00107DB1" w:rsidP="00314A1E">
      <w:pPr>
        <w:pStyle w:val="NoSpacing"/>
      </w:pPr>
    </w:p>
    <w:p w:rsidR="00314A1E" w:rsidRDefault="00314A1E" w:rsidP="00314A1E">
      <w:pPr>
        <w:pStyle w:val="NoSpacing"/>
      </w:pPr>
      <w:r>
        <w:t xml:space="preserve">Table </w:t>
      </w:r>
      <w:r w:rsidR="00DB031F">
        <w:t>1</w:t>
      </w:r>
      <w:r w:rsidR="00CD606C">
        <w:t>1</w:t>
      </w:r>
      <w:r>
        <w:t>: Granger causality tests for European sector indices and exchange rates</w:t>
      </w:r>
    </w:p>
    <w:tbl>
      <w:tblPr>
        <w:tblW w:w="9330" w:type="dxa"/>
        <w:tblInd w:w="55" w:type="dxa"/>
        <w:tblCellMar>
          <w:left w:w="70" w:type="dxa"/>
          <w:right w:w="70" w:type="dxa"/>
        </w:tblCellMar>
        <w:tblLook w:val="04A0"/>
      </w:tblPr>
      <w:tblGrid>
        <w:gridCol w:w="2550"/>
        <w:gridCol w:w="1063"/>
        <w:gridCol w:w="1020"/>
        <w:gridCol w:w="2614"/>
        <w:gridCol w:w="1063"/>
        <w:gridCol w:w="1020"/>
      </w:tblGrid>
      <w:tr w:rsidR="00314A1E" w:rsidRPr="00DD5C65" w:rsidTr="009C16D2">
        <w:trPr>
          <w:trHeight w:val="271"/>
        </w:trPr>
        <w:tc>
          <w:tcPr>
            <w:tcW w:w="2550" w:type="dxa"/>
            <w:tcBorders>
              <w:top w:val="single" w:sz="8" w:space="0" w:color="auto"/>
              <w:left w:val="single" w:sz="8" w:space="0" w:color="auto"/>
              <w:bottom w:val="single" w:sz="8" w:space="0" w:color="auto"/>
              <w:right w:val="nil"/>
            </w:tcBorders>
            <w:shd w:val="clear" w:color="auto" w:fill="auto"/>
            <w:noWrap/>
            <w:vAlign w:val="bottom"/>
            <w:hideMark/>
          </w:tcPr>
          <w:p w:rsidR="00314A1E" w:rsidRPr="00243493" w:rsidRDefault="00314A1E" w:rsidP="009C16D2">
            <w:pPr>
              <w:spacing w:after="0" w:line="240" w:lineRule="auto"/>
              <w:rPr>
                <w:rFonts w:ascii="Arial" w:eastAsia="Times New Roman" w:hAnsi="Arial" w:cs="Arial"/>
                <w:sz w:val="20"/>
                <w:szCs w:val="20"/>
                <w:lang w:eastAsia="nl-NL" w:bidi="ar-SA"/>
              </w:rPr>
            </w:pPr>
            <w:r w:rsidRPr="00243493">
              <w:rPr>
                <w:rFonts w:ascii="Arial" w:eastAsia="Times New Roman" w:hAnsi="Arial" w:cs="Arial"/>
                <w:sz w:val="20"/>
                <w:szCs w:val="20"/>
                <w:lang w:eastAsia="nl-NL" w:bidi="ar-SA"/>
              </w:rPr>
              <w:t>Null Hypothesis:</w:t>
            </w:r>
          </w:p>
        </w:tc>
        <w:tc>
          <w:tcPr>
            <w:tcW w:w="1063" w:type="dxa"/>
            <w:tcBorders>
              <w:top w:val="single" w:sz="8" w:space="0" w:color="auto"/>
              <w:left w:val="nil"/>
              <w:bottom w:val="single" w:sz="8" w:space="0" w:color="auto"/>
              <w:right w:val="nil"/>
            </w:tcBorders>
            <w:shd w:val="clear" w:color="auto" w:fill="auto"/>
            <w:noWrap/>
            <w:vAlign w:val="bottom"/>
            <w:hideMark/>
          </w:tcPr>
          <w:p w:rsidR="00314A1E" w:rsidRPr="00243493" w:rsidRDefault="00314A1E" w:rsidP="009C16D2">
            <w:pPr>
              <w:spacing w:after="0" w:line="240" w:lineRule="auto"/>
              <w:rPr>
                <w:rFonts w:ascii="Arial" w:eastAsia="Times New Roman" w:hAnsi="Arial" w:cs="Arial"/>
                <w:sz w:val="20"/>
                <w:szCs w:val="20"/>
                <w:lang w:eastAsia="nl-NL" w:bidi="ar-SA"/>
              </w:rPr>
            </w:pPr>
            <w:r w:rsidRPr="00243493">
              <w:rPr>
                <w:rFonts w:ascii="Arial" w:eastAsia="Times New Roman" w:hAnsi="Arial" w:cs="Arial"/>
                <w:sz w:val="20"/>
                <w:szCs w:val="20"/>
                <w:lang w:eastAsia="nl-NL" w:bidi="ar-SA"/>
              </w:rPr>
              <w:t>F-Statistic</w:t>
            </w:r>
          </w:p>
        </w:tc>
        <w:tc>
          <w:tcPr>
            <w:tcW w:w="1020" w:type="dxa"/>
            <w:tcBorders>
              <w:top w:val="single" w:sz="8" w:space="0" w:color="auto"/>
              <w:left w:val="nil"/>
              <w:bottom w:val="single" w:sz="8" w:space="0" w:color="auto"/>
              <w:right w:val="nil"/>
            </w:tcBorders>
            <w:shd w:val="clear" w:color="auto" w:fill="auto"/>
            <w:noWrap/>
            <w:vAlign w:val="bottom"/>
            <w:hideMark/>
          </w:tcPr>
          <w:p w:rsidR="00314A1E" w:rsidRPr="00243493" w:rsidRDefault="00314A1E" w:rsidP="009C16D2">
            <w:pPr>
              <w:spacing w:after="0" w:line="240" w:lineRule="auto"/>
              <w:rPr>
                <w:rFonts w:ascii="Arial" w:eastAsia="Times New Roman" w:hAnsi="Arial" w:cs="Arial"/>
                <w:sz w:val="20"/>
                <w:szCs w:val="20"/>
                <w:lang w:eastAsia="nl-NL" w:bidi="ar-SA"/>
              </w:rPr>
            </w:pPr>
            <w:r w:rsidRPr="00243493">
              <w:rPr>
                <w:rFonts w:ascii="Arial" w:eastAsia="Times New Roman" w:hAnsi="Arial" w:cs="Arial"/>
                <w:sz w:val="20"/>
                <w:szCs w:val="20"/>
                <w:lang w:eastAsia="nl-NL" w:bidi="ar-SA"/>
              </w:rPr>
              <w:t xml:space="preserve">Prob. </w:t>
            </w:r>
          </w:p>
        </w:tc>
        <w:tc>
          <w:tcPr>
            <w:tcW w:w="2614" w:type="dxa"/>
            <w:tcBorders>
              <w:top w:val="single" w:sz="8" w:space="0" w:color="auto"/>
              <w:left w:val="single" w:sz="8" w:space="0" w:color="auto"/>
              <w:bottom w:val="single" w:sz="8" w:space="0" w:color="auto"/>
              <w:right w:val="nil"/>
            </w:tcBorders>
            <w:shd w:val="clear" w:color="auto" w:fill="auto"/>
            <w:noWrap/>
            <w:vAlign w:val="bottom"/>
            <w:hideMark/>
          </w:tcPr>
          <w:p w:rsidR="00314A1E" w:rsidRPr="00243493" w:rsidRDefault="00314A1E" w:rsidP="009C16D2">
            <w:pPr>
              <w:spacing w:after="0" w:line="240" w:lineRule="auto"/>
              <w:rPr>
                <w:rFonts w:ascii="Arial" w:eastAsia="Times New Roman" w:hAnsi="Arial" w:cs="Arial"/>
                <w:sz w:val="20"/>
                <w:szCs w:val="20"/>
                <w:lang w:eastAsia="nl-NL" w:bidi="ar-SA"/>
              </w:rPr>
            </w:pPr>
            <w:r w:rsidRPr="00243493">
              <w:rPr>
                <w:rFonts w:ascii="Arial" w:eastAsia="Times New Roman" w:hAnsi="Arial" w:cs="Arial"/>
                <w:sz w:val="20"/>
                <w:szCs w:val="20"/>
                <w:lang w:eastAsia="nl-NL" w:bidi="ar-SA"/>
              </w:rPr>
              <w:t xml:space="preserve"> Null Hypothesis:</w:t>
            </w:r>
          </w:p>
        </w:tc>
        <w:tc>
          <w:tcPr>
            <w:tcW w:w="1063" w:type="dxa"/>
            <w:tcBorders>
              <w:top w:val="single" w:sz="8" w:space="0" w:color="auto"/>
              <w:left w:val="nil"/>
              <w:bottom w:val="single" w:sz="8" w:space="0" w:color="auto"/>
              <w:right w:val="nil"/>
            </w:tcBorders>
            <w:shd w:val="clear" w:color="auto" w:fill="auto"/>
            <w:noWrap/>
            <w:vAlign w:val="bottom"/>
            <w:hideMark/>
          </w:tcPr>
          <w:p w:rsidR="00314A1E" w:rsidRPr="00243493" w:rsidRDefault="00314A1E" w:rsidP="009C16D2">
            <w:pPr>
              <w:spacing w:after="0" w:line="240" w:lineRule="auto"/>
              <w:rPr>
                <w:rFonts w:ascii="Arial" w:eastAsia="Times New Roman" w:hAnsi="Arial" w:cs="Arial"/>
                <w:sz w:val="20"/>
                <w:szCs w:val="20"/>
                <w:lang w:eastAsia="nl-NL" w:bidi="ar-SA"/>
              </w:rPr>
            </w:pPr>
            <w:r w:rsidRPr="00243493">
              <w:rPr>
                <w:rFonts w:ascii="Arial" w:eastAsia="Times New Roman" w:hAnsi="Arial" w:cs="Arial"/>
                <w:sz w:val="20"/>
                <w:szCs w:val="20"/>
                <w:lang w:eastAsia="nl-NL" w:bidi="ar-SA"/>
              </w:rPr>
              <w:t>F-Statistic</w:t>
            </w:r>
          </w:p>
        </w:tc>
        <w:tc>
          <w:tcPr>
            <w:tcW w:w="1020" w:type="dxa"/>
            <w:tcBorders>
              <w:top w:val="single" w:sz="8" w:space="0" w:color="auto"/>
              <w:left w:val="nil"/>
              <w:bottom w:val="single" w:sz="8" w:space="0" w:color="auto"/>
              <w:right w:val="single" w:sz="8" w:space="0" w:color="auto"/>
            </w:tcBorders>
            <w:shd w:val="clear" w:color="auto" w:fill="auto"/>
            <w:noWrap/>
            <w:vAlign w:val="bottom"/>
            <w:hideMark/>
          </w:tcPr>
          <w:p w:rsidR="00314A1E" w:rsidRPr="00243493" w:rsidRDefault="00314A1E" w:rsidP="009C16D2">
            <w:pPr>
              <w:spacing w:after="0" w:line="240" w:lineRule="auto"/>
              <w:rPr>
                <w:rFonts w:ascii="Arial" w:eastAsia="Times New Roman" w:hAnsi="Arial" w:cs="Arial"/>
                <w:sz w:val="20"/>
                <w:szCs w:val="20"/>
                <w:lang w:eastAsia="nl-NL" w:bidi="ar-SA"/>
              </w:rPr>
            </w:pPr>
            <w:r w:rsidRPr="00243493">
              <w:rPr>
                <w:rFonts w:ascii="Arial" w:eastAsia="Times New Roman" w:hAnsi="Arial" w:cs="Arial"/>
                <w:sz w:val="20"/>
                <w:szCs w:val="20"/>
                <w:lang w:eastAsia="nl-NL" w:bidi="ar-SA"/>
              </w:rPr>
              <w:t xml:space="preserve">Prob. </w:t>
            </w:r>
          </w:p>
        </w:tc>
      </w:tr>
      <w:tr w:rsidR="00314A1E" w:rsidRPr="00DD5C65" w:rsidTr="009C16D2">
        <w:trPr>
          <w:trHeight w:val="256"/>
        </w:trPr>
        <w:tc>
          <w:tcPr>
            <w:tcW w:w="2550" w:type="dxa"/>
            <w:tcBorders>
              <w:top w:val="nil"/>
              <w:left w:val="single" w:sz="8" w:space="0" w:color="auto"/>
              <w:bottom w:val="nil"/>
              <w:right w:val="nil"/>
            </w:tcBorders>
            <w:shd w:val="clear" w:color="auto" w:fill="auto"/>
            <w:noWrap/>
            <w:vAlign w:val="bottom"/>
            <w:hideMark/>
          </w:tcPr>
          <w:p w:rsidR="00314A1E" w:rsidRPr="00243493" w:rsidRDefault="00314A1E" w:rsidP="009C16D2">
            <w:pPr>
              <w:spacing w:after="0" w:line="240" w:lineRule="auto"/>
              <w:rPr>
                <w:rFonts w:ascii="Arial" w:eastAsia="Times New Roman" w:hAnsi="Arial" w:cs="Arial"/>
                <w:sz w:val="20"/>
                <w:szCs w:val="20"/>
                <w:lang w:eastAsia="nl-NL" w:bidi="ar-SA"/>
              </w:rPr>
            </w:pPr>
            <w:r w:rsidRPr="00243493">
              <w:rPr>
                <w:rFonts w:ascii="Arial" w:eastAsia="Times New Roman" w:hAnsi="Arial" w:cs="Arial"/>
                <w:sz w:val="20"/>
                <w:szCs w:val="20"/>
                <w:lang w:eastAsia="nl-NL" w:bidi="ar-SA"/>
              </w:rPr>
              <w:t xml:space="preserve"> EUBASICR -/-&gt; CHFEUR</w:t>
            </w:r>
          </w:p>
        </w:tc>
        <w:tc>
          <w:tcPr>
            <w:tcW w:w="1063" w:type="dxa"/>
            <w:tcBorders>
              <w:top w:val="nil"/>
              <w:left w:val="nil"/>
              <w:bottom w:val="nil"/>
              <w:right w:val="nil"/>
            </w:tcBorders>
            <w:shd w:val="clear" w:color="auto" w:fill="auto"/>
            <w:noWrap/>
            <w:vAlign w:val="bottom"/>
            <w:hideMark/>
          </w:tcPr>
          <w:p w:rsidR="00314A1E" w:rsidRPr="00243493" w:rsidRDefault="00314A1E" w:rsidP="009C16D2">
            <w:pPr>
              <w:spacing w:after="0" w:line="240" w:lineRule="auto"/>
              <w:jc w:val="right"/>
              <w:rPr>
                <w:rFonts w:ascii="Arial" w:eastAsia="Times New Roman" w:hAnsi="Arial" w:cs="Arial"/>
                <w:sz w:val="20"/>
                <w:szCs w:val="20"/>
                <w:lang w:eastAsia="nl-NL" w:bidi="ar-SA"/>
              </w:rPr>
            </w:pPr>
            <w:r w:rsidRPr="00243493">
              <w:rPr>
                <w:rFonts w:ascii="Arial" w:eastAsia="Times New Roman" w:hAnsi="Arial" w:cs="Arial"/>
                <w:sz w:val="20"/>
                <w:szCs w:val="20"/>
                <w:lang w:eastAsia="nl-NL" w:bidi="ar-SA"/>
              </w:rPr>
              <w:t>9,6301</w:t>
            </w:r>
          </w:p>
        </w:tc>
        <w:tc>
          <w:tcPr>
            <w:tcW w:w="1020" w:type="dxa"/>
            <w:tcBorders>
              <w:top w:val="nil"/>
              <w:left w:val="nil"/>
              <w:bottom w:val="nil"/>
              <w:right w:val="single" w:sz="8" w:space="0" w:color="auto"/>
            </w:tcBorders>
            <w:shd w:val="clear" w:color="auto" w:fill="auto"/>
            <w:noWrap/>
            <w:vAlign w:val="bottom"/>
            <w:hideMark/>
          </w:tcPr>
          <w:p w:rsidR="00314A1E" w:rsidRPr="00243493" w:rsidRDefault="00314A1E" w:rsidP="009C16D2">
            <w:pPr>
              <w:spacing w:after="0" w:line="240" w:lineRule="auto"/>
              <w:jc w:val="right"/>
              <w:rPr>
                <w:rFonts w:ascii="Arial" w:eastAsia="Times New Roman" w:hAnsi="Arial" w:cs="Arial"/>
                <w:sz w:val="20"/>
                <w:szCs w:val="20"/>
                <w:lang w:eastAsia="nl-NL" w:bidi="ar-SA"/>
              </w:rPr>
            </w:pPr>
            <w:r w:rsidRPr="00243493">
              <w:rPr>
                <w:rFonts w:ascii="Arial" w:eastAsia="Times New Roman" w:hAnsi="Arial" w:cs="Arial"/>
                <w:sz w:val="20"/>
                <w:szCs w:val="20"/>
                <w:lang w:eastAsia="nl-NL" w:bidi="ar-SA"/>
              </w:rPr>
              <w:t>0</w:t>
            </w:r>
          </w:p>
        </w:tc>
        <w:tc>
          <w:tcPr>
            <w:tcW w:w="2614" w:type="dxa"/>
            <w:tcBorders>
              <w:top w:val="nil"/>
              <w:left w:val="nil"/>
              <w:bottom w:val="nil"/>
              <w:right w:val="nil"/>
            </w:tcBorders>
            <w:shd w:val="clear" w:color="auto" w:fill="auto"/>
            <w:noWrap/>
            <w:vAlign w:val="bottom"/>
            <w:hideMark/>
          </w:tcPr>
          <w:p w:rsidR="00314A1E" w:rsidRPr="00DD5C65" w:rsidRDefault="00314A1E" w:rsidP="009C16D2">
            <w:pPr>
              <w:spacing w:after="0" w:line="240" w:lineRule="auto"/>
              <w:rPr>
                <w:rFonts w:ascii="Arial" w:eastAsia="Times New Roman" w:hAnsi="Arial" w:cs="Arial"/>
                <w:sz w:val="20"/>
                <w:szCs w:val="20"/>
                <w:lang w:val="nl-NL" w:eastAsia="nl-NL" w:bidi="ar-SA"/>
              </w:rPr>
            </w:pPr>
            <w:r w:rsidRPr="00243493">
              <w:rPr>
                <w:rFonts w:ascii="Arial" w:eastAsia="Times New Roman" w:hAnsi="Arial" w:cs="Arial"/>
                <w:sz w:val="20"/>
                <w:szCs w:val="20"/>
                <w:lang w:eastAsia="nl-NL" w:bidi="ar-SA"/>
              </w:rPr>
              <w:t xml:space="preserve"> EUBASICR </w:t>
            </w:r>
            <w:r w:rsidRPr="00DD5C65">
              <w:rPr>
                <w:rFonts w:ascii="Arial" w:eastAsia="Times New Roman" w:hAnsi="Arial" w:cs="Arial"/>
                <w:sz w:val="20"/>
                <w:szCs w:val="20"/>
                <w:lang w:val="nl-NL" w:eastAsia="nl-NL" w:bidi="ar-SA"/>
              </w:rPr>
              <w:t>-/-&gt; USDEUR</w:t>
            </w:r>
          </w:p>
        </w:tc>
        <w:tc>
          <w:tcPr>
            <w:tcW w:w="1063" w:type="dxa"/>
            <w:tcBorders>
              <w:top w:val="nil"/>
              <w:left w:val="nil"/>
              <w:bottom w:val="nil"/>
              <w:right w:val="nil"/>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1,9258</w:t>
            </w:r>
          </w:p>
        </w:tc>
        <w:tc>
          <w:tcPr>
            <w:tcW w:w="1020" w:type="dxa"/>
            <w:tcBorders>
              <w:top w:val="nil"/>
              <w:left w:val="nil"/>
              <w:bottom w:val="nil"/>
              <w:right w:val="single" w:sz="8" w:space="0" w:color="auto"/>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0,1459</w:t>
            </w:r>
          </w:p>
        </w:tc>
      </w:tr>
      <w:tr w:rsidR="00314A1E" w:rsidRPr="00DD5C65" w:rsidTr="009C16D2">
        <w:trPr>
          <w:trHeight w:val="271"/>
        </w:trPr>
        <w:tc>
          <w:tcPr>
            <w:tcW w:w="2550" w:type="dxa"/>
            <w:tcBorders>
              <w:top w:val="nil"/>
              <w:left w:val="single" w:sz="8" w:space="0" w:color="auto"/>
              <w:bottom w:val="single" w:sz="8" w:space="0" w:color="auto"/>
              <w:right w:val="nil"/>
            </w:tcBorders>
            <w:shd w:val="clear" w:color="auto" w:fill="auto"/>
            <w:noWrap/>
            <w:vAlign w:val="bottom"/>
            <w:hideMark/>
          </w:tcPr>
          <w:p w:rsidR="00314A1E" w:rsidRPr="00DD5C65" w:rsidRDefault="00314A1E" w:rsidP="009C16D2">
            <w:pPr>
              <w:spacing w:after="0" w:line="240" w:lineRule="auto"/>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 xml:space="preserve"> CHFEUR -/-&gt; EUBASICR</w:t>
            </w:r>
          </w:p>
        </w:tc>
        <w:tc>
          <w:tcPr>
            <w:tcW w:w="1063" w:type="dxa"/>
            <w:tcBorders>
              <w:top w:val="nil"/>
              <w:left w:val="nil"/>
              <w:bottom w:val="single" w:sz="8" w:space="0" w:color="auto"/>
              <w:right w:val="nil"/>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2,6306</w:t>
            </w:r>
          </w:p>
        </w:tc>
        <w:tc>
          <w:tcPr>
            <w:tcW w:w="1020" w:type="dxa"/>
            <w:tcBorders>
              <w:top w:val="nil"/>
              <w:left w:val="nil"/>
              <w:bottom w:val="single" w:sz="8" w:space="0" w:color="auto"/>
              <w:right w:val="single" w:sz="8" w:space="0" w:color="auto"/>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0,0722</w:t>
            </w:r>
          </w:p>
        </w:tc>
        <w:tc>
          <w:tcPr>
            <w:tcW w:w="2614" w:type="dxa"/>
            <w:tcBorders>
              <w:top w:val="nil"/>
              <w:left w:val="nil"/>
              <w:bottom w:val="single" w:sz="8" w:space="0" w:color="auto"/>
              <w:right w:val="nil"/>
            </w:tcBorders>
            <w:shd w:val="clear" w:color="auto" w:fill="auto"/>
            <w:noWrap/>
            <w:vAlign w:val="bottom"/>
            <w:hideMark/>
          </w:tcPr>
          <w:p w:rsidR="00314A1E" w:rsidRPr="00DD5C65" w:rsidRDefault="00314A1E" w:rsidP="009C16D2">
            <w:pPr>
              <w:spacing w:after="0" w:line="240" w:lineRule="auto"/>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 xml:space="preserve"> USDEUR -/-&gt; EUBASICR</w:t>
            </w:r>
          </w:p>
        </w:tc>
        <w:tc>
          <w:tcPr>
            <w:tcW w:w="1063" w:type="dxa"/>
            <w:tcBorders>
              <w:top w:val="nil"/>
              <w:left w:val="nil"/>
              <w:bottom w:val="single" w:sz="8" w:space="0" w:color="auto"/>
              <w:right w:val="nil"/>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0,1436</w:t>
            </w:r>
          </w:p>
        </w:tc>
        <w:tc>
          <w:tcPr>
            <w:tcW w:w="1020" w:type="dxa"/>
            <w:tcBorders>
              <w:top w:val="nil"/>
              <w:left w:val="nil"/>
              <w:bottom w:val="single" w:sz="8" w:space="0" w:color="auto"/>
              <w:right w:val="single" w:sz="8" w:space="0" w:color="auto"/>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0,8662</w:t>
            </w:r>
          </w:p>
        </w:tc>
      </w:tr>
      <w:tr w:rsidR="00314A1E" w:rsidRPr="00DD5C65" w:rsidTr="009C16D2">
        <w:trPr>
          <w:trHeight w:val="256"/>
        </w:trPr>
        <w:tc>
          <w:tcPr>
            <w:tcW w:w="2550" w:type="dxa"/>
            <w:tcBorders>
              <w:top w:val="nil"/>
              <w:left w:val="single" w:sz="8" w:space="0" w:color="auto"/>
              <w:bottom w:val="nil"/>
              <w:right w:val="nil"/>
            </w:tcBorders>
            <w:shd w:val="clear" w:color="auto" w:fill="auto"/>
            <w:noWrap/>
            <w:vAlign w:val="bottom"/>
            <w:hideMark/>
          </w:tcPr>
          <w:p w:rsidR="00314A1E" w:rsidRPr="00DD5C65" w:rsidRDefault="00314A1E" w:rsidP="009C16D2">
            <w:pPr>
              <w:spacing w:after="0" w:line="240" w:lineRule="auto"/>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 xml:space="preserve"> EUCGDS -/-&gt; CHFEUR</w:t>
            </w:r>
          </w:p>
        </w:tc>
        <w:tc>
          <w:tcPr>
            <w:tcW w:w="1063" w:type="dxa"/>
            <w:tcBorders>
              <w:top w:val="nil"/>
              <w:left w:val="nil"/>
              <w:bottom w:val="nil"/>
              <w:right w:val="nil"/>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37,033</w:t>
            </w:r>
          </w:p>
        </w:tc>
        <w:tc>
          <w:tcPr>
            <w:tcW w:w="1020" w:type="dxa"/>
            <w:tcBorders>
              <w:top w:val="nil"/>
              <w:left w:val="nil"/>
              <w:bottom w:val="nil"/>
              <w:right w:val="single" w:sz="8" w:space="0" w:color="auto"/>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0</w:t>
            </w:r>
          </w:p>
        </w:tc>
        <w:tc>
          <w:tcPr>
            <w:tcW w:w="2614" w:type="dxa"/>
            <w:tcBorders>
              <w:top w:val="nil"/>
              <w:left w:val="nil"/>
              <w:bottom w:val="nil"/>
              <w:right w:val="nil"/>
            </w:tcBorders>
            <w:shd w:val="clear" w:color="auto" w:fill="auto"/>
            <w:noWrap/>
            <w:vAlign w:val="bottom"/>
            <w:hideMark/>
          </w:tcPr>
          <w:p w:rsidR="00314A1E" w:rsidRPr="00DD5C65" w:rsidRDefault="00314A1E" w:rsidP="009C16D2">
            <w:pPr>
              <w:spacing w:after="0" w:line="240" w:lineRule="auto"/>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 xml:space="preserve"> EUCGDS -/-&gt; USDEUR</w:t>
            </w:r>
          </w:p>
        </w:tc>
        <w:tc>
          <w:tcPr>
            <w:tcW w:w="1063" w:type="dxa"/>
            <w:tcBorders>
              <w:top w:val="nil"/>
              <w:left w:val="nil"/>
              <w:bottom w:val="nil"/>
              <w:right w:val="nil"/>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2,6362</w:t>
            </w:r>
          </w:p>
        </w:tc>
        <w:tc>
          <w:tcPr>
            <w:tcW w:w="1020" w:type="dxa"/>
            <w:tcBorders>
              <w:top w:val="nil"/>
              <w:left w:val="nil"/>
              <w:bottom w:val="nil"/>
              <w:right w:val="single" w:sz="8" w:space="0" w:color="auto"/>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0,0718</w:t>
            </w:r>
          </w:p>
        </w:tc>
      </w:tr>
      <w:tr w:rsidR="00314A1E" w:rsidRPr="00DD5C65" w:rsidTr="009C16D2">
        <w:trPr>
          <w:trHeight w:val="271"/>
        </w:trPr>
        <w:tc>
          <w:tcPr>
            <w:tcW w:w="2550" w:type="dxa"/>
            <w:tcBorders>
              <w:top w:val="nil"/>
              <w:left w:val="single" w:sz="8" w:space="0" w:color="auto"/>
              <w:bottom w:val="single" w:sz="8" w:space="0" w:color="auto"/>
              <w:right w:val="nil"/>
            </w:tcBorders>
            <w:shd w:val="clear" w:color="auto" w:fill="auto"/>
            <w:noWrap/>
            <w:vAlign w:val="bottom"/>
            <w:hideMark/>
          </w:tcPr>
          <w:p w:rsidR="00314A1E" w:rsidRPr="00DD5C65" w:rsidRDefault="00314A1E" w:rsidP="009C16D2">
            <w:pPr>
              <w:spacing w:after="0" w:line="240" w:lineRule="auto"/>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 xml:space="preserve"> CHFEUR -/-&gt; EUCGDS</w:t>
            </w:r>
          </w:p>
        </w:tc>
        <w:tc>
          <w:tcPr>
            <w:tcW w:w="1063" w:type="dxa"/>
            <w:tcBorders>
              <w:top w:val="nil"/>
              <w:left w:val="nil"/>
              <w:bottom w:val="single" w:sz="8" w:space="0" w:color="auto"/>
              <w:right w:val="nil"/>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13,6713</w:t>
            </w:r>
          </w:p>
        </w:tc>
        <w:tc>
          <w:tcPr>
            <w:tcW w:w="1020" w:type="dxa"/>
            <w:tcBorders>
              <w:top w:val="nil"/>
              <w:left w:val="nil"/>
              <w:bottom w:val="single" w:sz="8" w:space="0" w:color="auto"/>
              <w:right w:val="single" w:sz="8" w:space="0" w:color="auto"/>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0</w:t>
            </w:r>
          </w:p>
        </w:tc>
        <w:tc>
          <w:tcPr>
            <w:tcW w:w="2614" w:type="dxa"/>
            <w:tcBorders>
              <w:top w:val="nil"/>
              <w:left w:val="nil"/>
              <w:bottom w:val="single" w:sz="8" w:space="0" w:color="auto"/>
              <w:right w:val="nil"/>
            </w:tcBorders>
            <w:shd w:val="clear" w:color="auto" w:fill="auto"/>
            <w:noWrap/>
            <w:vAlign w:val="bottom"/>
            <w:hideMark/>
          </w:tcPr>
          <w:p w:rsidR="00314A1E" w:rsidRPr="00DD5C65" w:rsidRDefault="00314A1E" w:rsidP="009C16D2">
            <w:pPr>
              <w:spacing w:after="0" w:line="240" w:lineRule="auto"/>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 xml:space="preserve"> USDEUR -/-&gt; EUCGDS</w:t>
            </w:r>
          </w:p>
        </w:tc>
        <w:tc>
          <w:tcPr>
            <w:tcW w:w="1063" w:type="dxa"/>
            <w:tcBorders>
              <w:top w:val="nil"/>
              <w:left w:val="nil"/>
              <w:bottom w:val="single" w:sz="8" w:space="0" w:color="auto"/>
              <w:right w:val="nil"/>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0,7738</w:t>
            </w:r>
          </w:p>
        </w:tc>
        <w:tc>
          <w:tcPr>
            <w:tcW w:w="1020" w:type="dxa"/>
            <w:tcBorders>
              <w:top w:val="nil"/>
              <w:left w:val="nil"/>
              <w:bottom w:val="single" w:sz="8" w:space="0" w:color="auto"/>
              <w:right w:val="single" w:sz="8" w:space="0" w:color="auto"/>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0,4613</w:t>
            </w:r>
          </w:p>
        </w:tc>
      </w:tr>
      <w:tr w:rsidR="00314A1E" w:rsidRPr="00DD5C65" w:rsidTr="009C16D2">
        <w:trPr>
          <w:trHeight w:val="256"/>
        </w:trPr>
        <w:tc>
          <w:tcPr>
            <w:tcW w:w="2550" w:type="dxa"/>
            <w:tcBorders>
              <w:top w:val="nil"/>
              <w:left w:val="single" w:sz="8" w:space="0" w:color="auto"/>
              <w:bottom w:val="nil"/>
              <w:right w:val="nil"/>
            </w:tcBorders>
            <w:shd w:val="clear" w:color="auto" w:fill="auto"/>
            <w:noWrap/>
            <w:vAlign w:val="bottom"/>
            <w:hideMark/>
          </w:tcPr>
          <w:p w:rsidR="00314A1E" w:rsidRPr="00DD5C65" w:rsidRDefault="00314A1E" w:rsidP="009C16D2">
            <w:pPr>
              <w:spacing w:after="0" w:line="240" w:lineRule="auto"/>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 xml:space="preserve"> EUCSVS -/-&gt; CHFEUR</w:t>
            </w:r>
          </w:p>
        </w:tc>
        <w:tc>
          <w:tcPr>
            <w:tcW w:w="1063" w:type="dxa"/>
            <w:tcBorders>
              <w:top w:val="nil"/>
              <w:left w:val="nil"/>
              <w:bottom w:val="nil"/>
              <w:right w:val="nil"/>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15,5063</w:t>
            </w:r>
          </w:p>
        </w:tc>
        <w:tc>
          <w:tcPr>
            <w:tcW w:w="1020" w:type="dxa"/>
            <w:tcBorders>
              <w:top w:val="nil"/>
              <w:left w:val="nil"/>
              <w:bottom w:val="nil"/>
              <w:right w:val="single" w:sz="8" w:space="0" w:color="auto"/>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0</w:t>
            </w:r>
          </w:p>
        </w:tc>
        <w:tc>
          <w:tcPr>
            <w:tcW w:w="2614" w:type="dxa"/>
            <w:tcBorders>
              <w:top w:val="nil"/>
              <w:left w:val="nil"/>
              <w:bottom w:val="nil"/>
              <w:right w:val="nil"/>
            </w:tcBorders>
            <w:shd w:val="clear" w:color="auto" w:fill="auto"/>
            <w:noWrap/>
            <w:vAlign w:val="bottom"/>
            <w:hideMark/>
          </w:tcPr>
          <w:p w:rsidR="00314A1E" w:rsidRPr="00DD5C65" w:rsidRDefault="00314A1E" w:rsidP="009C16D2">
            <w:pPr>
              <w:spacing w:after="0" w:line="240" w:lineRule="auto"/>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 xml:space="preserve"> EUCSVS -/-&gt; USDEUR</w:t>
            </w:r>
          </w:p>
        </w:tc>
        <w:tc>
          <w:tcPr>
            <w:tcW w:w="1063" w:type="dxa"/>
            <w:tcBorders>
              <w:top w:val="nil"/>
              <w:left w:val="nil"/>
              <w:bottom w:val="nil"/>
              <w:right w:val="nil"/>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7,4194</w:t>
            </w:r>
          </w:p>
        </w:tc>
        <w:tc>
          <w:tcPr>
            <w:tcW w:w="1020" w:type="dxa"/>
            <w:tcBorders>
              <w:top w:val="nil"/>
              <w:left w:val="nil"/>
              <w:bottom w:val="nil"/>
              <w:right w:val="single" w:sz="8" w:space="0" w:color="auto"/>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0,0006</w:t>
            </w:r>
          </w:p>
        </w:tc>
      </w:tr>
      <w:tr w:rsidR="00314A1E" w:rsidRPr="00DD5C65" w:rsidTr="009C16D2">
        <w:trPr>
          <w:trHeight w:val="271"/>
        </w:trPr>
        <w:tc>
          <w:tcPr>
            <w:tcW w:w="2550" w:type="dxa"/>
            <w:tcBorders>
              <w:top w:val="nil"/>
              <w:left w:val="single" w:sz="8" w:space="0" w:color="auto"/>
              <w:bottom w:val="single" w:sz="8" w:space="0" w:color="auto"/>
              <w:right w:val="nil"/>
            </w:tcBorders>
            <w:shd w:val="clear" w:color="auto" w:fill="auto"/>
            <w:noWrap/>
            <w:vAlign w:val="bottom"/>
            <w:hideMark/>
          </w:tcPr>
          <w:p w:rsidR="00314A1E" w:rsidRPr="00DD5C65" w:rsidRDefault="00314A1E" w:rsidP="009C16D2">
            <w:pPr>
              <w:spacing w:after="0" w:line="240" w:lineRule="auto"/>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 xml:space="preserve"> CHFEUR -/-&gt;EUCSVS</w:t>
            </w:r>
          </w:p>
        </w:tc>
        <w:tc>
          <w:tcPr>
            <w:tcW w:w="1063" w:type="dxa"/>
            <w:tcBorders>
              <w:top w:val="nil"/>
              <w:left w:val="nil"/>
              <w:bottom w:val="single" w:sz="8" w:space="0" w:color="auto"/>
              <w:right w:val="nil"/>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4,5121</w:t>
            </w:r>
          </w:p>
        </w:tc>
        <w:tc>
          <w:tcPr>
            <w:tcW w:w="1020" w:type="dxa"/>
            <w:tcBorders>
              <w:top w:val="nil"/>
              <w:left w:val="nil"/>
              <w:bottom w:val="single" w:sz="8" w:space="0" w:color="auto"/>
              <w:right w:val="single" w:sz="8" w:space="0" w:color="auto"/>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0,011</w:t>
            </w:r>
          </w:p>
        </w:tc>
        <w:tc>
          <w:tcPr>
            <w:tcW w:w="2614" w:type="dxa"/>
            <w:tcBorders>
              <w:top w:val="nil"/>
              <w:left w:val="nil"/>
              <w:bottom w:val="single" w:sz="8" w:space="0" w:color="auto"/>
              <w:right w:val="nil"/>
            </w:tcBorders>
            <w:shd w:val="clear" w:color="auto" w:fill="auto"/>
            <w:noWrap/>
            <w:vAlign w:val="bottom"/>
            <w:hideMark/>
          </w:tcPr>
          <w:p w:rsidR="00314A1E" w:rsidRPr="00DD5C65" w:rsidRDefault="00314A1E" w:rsidP="009C16D2">
            <w:pPr>
              <w:spacing w:after="0" w:line="240" w:lineRule="auto"/>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 xml:space="preserve"> USDEUR -/-&gt; EUCSVS</w:t>
            </w:r>
          </w:p>
        </w:tc>
        <w:tc>
          <w:tcPr>
            <w:tcW w:w="1063" w:type="dxa"/>
            <w:tcBorders>
              <w:top w:val="nil"/>
              <w:left w:val="nil"/>
              <w:bottom w:val="single" w:sz="8" w:space="0" w:color="auto"/>
              <w:right w:val="nil"/>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0,6896</w:t>
            </w:r>
          </w:p>
        </w:tc>
        <w:tc>
          <w:tcPr>
            <w:tcW w:w="1020" w:type="dxa"/>
            <w:tcBorders>
              <w:top w:val="nil"/>
              <w:left w:val="nil"/>
              <w:bottom w:val="single" w:sz="8" w:space="0" w:color="auto"/>
              <w:right w:val="single" w:sz="8" w:space="0" w:color="auto"/>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0,5019</w:t>
            </w:r>
          </w:p>
        </w:tc>
      </w:tr>
      <w:tr w:rsidR="00314A1E" w:rsidRPr="00DD5C65" w:rsidTr="009C16D2">
        <w:trPr>
          <w:trHeight w:val="256"/>
        </w:trPr>
        <w:tc>
          <w:tcPr>
            <w:tcW w:w="2550" w:type="dxa"/>
            <w:tcBorders>
              <w:top w:val="nil"/>
              <w:left w:val="single" w:sz="8" w:space="0" w:color="auto"/>
              <w:bottom w:val="nil"/>
              <w:right w:val="nil"/>
            </w:tcBorders>
            <w:shd w:val="clear" w:color="auto" w:fill="auto"/>
            <w:noWrap/>
            <w:vAlign w:val="bottom"/>
            <w:hideMark/>
          </w:tcPr>
          <w:p w:rsidR="00314A1E" w:rsidRPr="00DD5C65" w:rsidRDefault="00314A1E" w:rsidP="009C16D2">
            <w:pPr>
              <w:spacing w:after="0" w:line="240" w:lineRule="auto"/>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 xml:space="preserve"> EUFSVS -/-&gt; CHFEUR</w:t>
            </w:r>
          </w:p>
        </w:tc>
        <w:tc>
          <w:tcPr>
            <w:tcW w:w="1063" w:type="dxa"/>
            <w:tcBorders>
              <w:top w:val="nil"/>
              <w:left w:val="nil"/>
              <w:bottom w:val="nil"/>
              <w:right w:val="nil"/>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11,537</w:t>
            </w:r>
          </w:p>
        </w:tc>
        <w:tc>
          <w:tcPr>
            <w:tcW w:w="1020" w:type="dxa"/>
            <w:tcBorders>
              <w:top w:val="nil"/>
              <w:left w:val="nil"/>
              <w:bottom w:val="nil"/>
              <w:right w:val="single" w:sz="8" w:space="0" w:color="auto"/>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0</w:t>
            </w:r>
          </w:p>
        </w:tc>
        <w:tc>
          <w:tcPr>
            <w:tcW w:w="2614" w:type="dxa"/>
            <w:tcBorders>
              <w:top w:val="nil"/>
              <w:left w:val="nil"/>
              <w:bottom w:val="nil"/>
              <w:right w:val="nil"/>
            </w:tcBorders>
            <w:shd w:val="clear" w:color="auto" w:fill="auto"/>
            <w:noWrap/>
            <w:vAlign w:val="bottom"/>
            <w:hideMark/>
          </w:tcPr>
          <w:p w:rsidR="00314A1E" w:rsidRPr="00DD5C65" w:rsidRDefault="00314A1E" w:rsidP="009C16D2">
            <w:pPr>
              <w:spacing w:after="0" w:line="240" w:lineRule="auto"/>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 xml:space="preserve"> EUFSVS -/-&gt; USDEUR</w:t>
            </w:r>
          </w:p>
        </w:tc>
        <w:tc>
          <w:tcPr>
            <w:tcW w:w="1063" w:type="dxa"/>
            <w:tcBorders>
              <w:top w:val="nil"/>
              <w:left w:val="nil"/>
              <w:bottom w:val="nil"/>
              <w:right w:val="nil"/>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2,062</w:t>
            </w:r>
          </w:p>
        </w:tc>
        <w:tc>
          <w:tcPr>
            <w:tcW w:w="1020" w:type="dxa"/>
            <w:tcBorders>
              <w:top w:val="nil"/>
              <w:left w:val="nil"/>
              <w:bottom w:val="nil"/>
              <w:right w:val="single" w:sz="8" w:space="0" w:color="auto"/>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0,1274</w:t>
            </w:r>
          </w:p>
        </w:tc>
      </w:tr>
      <w:tr w:rsidR="00314A1E" w:rsidRPr="00DD5C65" w:rsidTr="009C16D2">
        <w:trPr>
          <w:trHeight w:val="271"/>
        </w:trPr>
        <w:tc>
          <w:tcPr>
            <w:tcW w:w="2550" w:type="dxa"/>
            <w:tcBorders>
              <w:top w:val="nil"/>
              <w:left w:val="single" w:sz="8" w:space="0" w:color="auto"/>
              <w:bottom w:val="single" w:sz="8" w:space="0" w:color="auto"/>
              <w:right w:val="nil"/>
            </w:tcBorders>
            <w:shd w:val="clear" w:color="auto" w:fill="auto"/>
            <w:noWrap/>
            <w:vAlign w:val="bottom"/>
            <w:hideMark/>
          </w:tcPr>
          <w:p w:rsidR="00314A1E" w:rsidRPr="00DD5C65" w:rsidRDefault="00314A1E" w:rsidP="009C16D2">
            <w:pPr>
              <w:spacing w:after="0" w:line="240" w:lineRule="auto"/>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 xml:space="preserve"> CHFEUR -/-&gt; EUFSVS</w:t>
            </w:r>
          </w:p>
        </w:tc>
        <w:tc>
          <w:tcPr>
            <w:tcW w:w="1063" w:type="dxa"/>
            <w:tcBorders>
              <w:top w:val="nil"/>
              <w:left w:val="nil"/>
              <w:bottom w:val="single" w:sz="8" w:space="0" w:color="auto"/>
              <w:right w:val="nil"/>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1,8498</w:t>
            </w:r>
          </w:p>
        </w:tc>
        <w:tc>
          <w:tcPr>
            <w:tcW w:w="1020" w:type="dxa"/>
            <w:tcBorders>
              <w:top w:val="nil"/>
              <w:left w:val="nil"/>
              <w:bottom w:val="single" w:sz="8" w:space="0" w:color="auto"/>
              <w:right w:val="single" w:sz="8" w:space="0" w:color="auto"/>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0,1574</w:t>
            </w:r>
          </w:p>
        </w:tc>
        <w:tc>
          <w:tcPr>
            <w:tcW w:w="2614" w:type="dxa"/>
            <w:tcBorders>
              <w:top w:val="nil"/>
              <w:left w:val="nil"/>
              <w:bottom w:val="single" w:sz="8" w:space="0" w:color="auto"/>
              <w:right w:val="nil"/>
            </w:tcBorders>
            <w:shd w:val="clear" w:color="auto" w:fill="auto"/>
            <w:noWrap/>
            <w:vAlign w:val="bottom"/>
            <w:hideMark/>
          </w:tcPr>
          <w:p w:rsidR="00314A1E" w:rsidRPr="00DD5C65" w:rsidRDefault="00314A1E" w:rsidP="009C16D2">
            <w:pPr>
              <w:spacing w:after="0" w:line="240" w:lineRule="auto"/>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 xml:space="preserve"> USDEUR -/-&gt; EUFSVS</w:t>
            </w:r>
          </w:p>
        </w:tc>
        <w:tc>
          <w:tcPr>
            <w:tcW w:w="1063" w:type="dxa"/>
            <w:tcBorders>
              <w:top w:val="nil"/>
              <w:left w:val="nil"/>
              <w:bottom w:val="single" w:sz="8" w:space="0" w:color="auto"/>
              <w:right w:val="nil"/>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0,0727</w:t>
            </w:r>
          </w:p>
        </w:tc>
        <w:tc>
          <w:tcPr>
            <w:tcW w:w="1020" w:type="dxa"/>
            <w:tcBorders>
              <w:top w:val="nil"/>
              <w:left w:val="nil"/>
              <w:bottom w:val="single" w:sz="8" w:space="0" w:color="auto"/>
              <w:right w:val="single" w:sz="8" w:space="0" w:color="auto"/>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0,9298</w:t>
            </w:r>
          </w:p>
        </w:tc>
      </w:tr>
      <w:tr w:rsidR="00314A1E" w:rsidRPr="00DD5C65" w:rsidTr="009C16D2">
        <w:trPr>
          <w:trHeight w:val="256"/>
        </w:trPr>
        <w:tc>
          <w:tcPr>
            <w:tcW w:w="2550" w:type="dxa"/>
            <w:tcBorders>
              <w:top w:val="nil"/>
              <w:left w:val="single" w:sz="8" w:space="0" w:color="auto"/>
              <w:bottom w:val="nil"/>
              <w:right w:val="nil"/>
            </w:tcBorders>
            <w:shd w:val="clear" w:color="auto" w:fill="auto"/>
            <w:noWrap/>
            <w:vAlign w:val="bottom"/>
            <w:hideMark/>
          </w:tcPr>
          <w:p w:rsidR="00314A1E" w:rsidRPr="00DD5C65" w:rsidRDefault="00314A1E" w:rsidP="009C16D2">
            <w:pPr>
              <w:spacing w:after="0" w:line="240" w:lineRule="auto"/>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 xml:space="preserve"> EUHC -/-&gt; CHFEUR</w:t>
            </w:r>
          </w:p>
        </w:tc>
        <w:tc>
          <w:tcPr>
            <w:tcW w:w="1063" w:type="dxa"/>
            <w:tcBorders>
              <w:top w:val="nil"/>
              <w:left w:val="nil"/>
              <w:bottom w:val="nil"/>
              <w:right w:val="nil"/>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1,4393</w:t>
            </w:r>
          </w:p>
        </w:tc>
        <w:tc>
          <w:tcPr>
            <w:tcW w:w="1020" w:type="dxa"/>
            <w:tcBorders>
              <w:top w:val="nil"/>
              <w:left w:val="nil"/>
              <w:bottom w:val="nil"/>
              <w:right w:val="single" w:sz="8" w:space="0" w:color="auto"/>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0,2373</w:t>
            </w:r>
          </w:p>
        </w:tc>
        <w:tc>
          <w:tcPr>
            <w:tcW w:w="2614" w:type="dxa"/>
            <w:tcBorders>
              <w:top w:val="nil"/>
              <w:left w:val="nil"/>
              <w:bottom w:val="nil"/>
              <w:right w:val="nil"/>
            </w:tcBorders>
            <w:shd w:val="clear" w:color="auto" w:fill="auto"/>
            <w:noWrap/>
            <w:vAlign w:val="bottom"/>
            <w:hideMark/>
          </w:tcPr>
          <w:p w:rsidR="00314A1E" w:rsidRPr="00DD5C65" w:rsidRDefault="00314A1E" w:rsidP="009C16D2">
            <w:pPr>
              <w:spacing w:after="0" w:line="240" w:lineRule="auto"/>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 xml:space="preserve"> EUHC -/-&gt; USDEUR</w:t>
            </w:r>
          </w:p>
        </w:tc>
        <w:tc>
          <w:tcPr>
            <w:tcW w:w="1063" w:type="dxa"/>
            <w:tcBorders>
              <w:top w:val="nil"/>
              <w:left w:val="nil"/>
              <w:bottom w:val="nil"/>
              <w:right w:val="nil"/>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0,3794</w:t>
            </w:r>
          </w:p>
        </w:tc>
        <w:tc>
          <w:tcPr>
            <w:tcW w:w="1020" w:type="dxa"/>
            <w:tcBorders>
              <w:top w:val="nil"/>
              <w:left w:val="nil"/>
              <w:bottom w:val="nil"/>
              <w:right w:val="single" w:sz="8" w:space="0" w:color="auto"/>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0,6843</w:t>
            </w:r>
          </w:p>
        </w:tc>
      </w:tr>
      <w:tr w:rsidR="00314A1E" w:rsidRPr="00DD5C65" w:rsidTr="009C16D2">
        <w:trPr>
          <w:trHeight w:val="271"/>
        </w:trPr>
        <w:tc>
          <w:tcPr>
            <w:tcW w:w="2550" w:type="dxa"/>
            <w:tcBorders>
              <w:top w:val="nil"/>
              <w:left w:val="single" w:sz="8" w:space="0" w:color="auto"/>
              <w:bottom w:val="single" w:sz="8" w:space="0" w:color="auto"/>
              <w:right w:val="nil"/>
            </w:tcBorders>
            <w:shd w:val="clear" w:color="auto" w:fill="auto"/>
            <w:noWrap/>
            <w:vAlign w:val="bottom"/>
            <w:hideMark/>
          </w:tcPr>
          <w:p w:rsidR="00314A1E" w:rsidRPr="00DD5C65" w:rsidRDefault="00314A1E" w:rsidP="009C16D2">
            <w:pPr>
              <w:spacing w:after="0" w:line="240" w:lineRule="auto"/>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 xml:space="preserve"> CHFEUR -/-&gt; EUHC</w:t>
            </w:r>
          </w:p>
        </w:tc>
        <w:tc>
          <w:tcPr>
            <w:tcW w:w="1063" w:type="dxa"/>
            <w:tcBorders>
              <w:top w:val="nil"/>
              <w:left w:val="nil"/>
              <w:bottom w:val="single" w:sz="8" w:space="0" w:color="auto"/>
              <w:right w:val="nil"/>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3,1873</w:t>
            </w:r>
          </w:p>
        </w:tc>
        <w:tc>
          <w:tcPr>
            <w:tcW w:w="1020" w:type="dxa"/>
            <w:tcBorders>
              <w:top w:val="nil"/>
              <w:left w:val="nil"/>
              <w:bottom w:val="single" w:sz="8" w:space="0" w:color="auto"/>
              <w:right w:val="single" w:sz="8" w:space="0" w:color="auto"/>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0,0414</w:t>
            </w:r>
          </w:p>
        </w:tc>
        <w:tc>
          <w:tcPr>
            <w:tcW w:w="2614" w:type="dxa"/>
            <w:tcBorders>
              <w:top w:val="nil"/>
              <w:left w:val="nil"/>
              <w:bottom w:val="single" w:sz="8" w:space="0" w:color="auto"/>
              <w:right w:val="nil"/>
            </w:tcBorders>
            <w:shd w:val="clear" w:color="auto" w:fill="auto"/>
            <w:noWrap/>
            <w:vAlign w:val="bottom"/>
            <w:hideMark/>
          </w:tcPr>
          <w:p w:rsidR="00314A1E" w:rsidRPr="00DD5C65" w:rsidRDefault="00314A1E" w:rsidP="009C16D2">
            <w:pPr>
              <w:spacing w:after="0" w:line="240" w:lineRule="auto"/>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 xml:space="preserve"> USDEUR -/-&gt; EUHC</w:t>
            </w:r>
          </w:p>
        </w:tc>
        <w:tc>
          <w:tcPr>
            <w:tcW w:w="1063" w:type="dxa"/>
            <w:tcBorders>
              <w:top w:val="nil"/>
              <w:left w:val="nil"/>
              <w:bottom w:val="single" w:sz="8" w:space="0" w:color="auto"/>
              <w:right w:val="nil"/>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5,108</w:t>
            </w:r>
          </w:p>
        </w:tc>
        <w:tc>
          <w:tcPr>
            <w:tcW w:w="1020" w:type="dxa"/>
            <w:tcBorders>
              <w:top w:val="nil"/>
              <w:left w:val="nil"/>
              <w:bottom w:val="single" w:sz="8" w:space="0" w:color="auto"/>
              <w:right w:val="single" w:sz="8" w:space="0" w:color="auto"/>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0,0061</w:t>
            </w:r>
          </w:p>
        </w:tc>
      </w:tr>
      <w:tr w:rsidR="00314A1E" w:rsidRPr="00DD5C65" w:rsidTr="009C16D2">
        <w:trPr>
          <w:trHeight w:val="256"/>
        </w:trPr>
        <w:tc>
          <w:tcPr>
            <w:tcW w:w="2550" w:type="dxa"/>
            <w:tcBorders>
              <w:top w:val="nil"/>
              <w:left w:val="single" w:sz="8" w:space="0" w:color="auto"/>
              <w:bottom w:val="nil"/>
              <w:right w:val="nil"/>
            </w:tcBorders>
            <w:shd w:val="clear" w:color="auto" w:fill="auto"/>
            <w:noWrap/>
            <w:vAlign w:val="bottom"/>
            <w:hideMark/>
          </w:tcPr>
          <w:p w:rsidR="00314A1E" w:rsidRPr="00DD5C65" w:rsidRDefault="00314A1E" w:rsidP="009C16D2">
            <w:pPr>
              <w:spacing w:after="0" w:line="240" w:lineRule="auto"/>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 xml:space="preserve"> EUIND -/-&gt; CHFEUR</w:t>
            </w:r>
          </w:p>
        </w:tc>
        <w:tc>
          <w:tcPr>
            <w:tcW w:w="1063" w:type="dxa"/>
            <w:tcBorders>
              <w:top w:val="nil"/>
              <w:left w:val="nil"/>
              <w:bottom w:val="nil"/>
              <w:right w:val="nil"/>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17,4942</w:t>
            </w:r>
          </w:p>
        </w:tc>
        <w:tc>
          <w:tcPr>
            <w:tcW w:w="1020" w:type="dxa"/>
            <w:tcBorders>
              <w:top w:val="nil"/>
              <w:left w:val="nil"/>
              <w:bottom w:val="nil"/>
              <w:right w:val="single" w:sz="8" w:space="0" w:color="auto"/>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0</w:t>
            </w:r>
          </w:p>
        </w:tc>
        <w:tc>
          <w:tcPr>
            <w:tcW w:w="2614" w:type="dxa"/>
            <w:tcBorders>
              <w:top w:val="nil"/>
              <w:left w:val="nil"/>
              <w:bottom w:val="nil"/>
              <w:right w:val="nil"/>
            </w:tcBorders>
            <w:shd w:val="clear" w:color="auto" w:fill="auto"/>
            <w:noWrap/>
            <w:vAlign w:val="bottom"/>
            <w:hideMark/>
          </w:tcPr>
          <w:p w:rsidR="00314A1E" w:rsidRPr="00DD5C65" w:rsidRDefault="00314A1E" w:rsidP="009C16D2">
            <w:pPr>
              <w:spacing w:after="0" w:line="240" w:lineRule="auto"/>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 xml:space="preserve"> EUIND -/-&gt; USDEUR</w:t>
            </w:r>
          </w:p>
        </w:tc>
        <w:tc>
          <w:tcPr>
            <w:tcW w:w="1063" w:type="dxa"/>
            <w:tcBorders>
              <w:top w:val="nil"/>
              <w:left w:val="nil"/>
              <w:bottom w:val="nil"/>
              <w:right w:val="nil"/>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1,3874</w:t>
            </w:r>
          </w:p>
        </w:tc>
        <w:tc>
          <w:tcPr>
            <w:tcW w:w="1020" w:type="dxa"/>
            <w:tcBorders>
              <w:top w:val="nil"/>
              <w:left w:val="nil"/>
              <w:bottom w:val="nil"/>
              <w:right w:val="single" w:sz="8" w:space="0" w:color="auto"/>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0,2499</w:t>
            </w:r>
          </w:p>
        </w:tc>
      </w:tr>
      <w:tr w:rsidR="00314A1E" w:rsidRPr="00DD5C65" w:rsidTr="009C16D2">
        <w:trPr>
          <w:trHeight w:val="271"/>
        </w:trPr>
        <w:tc>
          <w:tcPr>
            <w:tcW w:w="2550" w:type="dxa"/>
            <w:tcBorders>
              <w:top w:val="nil"/>
              <w:left w:val="single" w:sz="8" w:space="0" w:color="auto"/>
              <w:bottom w:val="single" w:sz="8" w:space="0" w:color="auto"/>
              <w:right w:val="nil"/>
            </w:tcBorders>
            <w:shd w:val="clear" w:color="auto" w:fill="auto"/>
            <w:noWrap/>
            <w:vAlign w:val="bottom"/>
            <w:hideMark/>
          </w:tcPr>
          <w:p w:rsidR="00314A1E" w:rsidRPr="00DD5C65" w:rsidRDefault="00314A1E" w:rsidP="009C16D2">
            <w:pPr>
              <w:spacing w:after="0" w:line="240" w:lineRule="auto"/>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 xml:space="preserve"> CHFEUR -/-&gt; EUIND</w:t>
            </w:r>
          </w:p>
        </w:tc>
        <w:tc>
          <w:tcPr>
            <w:tcW w:w="1063" w:type="dxa"/>
            <w:tcBorders>
              <w:top w:val="nil"/>
              <w:left w:val="nil"/>
              <w:bottom w:val="single" w:sz="8" w:space="0" w:color="auto"/>
              <w:right w:val="nil"/>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2,1912</w:t>
            </w:r>
          </w:p>
        </w:tc>
        <w:tc>
          <w:tcPr>
            <w:tcW w:w="1020" w:type="dxa"/>
            <w:tcBorders>
              <w:top w:val="nil"/>
              <w:left w:val="nil"/>
              <w:bottom w:val="single" w:sz="8" w:space="0" w:color="auto"/>
              <w:right w:val="single" w:sz="8" w:space="0" w:color="auto"/>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0,112</w:t>
            </w:r>
          </w:p>
        </w:tc>
        <w:tc>
          <w:tcPr>
            <w:tcW w:w="2614" w:type="dxa"/>
            <w:tcBorders>
              <w:top w:val="nil"/>
              <w:left w:val="nil"/>
              <w:bottom w:val="single" w:sz="8" w:space="0" w:color="auto"/>
              <w:right w:val="nil"/>
            </w:tcBorders>
            <w:shd w:val="clear" w:color="auto" w:fill="auto"/>
            <w:noWrap/>
            <w:vAlign w:val="bottom"/>
            <w:hideMark/>
          </w:tcPr>
          <w:p w:rsidR="00314A1E" w:rsidRPr="00DD5C65" w:rsidRDefault="00314A1E" w:rsidP="009C16D2">
            <w:pPr>
              <w:spacing w:after="0" w:line="240" w:lineRule="auto"/>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 xml:space="preserve"> USDEUR -/-&gt; EUIND</w:t>
            </w:r>
          </w:p>
        </w:tc>
        <w:tc>
          <w:tcPr>
            <w:tcW w:w="1063" w:type="dxa"/>
            <w:tcBorders>
              <w:top w:val="nil"/>
              <w:left w:val="nil"/>
              <w:bottom w:val="single" w:sz="8" w:space="0" w:color="auto"/>
              <w:right w:val="nil"/>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0,8095</w:t>
            </w:r>
          </w:p>
        </w:tc>
        <w:tc>
          <w:tcPr>
            <w:tcW w:w="1020" w:type="dxa"/>
            <w:tcBorders>
              <w:top w:val="nil"/>
              <w:left w:val="nil"/>
              <w:bottom w:val="single" w:sz="8" w:space="0" w:color="auto"/>
              <w:right w:val="single" w:sz="8" w:space="0" w:color="auto"/>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0,4452</w:t>
            </w:r>
          </w:p>
        </w:tc>
      </w:tr>
      <w:tr w:rsidR="00314A1E" w:rsidRPr="00DD5C65" w:rsidTr="009C16D2">
        <w:trPr>
          <w:trHeight w:val="256"/>
        </w:trPr>
        <w:tc>
          <w:tcPr>
            <w:tcW w:w="2550" w:type="dxa"/>
            <w:tcBorders>
              <w:top w:val="nil"/>
              <w:left w:val="single" w:sz="8" w:space="0" w:color="auto"/>
              <w:bottom w:val="nil"/>
              <w:right w:val="nil"/>
            </w:tcBorders>
            <w:shd w:val="clear" w:color="auto" w:fill="auto"/>
            <w:noWrap/>
            <w:vAlign w:val="bottom"/>
            <w:hideMark/>
          </w:tcPr>
          <w:p w:rsidR="00314A1E" w:rsidRPr="00DD5C65" w:rsidRDefault="00314A1E" w:rsidP="009C16D2">
            <w:pPr>
              <w:spacing w:after="0" w:line="240" w:lineRule="auto"/>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 xml:space="preserve"> EUOG -/-&gt; CHFEUR</w:t>
            </w:r>
          </w:p>
        </w:tc>
        <w:tc>
          <w:tcPr>
            <w:tcW w:w="1063" w:type="dxa"/>
            <w:tcBorders>
              <w:top w:val="nil"/>
              <w:left w:val="nil"/>
              <w:bottom w:val="nil"/>
              <w:right w:val="nil"/>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8,5178</w:t>
            </w:r>
          </w:p>
        </w:tc>
        <w:tc>
          <w:tcPr>
            <w:tcW w:w="1020" w:type="dxa"/>
            <w:tcBorders>
              <w:top w:val="nil"/>
              <w:left w:val="nil"/>
              <w:bottom w:val="nil"/>
              <w:right w:val="single" w:sz="8" w:space="0" w:color="auto"/>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0,0002</w:t>
            </w:r>
          </w:p>
        </w:tc>
        <w:tc>
          <w:tcPr>
            <w:tcW w:w="2614" w:type="dxa"/>
            <w:tcBorders>
              <w:top w:val="nil"/>
              <w:left w:val="nil"/>
              <w:bottom w:val="nil"/>
              <w:right w:val="nil"/>
            </w:tcBorders>
            <w:shd w:val="clear" w:color="auto" w:fill="auto"/>
            <w:noWrap/>
            <w:vAlign w:val="bottom"/>
            <w:hideMark/>
          </w:tcPr>
          <w:p w:rsidR="00314A1E" w:rsidRPr="00DD5C65" w:rsidRDefault="00314A1E" w:rsidP="009C16D2">
            <w:pPr>
              <w:spacing w:after="0" w:line="240" w:lineRule="auto"/>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 xml:space="preserve"> EUOG -/-&gt; USDEUR</w:t>
            </w:r>
          </w:p>
        </w:tc>
        <w:tc>
          <w:tcPr>
            <w:tcW w:w="1063" w:type="dxa"/>
            <w:tcBorders>
              <w:top w:val="nil"/>
              <w:left w:val="nil"/>
              <w:bottom w:val="nil"/>
              <w:right w:val="nil"/>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0,5311</w:t>
            </w:r>
          </w:p>
        </w:tc>
        <w:tc>
          <w:tcPr>
            <w:tcW w:w="1020" w:type="dxa"/>
            <w:tcBorders>
              <w:top w:val="nil"/>
              <w:left w:val="nil"/>
              <w:bottom w:val="nil"/>
              <w:right w:val="single" w:sz="8" w:space="0" w:color="auto"/>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0,588</w:t>
            </w:r>
          </w:p>
        </w:tc>
      </w:tr>
      <w:tr w:rsidR="00314A1E" w:rsidRPr="00DD5C65" w:rsidTr="009C16D2">
        <w:trPr>
          <w:trHeight w:val="271"/>
        </w:trPr>
        <w:tc>
          <w:tcPr>
            <w:tcW w:w="2550" w:type="dxa"/>
            <w:tcBorders>
              <w:top w:val="nil"/>
              <w:left w:val="single" w:sz="8" w:space="0" w:color="auto"/>
              <w:bottom w:val="single" w:sz="8" w:space="0" w:color="auto"/>
              <w:right w:val="nil"/>
            </w:tcBorders>
            <w:shd w:val="clear" w:color="auto" w:fill="auto"/>
            <w:noWrap/>
            <w:vAlign w:val="bottom"/>
            <w:hideMark/>
          </w:tcPr>
          <w:p w:rsidR="00314A1E" w:rsidRPr="00DD5C65" w:rsidRDefault="00314A1E" w:rsidP="009C16D2">
            <w:pPr>
              <w:spacing w:after="0" w:line="240" w:lineRule="auto"/>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 xml:space="preserve"> CHFEUR -/-&gt; EUOG</w:t>
            </w:r>
          </w:p>
        </w:tc>
        <w:tc>
          <w:tcPr>
            <w:tcW w:w="1063" w:type="dxa"/>
            <w:tcBorders>
              <w:top w:val="nil"/>
              <w:left w:val="nil"/>
              <w:bottom w:val="single" w:sz="8" w:space="0" w:color="auto"/>
              <w:right w:val="nil"/>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1,6459</w:t>
            </w:r>
          </w:p>
        </w:tc>
        <w:tc>
          <w:tcPr>
            <w:tcW w:w="1020" w:type="dxa"/>
            <w:tcBorders>
              <w:top w:val="nil"/>
              <w:left w:val="nil"/>
              <w:bottom w:val="single" w:sz="8" w:space="0" w:color="auto"/>
              <w:right w:val="single" w:sz="8" w:space="0" w:color="auto"/>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0,193</w:t>
            </w:r>
          </w:p>
        </w:tc>
        <w:tc>
          <w:tcPr>
            <w:tcW w:w="2614" w:type="dxa"/>
            <w:tcBorders>
              <w:top w:val="nil"/>
              <w:left w:val="nil"/>
              <w:bottom w:val="single" w:sz="8" w:space="0" w:color="auto"/>
              <w:right w:val="nil"/>
            </w:tcBorders>
            <w:shd w:val="clear" w:color="auto" w:fill="auto"/>
            <w:noWrap/>
            <w:vAlign w:val="bottom"/>
            <w:hideMark/>
          </w:tcPr>
          <w:p w:rsidR="00314A1E" w:rsidRPr="00DD5C65" w:rsidRDefault="00314A1E" w:rsidP="009C16D2">
            <w:pPr>
              <w:spacing w:after="0" w:line="240" w:lineRule="auto"/>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 xml:space="preserve"> USDEUR -/-&gt;EUOG</w:t>
            </w:r>
          </w:p>
        </w:tc>
        <w:tc>
          <w:tcPr>
            <w:tcW w:w="1063" w:type="dxa"/>
            <w:tcBorders>
              <w:top w:val="nil"/>
              <w:left w:val="nil"/>
              <w:bottom w:val="single" w:sz="8" w:space="0" w:color="auto"/>
              <w:right w:val="nil"/>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0,6757</w:t>
            </w:r>
          </w:p>
        </w:tc>
        <w:tc>
          <w:tcPr>
            <w:tcW w:w="1020" w:type="dxa"/>
            <w:tcBorders>
              <w:top w:val="nil"/>
              <w:left w:val="nil"/>
              <w:bottom w:val="single" w:sz="8" w:space="0" w:color="auto"/>
              <w:right w:val="single" w:sz="8" w:space="0" w:color="auto"/>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0,5089</w:t>
            </w:r>
          </w:p>
        </w:tc>
      </w:tr>
      <w:tr w:rsidR="00314A1E" w:rsidRPr="00DD5C65" w:rsidTr="009C16D2">
        <w:trPr>
          <w:trHeight w:val="256"/>
        </w:trPr>
        <w:tc>
          <w:tcPr>
            <w:tcW w:w="2550" w:type="dxa"/>
            <w:tcBorders>
              <w:top w:val="nil"/>
              <w:left w:val="single" w:sz="8" w:space="0" w:color="auto"/>
              <w:bottom w:val="nil"/>
              <w:right w:val="nil"/>
            </w:tcBorders>
            <w:shd w:val="clear" w:color="auto" w:fill="auto"/>
            <w:noWrap/>
            <w:vAlign w:val="bottom"/>
            <w:hideMark/>
          </w:tcPr>
          <w:p w:rsidR="00314A1E" w:rsidRPr="00DD5C65" w:rsidRDefault="00314A1E" w:rsidP="009C16D2">
            <w:pPr>
              <w:spacing w:after="0" w:line="240" w:lineRule="auto"/>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 xml:space="preserve"> EUTECH -/-&gt; CHFEUR</w:t>
            </w:r>
          </w:p>
        </w:tc>
        <w:tc>
          <w:tcPr>
            <w:tcW w:w="1063" w:type="dxa"/>
            <w:tcBorders>
              <w:top w:val="nil"/>
              <w:left w:val="nil"/>
              <w:bottom w:val="nil"/>
              <w:right w:val="nil"/>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4,135</w:t>
            </w:r>
          </w:p>
        </w:tc>
        <w:tc>
          <w:tcPr>
            <w:tcW w:w="1020" w:type="dxa"/>
            <w:tcBorders>
              <w:top w:val="nil"/>
              <w:left w:val="nil"/>
              <w:bottom w:val="nil"/>
              <w:right w:val="single" w:sz="8" w:space="0" w:color="auto"/>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0,0161</w:t>
            </w:r>
          </w:p>
        </w:tc>
        <w:tc>
          <w:tcPr>
            <w:tcW w:w="2614" w:type="dxa"/>
            <w:tcBorders>
              <w:top w:val="nil"/>
              <w:left w:val="nil"/>
              <w:bottom w:val="nil"/>
              <w:right w:val="nil"/>
            </w:tcBorders>
            <w:shd w:val="clear" w:color="auto" w:fill="auto"/>
            <w:noWrap/>
            <w:vAlign w:val="bottom"/>
            <w:hideMark/>
          </w:tcPr>
          <w:p w:rsidR="00314A1E" w:rsidRPr="00DD5C65" w:rsidRDefault="00314A1E" w:rsidP="009C16D2">
            <w:pPr>
              <w:spacing w:after="0" w:line="240" w:lineRule="auto"/>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 xml:space="preserve"> EUTECH -/-&gt; USDEUR</w:t>
            </w:r>
          </w:p>
        </w:tc>
        <w:tc>
          <w:tcPr>
            <w:tcW w:w="1063" w:type="dxa"/>
            <w:tcBorders>
              <w:top w:val="nil"/>
              <w:left w:val="nil"/>
              <w:bottom w:val="nil"/>
              <w:right w:val="nil"/>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6,0739</w:t>
            </w:r>
          </w:p>
        </w:tc>
        <w:tc>
          <w:tcPr>
            <w:tcW w:w="1020" w:type="dxa"/>
            <w:tcBorders>
              <w:top w:val="nil"/>
              <w:left w:val="nil"/>
              <w:bottom w:val="nil"/>
              <w:right w:val="single" w:sz="8" w:space="0" w:color="auto"/>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0,0023</w:t>
            </w:r>
          </w:p>
        </w:tc>
      </w:tr>
      <w:tr w:rsidR="00314A1E" w:rsidRPr="00DD5C65" w:rsidTr="009C16D2">
        <w:trPr>
          <w:trHeight w:val="271"/>
        </w:trPr>
        <w:tc>
          <w:tcPr>
            <w:tcW w:w="2550" w:type="dxa"/>
            <w:tcBorders>
              <w:top w:val="nil"/>
              <w:left w:val="single" w:sz="8" w:space="0" w:color="auto"/>
              <w:bottom w:val="single" w:sz="8" w:space="0" w:color="auto"/>
              <w:right w:val="nil"/>
            </w:tcBorders>
            <w:shd w:val="clear" w:color="auto" w:fill="auto"/>
            <w:noWrap/>
            <w:vAlign w:val="bottom"/>
            <w:hideMark/>
          </w:tcPr>
          <w:p w:rsidR="00314A1E" w:rsidRPr="00DD5C65" w:rsidRDefault="00314A1E" w:rsidP="009C16D2">
            <w:pPr>
              <w:spacing w:after="0" w:line="240" w:lineRule="auto"/>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 xml:space="preserve"> CHFEUR -/-&gt; EUTECH</w:t>
            </w:r>
          </w:p>
        </w:tc>
        <w:tc>
          <w:tcPr>
            <w:tcW w:w="1063" w:type="dxa"/>
            <w:tcBorders>
              <w:top w:val="nil"/>
              <w:left w:val="nil"/>
              <w:bottom w:val="single" w:sz="8" w:space="0" w:color="auto"/>
              <w:right w:val="nil"/>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1,7961</w:t>
            </w:r>
          </w:p>
        </w:tc>
        <w:tc>
          <w:tcPr>
            <w:tcW w:w="1020" w:type="dxa"/>
            <w:tcBorders>
              <w:top w:val="nil"/>
              <w:left w:val="nil"/>
              <w:bottom w:val="single" w:sz="8" w:space="0" w:color="auto"/>
              <w:right w:val="single" w:sz="8" w:space="0" w:color="auto"/>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0,1661</w:t>
            </w:r>
          </w:p>
        </w:tc>
        <w:tc>
          <w:tcPr>
            <w:tcW w:w="2614" w:type="dxa"/>
            <w:tcBorders>
              <w:top w:val="nil"/>
              <w:left w:val="nil"/>
              <w:bottom w:val="single" w:sz="8" w:space="0" w:color="auto"/>
              <w:right w:val="nil"/>
            </w:tcBorders>
            <w:shd w:val="clear" w:color="auto" w:fill="auto"/>
            <w:noWrap/>
            <w:vAlign w:val="bottom"/>
            <w:hideMark/>
          </w:tcPr>
          <w:p w:rsidR="00314A1E" w:rsidRPr="00DD5C65" w:rsidRDefault="00314A1E" w:rsidP="009C16D2">
            <w:pPr>
              <w:spacing w:after="0" w:line="240" w:lineRule="auto"/>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 xml:space="preserve"> USDEUR -/-&gt; EUTECH</w:t>
            </w:r>
          </w:p>
        </w:tc>
        <w:tc>
          <w:tcPr>
            <w:tcW w:w="1063" w:type="dxa"/>
            <w:tcBorders>
              <w:top w:val="nil"/>
              <w:left w:val="nil"/>
              <w:bottom w:val="single" w:sz="8" w:space="0" w:color="auto"/>
              <w:right w:val="nil"/>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0,3705</w:t>
            </w:r>
          </w:p>
        </w:tc>
        <w:tc>
          <w:tcPr>
            <w:tcW w:w="1020" w:type="dxa"/>
            <w:tcBorders>
              <w:top w:val="nil"/>
              <w:left w:val="nil"/>
              <w:bottom w:val="single" w:sz="8" w:space="0" w:color="auto"/>
              <w:right w:val="single" w:sz="8" w:space="0" w:color="auto"/>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0,6904</w:t>
            </w:r>
          </w:p>
        </w:tc>
      </w:tr>
      <w:tr w:rsidR="00314A1E" w:rsidRPr="00DD5C65" w:rsidTr="009C16D2">
        <w:trPr>
          <w:trHeight w:val="256"/>
        </w:trPr>
        <w:tc>
          <w:tcPr>
            <w:tcW w:w="2550" w:type="dxa"/>
            <w:tcBorders>
              <w:top w:val="nil"/>
              <w:left w:val="single" w:sz="8" w:space="0" w:color="auto"/>
              <w:bottom w:val="nil"/>
              <w:right w:val="nil"/>
            </w:tcBorders>
            <w:shd w:val="clear" w:color="auto" w:fill="auto"/>
            <w:noWrap/>
            <w:vAlign w:val="bottom"/>
            <w:hideMark/>
          </w:tcPr>
          <w:p w:rsidR="00314A1E" w:rsidRPr="00DD5C65" w:rsidRDefault="00314A1E" w:rsidP="009C16D2">
            <w:pPr>
              <w:spacing w:after="0" w:line="240" w:lineRule="auto"/>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 xml:space="preserve"> EUTEL -/-&gt; CHFEUR</w:t>
            </w:r>
          </w:p>
        </w:tc>
        <w:tc>
          <w:tcPr>
            <w:tcW w:w="1063" w:type="dxa"/>
            <w:tcBorders>
              <w:top w:val="nil"/>
              <w:left w:val="nil"/>
              <w:bottom w:val="nil"/>
              <w:right w:val="nil"/>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6,962</w:t>
            </w:r>
          </w:p>
        </w:tc>
        <w:tc>
          <w:tcPr>
            <w:tcW w:w="1020" w:type="dxa"/>
            <w:tcBorders>
              <w:top w:val="nil"/>
              <w:left w:val="nil"/>
              <w:bottom w:val="nil"/>
              <w:right w:val="single" w:sz="8" w:space="0" w:color="auto"/>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0,001</w:t>
            </w:r>
          </w:p>
        </w:tc>
        <w:tc>
          <w:tcPr>
            <w:tcW w:w="2614" w:type="dxa"/>
            <w:tcBorders>
              <w:top w:val="nil"/>
              <w:left w:val="nil"/>
              <w:bottom w:val="nil"/>
              <w:right w:val="nil"/>
            </w:tcBorders>
            <w:shd w:val="clear" w:color="auto" w:fill="auto"/>
            <w:noWrap/>
            <w:vAlign w:val="bottom"/>
            <w:hideMark/>
          </w:tcPr>
          <w:p w:rsidR="00314A1E" w:rsidRPr="00DD5C65" w:rsidRDefault="00314A1E" w:rsidP="009C16D2">
            <w:pPr>
              <w:spacing w:after="0" w:line="240" w:lineRule="auto"/>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 xml:space="preserve"> EUTEL -/-&gt; USDEUR</w:t>
            </w:r>
          </w:p>
        </w:tc>
        <w:tc>
          <w:tcPr>
            <w:tcW w:w="1063" w:type="dxa"/>
            <w:tcBorders>
              <w:top w:val="nil"/>
              <w:left w:val="nil"/>
              <w:bottom w:val="nil"/>
              <w:right w:val="nil"/>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5,4946</w:t>
            </w:r>
          </w:p>
        </w:tc>
        <w:tc>
          <w:tcPr>
            <w:tcW w:w="1020" w:type="dxa"/>
            <w:tcBorders>
              <w:top w:val="nil"/>
              <w:left w:val="nil"/>
              <w:bottom w:val="nil"/>
              <w:right w:val="single" w:sz="8" w:space="0" w:color="auto"/>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0,0041</w:t>
            </w:r>
          </w:p>
        </w:tc>
      </w:tr>
      <w:tr w:rsidR="00314A1E" w:rsidRPr="00DD5C65" w:rsidTr="009C16D2">
        <w:trPr>
          <w:trHeight w:val="271"/>
        </w:trPr>
        <w:tc>
          <w:tcPr>
            <w:tcW w:w="2550" w:type="dxa"/>
            <w:tcBorders>
              <w:top w:val="nil"/>
              <w:left w:val="single" w:sz="8" w:space="0" w:color="auto"/>
              <w:bottom w:val="single" w:sz="8" w:space="0" w:color="auto"/>
              <w:right w:val="nil"/>
            </w:tcBorders>
            <w:shd w:val="clear" w:color="auto" w:fill="auto"/>
            <w:noWrap/>
            <w:vAlign w:val="bottom"/>
            <w:hideMark/>
          </w:tcPr>
          <w:p w:rsidR="00314A1E" w:rsidRPr="00DD5C65" w:rsidRDefault="00314A1E" w:rsidP="009C16D2">
            <w:pPr>
              <w:spacing w:after="0" w:line="240" w:lineRule="auto"/>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 xml:space="preserve"> CHFEUR -/-&gt; EUTEL</w:t>
            </w:r>
          </w:p>
        </w:tc>
        <w:tc>
          <w:tcPr>
            <w:tcW w:w="1063" w:type="dxa"/>
            <w:tcBorders>
              <w:top w:val="nil"/>
              <w:left w:val="nil"/>
              <w:bottom w:val="single" w:sz="8" w:space="0" w:color="auto"/>
              <w:right w:val="nil"/>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3,3294</w:t>
            </w:r>
          </w:p>
        </w:tc>
        <w:tc>
          <w:tcPr>
            <w:tcW w:w="1020" w:type="dxa"/>
            <w:tcBorders>
              <w:top w:val="nil"/>
              <w:left w:val="nil"/>
              <w:bottom w:val="single" w:sz="8" w:space="0" w:color="auto"/>
              <w:right w:val="single" w:sz="8" w:space="0" w:color="auto"/>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0,0359</w:t>
            </w:r>
          </w:p>
        </w:tc>
        <w:tc>
          <w:tcPr>
            <w:tcW w:w="2614" w:type="dxa"/>
            <w:tcBorders>
              <w:top w:val="nil"/>
              <w:left w:val="nil"/>
              <w:bottom w:val="single" w:sz="8" w:space="0" w:color="auto"/>
              <w:right w:val="nil"/>
            </w:tcBorders>
            <w:shd w:val="clear" w:color="auto" w:fill="auto"/>
            <w:noWrap/>
            <w:vAlign w:val="bottom"/>
            <w:hideMark/>
          </w:tcPr>
          <w:p w:rsidR="00314A1E" w:rsidRPr="00DD5C65" w:rsidRDefault="00314A1E" w:rsidP="009C16D2">
            <w:pPr>
              <w:spacing w:after="0" w:line="240" w:lineRule="auto"/>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 xml:space="preserve"> USDEUR -/-&gt; EUTEL</w:t>
            </w:r>
          </w:p>
        </w:tc>
        <w:tc>
          <w:tcPr>
            <w:tcW w:w="1063" w:type="dxa"/>
            <w:tcBorders>
              <w:top w:val="nil"/>
              <w:left w:val="nil"/>
              <w:bottom w:val="single" w:sz="8" w:space="0" w:color="auto"/>
              <w:right w:val="nil"/>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3,9271</w:t>
            </w:r>
          </w:p>
        </w:tc>
        <w:tc>
          <w:tcPr>
            <w:tcW w:w="1020" w:type="dxa"/>
            <w:tcBorders>
              <w:top w:val="nil"/>
              <w:left w:val="nil"/>
              <w:bottom w:val="single" w:sz="8" w:space="0" w:color="auto"/>
              <w:right w:val="single" w:sz="8" w:space="0" w:color="auto"/>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0,0198</w:t>
            </w:r>
          </w:p>
        </w:tc>
      </w:tr>
      <w:tr w:rsidR="00314A1E" w:rsidRPr="00DD5C65" w:rsidTr="009C16D2">
        <w:trPr>
          <w:trHeight w:val="256"/>
        </w:trPr>
        <w:tc>
          <w:tcPr>
            <w:tcW w:w="2550" w:type="dxa"/>
            <w:tcBorders>
              <w:top w:val="nil"/>
              <w:left w:val="single" w:sz="8" w:space="0" w:color="auto"/>
              <w:bottom w:val="nil"/>
              <w:right w:val="nil"/>
            </w:tcBorders>
            <w:shd w:val="clear" w:color="auto" w:fill="auto"/>
            <w:noWrap/>
            <w:vAlign w:val="bottom"/>
            <w:hideMark/>
          </w:tcPr>
          <w:p w:rsidR="00314A1E" w:rsidRPr="00DD5C65" w:rsidRDefault="00314A1E" w:rsidP="009C16D2">
            <w:pPr>
              <w:spacing w:after="0" w:line="240" w:lineRule="auto"/>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 xml:space="preserve"> EUUT -/-&gt; CHFEUR</w:t>
            </w:r>
          </w:p>
        </w:tc>
        <w:tc>
          <w:tcPr>
            <w:tcW w:w="1063" w:type="dxa"/>
            <w:tcBorders>
              <w:top w:val="nil"/>
              <w:left w:val="nil"/>
              <w:bottom w:val="nil"/>
              <w:right w:val="nil"/>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23,4035</w:t>
            </w:r>
          </w:p>
        </w:tc>
        <w:tc>
          <w:tcPr>
            <w:tcW w:w="1020" w:type="dxa"/>
            <w:tcBorders>
              <w:top w:val="nil"/>
              <w:left w:val="nil"/>
              <w:bottom w:val="nil"/>
              <w:right w:val="single" w:sz="8" w:space="0" w:color="auto"/>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0</w:t>
            </w:r>
          </w:p>
        </w:tc>
        <w:tc>
          <w:tcPr>
            <w:tcW w:w="2614" w:type="dxa"/>
            <w:tcBorders>
              <w:top w:val="nil"/>
              <w:left w:val="nil"/>
              <w:bottom w:val="nil"/>
              <w:right w:val="nil"/>
            </w:tcBorders>
            <w:shd w:val="clear" w:color="auto" w:fill="auto"/>
            <w:noWrap/>
            <w:vAlign w:val="bottom"/>
            <w:hideMark/>
          </w:tcPr>
          <w:p w:rsidR="00314A1E" w:rsidRPr="00DD5C65" w:rsidRDefault="00314A1E" w:rsidP="009C16D2">
            <w:pPr>
              <w:spacing w:after="0" w:line="240" w:lineRule="auto"/>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 xml:space="preserve"> EUUT -/-&gt; USDEUR</w:t>
            </w:r>
          </w:p>
        </w:tc>
        <w:tc>
          <w:tcPr>
            <w:tcW w:w="1063" w:type="dxa"/>
            <w:tcBorders>
              <w:top w:val="nil"/>
              <w:left w:val="nil"/>
              <w:bottom w:val="nil"/>
              <w:right w:val="nil"/>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0,0976</w:t>
            </w:r>
          </w:p>
        </w:tc>
        <w:tc>
          <w:tcPr>
            <w:tcW w:w="1020" w:type="dxa"/>
            <w:tcBorders>
              <w:top w:val="nil"/>
              <w:left w:val="nil"/>
              <w:bottom w:val="nil"/>
              <w:right w:val="single" w:sz="8" w:space="0" w:color="auto"/>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0,907</w:t>
            </w:r>
          </w:p>
        </w:tc>
      </w:tr>
      <w:tr w:rsidR="00314A1E" w:rsidRPr="00DD5C65" w:rsidTr="009C16D2">
        <w:trPr>
          <w:trHeight w:val="271"/>
        </w:trPr>
        <w:tc>
          <w:tcPr>
            <w:tcW w:w="2550" w:type="dxa"/>
            <w:tcBorders>
              <w:top w:val="nil"/>
              <w:left w:val="single" w:sz="8" w:space="0" w:color="auto"/>
              <w:bottom w:val="single" w:sz="8" w:space="0" w:color="auto"/>
              <w:right w:val="nil"/>
            </w:tcBorders>
            <w:shd w:val="clear" w:color="auto" w:fill="auto"/>
            <w:noWrap/>
            <w:vAlign w:val="bottom"/>
            <w:hideMark/>
          </w:tcPr>
          <w:p w:rsidR="00314A1E" w:rsidRPr="00DD5C65" w:rsidRDefault="00314A1E" w:rsidP="009C16D2">
            <w:pPr>
              <w:spacing w:after="0" w:line="240" w:lineRule="auto"/>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 xml:space="preserve"> CHFEUR -/-&gt; EUUT</w:t>
            </w:r>
          </w:p>
        </w:tc>
        <w:tc>
          <w:tcPr>
            <w:tcW w:w="1063" w:type="dxa"/>
            <w:tcBorders>
              <w:top w:val="nil"/>
              <w:left w:val="nil"/>
              <w:bottom w:val="single" w:sz="8" w:space="0" w:color="auto"/>
              <w:right w:val="nil"/>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6,4317</w:t>
            </w:r>
          </w:p>
        </w:tc>
        <w:tc>
          <w:tcPr>
            <w:tcW w:w="1020" w:type="dxa"/>
            <w:tcBorders>
              <w:top w:val="nil"/>
              <w:left w:val="nil"/>
              <w:bottom w:val="single" w:sz="8" w:space="0" w:color="auto"/>
              <w:right w:val="single" w:sz="8" w:space="0" w:color="auto"/>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0,0016</w:t>
            </w:r>
          </w:p>
        </w:tc>
        <w:tc>
          <w:tcPr>
            <w:tcW w:w="2614" w:type="dxa"/>
            <w:tcBorders>
              <w:top w:val="nil"/>
              <w:left w:val="nil"/>
              <w:bottom w:val="single" w:sz="8" w:space="0" w:color="auto"/>
              <w:right w:val="nil"/>
            </w:tcBorders>
            <w:shd w:val="clear" w:color="auto" w:fill="auto"/>
            <w:noWrap/>
            <w:vAlign w:val="bottom"/>
            <w:hideMark/>
          </w:tcPr>
          <w:p w:rsidR="00314A1E" w:rsidRPr="00DD5C65" w:rsidRDefault="00314A1E" w:rsidP="009C16D2">
            <w:pPr>
              <w:spacing w:after="0" w:line="240" w:lineRule="auto"/>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 xml:space="preserve"> USDEUR -/-&gt; EUUT</w:t>
            </w:r>
          </w:p>
        </w:tc>
        <w:tc>
          <w:tcPr>
            <w:tcW w:w="1063" w:type="dxa"/>
            <w:tcBorders>
              <w:top w:val="nil"/>
              <w:left w:val="nil"/>
              <w:bottom w:val="single" w:sz="8" w:space="0" w:color="auto"/>
              <w:right w:val="nil"/>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1,8108</w:t>
            </w:r>
          </w:p>
        </w:tc>
        <w:tc>
          <w:tcPr>
            <w:tcW w:w="1020" w:type="dxa"/>
            <w:tcBorders>
              <w:top w:val="nil"/>
              <w:left w:val="nil"/>
              <w:bottom w:val="single" w:sz="8" w:space="0" w:color="auto"/>
              <w:right w:val="single" w:sz="8" w:space="0" w:color="auto"/>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0,1637</w:t>
            </w:r>
          </w:p>
        </w:tc>
      </w:tr>
    </w:tbl>
    <w:p w:rsidR="00314A1E" w:rsidRDefault="00314A1E" w:rsidP="00314A1E">
      <w:pPr>
        <w:pStyle w:val="NoSpacing"/>
      </w:pPr>
    </w:p>
    <w:p w:rsidR="00314A1E" w:rsidRDefault="00314A1E" w:rsidP="00314A1E">
      <w:pPr>
        <w:pStyle w:val="NoSpacing"/>
      </w:pPr>
      <w:r>
        <w:t>The tests using the European market index and the Swiss franc already indicate Granger causality. Th</w:t>
      </w:r>
      <w:r w:rsidR="00107DB1">
        <w:t>e</w:t>
      </w:r>
      <w:r>
        <w:t xml:space="preserve"> </w:t>
      </w:r>
      <w:r w:rsidR="00534D6D">
        <w:t xml:space="preserve">same </w:t>
      </w:r>
      <w:r>
        <w:t xml:space="preserve">pattern is seen with the indices, while the US dollar is of less importance (but there are some highly significant relations). </w:t>
      </w:r>
    </w:p>
    <w:p w:rsidR="00314A1E" w:rsidRDefault="00314A1E" w:rsidP="00314A1E">
      <w:pPr>
        <w:pStyle w:val="NoSpacing"/>
      </w:pPr>
    </w:p>
    <w:p w:rsidR="00D6604F" w:rsidRDefault="00D6604F" w:rsidP="00314A1E">
      <w:pPr>
        <w:pStyle w:val="NoSpacing"/>
      </w:pPr>
    </w:p>
    <w:p w:rsidR="00314A1E" w:rsidRDefault="00314A1E" w:rsidP="00314A1E">
      <w:pPr>
        <w:pStyle w:val="NoSpacing"/>
      </w:pPr>
      <w:r>
        <w:lastRenderedPageBreak/>
        <w:t>A simple summary, while looking at the 5% level</w:t>
      </w:r>
      <w:r w:rsidR="00107DB1">
        <w:t>:</w:t>
      </w:r>
    </w:p>
    <w:p w:rsidR="00314A1E" w:rsidRDefault="0016653A" w:rsidP="00314A1E">
      <w:pPr>
        <w:pStyle w:val="NoSpacing"/>
        <w:numPr>
          <w:ilvl w:val="0"/>
          <w:numId w:val="13"/>
        </w:numPr>
      </w:pPr>
      <w:r>
        <w:t>10</w:t>
      </w:r>
      <w:r w:rsidR="00314A1E">
        <w:t xml:space="preserve"> European ind</w:t>
      </w:r>
      <w:r>
        <w:t>ices</w:t>
      </w:r>
      <w:r w:rsidR="00314A1E">
        <w:t xml:space="preserve"> Granger cause the Swiss franc (only not health care)</w:t>
      </w:r>
    </w:p>
    <w:p w:rsidR="00314A1E" w:rsidRDefault="00314A1E" w:rsidP="00314A1E">
      <w:pPr>
        <w:pStyle w:val="ListParagraph"/>
        <w:numPr>
          <w:ilvl w:val="0"/>
          <w:numId w:val="13"/>
        </w:numPr>
        <w:spacing w:line="252" w:lineRule="auto"/>
      </w:pPr>
      <w:r>
        <w:t xml:space="preserve">The Swiss franc Granger causes </w:t>
      </w:r>
      <w:r w:rsidR="0016653A">
        <w:t xml:space="preserve">5 </w:t>
      </w:r>
      <w:r>
        <w:t>European ind</w:t>
      </w:r>
      <w:r w:rsidR="0016653A">
        <w:t>ices</w:t>
      </w:r>
      <w:r>
        <w:t xml:space="preserve"> (consumer goods, consumer services, health care, telecom, utilities)</w:t>
      </w:r>
    </w:p>
    <w:p w:rsidR="00314A1E" w:rsidRPr="00534D6D" w:rsidRDefault="00314A1E" w:rsidP="00314A1E">
      <w:pPr>
        <w:rPr>
          <w:color w:val="FF0000"/>
        </w:rPr>
      </w:pPr>
      <w:r>
        <w:t>The directions of influence of the CHFEUR to the sector indices are exhibit in table</w:t>
      </w:r>
      <w:r w:rsidR="00534D6D">
        <w:t xml:space="preserve"> 12</w:t>
      </w:r>
      <w:r>
        <w:t xml:space="preserve">, only the significant relations are shown. </w:t>
      </w:r>
      <w:r w:rsidR="00107DB1">
        <w:t xml:space="preserve">The impulse response functions indicate </w:t>
      </w:r>
      <w:r>
        <w:t>negative</w:t>
      </w:r>
      <w:r w:rsidR="00107DB1">
        <w:t xml:space="preserve"> directions for all significant relationships</w:t>
      </w:r>
      <w:r>
        <w:t>, meaning that an increase in CHFEUR leads to an increase in the index prices</w:t>
      </w:r>
      <w:r w:rsidR="00107DB1">
        <w:t xml:space="preserve">, </w:t>
      </w:r>
      <w:r w:rsidR="00D01972">
        <w:t>these results</w:t>
      </w:r>
      <w:r w:rsidR="00107DB1">
        <w:t xml:space="preserve"> are according to the </w:t>
      </w:r>
      <w:r w:rsidR="00D01972">
        <w:t xml:space="preserve">flow-oriented models. </w:t>
      </w:r>
      <w:r w:rsidR="00D01972" w:rsidRPr="00534D6D">
        <w:rPr>
          <w:color w:val="FF0000"/>
        </w:rPr>
        <w:t xml:space="preserve">These models say that a change in the exchange rate will lead to a change in the future expectations of investors, which will be reflected in the stock prices.  </w:t>
      </w:r>
    </w:p>
    <w:p w:rsidR="00DB031F" w:rsidRDefault="00107DB1" w:rsidP="00107DB1">
      <w:pPr>
        <w:pStyle w:val="NoSpacing"/>
      </w:pPr>
      <w:r>
        <w:t>Table</w:t>
      </w:r>
      <w:r w:rsidR="00DB031F">
        <w:t xml:space="preserve"> 1</w:t>
      </w:r>
      <w:r w:rsidR="00CD606C">
        <w:t>2</w:t>
      </w:r>
      <w:r>
        <w:t>: Impulse response functions CHFEUR to sector</w:t>
      </w:r>
    </w:p>
    <w:tbl>
      <w:tblPr>
        <w:tblW w:w="6720" w:type="dxa"/>
        <w:tblInd w:w="55" w:type="dxa"/>
        <w:tblCellMar>
          <w:left w:w="70" w:type="dxa"/>
          <w:right w:w="70" w:type="dxa"/>
        </w:tblCellMar>
        <w:tblLook w:val="04A0"/>
      </w:tblPr>
      <w:tblGrid>
        <w:gridCol w:w="846"/>
        <w:gridCol w:w="1187"/>
        <w:gridCol w:w="1187"/>
        <w:gridCol w:w="1160"/>
        <w:gridCol w:w="1120"/>
        <w:gridCol w:w="1220"/>
      </w:tblGrid>
      <w:tr w:rsidR="00314A1E" w:rsidRPr="00DC7181" w:rsidTr="009C16D2">
        <w:trPr>
          <w:trHeight w:val="255"/>
        </w:trPr>
        <w:tc>
          <w:tcPr>
            <w:tcW w:w="3220" w:type="dxa"/>
            <w:gridSpan w:val="3"/>
            <w:tcBorders>
              <w:top w:val="single" w:sz="4" w:space="0" w:color="auto"/>
              <w:left w:val="single" w:sz="4" w:space="0" w:color="auto"/>
              <w:bottom w:val="single" w:sz="4" w:space="0" w:color="auto"/>
              <w:right w:val="nil"/>
            </w:tcBorders>
            <w:shd w:val="clear" w:color="auto" w:fill="auto"/>
            <w:noWrap/>
            <w:vAlign w:val="bottom"/>
            <w:hideMark/>
          </w:tcPr>
          <w:p w:rsidR="00314A1E" w:rsidRPr="00DC7181" w:rsidRDefault="00314A1E" w:rsidP="009C16D2">
            <w:pPr>
              <w:spacing w:after="0" w:line="240" w:lineRule="auto"/>
              <w:rPr>
                <w:rFonts w:ascii="Arial" w:eastAsia="Times New Roman" w:hAnsi="Arial" w:cs="Arial"/>
                <w:sz w:val="20"/>
                <w:szCs w:val="20"/>
                <w:lang w:eastAsia="nl-NL" w:bidi="ar-SA"/>
              </w:rPr>
            </w:pPr>
            <w:r w:rsidRPr="00DC7181">
              <w:rPr>
                <w:rFonts w:ascii="Arial" w:eastAsia="Times New Roman" w:hAnsi="Arial" w:cs="Arial"/>
                <w:sz w:val="20"/>
                <w:szCs w:val="20"/>
                <w:lang w:eastAsia="nl-NL" w:bidi="ar-SA"/>
              </w:rPr>
              <w:t>Response of sector to CHFEUR</w:t>
            </w:r>
          </w:p>
        </w:tc>
        <w:tc>
          <w:tcPr>
            <w:tcW w:w="1160" w:type="dxa"/>
            <w:tcBorders>
              <w:top w:val="single" w:sz="4" w:space="0" w:color="auto"/>
              <w:left w:val="nil"/>
              <w:bottom w:val="single" w:sz="4" w:space="0" w:color="auto"/>
              <w:right w:val="nil"/>
            </w:tcBorders>
            <w:shd w:val="clear" w:color="auto" w:fill="auto"/>
            <w:noWrap/>
            <w:vAlign w:val="bottom"/>
            <w:hideMark/>
          </w:tcPr>
          <w:p w:rsidR="00314A1E" w:rsidRPr="00DC7181" w:rsidRDefault="00314A1E" w:rsidP="009C16D2">
            <w:pPr>
              <w:spacing w:after="0" w:line="240" w:lineRule="auto"/>
              <w:rPr>
                <w:rFonts w:ascii="Arial" w:eastAsia="Times New Roman" w:hAnsi="Arial" w:cs="Arial"/>
                <w:sz w:val="20"/>
                <w:szCs w:val="20"/>
                <w:lang w:eastAsia="nl-NL" w:bidi="ar-SA"/>
              </w:rPr>
            </w:pPr>
            <w:r w:rsidRPr="00DC7181">
              <w:rPr>
                <w:rFonts w:ascii="Arial" w:eastAsia="Times New Roman" w:hAnsi="Arial" w:cs="Arial"/>
                <w:sz w:val="20"/>
                <w:szCs w:val="20"/>
                <w:lang w:eastAsia="nl-NL" w:bidi="ar-SA"/>
              </w:rPr>
              <w:t> </w:t>
            </w:r>
          </w:p>
        </w:tc>
        <w:tc>
          <w:tcPr>
            <w:tcW w:w="1120" w:type="dxa"/>
            <w:tcBorders>
              <w:top w:val="single" w:sz="4" w:space="0" w:color="auto"/>
              <w:left w:val="nil"/>
              <w:bottom w:val="single" w:sz="4" w:space="0" w:color="auto"/>
              <w:right w:val="nil"/>
            </w:tcBorders>
            <w:shd w:val="clear" w:color="auto" w:fill="auto"/>
            <w:noWrap/>
            <w:vAlign w:val="bottom"/>
            <w:hideMark/>
          </w:tcPr>
          <w:p w:rsidR="00314A1E" w:rsidRPr="00DC7181" w:rsidRDefault="00314A1E" w:rsidP="009C16D2">
            <w:pPr>
              <w:spacing w:after="0" w:line="240" w:lineRule="auto"/>
              <w:rPr>
                <w:rFonts w:ascii="Arial" w:eastAsia="Times New Roman" w:hAnsi="Arial" w:cs="Arial"/>
                <w:sz w:val="20"/>
                <w:szCs w:val="20"/>
                <w:lang w:eastAsia="nl-NL" w:bidi="ar-SA"/>
              </w:rPr>
            </w:pPr>
            <w:r w:rsidRPr="00DC7181">
              <w:rPr>
                <w:rFonts w:ascii="Arial" w:eastAsia="Times New Roman" w:hAnsi="Arial" w:cs="Arial"/>
                <w:sz w:val="20"/>
                <w:szCs w:val="20"/>
                <w:lang w:eastAsia="nl-NL" w:bidi="ar-SA"/>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rsidR="00314A1E" w:rsidRPr="00DC7181" w:rsidRDefault="00314A1E" w:rsidP="009C16D2">
            <w:pPr>
              <w:spacing w:after="0" w:line="240" w:lineRule="auto"/>
              <w:rPr>
                <w:rFonts w:ascii="Arial" w:eastAsia="Times New Roman" w:hAnsi="Arial" w:cs="Arial"/>
                <w:sz w:val="20"/>
                <w:szCs w:val="20"/>
                <w:lang w:eastAsia="nl-NL" w:bidi="ar-SA"/>
              </w:rPr>
            </w:pPr>
            <w:r w:rsidRPr="00DC7181">
              <w:rPr>
                <w:rFonts w:ascii="Arial" w:eastAsia="Times New Roman" w:hAnsi="Arial" w:cs="Arial"/>
                <w:sz w:val="20"/>
                <w:szCs w:val="20"/>
                <w:lang w:eastAsia="nl-NL" w:bidi="ar-SA"/>
              </w:rPr>
              <w:t> </w:t>
            </w:r>
          </w:p>
        </w:tc>
      </w:tr>
      <w:tr w:rsidR="00314A1E" w:rsidRPr="00DC7181" w:rsidTr="009C16D2">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314A1E" w:rsidRPr="00DC7181" w:rsidRDefault="00314A1E" w:rsidP="009C16D2">
            <w:pPr>
              <w:spacing w:after="0" w:line="240" w:lineRule="auto"/>
              <w:rPr>
                <w:rFonts w:ascii="Arial" w:eastAsia="Times New Roman" w:hAnsi="Arial" w:cs="Arial"/>
                <w:sz w:val="20"/>
                <w:szCs w:val="20"/>
                <w:lang w:val="nl-NL" w:eastAsia="nl-NL" w:bidi="ar-SA"/>
              </w:rPr>
            </w:pPr>
            <w:r w:rsidRPr="00DC7181">
              <w:rPr>
                <w:rFonts w:ascii="Arial" w:eastAsia="Times New Roman" w:hAnsi="Arial" w:cs="Arial"/>
                <w:sz w:val="20"/>
                <w:szCs w:val="20"/>
                <w:lang w:eastAsia="nl-NL" w:bidi="ar-SA"/>
              </w:rPr>
              <w:t xml:space="preserve"> </w:t>
            </w:r>
            <w:proofErr w:type="spellStart"/>
            <w:r w:rsidRPr="00DC7181">
              <w:rPr>
                <w:rFonts w:ascii="Arial" w:eastAsia="Times New Roman" w:hAnsi="Arial" w:cs="Arial"/>
                <w:sz w:val="20"/>
                <w:szCs w:val="20"/>
                <w:lang w:val="nl-NL" w:eastAsia="nl-NL" w:bidi="ar-SA"/>
              </w:rPr>
              <w:t>Period</w:t>
            </w:r>
            <w:proofErr w:type="spellEnd"/>
          </w:p>
        </w:tc>
        <w:tc>
          <w:tcPr>
            <w:tcW w:w="1187" w:type="dxa"/>
            <w:tcBorders>
              <w:top w:val="nil"/>
              <w:left w:val="nil"/>
              <w:bottom w:val="single" w:sz="4" w:space="0" w:color="auto"/>
              <w:right w:val="single" w:sz="4" w:space="0" w:color="auto"/>
            </w:tcBorders>
            <w:shd w:val="clear" w:color="auto" w:fill="auto"/>
            <w:noWrap/>
            <w:vAlign w:val="bottom"/>
            <w:hideMark/>
          </w:tcPr>
          <w:p w:rsidR="00314A1E" w:rsidRPr="00DC7181" w:rsidRDefault="00314A1E" w:rsidP="009C16D2">
            <w:pPr>
              <w:spacing w:after="0" w:line="240" w:lineRule="auto"/>
              <w:rPr>
                <w:rFonts w:ascii="Arial" w:eastAsia="Times New Roman" w:hAnsi="Arial" w:cs="Arial"/>
                <w:sz w:val="20"/>
                <w:szCs w:val="20"/>
                <w:lang w:val="nl-NL" w:eastAsia="nl-NL" w:bidi="ar-SA"/>
              </w:rPr>
            </w:pPr>
            <w:r w:rsidRPr="00DC7181">
              <w:rPr>
                <w:rFonts w:ascii="Arial" w:eastAsia="Times New Roman" w:hAnsi="Arial" w:cs="Arial"/>
                <w:sz w:val="20"/>
                <w:szCs w:val="20"/>
                <w:lang w:val="nl-NL" w:eastAsia="nl-NL" w:bidi="ar-SA"/>
              </w:rPr>
              <w:t>EUCGDS</w:t>
            </w:r>
          </w:p>
        </w:tc>
        <w:tc>
          <w:tcPr>
            <w:tcW w:w="1187" w:type="dxa"/>
            <w:tcBorders>
              <w:top w:val="nil"/>
              <w:left w:val="nil"/>
              <w:bottom w:val="single" w:sz="4" w:space="0" w:color="auto"/>
              <w:right w:val="single" w:sz="4" w:space="0" w:color="auto"/>
            </w:tcBorders>
            <w:shd w:val="clear" w:color="auto" w:fill="auto"/>
            <w:noWrap/>
            <w:vAlign w:val="bottom"/>
            <w:hideMark/>
          </w:tcPr>
          <w:p w:rsidR="00314A1E" w:rsidRPr="00DC7181" w:rsidRDefault="00314A1E" w:rsidP="009C16D2">
            <w:pPr>
              <w:spacing w:after="0" w:line="240" w:lineRule="auto"/>
              <w:rPr>
                <w:rFonts w:ascii="Arial" w:eastAsia="Times New Roman" w:hAnsi="Arial" w:cs="Arial"/>
                <w:sz w:val="20"/>
                <w:szCs w:val="20"/>
                <w:lang w:val="nl-NL" w:eastAsia="nl-NL" w:bidi="ar-SA"/>
              </w:rPr>
            </w:pPr>
            <w:r w:rsidRPr="00DC7181">
              <w:rPr>
                <w:rFonts w:ascii="Arial" w:eastAsia="Times New Roman" w:hAnsi="Arial" w:cs="Arial"/>
                <w:sz w:val="20"/>
                <w:szCs w:val="20"/>
                <w:lang w:val="nl-NL" w:eastAsia="nl-NL" w:bidi="ar-SA"/>
              </w:rPr>
              <w:t>EUCSVS</w:t>
            </w:r>
          </w:p>
        </w:tc>
        <w:tc>
          <w:tcPr>
            <w:tcW w:w="1160" w:type="dxa"/>
            <w:tcBorders>
              <w:top w:val="nil"/>
              <w:left w:val="nil"/>
              <w:bottom w:val="single" w:sz="4" w:space="0" w:color="auto"/>
              <w:right w:val="single" w:sz="4" w:space="0" w:color="auto"/>
            </w:tcBorders>
            <w:shd w:val="clear" w:color="auto" w:fill="auto"/>
            <w:noWrap/>
            <w:vAlign w:val="bottom"/>
            <w:hideMark/>
          </w:tcPr>
          <w:p w:rsidR="00314A1E" w:rsidRPr="00DC7181" w:rsidRDefault="00314A1E" w:rsidP="009C16D2">
            <w:pPr>
              <w:spacing w:after="0" w:line="240" w:lineRule="auto"/>
              <w:rPr>
                <w:rFonts w:ascii="Arial" w:eastAsia="Times New Roman" w:hAnsi="Arial" w:cs="Arial"/>
                <w:sz w:val="20"/>
                <w:szCs w:val="20"/>
                <w:lang w:val="nl-NL" w:eastAsia="nl-NL" w:bidi="ar-SA"/>
              </w:rPr>
            </w:pPr>
            <w:r w:rsidRPr="00DC7181">
              <w:rPr>
                <w:rFonts w:ascii="Arial" w:eastAsia="Times New Roman" w:hAnsi="Arial" w:cs="Arial"/>
                <w:sz w:val="20"/>
                <w:szCs w:val="20"/>
                <w:lang w:val="nl-NL" w:eastAsia="nl-NL" w:bidi="ar-SA"/>
              </w:rPr>
              <w:t>EUHC</w:t>
            </w:r>
          </w:p>
        </w:tc>
        <w:tc>
          <w:tcPr>
            <w:tcW w:w="1120" w:type="dxa"/>
            <w:tcBorders>
              <w:top w:val="nil"/>
              <w:left w:val="nil"/>
              <w:bottom w:val="single" w:sz="4" w:space="0" w:color="auto"/>
              <w:right w:val="single" w:sz="4" w:space="0" w:color="auto"/>
            </w:tcBorders>
            <w:shd w:val="clear" w:color="auto" w:fill="auto"/>
            <w:noWrap/>
            <w:vAlign w:val="bottom"/>
            <w:hideMark/>
          </w:tcPr>
          <w:p w:rsidR="00314A1E" w:rsidRPr="00DC7181" w:rsidRDefault="00314A1E" w:rsidP="009C16D2">
            <w:pPr>
              <w:spacing w:after="0" w:line="240" w:lineRule="auto"/>
              <w:rPr>
                <w:rFonts w:ascii="Arial" w:eastAsia="Times New Roman" w:hAnsi="Arial" w:cs="Arial"/>
                <w:sz w:val="20"/>
                <w:szCs w:val="20"/>
                <w:lang w:val="nl-NL" w:eastAsia="nl-NL" w:bidi="ar-SA"/>
              </w:rPr>
            </w:pPr>
            <w:r w:rsidRPr="00DC7181">
              <w:rPr>
                <w:rFonts w:ascii="Arial" w:eastAsia="Times New Roman" w:hAnsi="Arial" w:cs="Arial"/>
                <w:sz w:val="20"/>
                <w:szCs w:val="20"/>
                <w:lang w:val="nl-NL" w:eastAsia="nl-NL" w:bidi="ar-SA"/>
              </w:rPr>
              <w:t>EUTEL</w:t>
            </w:r>
          </w:p>
        </w:tc>
        <w:tc>
          <w:tcPr>
            <w:tcW w:w="1220" w:type="dxa"/>
            <w:tcBorders>
              <w:top w:val="nil"/>
              <w:left w:val="nil"/>
              <w:bottom w:val="single" w:sz="4" w:space="0" w:color="auto"/>
              <w:right w:val="single" w:sz="4" w:space="0" w:color="auto"/>
            </w:tcBorders>
            <w:shd w:val="clear" w:color="auto" w:fill="auto"/>
            <w:noWrap/>
            <w:vAlign w:val="bottom"/>
            <w:hideMark/>
          </w:tcPr>
          <w:p w:rsidR="00314A1E" w:rsidRPr="00DC7181" w:rsidRDefault="00314A1E" w:rsidP="009C16D2">
            <w:pPr>
              <w:spacing w:after="0" w:line="240" w:lineRule="auto"/>
              <w:rPr>
                <w:rFonts w:ascii="Arial" w:eastAsia="Times New Roman" w:hAnsi="Arial" w:cs="Arial"/>
                <w:sz w:val="20"/>
                <w:szCs w:val="20"/>
                <w:lang w:val="nl-NL" w:eastAsia="nl-NL" w:bidi="ar-SA"/>
              </w:rPr>
            </w:pPr>
            <w:r w:rsidRPr="00DC7181">
              <w:rPr>
                <w:rFonts w:ascii="Arial" w:eastAsia="Times New Roman" w:hAnsi="Arial" w:cs="Arial"/>
                <w:sz w:val="20"/>
                <w:szCs w:val="20"/>
                <w:lang w:val="nl-NL" w:eastAsia="nl-NL" w:bidi="ar-SA"/>
              </w:rPr>
              <w:t>EUUT</w:t>
            </w:r>
          </w:p>
        </w:tc>
      </w:tr>
      <w:tr w:rsidR="00314A1E" w:rsidRPr="00DC7181" w:rsidTr="009C16D2">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314A1E" w:rsidRPr="00DC7181" w:rsidRDefault="00314A1E" w:rsidP="009C16D2">
            <w:pPr>
              <w:spacing w:after="0" w:line="240" w:lineRule="auto"/>
              <w:jc w:val="right"/>
              <w:rPr>
                <w:rFonts w:ascii="Arial" w:eastAsia="Times New Roman" w:hAnsi="Arial" w:cs="Arial"/>
                <w:sz w:val="20"/>
                <w:szCs w:val="20"/>
                <w:lang w:val="nl-NL" w:eastAsia="nl-NL" w:bidi="ar-SA"/>
              </w:rPr>
            </w:pPr>
            <w:r w:rsidRPr="00DC7181">
              <w:rPr>
                <w:rFonts w:ascii="Arial" w:eastAsia="Times New Roman" w:hAnsi="Arial" w:cs="Arial"/>
                <w:sz w:val="20"/>
                <w:szCs w:val="20"/>
                <w:lang w:val="nl-NL" w:eastAsia="nl-NL" w:bidi="ar-SA"/>
              </w:rPr>
              <w:t>1</w:t>
            </w:r>
          </w:p>
        </w:tc>
        <w:tc>
          <w:tcPr>
            <w:tcW w:w="1187" w:type="dxa"/>
            <w:tcBorders>
              <w:top w:val="nil"/>
              <w:left w:val="nil"/>
              <w:bottom w:val="single" w:sz="4" w:space="0" w:color="auto"/>
              <w:right w:val="single" w:sz="4" w:space="0" w:color="auto"/>
            </w:tcBorders>
            <w:shd w:val="clear" w:color="auto" w:fill="auto"/>
            <w:noWrap/>
            <w:vAlign w:val="bottom"/>
            <w:hideMark/>
          </w:tcPr>
          <w:p w:rsidR="00314A1E" w:rsidRPr="00DC7181" w:rsidRDefault="00314A1E" w:rsidP="009C16D2">
            <w:pPr>
              <w:spacing w:after="0" w:line="240" w:lineRule="auto"/>
              <w:jc w:val="right"/>
              <w:rPr>
                <w:rFonts w:ascii="Arial" w:eastAsia="Times New Roman" w:hAnsi="Arial" w:cs="Arial"/>
                <w:sz w:val="20"/>
                <w:szCs w:val="20"/>
                <w:lang w:val="nl-NL" w:eastAsia="nl-NL" w:bidi="ar-SA"/>
              </w:rPr>
            </w:pPr>
            <w:r w:rsidRPr="00DC7181">
              <w:rPr>
                <w:rFonts w:ascii="Arial" w:eastAsia="Times New Roman" w:hAnsi="Arial" w:cs="Arial"/>
                <w:sz w:val="20"/>
                <w:szCs w:val="20"/>
                <w:lang w:val="nl-NL" w:eastAsia="nl-NL" w:bidi="ar-SA"/>
              </w:rPr>
              <w:t>-0,746122</w:t>
            </w:r>
          </w:p>
        </w:tc>
        <w:tc>
          <w:tcPr>
            <w:tcW w:w="1187" w:type="dxa"/>
            <w:tcBorders>
              <w:top w:val="nil"/>
              <w:left w:val="nil"/>
              <w:bottom w:val="single" w:sz="4" w:space="0" w:color="auto"/>
              <w:right w:val="single" w:sz="4" w:space="0" w:color="auto"/>
            </w:tcBorders>
            <w:shd w:val="clear" w:color="auto" w:fill="auto"/>
            <w:noWrap/>
            <w:vAlign w:val="bottom"/>
            <w:hideMark/>
          </w:tcPr>
          <w:p w:rsidR="00314A1E" w:rsidRPr="00DC7181" w:rsidRDefault="00314A1E" w:rsidP="009C16D2">
            <w:pPr>
              <w:spacing w:after="0" w:line="240" w:lineRule="auto"/>
              <w:jc w:val="right"/>
              <w:rPr>
                <w:rFonts w:ascii="Arial" w:eastAsia="Times New Roman" w:hAnsi="Arial" w:cs="Arial"/>
                <w:sz w:val="20"/>
                <w:szCs w:val="20"/>
                <w:lang w:val="nl-NL" w:eastAsia="nl-NL" w:bidi="ar-SA"/>
              </w:rPr>
            </w:pPr>
            <w:r w:rsidRPr="00DC7181">
              <w:rPr>
                <w:rFonts w:ascii="Arial" w:eastAsia="Times New Roman" w:hAnsi="Arial" w:cs="Arial"/>
                <w:sz w:val="20"/>
                <w:szCs w:val="20"/>
                <w:lang w:val="nl-NL" w:eastAsia="nl-NL" w:bidi="ar-SA"/>
              </w:rPr>
              <w:t>-0,515714</w:t>
            </w:r>
          </w:p>
        </w:tc>
        <w:tc>
          <w:tcPr>
            <w:tcW w:w="1160" w:type="dxa"/>
            <w:tcBorders>
              <w:top w:val="nil"/>
              <w:left w:val="nil"/>
              <w:bottom w:val="single" w:sz="4" w:space="0" w:color="auto"/>
              <w:right w:val="single" w:sz="4" w:space="0" w:color="auto"/>
            </w:tcBorders>
            <w:shd w:val="clear" w:color="auto" w:fill="auto"/>
            <w:noWrap/>
            <w:vAlign w:val="bottom"/>
            <w:hideMark/>
          </w:tcPr>
          <w:p w:rsidR="00314A1E" w:rsidRPr="00DC7181" w:rsidRDefault="00314A1E" w:rsidP="009C16D2">
            <w:pPr>
              <w:spacing w:after="0" w:line="240" w:lineRule="auto"/>
              <w:jc w:val="right"/>
              <w:rPr>
                <w:rFonts w:ascii="Arial" w:eastAsia="Times New Roman" w:hAnsi="Arial" w:cs="Arial"/>
                <w:sz w:val="20"/>
                <w:szCs w:val="20"/>
                <w:lang w:val="nl-NL" w:eastAsia="nl-NL" w:bidi="ar-SA"/>
              </w:rPr>
            </w:pPr>
            <w:r w:rsidRPr="00DC7181">
              <w:rPr>
                <w:rFonts w:ascii="Arial" w:eastAsia="Times New Roman" w:hAnsi="Arial" w:cs="Arial"/>
                <w:sz w:val="20"/>
                <w:szCs w:val="20"/>
                <w:lang w:val="nl-NL" w:eastAsia="nl-NL" w:bidi="ar-SA"/>
              </w:rPr>
              <w:t>-0,422304</w:t>
            </w:r>
          </w:p>
        </w:tc>
        <w:tc>
          <w:tcPr>
            <w:tcW w:w="1120" w:type="dxa"/>
            <w:tcBorders>
              <w:top w:val="nil"/>
              <w:left w:val="nil"/>
              <w:bottom w:val="single" w:sz="4" w:space="0" w:color="auto"/>
              <w:right w:val="single" w:sz="4" w:space="0" w:color="auto"/>
            </w:tcBorders>
            <w:shd w:val="clear" w:color="auto" w:fill="auto"/>
            <w:noWrap/>
            <w:vAlign w:val="bottom"/>
            <w:hideMark/>
          </w:tcPr>
          <w:p w:rsidR="00314A1E" w:rsidRPr="00DC7181" w:rsidRDefault="00314A1E" w:rsidP="009C16D2">
            <w:pPr>
              <w:spacing w:after="0" w:line="240" w:lineRule="auto"/>
              <w:jc w:val="right"/>
              <w:rPr>
                <w:rFonts w:ascii="Arial" w:eastAsia="Times New Roman" w:hAnsi="Arial" w:cs="Arial"/>
                <w:sz w:val="20"/>
                <w:szCs w:val="20"/>
                <w:lang w:val="nl-NL" w:eastAsia="nl-NL" w:bidi="ar-SA"/>
              </w:rPr>
            </w:pPr>
            <w:r w:rsidRPr="00DC7181">
              <w:rPr>
                <w:rFonts w:ascii="Arial" w:eastAsia="Times New Roman" w:hAnsi="Arial" w:cs="Arial"/>
                <w:sz w:val="20"/>
                <w:szCs w:val="20"/>
                <w:lang w:val="nl-NL" w:eastAsia="nl-NL" w:bidi="ar-SA"/>
              </w:rPr>
              <w:t>-1,11693</w:t>
            </w:r>
          </w:p>
        </w:tc>
        <w:tc>
          <w:tcPr>
            <w:tcW w:w="1220" w:type="dxa"/>
            <w:tcBorders>
              <w:top w:val="nil"/>
              <w:left w:val="nil"/>
              <w:bottom w:val="single" w:sz="4" w:space="0" w:color="auto"/>
              <w:right w:val="single" w:sz="4" w:space="0" w:color="auto"/>
            </w:tcBorders>
            <w:shd w:val="clear" w:color="auto" w:fill="auto"/>
            <w:noWrap/>
            <w:vAlign w:val="bottom"/>
            <w:hideMark/>
          </w:tcPr>
          <w:p w:rsidR="00314A1E" w:rsidRPr="00DC7181" w:rsidRDefault="00314A1E" w:rsidP="009C16D2">
            <w:pPr>
              <w:spacing w:after="0" w:line="240" w:lineRule="auto"/>
              <w:jc w:val="right"/>
              <w:rPr>
                <w:rFonts w:ascii="Arial" w:eastAsia="Times New Roman" w:hAnsi="Arial" w:cs="Arial"/>
                <w:sz w:val="20"/>
                <w:szCs w:val="20"/>
                <w:lang w:val="nl-NL" w:eastAsia="nl-NL" w:bidi="ar-SA"/>
              </w:rPr>
            </w:pPr>
            <w:r w:rsidRPr="00DC7181">
              <w:rPr>
                <w:rFonts w:ascii="Arial" w:eastAsia="Times New Roman" w:hAnsi="Arial" w:cs="Arial"/>
                <w:sz w:val="20"/>
                <w:szCs w:val="20"/>
                <w:lang w:val="nl-NL" w:eastAsia="nl-NL" w:bidi="ar-SA"/>
              </w:rPr>
              <w:t>-1,100602</w:t>
            </w:r>
          </w:p>
        </w:tc>
      </w:tr>
      <w:tr w:rsidR="00314A1E" w:rsidRPr="00DC7181" w:rsidTr="009C16D2">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314A1E" w:rsidRPr="00DC7181" w:rsidRDefault="00314A1E" w:rsidP="009C16D2">
            <w:pPr>
              <w:spacing w:after="0" w:line="240" w:lineRule="auto"/>
              <w:jc w:val="right"/>
              <w:rPr>
                <w:rFonts w:ascii="Arial" w:eastAsia="Times New Roman" w:hAnsi="Arial" w:cs="Arial"/>
                <w:sz w:val="20"/>
                <w:szCs w:val="20"/>
                <w:lang w:val="nl-NL" w:eastAsia="nl-NL" w:bidi="ar-SA"/>
              </w:rPr>
            </w:pPr>
            <w:r w:rsidRPr="00DC7181">
              <w:rPr>
                <w:rFonts w:ascii="Arial" w:eastAsia="Times New Roman" w:hAnsi="Arial" w:cs="Arial"/>
                <w:sz w:val="20"/>
                <w:szCs w:val="20"/>
                <w:lang w:val="nl-NL" w:eastAsia="nl-NL" w:bidi="ar-SA"/>
              </w:rPr>
              <w:t>2</w:t>
            </w:r>
          </w:p>
        </w:tc>
        <w:tc>
          <w:tcPr>
            <w:tcW w:w="1187" w:type="dxa"/>
            <w:tcBorders>
              <w:top w:val="nil"/>
              <w:left w:val="nil"/>
              <w:bottom w:val="single" w:sz="4" w:space="0" w:color="auto"/>
              <w:right w:val="single" w:sz="4" w:space="0" w:color="auto"/>
            </w:tcBorders>
            <w:shd w:val="clear" w:color="auto" w:fill="auto"/>
            <w:noWrap/>
            <w:vAlign w:val="bottom"/>
            <w:hideMark/>
          </w:tcPr>
          <w:p w:rsidR="00314A1E" w:rsidRPr="00DC7181" w:rsidRDefault="00314A1E" w:rsidP="009C16D2">
            <w:pPr>
              <w:spacing w:after="0" w:line="240" w:lineRule="auto"/>
              <w:jc w:val="right"/>
              <w:rPr>
                <w:rFonts w:ascii="Arial" w:eastAsia="Times New Roman" w:hAnsi="Arial" w:cs="Arial"/>
                <w:sz w:val="20"/>
                <w:szCs w:val="20"/>
                <w:lang w:val="nl-NL" w:eastAsia="nl-NL" w:bidi="ar-SA"/>
              </w:rPr>
            </w:pPr>
            <w:r w:rsidRPr="00DC7181">
              <w:rPr>
                <w:rFonts w:ascii="Arial" w:eastAsia="Times New Roman" w:hAnsi="Arial" w:cs="Arial"/>
                <w:sz w:val="20"/>
                <w:szCs w:val="20"/>
                <w:lang w:val="nl-NL" w:eastAsia="nl-NL" w:bidi="ar-SA"/>
              </w:rPr>
              <w:t>-0,376408</w:t>
            </w:r>
          </w:p>
        </w:tc>
        <w:tc>
          <w:tcPr>
            <w:tcW w:w="1187" w:type="dxa"/>
            <w:tcBorders>
              <w:top w:val="nil"/>
              <w:left w:val="nil"/>
              <w:bottom w:val="single" w:sz="4" w:space="0" w:color="auto"/>
              <w:right w:val="single" w:sz="4" w:space="0" w:color="auto"/>
            </w:tcBorders>
            <w:shd w:val="clear" w:color="auto" w:fill="auto"/>
            <w:noWrap/>
            <w:vAlign w:val="bottom"/>
            <w:hideMark/>
          </w:tcPr>
          <w:p w:rsidR="00314A1E" w:rsidRPr="00DC7181" w:rsidRDefault="00314A1E" w:rsidP="009C16D2">
            <w:pPr>
              <w:spacing w:after="0" w:line="240" w:lineRule="auto"/>
              <w:jc w:val="right"/>
              <w:rPr>
                <w:rFonts w:ascii="Arial" w:eastAsia="Times New Roman" w:hAnsi="Arial" w:cs="Arial"/>
                <w:sz w:val="20"/>
                <w:szCs w:val="20"/>
                <w:lang w:val="nl-NL" w:eastAsia="nl-NL" w:bidi="ar-SA"/>
              </w:rPr>
            </w:pPr>
            <w:r w:rsidRPr="00DC7181">
              <w:rPr>
                <w:rFonts w:ascii="Arial" w:eastAsia="Times New Roman" w:hAnsi="Arial" w:cs="Arial"/>
                <w:sz w:val="20"/>
                <w:szCs w:val="20"/>
                <w:lang w:val="nl-NL" w:eastAsia="nl-NL" w:bidi="ar-SA"/>
              </w:rPr>
              <w:t>-0,406581</w:t>
            </w:r>
          </w:p>
        </w:tc>
        <w:tc>
          <w:tcPr>
            <w:tcW w:w="1160" w:type="dxa"/>
            <w:tcBorders>
              <w:top w:val="nil"/>
              <w:left w:val="nil"/>
              <w:bottom w:val="single" w:sz="4" w:space="0" w:color="auto"/>
              <w:right w:val="single" w:sz="4" w:space="0" w:color="auto"/>
            </w:tcBorders>
            <w:shd w:val="clear" w:color="auto" w:fill="auto"/>
            <w:noWrap/>
            <w:vAlign w:val="bottom"/>
            <w:hideMark/>
          </w:tcPr>
          <w:p w:rsidR="00314A1E" w:rsidRPr="00DC7181" w:rsidRDefault="00314A1E" w:rsidP="009C16D2">
            <w:pPr>
              <w:spacing w:after="0" w:line="240" w:lineRule="auto"/>
              <w:jc w:val="right"/>
              <w:rPr>
                <w:rFonts w:ascii="Arial" w:eastAsia="Times New Roman" w:hAnsi="Arial" w:cs="Arial"/>
                <w:sz w:val="20"/>
                <w:szCs w:val="20"/>
                <w:lang w:val="nl-NL" w:eastAsia="nl-NL" w:bidi="ar-SA"/>
              </w:rPr>
            </w:pPr>
            <w:r w:rsidRPr="00DC7181">
              <w:rPr>
                <w:rFonts w:ascii="Arial" w:eastAsia="Times New Roman" w:hAnsi="Arial" w:cs="Arial"/>
                <w:sz w:val="20"/>
                <w:szCs w:val="20"/>
                <w:lang w:val="nl-NL" w:eastAsia="nl-NL" w:bidi="ar-SA"/>
              </w:rPr>
              <w:t>-0,1557</w:t>
            </w:r>
          </w:p>
        </w:tc>
        <w:tc>
          <w:tcPr>
            <w:tcW w:w="1120" w:type="dxa"/>
            <w:tcBorders>
              <w:top w:val="nil"/>
              <w:left w:val="nil"/>
              <w:bottom w:val="single" w:sz="4" w:space="0" w:color="auto"/>
              <w:right w:val="single" w:sz="4" w:space="0" w:color="auto"/>
            </w:tcBorders>
            <w:shd w:val="clear" w:color="auto" w:fill="auto"/>
            <w:noWrap/>
            <w:vAlign w:val="bottom"/>
            <w:hideMark/>
          </w:tcPr>
          <w:p w:rsidR="00314A1E" w:rsidRPr="00DC7181" w:rsidRDefault="00314A1E" w:rsidP="009C16D2">
            <w:pPr>
              <w:spacing w:after="0" w:line="240" w:lineRule="auto"/>
              <w:jc w:val="right"/>
              <w:rPr>
                <w:rFonts w:ascii="Arial" w:eastAsia="Times New Roman" w:hAnsi="Arial" w:cs="Arial"/>
                <w:sz w:val="20"/>
                <w:szCs w:val="20"/>
                <w:lang w:val="nl-NL" w:eastAsia="nl-NL" w:bidi="ar-SA"/>
              </w:rPr>
            </w:pPr>
            <w:r w:rsidRPr="00DC7181">
              <w:rPr>
                <w:rFonts w:ascii="Arial" w:eastAsia="Times New Roman" w:hAnsi="Arial" w:cs="Arial"/>
                <w:sz w:val="20"/>
                <w:szCs w:val="20"/>
                <w:lang w:val="nl-NL" w:eastAsia="nl-NL" w:bidi="ar-SA"/>
              </w:rPr>
              <w:t>-0,827593</w:t>
            </w:r>
          </w:p>
        </w:tc>
        <w:tc>
          <w:tcPr>
            <w:tcW w:w="1220" w:type="dxa"/>
            <w:tcBorders>
              <w:top w:val="nil"/>
              <w:left w:val="nil"/>
              <w:bottom w:val="single" w:sz="4" w:space="0" w:color="auto"/>
              <w:right w:val="single" w:sz="4" w:space="0" w:color="auto"/>
            </w:tcBorders>
            <w:shd w:val="clear" w:color="auto" w:fill="auto"/>
            <w:noWrap/>
            <w:vAlign w:val="bottom"/>
            <w:hideMark/>
          </w:tcPr>
          <w:p w:rsidR="00314A1E" w:rsidRPr="00DC7181" w:rsidRDefault="00314A1E" w:rsidP="009C16D2">
            <w:pPr>
              <w:spacing w:after="0" w:line="240" w:lineRule="auto"/>
              <w:jc w:val="right"/>
              <w:rPr>
                <w:rFonts w:ascii="Arial" w:eastAsia="Times New Roman" w:hAnsi="Arial" w:cs="Arial"/>
                <w:sz w:val="20"/>
                <w:szCs w:val="20"/>
                <w:lang w:val="nl-NL" w:eastAsia="nl-NL" w:bidi="ar-SA"/>
              </w:rPr>
            </w:pPr>
            <w:r w:rsidRPr="00DC7181">
              <w:rPr>
                <w:rFonts w:ascii="Arial" w:eastAsia="Times New Roman" w:hAnsi="Arial" w:cs="Arial"/>
                <w:sz w:val="20"/>
                <w:szCs w:val="20"/>
                <w:lang w:val="nl-NL" w:eastAsia="nl-NL" w:bidi="ar-SA"/>
              </w:rPr>
              <w:t>-0,840197</w:t>
            </w:r>
          </w:p>
        </w:tc>
      </w:tr>
      <w:tr w:rsidR="00314A1E" w:rsidRPr="00DC7181" w:rsidTr="009C16D2">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314A1E" w:rsidRPr="00DC7181" w:rsidRDefault="00314A1E" w:rsidP="009C16D2">
            <w:pPr>
              <w:spacing w:after="0" w:line="240" w:lineRule="auto"/>
              <w:jc w:val="right"/>
              <w:rPr>
                <w:rFonts w:ascii="Arial" w:eastAsia="Times New Roman" w:hAnsi="Arial" w:cs="Arial"/>
                <w:sz w:val="20"/>
                <w:szCs w:val="20"/>
                <w:lang w:val="nl-NL" w:eastAsia="nl-NL" w:bidi="ar-SA"/>
              </w:rPr>
            </w:pPr>
            <w:r w:rsidRPr="00DC7181">
              <w:rPr>
                <w:rFonts w:ascii="Arial" w:eastAsia="Times New Roman" w:hAnsi="Arial" w:cs="Arial"/>
                <w:sz w:val="20"/>
                <w:szCs w:val="20"/>
                <w:lang w:val="nl-NL" w:eastAsia="nl-NL" w:bidi="ar-SA"/>
              </w:rPr>
              <w:t>3</w:t>
            </w:r>
          </w:p>
        </w:tc>
        <w:tc>
          <w:tcPr>
            <w:tcW w:w="1187" w:type="dxa"/>
            <w:tcBorders>
              <w:top w:val="nil"/>
              <w:left w:val="nil"/>
              <w:bottom w:val="single" w:sz="4" w:space="0" w:color="auto"/>
              <w:right w:val="single" w:sz="4" w:space="0" w:color="auto"/>
            </w:tcBorders>
            <w:shd w:val="clear" w:color="auto" w:fill="auto"/>
            <w:noWrap/>
            <w:vAlign w:val="bottom"/>
            <w:hideMark/>
          </w:tcPr>
          <w:p w:rsidR="00314A1E" w:rsidRPr="00DC7181" w:rsidRDefault="00314A1E" w:rsidP="009C16D2">
            <w:pPr>
              <w:spacing w:after="0" w:line="240" w:lineRule="auto"/>
              <w:jc w:val="right"/>
              <w:rPr>
                <w:rFonts w:ascii="Arial" w:eastAsia="Times New Roman" w:hAnsi="Arial" w:cs="Arial"/>
                <w:sz w:val="20"/>
                <w:szCs w:val="20"/>
                <w:lang w:val="nl-NL" w:eastAsia="nl-NL" w:bidi="ar-SA"/>
              </w:rPr>
            </w:pPr>
            <w:r w:rsidRPr="00DC7181">
              <w:rPr>
                <w:rFonts w:ascii="Arial" w:eastAsia="Times New Roman" w:hAnsi="Arial" w:cs="Arial"/>
                <w:sz w:val="20"/>
                <w:szCs w:val="20"/>
                <w:lang w:val="nl-NL" w:eastAsia="nl-NL" w:bidi="ar-SA"/>
              </w:rPr>
              <w:t>-0,376645</w:t>
            </w:r>
          </w:p>
        </w:tc>
        <w:tc>
          <w:tcPr>
            <w:tcW w:w="1187" w:type="dxa"/>
            <w:tcBorders>
              <w:top w:val="nil"/>
              <w:left w:val="nil"/>
              <w:bottom w:val="single" w:sz="4" w:space="0" w:color="auto"/>
              <w:right w:val="single" w:sz="4" w:space="0" w:color="auto"/>
            </w:tcBorders>
            <w:shd w:val="clear" w:color="auto" w:fill="auto"/>
            <w:noWrap/>
            <w:vAlign w:val="bottom"/>
            <w:hideMark/>
          </w:tcPr>
          <w:p w:rsidR="00314A1E" w:rsidRPr="00DC7181" w:rsidRDefault="00314A1E" w:rsidP="009C16D2">
            <w:pPr>
              <w:spacing w:after="0" w:line="240" w:lineRule="auto"/>
              <w:jc w:val="right"/>
              <w:rPr>
                <w:rFonts w:ascii="Arial" w:eastAsia="Times New Roman" w:hAnsi="Arial" w:cs="Arial"/>
                <w:sz w:val="20"/>
                <w:szCs w:val="20"/>
                <w:lang w:val="nl-NL" w:eastAsia="nl-NL" w:bidi="ar-SA"/>
              </w:rPr>
            </w:pPr>
            <w:r w:rsidRPr="00DC7181">
              <w:rPr>
                <w:rFonts w:ascii="Arial" w:eastAsia="Times New Roman" w:hAnsi="Arial" w:cs="Arial"/>
                <w:sz w:val="20"/>
                <w:szCs w:val="20"/>
                <w:lang w:val="nl-NL" w:eastAsia="nl-NL" w:bidi="ar-SA"/>
              </w:rPr>
              <w:t>-0,39719</w:t>
            </w:r>
          </w:p>
        </w:tc>
        <w:tc>
          <w:tcPr>
            <w:tcW w:w="1160" w:type="dxa"/>
            <w:tcBorders>
              <w:top w:val="nil"/>
              <w:left w:val="nil"/>
              <w:bottom w:val="single" w:sz="4" w:space="0" w:color="auto"/>
              <w:right w:val="single" w:sz="4" w:space="0" w:color="auto"/>
            </w:tcBorders>
            <w:shd w:val="clear" w:color="auto" w:fill="auto"/>
            <w:noWrap/>
            <w:vAlign w:val="bottom"/>
            <w:hideMark/>
          </w:tcPr>
          <w:p w:rsidR="00314A1E" w:rsidRPr="00DC7181" w:rsidRDefault="00314A1E" w:rsidP="009C16D2">
            <w:pPr>
              <w:spacing w:after="0" w:line="240" w:lineRule="auto"/>
              <w:jc w:val="right"/>
              <w:rPr>
                <w:rFonts w:ascii="Arial" w:eastAsia="Times New Roman" w:hAnsi="Arial" w:cs="Arial"/>
                <w:sz w:val="20"/>
                <w:szCs w:val="20"/>
                <w:lang w:val="nl-NL" w:eastAsia="nl-NL" w:bidi="ar-SA"/>
              </w:rPr>
            </w:pPr>
            <w:r w:rsidRPr="00DC7181">
              <w:rPr>
                <w:rFonts w:ascii="Arial" w:eastAsia="Times New Roman" w:hAnsi="Arial" w:cs="Arial"/>
                <w:sz w:val="20"/>
                <w:szCs w:val="20"/>
                <w:lang w:val="nl-NL" w:eastAsia="nl-NL" w:bidi="ar-SA"/>
              </w:rPr>
              <w:t>-0,152163</w:t>
            </w:r>
          </w:p>
        </w:tc>
        <w:tc>
          <w:tcPr>
            <w:tcW w:w="1120" w:type="dxa"/>
            <w:tcBorders>
              <w:top w:val="nil"/>
              <w:left w:val="nil"/>
              <w:bottom w:val="single" w:sz="4" w:space="0" w:color="auto"/>
              <w:right w:val="single" w:sz="4" w:space="0" w:color="auto"/>
            </w:tcBorders>
            <w:shd w:val="clear" w:color="auto" w:fill="auto"/>
            <w:noWrap/>
            <w:vAlign w:val="bottom"/>
            <w:hideMark/>
          </w:tcPr>
          <w:p w:rsidR="00314A1E" w:rsidRPr="00DC7181" w:rsidRDefault="00314A1E" w:rsidP="009C16D2">
            <w:pPr>
              <w:spacing w:after="0" w:line="240" w:lineRule="auto"/>
              <w:jc w:val="right"/>
              <w:rPr>
                <w:rFonts w:ascii="Arial" w:eastAsia="Times New Roman" w:hAnsi="Arial" w:cs="Arial"/>
                <w:sz w:val="20"/>
                <w:szCs w:val="20"/>
                <w:lang w:val="nl-NL" w:eastAsia="nl-NL" w:bidi="ar-SA"/>
              </w:rPr>
            </w:pPr>
            <w:r w:rsidRPr="00DC7181">
              <w:rPr>
                <w:rFonts w:ascii="Arial" w:eastAsia="Times New Roman" w:hAnsi="Arial" w:cs="Arial"/>
                <w:sz w:val="20"/>
                <w:szCs w:val="20"/>
                <w:lang w:val="nl-NL" w:eastAsia="nl-NL" w:bidi="ar-SA"/>
              </w:rPr>
              <w:t>-0,808545</w:t>
            </w:r>
          </w:p>
        </w:tc>
        <w:tc>
          <w:tcPr>
            <w:tcW w:w="1220" w:type="dxa"/>
            <w:tcBorders>
              <w:top w:val="nil"/>
              <w:left w:val="nil"/>
              <w:bottom w:val="single" w:sz="4" w:space="0" w:color="auto"/>
              <w:right w:val="single" w:sz="4" w:space="0" w:color="auto"/>
            </w:tcBorders>
            <w:shd w:val="clear" w:color="auto" w:fill="auto"/>
            <w:noWrap/>
            <w:vAlign w:val="bottom"/>
            <w:hideMark/>
          </w:tcPr>
          <w:p w:rsidR="00314A1E" w:rsidRPr="00DC7181" w:rsidRDefault="00314A1E" w:rsidP="009C16D2">
            <w:pPr>
              <w:spacing w:after="0" w:line="240" w:lineRule="auto"/>
              <w:jc w:val="right"/>
              <w:rPr>
                <w:rFonts w:ascii="Arial" w:eastAsia="Times New Roman" w:hAnsi="Arial" w:cs="Arial"/>
                <w:sz w:val="20"/>
                <w:szCs w:val="20"/>
                <w:lang w:val="nl-NL" w:eastAsia="nl-NL" w:bidi="ar-SA"/>
              </w:rPr>
            </w:pPr>
            <w:r w:rsidRPr="00DC7181">
              <w:rPr>
                <w:rFonts w:ascii="Arial" w:eastAsia="Times New Roman" w:hAnsi="Arial" w:cs="Arial"/>
                <w:sz w:val="20"/>
                <w:szCs w:val="20"/>
                <w:lang w:val="nl-NL" w:eastAsia="nl-NL" w:bidi="ar-SA"/>
              </w:rPr>
              <w:t>-0,843558</w:t>
            </w:r>
          </w:p>
        </w:tc>
      </w:tr>
      <w:tr w:rsidR="00314A1E" w:rsidRPr="00DC7181" w:rsidTr="009C16D2">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314A1E" w:rsidRPr="00DC7181" w:rsidRDefault="00314A1E" w:rsidP="009C16D2">
            <w:pPr>
              <w:spacing w:after="0" w:line="240" w:lineRule="auto"/>
              <w:jc w:val="right"/>
              <w:rPr>
                <w:rFonts w:ascii="Arial" w:eastAsia="Times New Roman" w:hAnsi="Arial" w:cs="Arial"/>
                <w:sz w:val="20"/>
                <w:szCs w:val="20"/>
                <w:lang w:val="nl-NL" w:eastAsia="nl-NL" w:bidi="ar-SA"/>
              </w:rPr>
            </w:pPr>
            <w:r w:rsidRPr="00DC7181">
              <w:rPr>
                <w:rFonts w:ascii="Arial" w:eastAsia="Times New Roman" w:hAnsi="Arial" w:cs="Arial"/>
                <w:sz w:val="20"/>
                <w:szCs w:val="20"/>
                <w:lang w:val="nl-NL" w:eastAsia="nl-NL" w:bidi="ar-SA"/>
              </w:rPr>
              <w:t>4</w:t>
            </w:r>
          </w:p>
        </w:tc>
        <w:tc>
          <w:tcPr>
            <w:tcW w:w="1187" w:type="dxa"/>
            <w:tcBorders>
              <w:top w:val="nil"/>
              <w:left w:val="nil"/>
              <w:bottom w:val="single" w:sz="4" w:space="0" w:color="auto"/>
              <w:right w:val="single" w:sz="4" w:space="0" w:color="auto"/>
            </w:tcBorders>
            <w:shd w:val="clear" w:color="auto" w:fill="auto"/>
            <w:noWrap/>
            <w:vAlign w:val="bottom"/>
            <w:hideMark/>
          </w:tcPr>
          <w:p w:rsidR="00314A1E" w:rsidRPr="00DC7181" w:rsidRDefault="00314A1E" w:rsidP="009C16D2">
            <w:pPr>
              <w:spacing w:after="0" w:line="240" w:lineRule="auto"/>
              <w:jc w:val="right"/>
              <w:rPr>
                <w:rFonts w:ascii="Arial" w:eastAsia="Times New Roman" w:hAnsi="Arial" w:cs="Arial"/>
                <w:sz w:val="20"/>
                <w:szCs w:val="20"/>
                <w:lang w:val="nl-NL" w:eastAsia="nl-NL" w:bidi="ar-SA"/>
              </w:rPr>
            </w:pPr>
            <w:r w:rsidRPr="00DC7181">
              <w:rPr>
                <w:rFonts w:ascii="Arial" w:eastAsia="Times New Roman" w:hAnsi="Arial" w:cs="Arial"/>
                <w:sz w:val="20"/>
                <w:szCs w:val="20"/>
                <w:lang w:val="nl-NL" w:eastAsia="nl-NL" w:bidi="ar-SA"/>
              </w:rPr>
              <w:t>-0,376283</w:t>
            </w:r>
          </w:p>
        </w:tc>
        <w:tc>
          <w:tcPr>
            <w:tcW w:w="1187" w:type="dxa"/>
            <w:tcBorders>
              <w:top w:val="nil"/>
              <w:left w:val="nil"/>
              <w:bottom w:val="single" w:sz="4" w:space="0" w:color="auto"/>
              <w:right w:val="single" w:sz="4" w:space="0" w:color="auto"/>
            </w:tcBorders>
            <w:shd w:val="clear" w:color="auto" w:fill="auto"/>
            <w:noWrap/>
            <w:vAlign w:val="bottom"/>
            <w:hideMark/>
          </w:tcPr>
          <w:p w:rsidR="00314A1E" w:rsidRPr="00DC7181" w:rsidRDefault="00314A1E" w:rsidP="009C16D2">
            <w:pPr>
              <w:spacing w:after="0" w:line="240" w:lineRule="auto"/>
              <w:jc w:val="right"/>
              <w:rPr>
                <w:rFonts w:ascii="Arial" w:eastAsia="Times New Roman" w:hAnsi="Arial" w:cs="Arial"/>
                <w:sz w:val="20"/>
                <w:szCs w:val="20"/>
                <w:lang w:val="nl-NL" w:eastAsia="nl-NL" w:bidi="ar-SA"/>
              </w:rPr>
            </w:pPr>
            <w:r w:rsidRPr="00DC7181">
              <w:rPr>
                <w:rFonts w:ascii="Arial" w:eastAsia="Times New Roman" w:hAnsi="Arial" w:cs="Arial"/>
                <w:sz w:val="20"/>
                <w:szCs w:val="20"/>
                <w:lang w:val="nl-NL" w:eastAsia="nl-NL" w:bidi="ar-SA"/>
              </w:rPr>
              <w:t>-0,398693</w:t>
            </w:r>
          </w:p>
        </w:tc>
        <w:tc>
          <w:tcPr>
            <w:tcW w:w="1160" w:type="dxa"/>
            <w:tcBorders>
              <w:top w:val="nil"/>
              <w:left w:val="nil"/>
              <w:bottom w:val="single" w:sz="4" w:space="0" w:color="auto"/>
              <w:right w:val="single" w:sz="4" w:space="0" w:color="auto"/>
            </w:tcBorders>
            <w:shd w:val="clear" w:color="auto" w:fill="auto"/>
            <w:noWrap/>
            <w:vAlign w:val="bottom"/>
            <w:hideMark/>
          </w:tcPr>
          <w:p w:rsidR="00314A1E" w:rsidRPr="00DC7181" w:rsidRDefault="00314A1E" w:rsidP="009C16D2">
            <w:pPr>
              <w:spacing w:after="0" w:line="240" w:lineRule="auto"/>
              <w:jc w:val="right"/>
              <w:rPr>
                <w:rFonts w:ascii="Arial" w:eastAsia="Times New Roman" w:hAnsi="Arial" w:cs="Arial"/>
                <w:sz w:val="20"/>
                <w:szCs w:val="20"/>
                <w:lang w:val="nl-NL" w:eastAsia="nl-NL" w:bidi="ar-SA"/>
              </w:rPr>
            </w:pPr>
            <w:r w:rsidRPr="00DC7181">
              <w:rPr>
                <w:rFonts w:ascii="Arial" w:eastAsia="Times New Roman" w:hAnsi="Arial" w:cs="Arial"/>
                <w:sz w:val="20"/>
                <w:szCs w:val="20"/>
                <w:lang w:val="nl-NL" w:eastAsia="nl-NL" w:bidi="ar-SA"/>
              </w:rPr>
              <w:t>-0,153272</w:t>
            </w:r>
          </w:p>
        </w:tc>
        <w:tc>
          <w:tcPr>
            <w:tcW w:w="1120" w:type="dxa"/>
            <w:tcBorders>
              <w:top w:val="nil"/>
              <w:left w:val="nil"/>
              <w:bottom w:val="single" w:sz="4" w:space="0" w:color="auto"/>
              <w:right w:val="single" w:sz="4" w:space="0" w:color="auto"/>
            </w:tcBorders>
            <w:shd w:val="clear" w:color="auto" w:fill="auto"/>
            <w:noWrap/>
            <w:vAlign w:val="bottom"/>
            <w:hideMark/>
          </w:tcPr>
          <w:p w:rsidR="00314A1E" w:rsidRPr="00DC7181" w:rsidRDefault="00314A1E" w:rsidP="009C16D2">
            <w:pPr>
              <w:spacing w:after="0" w:line="240" w:lineRule="auto"/>
              <w:jc w:val="right"/>
              <w:rPr>
                <w:rFonts w:ascii="Arial" w:eastAsia="Times New Roman" w:hAnsi="Arial" w:cs="Arial"/>
                <w:sz w:val="20"/>
                <w:szCs w:val="20"/>
                <w:lang w:val="nl-NL" w:eastAsia="nl-NL" w:bidi="ar-SA"/>
              </w:rPr>
            </w:pPr>
            <w:r w:rsidRPr="00DC7181">
              <w:rPr>
                <w:rFonts w:ascii="Arial" w:eastAsia="Times New Roman" w:hAnsi="Arial" w:cs="Arial"/>
                <w:sz w:val="20"/>
                <w:szCs w:val="20"/>
                <w:lang w:val="nl-NL" w:eastAsia="nl-NL" w:bidi="ar-SA"/>
              </w:rPr>
              <w:t>-0,82432</w:t>
            </w:r>
          </w:p>
        </w:tc>
        <w:tc>
          <w:tcPr>
            <w:tcW w:w="1220" w:type="dxa"/>
            <w:tcBorders>
              <w:top w:val="nil"/>
              <w:left w:val="nil"/>
              <w:bottom w:val="single" w:sz="4" w:space="0" w:color="auto"/>
              <w:right w:val="single" w:sz="4" w:space="0" w:color="auto"/>
            </w:tcBorders>
            <w:shd w:val="clear" w:color="auto" w:fill="auto"/>
            <w:noWrap/>
            <w:vAlign w:val="bottom"/>
            <w:hideMark/>
          </w:tcPr>
          <w:p w:rsidR="00314A1E" w:rsidRPr="00DC7181" w:rsidRDefault="00314A1E" w:rsidP="009C16D2">
            <w:pPr>
              <w:spacing w:after="0" w:line="240" w:lineRule="auto"/>
              <w:jc w:val="right"/>
              <w:rPr>
                <w:rFonts w:ascii="Arial" w:eastAsia="Times New Roman" w:hAnsi="Arial" w:cs="Arial"/>
                <w:sz w:val="20"/>
                <w:szCs w:val="20"/>
                <w:lang w:val="nl-NL" w:eastAsia="nl-NL" w:bidi="ar-SA"/>
              </w:rPr>
            </w:pPr>
            <w:r w:rsidRPr="00DC7181">
              <w:rPr>
                <w:rFonts w:ascii="Arial" w:eastAsia="Times New Roman" w:hAnsi="Arial" w:cs="Arial"/>
                <w:sz w:val="20"/>
                <w:szCs w:val="20"/>
                <w:lang w:val="nl-NL" w:eastAsia="nl-NL" w:bidi="ar-SA"/>
              </w:rPr>
              <w:t>-0,853311</w:t>
            </w:r>
          </w:p>
        </w:tc>
      </w:tr>
      <w:tr w:rsidR="00314A1E" w:rsidRPr="00DC7181" w:rsidTr="009C16D2">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314A1E" w:rsidRPr="00DC7181" w:rsidRDefault="00314A1E" w:rsidP="009C16D2">
            <w:pPr>
              <w:spacing w:after="0" w:line="240" w:lineRule="auto"/>
              <w:jc w:val="right"/>
              <w:rPr>
                <w:rFonts w:ascii="Arial" w:eastAsia="Times New Roman" w:hAnsi="Arial" w:cs="Arial"/>
                <w:sz w:val="20"/>
                <w:szCs w:val="20"/>
                <w:lang w:val="nl-NL" w:eastAsia="nl-NL" w:bidi="ar-SA"/>
              </w:rPr>
            </w:pPr>
            <w:r w:rsidRPr="00DC7181">
              <w:rPr>
                <w:rFonts w:ascii="Arial" w:eastAsia="Times New Roman" w:hAnsi="Arial" w:cs="Arial"/>
                <w:sz w:val="20"/>
                <w:szCs w:val="20"/>
                <w:lang w:val="nl-NL" w:eastAsia="nl-NL" w:bidi="ar-SA"/>
              </w:rPr>
              <w:t>5</w:t>
            </w:r>
          </w:p>
        </w:tc>
        <w:tc>
          <w:tcPr>
            <w:tcW w:w="1187" w:type="dxa"/>
            <w:tcBorders>
              <w:top w:val="nil"/>
              <w:left w:val="nil"/>
              <w:bottom w:val="single" w:sz="4" w:space="0" w:color="auto"/>
              <w:right w:val="single" w:sz="4" w:space="0" w:color="auto"/>
            </w:tcBorders>
            <w:shd w:val="clear" w:color="auto" w:fill="auto"/>
            <w:noWrap/>
            <w:vAlign w:val="bottom"/>
            <w:hideMark/>
          </w:tcPr>
          <w:p w:rsidR="00314A1E" w:rsidRPr="00DC7181" w:rsidRDefault="00314A1E" w:rsidP="009C16D2">
            <w:pPr>
              <w:spacing w:after="0" w:line="240" w:lineRule="auto"/>
              <w:jc w:val="right"/>
              <w:rPr>
                <w:rFonts w:ascii="Arial" w:eastAsia="Times New Roman" w:hAnsi="Arial" w:cs="Arial"/>
                <w:sz w:val="20"/>
                <w:szCs w:val="20"/>
                <w:lang w:val="nl-NL" w:eastAsia="nl-NL" w:bidi="ar-SA"/>
              </w:rPr>
            </w:pPr>
            <w:r w:rsidRPr="00DC7181">
              <w:rPr>
                <w:rFonts w:ascii="Arial" w:eastAsia="Times New Roman" w:hAnsi="Arial" w:cs="Arial"/>
                <w:sz w:val="20"/>
                <w:szCs w:val="20"/>
                <w:lang w:val="nl-NL" w:eastAsia="nl-NL" w:bidi="ar-SA"/>
              </w:rPr>
              <w:t>-0,370636</w:t>
            </w:r>
          </w:p>
        </w:tc>
        <w:tc>
          <w:tcPr>
            <w:tcW w:w="1187" w:type="dxa"/>
            <w:tcBorders>
              <w:top w:val="nil"/>
              <w:left w:val="nil"/>
              <w:bottom w:val="single" w:sz="4" w:space="0" w:color="auto"/>
              <w:right w:val="single" w:sz="4" w:space="0" w:color="auto"/>
            </w:tcBorders>
            <w:shd w:val="clear" w:color="auto" w:fill="auto"/>
            <w:noWrap/>
            <w:vAlign w:val="bottom"/>
            <w:hideMark/>
          </w:tcPr>
          <w:p w:rsidR="00314A1E" w:rsidRPr="00DC7181" w:rsidRDefault="00314A1E" w:rsidP="009C16D2">
            <w:pPr>
              <w:spacing w:after="0" w:line="240" w:lineRule="auto"/>
              <w:jc w:val="right"/>
              <w:rPr>
                <w:rFonts w:ascii="Arial" w:eastAsia="Times New Roman" w:hAnsi="Arial" w:cs="Arial"/>
                <w:sz w:val="20"/>
                <w:szCs w:val="20"/>
                <w:lang w:val="nl-NL" w:eastAsia="nl-NL" w:bidi="ar-SA"/>
              </w:rPr>
            </w:pPr>
            <w:r w:rsidRPr="00DC7181">
              <w:rPr>
                <w:rFonts w:ascii="Arial" w:eastAsia="Times New Roman" w:hAnsi="Arial" w:cs="Arial"/>
                <w:sz w:val="20"/>
                <w:szCs w:val="20"/>
                <w:lang w:val="nl-NL" w:eastAsia="nl-NL" w:bidi="ar-SA"/>
              </w:rPr>
              <w:t>-0,400715</w:t>
            </w:r>
          </w:p>
        </w:tc>
        <w:tc>
          <w:tcPr>
            <w:tcW w:w="1160" w:type="dxa"/>
            <w:tcBorders>
              <w:top w:val="nil"/>
              <w:left w:val="nil"/>
              <w:bottom w:val="single" w:sz="4" w:space="0" w:color="auto"/>
              <w:right w:val="single" w:sz="4" w:space="0" w:color="auto"/>
            </w:tcBorders>
            <w:shd w:val="clear" w:color="auto" w:fill="auto"/>
            <w:noWrap/>
            <w:vAlign w:val="bottom"/>
            <w:hideMark/>
          </w:tcPr>
          <w:p w:rsidR="00314A1E" w:rsidRPr="00DC7181" w:rsidRDefault="00314A1E" w:rsidP="009C16D2">
            <w:pPr>
              <w:spacing w:after="0" w:line="240" w:lineRule="auto"/>
              <w:jc w:val="right"/>
              <w:rPr>
                <w:rFonts w:ascii="Arial" w:eastAsia="Times New Roman" w:hAnsi="Arial" w:cs="Arial"/>
                <w:sz w:val="20"/>
                <w:szCs w:val="20"/>
                <w:lang w:val="nl-NL" w:eastAsia="nl-NL" w:bidi="ar-SA"/>
              </w:rPr>
            </w:pPr>
            <w:r w:rsidRPr="00DC7181">
              <w:rPr>
                <w:rFonts w:ascii="Arial" w:eastAsia="Times New Roman" w:hAnsi="Arial" w:cs="Arial"/>
                <w:sz w:val="20"/>
                <w:szCs w:val="20"/>
                <w:lang w:val="nl-NL" w:eastAsia="nl-NL" w:bidi="ar-SA"/>
              </w:rPr>
              <w:t>-0,15419</w:t>
            </w:r>
          </w:p>
        </w:tc>
        <w:tc>
          <w:tcPr>
            <w:tcW w:w="1120" w:type="dxa"/>
            <w:tcBorders>
              <w:top w:val="nil"/>
              <w:left w:val="nil"/>
              <w:bottom w:val="single" w:sz="4" w:space="0" w:color="auto"/>
              <w:right w:val="single" w:sz="4" w:space="0" w:color="auto"/>
            </w:tcBorders>
            <w:shd w:val="clear" w:color="auto" w:fill="auto"/>
            <w:noWrap/>
            <w:vAlign w:val="bottom"/>
            <w:hideMark/>
          </w:tcPr>
          <w:p w:rsidR="00314A1E" w:rsidRPr="00DC7181" w:rsidRDefault="00314A1E" w:rsidP="009C16D2">
            <w:pPr>
              <w:spacing w:after="0" w:line="240" w:lineRule="auto"/>
              <w:jc w:val="right"/>
              <w:rPr>
                <w:rFonts w:ascii="Arial" w:eastAsia="Times New Roman" w:hAnsi="Arial" w:cs="Arial"/>
                <w:sz w:val="20"/>
                <w:szCs w:val="20"/>
                <w:lang w:val="nl-NL" w:eastAsia="nl-NL" w:bidi="ar-SA"/>
              </w:rPr>
            </w:pPr>
            <w:r w:rsidRPr="00DC7181">
              <w:rPr>
                <w:rFonts w:ascii="Arial" w:eastAsia="Times New Roman" w:hAnsi="Arial" w:cs="Arial"/>
                <w:sz w:val="20"/>
                <w:szCs w:val="20"/>
                <w:lang w:val="nl-NL" w:eastAsia="nl-NL" w:bidi="ar-SA"/>
              </w:rPr>
              <w:t>-0,843582</w:t>
            </w:r>
          </w:p>
        </w:tc>
        <w:tc>
          <w:tcPr>
            <w:tcW w:w="1220" w:type="dxa"/>
            <w:tcBorders>
              <w:top w:val="nil"/>
              <w:left w:val="nil"/>
              <w:bottom w:val="single" w:sz="4" w:space="0" w:color="auto"/>
              <w:right w:val="single" w:sz="4" w:space="0" w:color="auto"/>
            </w:tcBorders>
            <w:shd w:val="clear" w:color="auto" w:fill="auto"/>
            <w:noWrap/>
            <w:vAlign w:val="bottom"/>
            <w:hideMark/>
          </w:tcPr>
          <w:p w:rsidR="00314A1E" w:rsidRPr="00DC7181" w:rsidRDefault="00314A1E" w:rsidP="009C16D2">
            <w:pPr>
              <w:spacing w:after="0" w:line="240" w:lineRule="auto"/>
              <w:jc w:val="right"/>
              <w:rPr>
                <w:rFonts w:ascii="Arial" w:eastAsia="Times New Roman" w:hAnsi="Arial" w:cs="Arial"/>
                <w:sz w:val="20"/>
                <w:szCs w:val="20"/>
                <w:lang w:val="nl-NL" w:eastAsia="nl-NL" w:bidi="ar-SA"/>
              </w:rPr>
            </w:pPr>
            <w:r w:rsidRPr="00DC7181">
              <w:rPr>
                <w:rFonts w:ascii="Arial" w:eastAsia="Times New Roman" w:hAnsi="Arial" w:cs="Arial"/>
                <w:sz w:val="20"/>
                <w:szCs w:val="20"/>
                <w:lang w:val="nl-NL" w:eastAsia="nl-NL" w:bidi="ar-SA"/>
              </w:rPr>
              <w:t>-0,861063</w:t>
            </w:r>
          </w:p>
        </w:tc>
      </w:tr>
      <w:tr w:rsidR="00314A1E" w:rsidRPr="00DC7181" w:rsidTr="009C16D2">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314A1E" w:rsidRPr="00DC7181" w:rsidRDefault="00314A1E" w:rsidP="009C16D2">
            <w:pPr>
              <w:spacing w:after="0" w:line="240" w:lineRule="auto"/>
              <w:jc w:val="right"/>
              <w:rPr>
                <w:rFonts w:ascii="Arial" w:eastAsia="Times New Roman" w:hAnsi="Arial" w:cs="Arial"/>
                <w:sz w:val="20"/>
                <w:szCs w:val="20"/>
                <w:lang w:val="nl-NL" w:eastAsia="nl-NL" w:bidi="ar-SA"/>
              </w:rPr>
            </w:pPr>
            <w:r w:rsidRPr="00DC7181">
              <w:rPr>
                <w:rFonts w:ascii="Arial" w:eastAsia="Times New Roman" w:hAnsi="Arial" w:cs="Arial"/>
                <w:sz w:val="20"/>
                <w:szCs w:val="20"/>
                <w:lang w:val="nl-NL" w:eastAsia="nl-NL" w:bidi="ar-SA"/>
              </w:rPr>
              <w:t>6</w:t>
            </w:r>
          </w:p>
        </w:tc>
        <w:tc>
          <w:tcPr>
            <w:tcW w:w="1187" w:type="dxa"/>
            <w:tcBorders>
              <w:top w:val="nil"/>
              <w:left w:val="nil"/>
              <w:bottom w:val="single" w:sz="4" w:space="0" w:color="auto"/>
              <w:right w:val="single" w:sz="4" w:space="0" w:color="auto"/>
            </w:tcBorders>
            <w:shd w:val="clear" w:color="auto" w:fill="auto"/>
            <w:noWrap/>
            <w:vAlign w:val="bottom"/>
            <w:hideMark/>
          </w:tcPr>
          <w:p w:rsidR="00314A1E" w:rsidRPr="00DC7181" w:rsidRDefault="00314A1E" w:rsidP="009C16D2">
            <w:pPr>
              <w:spacing w:after="0" w:line="240" w:lineRule="auto"/>
              <w:jc w:val="right"/>
              <w:rPr>
                <w:rFonts w:ascii="Arial" w:eastAsia="Times New Roman" w:hAnsi="Arial" w:cs="Arial"/>
                <w:sz w:val="20"/>
                <w:szCs w:val="20"/>
                <w:lang w:val="nl-NL" w:eastAsia="nl-NL" w:bidi="ar-SA"/>
              </w:rPr>
            </w:pPr>
            <w:r w:rsidRPr="00DC7181">
              <w:rPr>
                <w:rFonts w:ascii="Arial" w:eastAsia="Times New Roman" w:hAnsi="Arial" w:cs="Arial"/>
                <w:sz w:val="20"/>
                <w:szCs w:val="20"/>
                <w:lang w:val="nl-NL" w:eastAsia="nl-NL" w:bidi="ar-SA"/>
              </w:rPr>
              <w:t>-0,365235</w:t>
            </w:r>
          </w:p>
        </w:tc>
        <w:tc>
          <w:tcPr>
            <w:tcW w:w="1187" w:type="dxa"/>
            <w:tcBorders>
              <w:top w:val="nil"/>
              <w:left w:val="nil"/>
              <w:bottom w:val="single" w:sz="4" w:space="0" w:color="auto"/>
              <w:right w:val="single" w:sz="4" w:space="0" w:color="auto"/>
            </w:tcBorders>
            <w:shd w:val="clear" w:color="auto" w:fill="auto"/>
            <w:noWrap/>
            <w:vAlign w:val="bottom"/>
            <w:hideMark/>
          </w:tcPr>
          <w:p w:rsidR="00314A1E" w:rsidRPr="00DC7181" w:rsidRDefault="00314A1E" w:rsidP="009C16D2">
            <w:pPr>
              <w:spacing w:after="0" w:line="240" w:lineRule="auto"/>
              <w:jc w:val="right"/>
              <w:rPr>
                <w:rFonts w:ascii="Arial" w:eastAsia="Times New Roman" w:hAnsi="Arial" w:cs="Arial"/>
                <w:sz w:val="20"/>
                <w:szCs w:val="20"/>
                <w:lang w:val="nl-NL" w:eastAsia="nl-NL" w:bidi="ar-SA"/>
              </w:rPr>
            </w:pPr>
            <w:r w:rsidRPr="00DC7181">
              <w:rPr>
                <w:rFonts w:ascii="Arial" w:eastAsia="Times New Roman" w:hAnsi="Arial" w:cs="Arial"/>
                <w:sz w:val="20"/>
                <w:szCs w:val="20"/>
                <w:lang w:val="nl-NL" w:eastAsia="nl-NL" w:bidi="ar-SA"/>
              </w:rPr>
              <w:t>-0,402737</w:t>
            </w:r>
          </w:p>
        </w:tc>
        <w:tc>
          <w:tcPr>
            <w:tcW w:w="1160" w:type="dxa"/>
            <w:tcBorders>
              <w:top w:val="nil"/>
              <w:left w:val="nil"/>
              <w:bottom w:val="single" w:sz="4" w:space="0" w:color="auto"/>
              <w:right w:val="single" w:sz="4" w:space="0" w:color="auto"/>
            </w:tcBorders>
            <w:shd w:val="clear" w:color="auto" w:fill="auto"/>
            <w:noWrap/>
            <w:vAlign w:val="bottom"/>
            <w:hideMark/>
          </w:tcPr>
          <w:p w:rsidR="00314A1E" w:rsidRPr="00DC7181" w:rsidRDefault="00314A1E" w:rsidP="009C16D2">
            <w:pPr>
              <w:spacing w:after="0" w:line="240" w:lineRule="auto"/>
              <w:jc w:val="right"/>
              <w:rPr>
                <w:rFonts w:ascii="Arial" w:eastAsia="Times New Roman" w:hAnsi="Arial" w:cs="Arial"/>
                <w:sz w:val="20"/>
                <w:szCs w:val="20"/>
                <w:lang w:val="nl-NL" w:eastAsia="nl-NL" w:bidi="ar-SA"/>
              </w:rPr>
            </w:pPr>
            <w:r w:rsidRPr="00DC7181">
              <w:rPr>
                <w:rFonts w:ascii="Arial" w:eastAsia="Times New Roman" w:hAnsi="Arial" w:cs="Arial"/>
                <w:sz w:val="20"/>
                <w:szCs w:val="20"/>
                <w:lang w:val="nl-NL" w:eastAsia="nl-NL" w:bidi="ar-SA"/>
              </w:rPr>
              <w:t>-0,1551</w:t>
            </w:r>
          </w:p>
        </w:tc>
        <w:tc>
          <w:tcPr>
            <w:tcW w:w="1120" w:type="dxa"/>
            <w:tcBorders>
              <w:top w:val="nil"/>
              <w:left w:val="nil"/>
              <w:bottom w:val="single" w:sz="4" w:space="0" w:color="auto"/>
              <w:right w:val="single" w:sz="4" w:space="0" w:color="auto"/>
            </w:tcBorders>
            <w:shd w:val="clear" w:color="auto" w:fill="auto"/>
            <w:noWrap/>
            <w:vAlign w:val="bottom"/>
            <w:hideMark/>
          </w:tcPr>
          <w:p w:rsidR="00314A1E" w:rsidRPr="00DC7181" w:rsidRDefault="00314A1E" w:rsidP="009C16D2">
            <w:pPr>
              <w:spacing w:after="0" w:line="240" w:lineRule="auto"/>
              <w:jc w:val="right"/>
              <w:rPr>
                <w:rFonts w:ascii="Arial" w:eastAsia="Times New Roman" w:hAnsi="Arial" w:cs="Arial"/>
                <w:sz w:val="20"/>
                <w:szCs w:val="20"/>
                <w:lang w:val="nl-NL" w:eastAsia="nl-NL" w:bidi="ar-SA"/>
              </w:rPr>
            </w:pPr>
            <w:r w:rsidRPr="00DC7181">
              <w:rPr>
                <w:rFonts w:ascii="Arial" w:eastAsia="Times New Roman" w:hAnsi="Arial" w:cs="Arial"/>
                <w:sz w:val="20"/>
                <w:szCs w:val="20"/>
                <w:lang w:val="nl-NL" w:eastAsia="nl-NL" w:bidi="ar-SA"/>
              </w:rPr>
              <w:t>-0,863165</w:t>
            </w:r>
          </w:p>
        </w:tc>
        <w:tc>
          <w:tcPr>
            <w:tcW w:w="1220" w:type="dxa"/>
            <w:tcBorders>
              <w:top w:val="nil"/>
              <w:left w:val="nil"/>
              <w:bottom w:val="single" w:sz="4" w:space="0" w:color="auto"/>
              <w:right w:val="single" w:sz="4" w:space="0" w:color="auto"/>
            </w:tcBorders>
            <w:shd w:val="clear" w:color="auto" w:fill="auto"/>
            <w:noWrap/>
            <w:vAlign w:val="bottom"/>
            <w:hideMark/>
          </w:tcPr>
          <w:p w:rsidR="00314A1E" w:rsidRPr="00DC7181" w:rsidRDefault="00314A1E" w:rsidP="009C16D2">
            <w:pPr>
              <w:spacing w:after="0" w:line="240" w:lineRule="auto"/>
              <w:jc w:val="right"/>
              <w:rPr>
                <w:rFonts w:ascii="Arial" w:eastAsia="Times New Roman" w:hAnsi="Arial" w:cs="Arial"/>
                <w:sz w:val="20"/>
                <w:szCs w:val="20"/>
                <w:lang w:val="nl-NL" w:eastAsia="nl-NL" w:bidi="ar-SA"/>
              </w:rPr>
            </w:pPr>
            <w:r w:rsidRPr="00DC7181">
              <w:rPr>
                <w:rFonts w:ascii="Arial" w:eastAsia="Times New Roman" w:hAnsi="Arial" w:cs="Arial"/>
                <w:sz w:val="20"/>
                <w:szCs w:val="20"/>
                <w:lang w:val="nl-NL" w:eastAsia="nl-NL" w:bidi="ar-SA"/>
              </w:rPr>
              <w:t>-0,868801</w:t>
            </w:r>
          </w:p>
        </w:tc>
      </w:tr>
      <w:tr w:rsidR="00314A1E" w:rsidRPr="00DC7181" w:rsidTr="009C16D2">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314A1E" w:rsidRPr="00DC7181" w:rsidRDefault="00314A1E" w:rsidP="009C16D2">
            <w:pPr>
              <w:spacing w:after="0" w:line="240" w:lineRule="auto"/>
              <w:jc w:val="right"/>
              <w:rPr>
                <w:rFonts w:ascii="Arial" w:eastAsia="Times New Roman" w:hAnsi="Arial" w:cs="Arial"/>
                <w:sz w:val="20"/>
                <w:szCs w:val="20"/>
                <w:lang w:val="nl-NL" w:eastAsia="nl-NL" w:bidi="ar-SA"/>
              </w:rPr>
            </w:pPr>
            <w:r w:rsidRPr="00DC7181">
              <w:rPr>
                <w:rFonts w:ascii="Arial" w:eastAsia="Times New Roman" w:hAnsi="Arial" w:cs="Arial"/>
                <w:sz w:val="20"/>
                <w:szCs w:val="20"/>
                <w:lang w:val="nl-NL" w:eastAsia="nl-NL" w:bidi="ar-SA"/>
              </w:rPr>
              <w:t>7</w:t>
            </w:r>
          </w:p>
        </w:tc>
        <w:tc>
          <w:tcPr>
            <w:tcW w:w="1187" w:type="dxa"/>
            <w:tcBorders>
              <w:top w:val="nil"/>
              <w:left w:val="nil"/>
              <w:bottom w:val="single" w:sz="4" w:space="0" w:color="auto"/>
              <w:right w:val="single" w:sz="4" w:space="0" w:color="auto"/>
            </w:tcBorders>
            <w:shd w:val="clear" w:color="auto" w:fill="auto"/>
            <w:noWrap/>
            <w:vAlign w:val="bottom"/>
            <w:hideMark/>
          </w:tcPr>
          <w:p w:rsidR="00314A1E" w:rsidRPr="00DC7181" w:rsidRDefault="00314A1E" w:rsidP="009C16D2">
            <w:pPr>
              <w:spacing w:after="0" w:line="240" w:lineRule="auto"/>
              <w:jc w:val="right"/>
              <w:rPr>
                <w:rFonts w:ascii="Arial" w:eastAsia="Times New Roman" w:hAnsi="Arial" w:cs="Arial"/>
                <w:sz w:val="20"/>
                <w:szCs w:val="20"/>
                <w:lang w:val="nl-NL" w:eastAsia="nl-NL" w:bidi="ar-SA"/>
              </w:rPr>
            </w:pPr>
            <w:r w:rsidRPr="00DC7181">
              <w:rPr>
                <w:rFonts w:ascii="Arial" w:eastAsia="Times New Roman" w:hAnsi="Arial" w:cs="Arial"/>
                <w:sz w:val="20"/>
                <w:szCs w:val="20"/>
                <w:lang w:val="nl-NL" w:eastAsia="nl-NL" w:bidi="ar-SA"/>
              </w:rPr>
              <w:t>-0,3599</w:t>
            </w:r>
          </w:p>
        </w:tc>
        <w:tc>
          <w:tcPr>
            <w:tcW w:w="1187" w:type="dxa"/>
            <w:tcBorders>
              <w:top w:val="nil"/>
              <w:left w:val="nil"/>
              <w:bottom w:val="single" w:sz="4" w:space="0" w:color="auto"/>
              <w:right w:val="single" w:sz="4" w:space="0" w:color="auto"/>
            </w:tcBorders>
            <w:shd w:val="clear" w:color="auto" w:fill="auto"/>
            <w:noWrap/>
            <w:vAlign w:val="bottom"/>
            <w:hideMark/>
          </w:tcPr>
          <w:p w:rsidR="00314A1E" w:rsidRPr="00DC7181" w:rsidRDefault="00314A1E" w:rsidP="009C16D2">
            <w:pPr>
              <w:spacing w:after="0" w:line="240" w:lineRule="auto"/>
              <w:jc w:val="right"/>
              <w:rPr>
                <w:rFonts w:ascii="Arial" w:eastAsia="Times New Roman" w:hAnsi="Arial" w:cs="Arial"/>
                <w:sz w:val="20"/>
                <w:szCs w:val="20"/>
                <w:lang w:val="nl-NL" w:eastAsia="nl-NL" w:bidi="ar-SA"/>
              </w:rPr>
            </w:pPr>
            <w:r w:rsidRPr="00DC7181">
              <w:rPr>
                <w:rFonts w:ascii="Arial" w:eastAsia="Times New Roman" w:hAnsi="Arial" w:cs="Arial"/>
                <w:sz w:val="20"/>
                <w:szCs w:val="20"/>
                <w:lang w:val="nl-NL" w:eastAsia="nl-NL" w:bidi="ar-SA"/>
              </w:rPr>
              <w:t>-0,404758</w:t>
            </w:r>
          </w:p>
        </w:tc>
        <w:tc>
          <w:tcPr>
            <w:tcW w:w="1160" w:type="dxa"/>
            <w:tcBorders>
              <w:top w:val="nil"/>
              <w:left w:val="nil"/>
              <w:bottom w:val="single" w:sz="4" w:space="0" w:color="auto"/>
              <w:right w:val="single" w:sz="4" w:space="0" w:color="auto"/>
            </w:tcBorders>
            <w:shd w:val="clear" w:color="auto" w:fill="auto"/>
            <w:noWrap/>
            <w:vAlign w:val="bottom"/>
            <w:hideMark/>
          </w:tcPr>
          <w:p w:rsidR="00314A1E" w:rsidRPr="00DC7181" w:rsidRDefault="00314A1E" w:rsidP="009C16D2">
            <w:pPr>
              <w:spacing w:after="0" w:line="240" w:lineRule="auto"/>
              <w:jc w:val="right"/>
              <w:rPr>
                <w:rFonts w:ascii="Arial" w:eastAsia="Times New Roman" w:hAnsi="Arial" w:cs="Arial"/>
                <w:sz w:val="20"/>
                <w:szCs w:val="20"/>
                <w:lang w:val="nl-NL" w:eastAsia="nl-NL" w:bidi="ar-SA"/>
              </w:rPr>
            </w:pPr>
            <w:r w:rsidRPr="00DC7181">
              <w:rPr>
                <w:rFonts w:ascii="Arial" w:eastAsia="Times New Roman" w:hAnsi="Arial" w:cs="Arial"/>
                <w:sz w:val="20"/>
                <w:szCs w:val="20"/>
                <w:lang w:val="nl-NL" w:eastAsia="nl-NL" w:bidi="ar-SA"/>
              </w:rPr>
              <w:t>-0,156009</w:t>
            </w:r>
          </w:p>
        </w:tc>
        <w:tc>
          <w:tcPr>
            <w:tcW w:w="1120" w:type="dxa"/>
            <w:tcBorders>
              <w:top w:val="nil"/>
              <w:left w:val="nil"/>
              <w:bottom w:val="single" w:sz="4" w:space="0" w:color="auto"/>
              <w:right w:val="single" w:sz="4" w:space="0" w:color="auto"/>
            </w:tcBorders>
            <w:shd w:val="clear" w:color="auto" w:fill="auto"/>
            <w:noWrap/>
            <w:vAlign w:val="bottom"/>
            <w:hideMark/>
          </w:tcPr>
          <w:p w:rsidR="00314A1E" w:rsidRPr="00DC7181" w:rsidRDefault="00314A1E" w:rsidP="009C16D2">
            <w:pPr>
              <w:spacing w:after="0" w:line="240" w:lineRule="auto"/>
              <w:jc w:val="right"/>
              <w:rPr>
                <w:rFonts w:ascii="Arial" w:eastAsia="Times New Roman" w:hAnsi="Arial" w:cs="Arial"/>
                <w:sz w:val="20"/>
                <w:szCs w:val="20"/>
                <w:lang w:val="nl-NL" w:eastAsia="nl-NL" w:bidi="ar-SA"/>
              </w:rPr>
            </w:pPr>
            <w:r w:rsidRPr="00DC7181">
              <w:rPr>
                <w:rFonts w:ascii="Arial" w:eastAsia="Times New Roman" w:hAnsi="Arial" w:cs="Arial"/>
                <w:sz w:val="20"/>
                <w:szCs w:val="20"/>
                <w:lang w:val="nl-NL" w:eastAsia="nl-NL" w:bidi="ar-SA"/>
              </w:rPr>
              <w:t>-0,882765</w:t>
            </w:r>
          </w:p>
        </w:tc>
        <w:tc>
          <w:tcPr>
            <w:tcW w:w="1220" w:type="dxa"/>
            <w:tcBorders>
              <w:top w:val="nil"/>
              <w:left w:val="nil"/>
              <w:bottom w:val="single" w:sz="4" w:space="0" w:color="auto"/>
              <w:right w:val="single" w:sz="4" w:space="0" w:color="auto"/>
            </w:tcBorders>
            <w:shd w:val="clear" w:color="auto" w:fill="auto"/>
            <w:noWrap/>
            <w:vAlign w:val="bottom"/>
            <w:hideMark/>
          </w:tcPr>
          <w:p w:rsidR="00314A1E" w:rsidRPr="00DC7181" w:rsidRDefault="00314A1E" w:rsidP="009C16D2">
            <w:pPr>
              <w:spacing w:after="0" w:line="240" w:lineRule="auto"/>
              <w:jc w:val="right"/>
              <w:rPr>
                <w:rFonts w:ascii="Arial" w:eastAsia="Times New Roman" w:hAnsi="Arial" w:cs="Arial"/>
                <w:sz w:val="20"/>
                <w:szCs w:val="20"/>
                <w:lang w:val="nl-NL" w:eastAsia="nl-NL" w:bidi="ar-SA"/>
              </w:rPr>
            </w:pPr>
            <w:r w:rsidRPr="00DC7181">
              <w:rPr>
                <w:rFonts w:ascii="Arial" w:eastAsia="Times New Roman" w:hAnsi="Arial" w:cs="Arial"/>
                <w:sz w:val="20"/>
                <w:szCs w:val="20"/>
                <w:lang w:val="nl-NL" w:eastAsia="nl-NL" w:bidi="ar-SA"/>
              </w:rPr>
              <w:t>-0,876558</w:t>
            </w:r>
          </w:p>
        </w:tc>
      </w:tr>
      <w:tr w:rsidR="00314A1E" w:rsidRPr="00DC7181" w:rsidTr="009C16D2">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314A1E" w:rsidRPr="00DC7181" w:rsidRDefault="00314A1E" w:rsidP="009C16D2">
            <w:pPr>
              <w:spacing w:after="0" w:line="240" w:lineRule="auto"/>
              <w:jc w:val="right"/>
              <w:rPr>
                <w:rFonts w:ascii="Arial" w:eastAsia="Times New Roman" w:hAnsi="Arial" w:cs="Arial"/>
                <w:sz w:val="20"/>
                <w:szCs w:val="20"/>
                <w:lang w:val="nl-NL" w:eastAsia="nl-NL" w:bidi="ar-SA"/>
              </w:rPr>
            </w:pPr>
            <w:r w:rsidRPr="00DC7181">
              <w:rPr>
                <w:rFonts w:ascii="Arial" w:eastAsia="Times New Roman" w:hAnsi="Arial" w:cs="Arial"/>
                <w:sz w:val="20"/>
                <w:szCs w:val="20"/>
                <w:lang w:val="nl-NL" w:eastAsia="nl-NL" w:bidi="ar-SA"/>
              </w:rPr>
              <w:t>8</w:t>
            </w:r>
          </w:p>
        </w:tc>
        <w:tc>
          <w:tcPr>
            <w:tcW w:w="1187" w:type="dxa"/>
            <w:tcBorders>
              <w:top w:val="nil"/>
              <w:left w:val="nil"/>
              <w:bottom w:val="single" w:sz="4" w:space="0" w:color="auto"/>
              <w:right w:val="single" w:sz="4" w:space="0" w:color="auto"/>
            </w:tcBorders>
            <w:shd w:val="clear" w:color="auto" w:fill="auto"/>
            <w:noWrap/>
            <w:vAlign w:val="bottom"/>
            <w:hideMark/>
          </w:tcPr>
          <w:p w:rsidR="00314A1E" w:rsidRPr="00DC7181" w:rsidRDefault="00314A1E" w:rsidP="009C16D2">
            <w:pPr>
              <w:spacing w:after="0" w:line="240" w:lineRule="auto"/>
              <w:jc w:val="right"/>
              <w:rPr>
                <w:rFonts w:ascii="Arial" w:eastAsia="Times New Roman" w:hAnsi="Arial" w:cs="Arial"/>
                <w:sz w:val="20"/>
                <w:szCs w:val="20"/>
                <w:lang w:val="nl-NL" w:eastAsia="nl-NL" w:bidi="ar-SA"/>
              </w:rPr>
            </w:pPr>
            <w:r w:rsidRPr="00DC7181">
              <w:rPr>
                <w:rFonts w:ascii="Arial" w:eastAsia="Times New Roman" w:hAnsi="Arial" w:cs="Arial"/>
                <w:sz w:val="20"/>
                <w:szCs w:val="20"/>
                <w:lang w:val="nl-NL" w:eastAsia="nl-NL" w:bidi="ar-SA"/>
              </w:rPr>
              <w:t>-0,354559</w:t>
            </w:r>
          </w:p>
        </w:tc>
        <w:tc>
          <w:tcPr>
            <w:tcW w:w="1187" w:type="dxa"/>
            <w:tcBorders>
              <w:top w:val="nil"/>
              <w:left w:val="nil"/>
              <w:bottom w:val="single" w:sz="4" w:space="0" w:color="auto"/>
              <w:right w:val="single" w:sz="4" w:space="0" w:color="auto"/>
            </w:tcBorders>
            <w:shd w:val="clear" w:color="auto" w:fill="auto"/>
            <w:noWrap/>
            <w:vAlign w:val="bottom"/>
            <w:hideMark/>
          </w:tcPr>
          <w:p w:rsidR="00314A1E" w:rsidRPr="00DC7181" w:rsidRDefault="00314A1E" w:rsidP="009C16D2">
            <w:pPr>
              <w:spacing w:after="0" w:line="240" w:lineRule="auto"/>
              <w:jc w:val="right"/>
              <w:rPr>
                <w:rFonts w:ascii="Arial" w:eastAsia="Times New Roman" w:hAnsi="Arial" w:cs="Arial"/>
                <w:sz w:val="20"/>
                <w:szCs w:val="20"/>
                <w:lang w:val="nl-NL" w:eastAsia="nl-NL" w:bidi="ar-SA"/>
              </w:rPr>
            </w:pPr>
            <w:r w:rsidRPr="00DC7181">
              <w:rPr>
                <w:rFonts w:ascii="Arial" w:eastAsia="Times New Roman" w:hAnsi="Arial" w:cs="Arial"/>
                <w:sz w:val="20"/>
                <w:szCs w:val="20"/>
                <w:lang w:val="nl-NL" w:eastAsia="nl-NL" w:bidi="ar-SA"/>
              </w:rPr>
              <w:t>-0,40678</w:t>
            </w:r>
          </w:p>
        </w:tc>
        <w:tc>
          <w:tcPr>
            <w:tcW w:w="1160" w:type="dxa"/>
            <w:tcBorders>
              <w:top w:val="nil"/>
              <w:left w:val="nil"/>
              <w:bottom w:val="single" w:sz="4" w:space="0" w:color="auto"/>
              <w:right w:val="single" w:sz="4" w:space="0" w:color="auto"/>
            </w:tcBorders>
            <w:shd w:val="clear" w:color="auto" w:fill="auto"/>
            <w:noWrap/>
            <w:vAlign w:val="bottom"/>
            <w:hideMark/>
          </w:tcPr>
          <w:p w:rsidR="00314A1E" w:rsidRPr="00DC7181" w:rsidRDefault="00314A1E" w:rsidP="009C16D2">
            <w:pPr>
              <w:spacing w:after="0" w:line="240" w:lineRule="auto"/>
              <w:jc w:val="right"/>
              <w:rPr>
                <w:rFonts w:ascii="Arial" w:eastAsia="Times New Roman" w:hAnsi="Arial" w:cs="Arial"/>
                <w:sz w:val="20"/>
                <w:szCs w:val="20"/>
                <w:lang w:val="nl-NL" w:eastAsia="nl-NL" w:bidi="ar-SA"/>
              </w:rPr>
            </w:pPr>
            <w:r w:rsidRPr="00DC7181">
              <w:rPr>
                <w:rFonts w:ascii="Arial" w:eastAsia="Times New Roman" w:hAnsi="Arial" w:cs="Arial"/>
                <w:sz w:val="20"/>
                <w:szCs w:val="20"/>
                <w:lang w:val="nl-NL" w:eastAsia="nl-NL" w:bidi="ar-SA"/>
              </w:rPr>
              <w:t>-0,156918</w:t>
            </w:r>
          </w:p>
        </w:tc>
        <w:tc>
          <w:tcPr>
            <w:tcW w:w="1120" w:type="dxa"/>
            <w:tcBorders>
              <w:top w:val="nil"/>
              <w:left w:val="nil"/>
              <w:bottom w:val="single" w:sz="4" w:space="0" w:color="auto"/>
              <w:right w:val="single" w:sz="4" w:space="0" w:color="auto"/>
            </w:tcBorders>
            <w:shd w:val="clear" w:color="auto" w:fill="auto"/>
            <w:noWrap/>
            <w:vAlign w:val="bottom"/>
            <w:hideMark/>
          </w:tcPr>
          <w:p w:rsidR="00314A1E" w:rsidRPr="00DC7181" w:rsidRDefault="00314A1E" w:rsidP="009C16D2">
            <w:pPr>
              <w:spacing w:after="0" w:line="240" w:lineRule="auto"/>
              <w:jc w:val="right"/>
              <w:rPr>
                <w:rFonts w:ascii="Arial" w:eastAsia="Times New Roman" w:hAnsi="Arial" w:cs="Arial"/>
                <w:sz w:val="20"/>
                <w:szCs w:val="20"/>
                <w:lang w:val="nl-NL" w:eastAsia="nl-NL" w:bidi="ar-SA"/>
              </w:rPr>
            </w:pPr>
            <w:r w:rsidRPr="00DC7181">
              <w:rPr>
                <w:rFonts w:ascii="Arial" w:eastAsia="Times New Roman" w:hAnsi="Arial" w:cs="Arial"/>
                <w:sz w:val="20"/>
                <w:szCs w:val="20"/>
                <w:lang w:val="nl-NL" w:eastAsia="nl-NL" w:bidi="ar-SA"/>
              </w:rPr>
              <w:t>-0,902353</w:t>
            </w:r>
          </w:p>
        </w:tc>
        <w:tc>
          <w:tcPr>
            <w:tcW w:w="1220" w:type="dxa"/>
            <w:tcBorders>
              <w:top w:val="nil"/>
              <w:left w:val="nil"/>
              <w:bottom w:val="single" w:sz="4" w:space="0" w:color="auto"/>
              <w:right w:val="single" w:sz="4" w:space="0" w:color="auto"/>
            </w:tcBorders>
            <w:shd w:val="clear" w:color="auto" w:fill="auto"/>
            <w:noWrap/>
            <w:vAlign w:val="bottom"/>
            <w:hideMark/>
          </w:tcPr>
          <w:p w:rsidR="00314A1E" w:rsidRPr="00DC7181" w:rsidRDefault="00314A1E" w:rsidP="009C16D2">
            <w:pPr>
              <w:spacing w:after="0" w:line="240" w:lineRule="auto"/>
              <w:jc w:val="right"/>
              <w:rPr>
                <w:rFonts w:ascii="Arial" w:eastAsia="Times New Roman" w:hAnsi="Arial" w:cs="Arial"/>
                <w:sz w:val="20"/>
                <w:szCs w:val="20"/>
                <w:lang w:val="nl-NL" w:eastAsia="nl-NL" w:bidi="ar-SA"/>
              </w:rPr>
            </w:pPr>
            <w:r w:rsidRPr="00DC7181">
              <w:rPr>
                <w:rFonts w:ascii="Arial" w:eastAsia="Times New Roman" w:hAnsi="Arial" w:cs="Arial"/>
                <w:sz w:val="20"/>
                <w:szCs w:val="20"/>
                <w:lang w:val="nl-NL" w:eastAsia="nl-NL" w:bidi="ar-SA"/>
              </w:rPr>
              <w:t>-0,884321</w:t>
            </w:r>
          </w:p>
        </w:tc>
      </w:tr>
      <w:tr w:rsidR="00314A1E" w:rsidRPr="00DC7181" w:rsidTr="009C16D2">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314A1E" w:rsidRPr="00DC7181" w:rsidRDefault="00314A1E" w:rsidP="009C16D2">
            <w:pPr>
              <w:spacing w:after="0" w:line="240" w:lineRule="auto"/>
              <w:jc w:val="right"/>
              <w:rPr>
                <w:rFonts w:ascii="Arial" w:eastAsia="Times New Roman" w:hAnsi="Arial" w:cs="Arial"/>
                <w:sz w:val="20"/>
                <w:szCs w:val="20"/>
                <w:lang w:val="nl-NL" w:eastAsia="nl-NL" w:bidi="ar-SA"/>
              </w:rPr>
            </w:pPr>
            <w:r w:rsidRPr="00DC7181">
              <w:rPr>
                <w:rFonts w:ascii="Arial" w:eastAsia="Times New Roman" w:hAnsi="Arial" w:cs="Arial"/>
                <w:sz w:val="20"/>
                <w:szCs w:val="20"/>
                <w:lang w:val="nl-NL" w:eastAsia="nl-NL" w:bidi="ar-SA"/>
              </w:rPr>
              <w:t>9</w:t>
            </w:r>
          </w:p>
        </w:tc>
        <w:tc>
          <w:tcPr>
            <w:tcW w:w="1187" w:type="dxa"/>
            <w:tcBorders>
              <w:top w:val="nil"/>
              <w:left w:val="nil"/>
              <w:bottom w:val="single" w:sz="4" w:space="0" w:color="auto"/>
              <w:right w:val="single" w:sz="4" w:space="0" w:color="auto"/>
            </w:tcBorders>
            <w:shd w:val="clear" w:color="auto" w:fill="auto"/>
            <w:noWrap/>
            <w:vAlign w:val="bottom"/>
            <w:hideMark/>
          </w:tcPr>
          <w:p w:rsidR="00314A1E" w:rsidRPr="00DC7181" w:rsidRDefault="00314A1E" w:rsidP="009C16D2">
            <w:pPr>
              <w:spacing w:after="0" w:line="240" w:lineRule="auto"/>
              <w:jc w:val="right"/>
              <w:rPr>
                <w:rFonts w:ascii="Arial" w:eastAsia="Times New Roman" w:hAnsi="Arial" w:cs="Arial"/>
                <w:sz w:val="20"/>
                <w:szCs w:val="20"/>
                <w:lang w:val="nl-NL" w:eastAsia="nl-NL" w:bidi="ar-SA"/>
              </w:rPr>
            </w:pPr>
            <w:r w:rsidRPr="00DC7181">
              <w:rPr>
                <w:rFonts w:ascii="Arial" w:eastAsia="Times New Roman" w:hAnsi="Arial" w:cs="Arial"/>
                <w:sz w:val="20"/>
                <w:szCs w:val="20"/>
                <w:lang w:val="nl-NL" w:eastAsia="nl-NL" w:bidi="ar-SA"/>
              </w:rPr>
              <w:t>-0,349217</w:t>
            </w:r>
          </w:p>
        </w:tc>
        <w:tc>
          <w:tcPr>
            <w:tcW w:w="1187" w:type="dxa"/>
            <w:tcBorders>
              <w:top w:val="nil"/>
              <w:left w:val="nil"/>
              <w:bottom w:val="single" w:sz="4" w:space="0" w:color="auto"/>
              <w:right w:val="single" w:sz="4" w:space="0" w:color="auto"/>
            </w:tcBorders>
            <w:shd w:val="clear" w:color="auto" w:fill="auto"/>
            <w:noWrap/>
            <w:vAlign w:val="bottom"/>
            <w:hideMark/>
          </w:tcPr>
          <w:p w:rsidR="00314A1E" w:rsidRPr="00DC7181" w:rsidRDefault="00314A1E" w:rsidP="009C16D2">
            <w:pPr>
              <w:spacing w:after="0" w:line="240" w:lineRule="auto"/>
              <w:jc w:val="right"/>
              <w:rPr>
                <w:rFonts w:ascii="Arial" w:eastAsia="Times New Roman" w:hAnsi="Arial" w:cs="Arial"/>
                <w:sz w:val="20"/>
                <w:szCs w:val="20"/>
                <w:lang w:val="nl-NL" w:eastAsia="nl-NL" w:bidi="ar-SA"/>
              </w:rPr>
            </w:pPr>
            <w:r w:rsidRPr="00DC7181">
              <w:rPr>
                <w:rFonts w:ascii="Arial" w:eastAsia="Times New Roman" w:hAnsi="Arial" w:cs="Arial"/>
                <w:sz w:val="20"/>
                <w:szCs w:val="20"/>
                <w:lang w:val="nl-NL" w:eastAsia="nl-NL" w:bidi="ar-SA"/>
              </w:rPr>
              <w:t>-0,408803</w:t>
            </w:r>
          </w:p>
        </w:tc>
        <w:tc>
          <w:tcPr>
            <w:tcW w:w="1160" w:type="dxa"/>
            <w:tcBorders>
              <w:top w:val="nil"/>
              <w:left w:val="nil"/>
              <w:bottom w:val="single" w:sz="4" w:space="0" w:color="auto"/>
              <w:right w:val="single" w:sz="4" w:space="0" w:color="auto"/>
            </w:tcBorders>
            <w:shd w:val="clear" w:color="auto" w:fill="auto"/>
            <w:noWrap/>
            <w:vAlign w:val="bottom"/>
            <w:hideMark/>
          </w:tcPr>
          <w:p w:rsidR="00314A1E" w:rsidRPr="00DC7181" w:rsidRDefault="00314A1E" w:rsidP="009C16D2">
            <w:pPr>
              <w:spacing w:after="0" w:line="240" w:lineRule="auto"/>
              <w:jc w:val="right"/>
              <w:rPr>
                <w:rFonts w:ascii="Arial" w:eastAsia="Times New Roman" w:hAnsi="Arial" w:cs="Arial"/>
                <w:sz w:val="20"/>
                <w:szCs w:val="20"/>
                <w:lang w:val="nl-NL" w:eastAsia="nl-NL" w:bidi="ar-SA"/>
              </w:rPr>
            </w:pPr>
            <w:r w:rsidRPr="00DC7181">
              <w:rPr>
                <w:rFonts w:ascii="Arial" w:eastAsia="Times New Roman" w:hAnsi="Arial" w:cs="Arial"/>
                <w:sz w:val="20"/>
                <w:szCs w:val="20"/>
                <w:lang w:val="nl-NL" w:eastAsia="nl-NL" w:bidi="ar-SA"/>
              </w:rPr>
              <w:t>-0,157827</w:t>
            </w:r>
          </w:p>
        </w:tc>
        <w:tc>
          <w:tcPr>
            <w:tcW w:w="1120" w:type="dxa"/>
            <w:tcBorders>
              <w:top w:val="nil"/>
              <w:left w:val="nil"/>
              <w:bottom w:val="single" w:sz="4" w:space="0" w:color="auto"/>
              <w:right w:val="single" w:sz="4" w:space="0" w:color="auto"/>
            </w:tcBorders>
            <w:shd w:val="clear" w:color="auto" w:fill="auto"/>
            <w:noWrap/>
            <w:vAlign w:val="bottom"/>
            <w:hideMark/>
          </w:tcPr>
          <w:p w:rsidR="00314A1E" w:rsidRPr="00DC7181" w:rsidRDefault="00314A1E" w:rsidP="009C16D2">
            <w:pPr>
              <w:spacing w:after="0" w:line="240" w:lineRule="auto"/>
              <w:jc w:val="right"/>
              <w:rPr>
                <w:rFonts w:ascii="Arial" w:eastAsia="Times New Roman" w:hAnsi="Arial" w:cs="Arial"/>
                <w:sz w:val="20"/>
                <w:szCs w:val="20"/>
                <w:lang w:val="nl-NL" w:eastAsia="nl-NL" w:bidi="ar-SA"/>
              </w:rPr>
            </w:pPr>
            <w:r w:rsidRPr="00DC7181">
              <w:rPr>
                <w:rFonts w:ascii="Arial" w:eastAsia="Times New Roman" w:hAnsi="Arial" w:cs="Arial"/>
                <w:sz w:val="20"/>
                <w:szCs w:val="20"/>
                <w:lang w:val="nl-NL" w:eastAsia="nl-NL" w:bidi="ar-SA"/>
              </w:rPr>
              <w:t>-0,921927</w:t>
            </w:r>
          </w:p>
        </w:tc>
        <w:tc>
          <w:tcPr>
            <w:tcW w:w="1220" w:type="dxa"/>
            <w:tcBorders>
              <w:top w:val="nil"/>
              <w:left w:val="nil"/>
              <w:bottom w:val="single" w:sz="4" w:space="0" w:color="auto"/>
              <w:right w:val="single" w:sz="4" w:space="0" w:color="auto"/>
            </w:tcBorders>
            <w:shd w:val="clear" w:color="auto" w:fill="auto"/>
            <w:noWrap/>
            <w:vAlign w:val="bottom"/>
            <w:hideMark/>
          </w:tcPr>
          <w:p w:rsidR="00314A1E" w:rsidRPr="00DC7181" w:rsidRDefault="00314A1E" w:rsidP="009C16D2">
            <w:pPr>
              <w:spacing w:after="0" w:line="240" w:lineRule="auto"/>
              <w:jc w:val="right"/>
              <w:rPr>
                <w:rFonts w:ascii="Arial" w:eastAsia="Times New Roman" w:hAnsi="Arial" w:cs="Arial"/>
                <w:sz w:val="20"/>
                <w:szCs w:val="20"/>
                <w:lang w:val="nl-NL" w:eastAsia="nl-NL" w:bidi="ar-SA"/>
              </w:rPr>
            </w:pPr>
            <w:r w:rsidRPr="00DC7181">
              <w:rPr>
                <w:rFonts w:ascii="Arial" w:eastAsia="Times New Roman" w:hAnsi="Arial" w:cs="Arial"/>
                <w:sz w:val="20"/>
                <w:szCs w:val="20"/>
                <w:lang w:val="nl-NL" w:eastAsia="nl-NL" w:bidi="ar-SA"/>
              </w:rPr>
              <w:t>-0,892089</w:t>
            </w:r>
          </w:p>
        </w:tc>
      </w:tr>
      <w:tr w:rsidR="00314A1E" w:rsidRPr="00DC7181" w:rsidTr="009C16D2">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314A1E" w:rsidRPr="00DC7181" w:rsidRDefault="00314A1E" w:rsidP="009C16D2">
            <w:pPr>
              <w:spacing w:after="0" w:line="240" w:lineRule="auto"/>
              <w:jc w:val="right"/>
              <w:rPr>
                <w:rFonts w:ascii="Arial" w:eastAsia="Times New Roman" w:hAnsi="Arial" w:cs="Arial"/>
                <w:sz w:val="20"/>
                <w:szCs w:val="20"/>
                <w:lang w:val="nl-NL" w:eastAsia="nl-NL" w:bidi="ar-SA"/>
              </w:rPr>
            </w:pPr>
            <w:r w:rsidRPr="00DC7181">
              <w:rPr>
                <w:rFonts w:ascii="Arial" w:eastAsia="Times New Roman" w:hAnsi="Arial" w:cs="Arial"/>
                <w:sz w:val="20"/>
                <w:szCs w:val="20"/>
                <w:lang w:val="nl-NL" w:eastAsia="nl-NL" w:bidi="ar-SA"/>
              </w:rPr>
              <w:t>10</w:t>
            </w:r>
          </w:p>
        </w:tc>
        <w:tc>
          <w:tcPr>
            <w:tcW w:w="1187" w:type="dxa"/>
            <w:tcBorders>
              <w:top w:val="nil"/>
              <w:left w:val="nil"/>
              <w:bottom w:val="single" w:sz="4" w:space="0" w:color="auto"/>
              <w:right w:val="single" w:sz="4" w:space="0" w:color="auto"/>
            </w:tcBorders>
            <w:shd w:val="clear" w:color="auto" w:fill="auto"/>
            <w:noWrap/>
            <w:vAlign w:val="bottom"/>
            <w:hideMark/>
          </w:tcPr>
          <w:p w:rsidR="00314A1E" w:rsidRPr="00DC7181" w:rsidRDefault="00314A1E" w:rsidP="009C16D2">
            <w:pPr>
              <w:spacing w:after="0" w:line="240" w:lineRule="auto"/>
              <w:jc w:val="right"/>
              <w:rPr>
                <w:rFonts w:ascii="Arial" w:eastAsia="Times New Roman" w:hAnsi="Arial" w:cs="Arial"/>
                <w:sz w:val="20"/>
                <w:szCs w:val="20"/>
                <w:lang w:val="nl-NL" w:eastAsia="nl-NL" w:bidi="ar-SA"/>
              </w:rPr>
            </w:pPr>
            <w:r w:rsidRPr="00DC7181">
              <w:rPr>
                <w:rFonts w:ascii="Arial" w:eastAsia="Times New Roman" w:hAnsi="Arial" w:cs="Arial"/>
                <w:sz w:val="20"/>
                <w:szCs w:val="20"/>
                <w:lang w:val="nl-NL" w:eastAsia="nl-NL" w:bidi="ar-SA"/>
              </w:rPr>
              <w:t>-0,343877</w:t>
            </w:r>
          </w:p>
        </w:tc>
        <w:tc>
          <w:tcPr>
            <w:tcW w:w="1187" w:type="dxa"/>
            <w:tcBorders>
              <w:top w:val="nil"/>
              <w:left w:val="nil"/>
              <w:bottom w:val="single" w:sz="4" w:space="0" w:color="auto"/>
              <w:right w:val="single" w:sz="4" w:space="0" w:color="auto"/>
            </w:tcBorders>
            <w:shd w:val="clear" w:color="auto" w:fill="auto"/>
            <w:noWrap/>
            <w:vAlign w:val="bottom"/>
            <w:hideMark/>
          </w:tcPr>
          <w:p w:rsidR="00314A1E" w:rsidRPr="00DC7181" w:rsidRDefault="00314A1E" w:rsidP="009C16D2">
            <w:pPr>
              <w:spacing w:after="0" w:line="240" w:lineRule="auto"/>
              <w:jc w:val="right"/>
              <w:rPr>
                <w:rFonts w:ascii="Arial" w:eastAsia="Times New Roman" w:hAnsi="Arial" w:cs="Arial"/>
                <w:sz w:val="20"/>
                <w:szCs w:val="20"/>
                <w:lang w:val="nl-NL" w:eastAsia="nl-NL" w:bidi="ar-SA"/>
              </w:rPr>
            </w:pPr>
            <w:r w:rsidRPr="00DC7181">
              <w:rPr>
                <w:rFonts w:ascii="Arial" w:eastAsia="Times New Roman" w:hAnsi="Arial" w:cs="Arial"/>
                <w:sz w:val="20"/>
                <w:szCs w:val="20"/>
                <w:lang w:val="nl-NL" w:eastAsia="nl-NL" w:bidi="ar-SA"/>
              </w:rPr>
              <w:t>-0,410826</w:t>
            </w:r>
          </w:p>
        </w:tc>
        <w:tc>
          <w:tcPr>
            <w:tcW w:w="1160" w:type="dxa"/>
            <w:tcBorders>
              <w:top w:val="nil"/>
              <w:left w:val="nil"/>
              <w:bottom w:val="single" w:sz="4" w:space="0" w:color="auto"/>
              <w:right w:val="single" w:sz="4" w:space="0" w:color="auto"/>
            </w:tcBorders>
            <w:shd w:val="clear" w:color="auto" w:fill="auto"/>
            <w:noWrap/>
            <w:vAlign w:val="bottom"/>
            <w:hideMark/>
          </w:tcPr>
          <w:p w:rsidR="00314A1E" w:rsidRPr="00DC7181" w:rsidRDefault="00314A1E" w:rsidP="009C16D2">
            <w:pPr>
              <w:spacing w:after="0" w:line="240" w:lineRule="auto"/>
              <w:jc w:val="right"/>
              <w:rPr>
                <w:rFonts w:ascii="Arial" w:eastAsia="Times New Roman" w:hAnsi="Arial" w:cs="Arial"/>
                <w:sz w:val="20"/>
                <w:szCs w:val="20"/>
                <w:lang w:val="nl-NL" w:eastAsia="nl-NL" w:bidi="ar-SA"/>
              </w:rPr>
            </w:pPr>
            <w:r w:rsidRPr="00DC7181">
              <w:rPr>
                <w:rFonts w:ascii="Arial" w:eastAsia="Times New Roman" w:hAnsi="Arial" w:cs="Arial"/>
                <w:sz w:val="20"/>
                <w:szCs w:val="20"/>
                <w:lang w:val="nl-NL" w:eastAsia="nl-NL" w:bidi="ar-SA"/>
              </w:rPr>
              <w:t>-0,158735</w:t>
            </w:r>
          </w:p>
        </w:tc>
        <w:tc>
          <w:tcPr>
            <w:tcW w:w="1120" w:type="dxa"/>
            <w:tcBorders>
              <w:top w:val="nil"/>
              <w:left w:val="nil"/>
              <w:bottom w:val="single" w:sz="4" w:space="0" w:color="auto"/>
              <w:right w:val="single" w:sz="4" w:space="0" w:color="auto"/>
            </w:tcBorders>
            <w:shd w:val="clear" w:color="auto" w:fill="auto"/>
            <w:noWrap/>
            <w:vAlign w:val="bottom"/>
            <w:hideMark/>
          </w:tcPr>
          <w:p w:rsidR="00314A1E" w:rsidRPr="00DC7181" w:rsidRDefault="00314A1E" w:rsidP="009C16D2">
            <w:pPr>
              <w:spacing w:after="0" w:line="240" w:lineRule="auto"/>
              <w:jc w:val="right"/>
              <w:rPr>
                <w:rFonts w:ascii="Arial" w:eastAsia="Times New Roman" w:hAnsi="Arial" w:cs="Arial"/>
                <w:sz w:val="20"/>
                <w:szCs w:val="20"/>
                <w:lang w:val="nl-NL" w:eastAsia="nl-NL" w:bidi="ar-SA"/>
              </w:rPr>
            </w:pPr>
            <w:r w:rsidRPr="00DC7181">
              <w:rPr>
                <w:rFonts w:ascii="Arial" w:eastAsia="Times New Roman" w:hAnsi="Arial" w:cs="Arial"/>
                <w:sz w:val="20"/>
                <w:szCs w:val="20"/>
                <w:lang w:val="nl-NL" w:eastAsia="nl-NL" w:bidi="ar-SA"/>
              </w:rPr>
              <w:t>-0,941486</w:t>
            </w:r>
          </w:p>
        </w:tc>
        <w:tc>
          <w:tcPr>
            <w:tcW w:w="1220" w:type="dxa"/>
            <w:tcBorders>
              <w:top w:val="nil"/>
              <w:left w:val="nil"/>
              <w:bottom w:val="single" w:sz="4" w:space="0" w:color="auto"/>
              <w:right w:val="single" w:sz="4" w:space="0" w:color="auto"/>
            </w:tcBorders>
            <w:shd w:val="clear" w:color="auto" w:fill="auto"/>
            <w:noWrap/>
            <w:vAlign w:val="bottom"/>
            <w:hideMark/>
          </w:tcPr>
          <w:p w:rsidR="00314A1E" w:rsidRPr="00DC7181" w:rsidRDefault="00314A1E" w:rsidP="009C16D2">
            <w:pPr>
              <w:spacing w:after="0" w:line="240" w:lineRule="auto"/>
              <w:jc w:val="right"/>
              <w:rPr>
                <w:rFonts w:ascii="Arial" w:eastAsia="Times New Roman" w:hAnsi="Arial" w:cs="Arial"/>
                <w:sz w:val="20"/>
                <w:szCs w:val="20"/>
                <w:lang w:val="nl-NL" w:eastAsia="nl-NL" w:bidi="ar-SA"/>
              </w:rPr>
            </w:pPr>
            <w:r w:rsidRPr="00DC7181">
              <w:rPr>
                <w:rFonts w:ascii="Arial" w:eastAsia="Times New Roman" w:hAnsi="Arial" w:cs="Arial"/>
                <w:sz w:val="20"/>
                <w:szCs w:val="20"/>
                <w:lang w:val="nl-NL" w:eastAsia="nl-NL" w:bidi="ar-SA"/>
              </w:rPr>
              <w:t>-0,899862</w:t>
            </w:r>
          </w:p>
        </w:tc>
      </w:tr>
    </w:tbl>
    <w:p w:rsidR="00314A1E" w:rsidRDefault="00314A1E" w:rsidP="00534D6D">
      <w:pPr>
        <w:pStyle w:val="NoSpacing"/>
      </w:pPr>
    </w:p>
    <w:p w:rsidR="00314A1E" w:rsidRPr="00861EA7" w:rsidRDefault="00314A1E" w:rsidP="00314A1E">
      <w:pPr>
        <w:pStyle w:val="NoSpacing"/>
        <w:rPr>
          <w:color w:val="FF0000"/>
        </w:rPr>
      </w:pPr>
      <w:r>
        <w:t xml:space="preserve">All used sector indices Granger causes the Swiss franc, except health care. Again the direction of influence is negative (increase of stock prices means appreciation of the euro). A logical explanation for the exception of health care is that this industry is less volatile than the others, less influenced by macro economic variables, and follows a different pattern. </w:t>
      </w:r>
      <w:r w:rsidRPr="00861EA7">
        <w:rPr>
          <w:color w:val="FF0000"/>
        </w:rPr>
        <w:t>Unfortunately, the descriptive st</w:t>
      </w:r>
      <w:r w:rsidR="00861EA7" w:rsidRPr="00861EA7">
        <w:rPr>
          <w:color w:val="FF0000"/>
        </w:rPr>
        <w:t xml:space="preserve">atistics refute this reasoning, because they show </w:t>
      </w:r>
      <w:r w:rsidR="00534D6D">
        <w:rPr>
          <w:color w:val="FF0000"/>
        </w:rPr>
        <w:t>the same volatility and</w:t>
      </w:r>
      <w:r w:rsidR="00861EA7" w:rsidRPr="00861EA7">
        <w:rPr>
          <w:color w:val="FF0000"/>
        </w:rPr>
        <w:t xml:space="preserve"> the correlation table in the data chapter shows that </w:t>
      </w:r>
      <w:r w:rsidR="00534D6D">
        <w:rPr>
          <w:color w:val="FF0000"/>
        </w:rPr>
        <w:t>the</w:t>
      </w:r>
      <w:r w:rsidR="00861EA7" w:rsidRPr="00861EA7">
        <w:rPr>
          <w:color w:val="FF0000"/>
        </w:rPr>
        <w:t xml:space="preserve"> correlation with the other stocks is not much different than other correlations. </w:t>
      </w:r>
    </w:p>
    <w:p w:rsidR="00314A1E" w:rsidRDefault="00314A1E" w:rsidP="00314A1E">
      <w:pPr>
        <w:pStyle w:val="NoSpacing"/>
      </w:pPr>
    </w:p>
    <w:p w:rsidR="00314A1E" w:rsidRDefault="00314A1E" w:rsidP="00314A1E">
      <w:pPr>
        <w:pStyle w:val="NoSpacing"/>
      </w:pPr>
      <w:r>
        <w:t xml:space="preserve">The indices for consumer goods, consumer services, telecom and utilities shown feedback relations with the CHF/EUR in negative direction, as they are all Granger caused by, but also has Granger caused the Swiss franc.    </w:t>
      </w:r>
    </w:p>
    <w:p w:rsidR="00314A1E" w:rsidRDefault="00314A1E" w:rsidP="00314A1E">
      <w:pPr>
        <w:pStyle w:val="NoSpacing"/>
      </w:pPr>
    </w:p>
    <w:p w:rsidR="00314A1E" w:rsidRDefault="00314A1E" w:rsidP="00314A1E">
      <w:pPr>
        <w:pStyle w:val="NoSpacing"/>
      </w:pPr>
      <w:r>
        <w:t xml:space="preserve">The most important finding is that Europe’s stock markets and the CHFEUR has some significant relationships with each other. Switzerland is surrounded by euro-countries, and the </w:t>
      </w:r>
      <w:proofErr w:type="spellStart"/>
      <w:r>
        <w:t>eurozone</w:t>
      </w:r>
      <w:proofErr w:type="spellEnd"/>
      <w:r>
        <w:t xml:space="preserve"> is Swiss biggest trade partner (import: 60%; export: 78%)</w:t>
      </w:r>
      <w:r>
        <w:rPr>
          <w:rStyle w:val="FootnoteReference"/>
        </w:rPr>
        <w:footnoteReference w:id="8"/>
      </w:r>
      <w:r>
        <w:t xml:space="preserve">. This explains the importance of the stock markets for the Swiss franc. Why the Swiss franc is important for the </w:t>
      </w:r>
      <w:proofErr w:type="spellStart"/>
      <w:r>
        <w:t>eurozone</w:t>
      </w:r>
      <w:proofErr w:type="spellEnd"/>
      <w:r>
        <w:t xml:space="preserve"> is less easy to understand, although Switzerland is an important trade partner, the numbers are obvious smaller (import: 6</w:t>
      </w:r>
      <w:proofErr w:type="gramStart"/>
      <w:r>
        <w:t>,1</w:t>
      </w:r>
      <w:proofErr w:type="gramEnd"/>
      <w:r>
        <w:t xml:space="preserve">%; export: 7,9%). It cannot be said for sure that these trade figures are of significant influence for the five sectors. Another possibility is that they profit from a strong domestic economy and that an appreciating euro against the Swiss franc is just the consequence of the economic growth.  </w:t>
      </w:r>
    </w:p>
    <w:p w:rsidR="00314A1E" w:rsidRDefault="00314A1E" w:rsidP="00314A1E">
      <w:pPr>
        <w:pStyle w:val="NoSpacing"/>
      </w:pPr>
    </w:p>
    <w:p w:rsidR="00314A1E" w:rsidRDefault="00314A1E" w:rsidP="00314A1E">
      <w:pPr>
        <w:pStyle w:val="NoSpacing"/>
      </w:pPr>
    </w:p>
    <w:p w:rsidR="00314A1E" w:rsidRDefault="00314A1E" w:rsidP="00314A1E">
      <w:pPr>
        <w:pStyle w:val="NoSpacing"/>
      </w:pPr>
      <w:r>
        <w:lastRenderedPageBreak/>
        <w:t>The results for European indices with the USDEUR could be summarized as follow</w:t>
      </w:r>
      <w:r w:rsidR="007C63C2">
        <w:t>s</w:t>
      </w:r>
      <w:r>
        <w:t xml:space="preserve">: </w:t>
      </w:r>
    </w:p>
    <w:p w:rsidR="00314A1E" w:rsidRDefault="00314A1E" w:rsidP="00314A1E">
      <w:pPr>
        <w:pStyle w:val="NoSpacing"/>
        <w:numPr>
          <w:ilvl w:val="0"/>
          <w:numId w:val="13"/>
        </w:numPr>
      </w:pPr>
      <w:r>
        <w:t xml:space="preserve"> </w:t>
      </w:r>
      <w:r w:rsidR="0016653A">
        <w:t>3</w:t>
      </w:r>
      <w:r>
        <w:t xml:space="preserve"> European ind</w:t>
      </w:r>
      <w:r w:rsidR="0016653A">
        <w:t>ices</w:t>
      </w:r>
      <w:r>
        <w:t xml:space="preserve"> Granger cause the US dollar (consumer services, telecom, technology)</w:t>
      </w:r>
    </w:p>
    <w:p w:rsidR="00314A1E" w:rsidRDefault="00314A1E" w:rsidP="00314A1E">
      <w:pPr>
        <w:pStyle w:val="NoSpacing"/>
        <w:numPr>
          <w:ilvl w:val="0"/>
          <w:numId w:val="13"/>
        </w:numPr>
      </w:pPr>
      <w:r>
        <w:t>The US dollar Granger cause</w:t>
      </w:r>
      <w:r w:rsidR="0016653A">
        <w:t>s</w:t>
      </w:r>
      <w:r>
        <w:t xml:space="preserve"> </w:t>
      </w:r>
      <w:r w:rsidR="0016653A">
        <w:t>2</w:t>
      </w:r>
      <w:r>
        <w:t xml:space="preserve"> ind</w:t>
      </w:r>
      <w:r w:rsidR="0016653A">
        <w:t>ices</w:t>
      </w:r>
      <w:r w:rsidR="00861EA7">
        <w:t xml:space="preserve"> </w:t>
      </w:r>
      <w:r>
        <w:t>(health care, telecom)</w:t>
      </w:r>
    </w:p>
    <w:p w:rsidR="00314A1E" w:rsidRDefault="00314A1E" w:rsidP="00314A1E">
      <w:pPr>
        <w:pStyle w:val="NoSpacing"/>
      </w:pPr>
    </w:p>
    <w:p w:rsidR="00314A1E" w:rsidRDefault="00314A1E" w:rsidP="00314A1E">
      <w:pPr>
        <w:pStyle w:val="NoSpacing"/>
      </w:pPr>
      <w:r>
        <w:t>The direction of influence from USDEUR to the sectors is in table</w:t>
      </w:r>
      <w:r w:rsidR="007C63C2">
        <w:t xml:space="preserve"> 13</w:t>
      </w:r>
      <w:r>
        <w:t xml:space="preserve">, the direction from sectors to USDEUR is including in the appendix. As can be seen, not all responses with the dollar are in the same direction. </w:t>
      </w:r>
    </w:p>
    <w:p w:rsidR="00314A1E" w:rsidRDefault="00314A1E" w:rsidP="00314A1E">
      <w:pPr>
        <w:pStyle w:val="NoSpacing"/>
      </w:pPr>
    </w:p>
    <w:p w:rsidR="00DB031F" w:rsidRDefault="00DB031F" w:rsidP="00DB031F">
      <w:pPr>
        <w:pStyle w:val="NoSpacing"/>
      </w:pPr>
      <w:r w:rsidRPr="00107DB1">
        <w:t>Table 1</w:t>
      </w:r>
      <w:r w:rsidR="00CD606C">
        <w:t>3</w:t>
      </w:r>
      <w:r w:rsidR="00107DB1" w:rsidRPr="00107DB1">
        <w:t>:  Impulse response functions of sectors to USDEUR</w:t>
      </w:r>
    </w:p>
    <w:tbl>
      <w:tblPr>
        <w:tblW w:w="4380" w:type="dxa"/>
        <w:tblInd w:w="55" w:type="dxa"/>
        <w:tblCellMar>
          <w:left w:w="70" w:type="dxa"/>
          <w:right w:w="70" w:type="dxa"/>
        </w:tblCellMar>
        <w:tblLook w:val="04A0"/>
      </w:tblPr>
      <w:tblGrid>
        <w:gridCol w:w="846"/>
        <w:gridCol w:w="1187"/>
        <w:gridCol w:w="1187"/>
        <w:gridCol w:w="1160"/>
      </w:tblGrid>
      <w:tr w:rsidR="00314A1E" w:rsidRPr="00F67784" w:rsidTr="009C16D2">
        <w:trPr>
          <w:trHeight w:val="255"/>
        </w:trPr>
        <w:tc>
          <w:tcPr>
            <w:tcW w:w="3220" w:type="dxa"/>
            <w:gridSpan w:val="3"/>
            <w:tcBorders>
              <w:top w:val="single" w:sz="4" w:space="0" w:color="auto"/>
              <w:left w:val="single" w:sz="4" w:space="0" w:color="auto"/>
              <w:bottom w:val="single" w:sz="4" w:space="0" w:color="auto"/>
              <w:right w:val="nil"/>
            </w:tcBorders>
            <w:shd w:val="clear" w:color="auto" w:fill="auto"/>
            <w:noWrap/>
            <w:vAlign w:val="bottom"/>
            <w:hideMark/>
          </w:tcPr>
          <w:p w:rsidR="00314A1E" w:rsidRPr="00F67784" w:rsidRDefault="00314A1E" w:rsidP="009C16D2">
            <w:pPr>
              <w:spacing w:after="0" w:line="240" w:lineRule="auto"/>
              <w:rPr>
                <w:rFonts w:ascii="Arial" w:eastAsia="Times New Roman" w:hAnsi="Arial" w:cs="Arial"/>
                <w:sz w:val="20"/>
                <w:szCs w:val="20"/>
                <w:lang w:eastAsia="nl-NL" w:bidi="ar-SA"/>
              </w:rPr>
            </w:pPr>
            <w:r w:rsidRPr="00F67784">
              <w:rPr>
                <w:rFonts w:ascii="Arial" w:eastAsia="Times New Roman" w:hAnsi="Arial" w:cs="Arial"/>
                <w:sz w:val="20"/>
                <w:szCs w:val="20"/>
                <w:lang w:eastAsia="nl-NL" w:bidi="ar-SA"/>
              </w:rPr>
              <w:t>Response of USDEUR to sector</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rsidR="00314A1E" w:rsidRPr="00F67784" w:rsidRDefault="00314A1E" w:rsidP="009C16D2">
            <w:pPr>
              <w:spacing w:after="0" w:line="240" w:lineRule="auto"/>
              <w:rPr>
                <w:rFonts w:ascii="Arial" w:eastAsia="Times New Roman" w:hAnsi="Arial" w:cs="Arial"/>
                <w:sz w:val="20"/>
                <w:szCs w:val="20"/>
                <w:lang w:eastAsia="nl-NL" w:bidi="ar-SA"/>
              </w:rPr>
            </w:pPr>
            <w:r w:rsidRPr="00F67784">
              <w:rPr>
                <w:rFonts w:ascii="Arial" w:eastAsia="Times New Roman" w:hAnsi="Arial" w:cs="Arial"/>
                <w:sz w:val="20"/>
                <w:szCs w:val="20"/>
                <w:lang w:eastAsia="nl-NL" w:bidi="ar-SA"/>
              </w:rPr>
              <w:t> </w:t>
            </w:r>
          </w:p>
        </w:tc>
      </w:tr>
      <w:tr w:rsidR="00314A1E" w:rsidRPr="00F67784" w:rsidTr="009C16D2">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314A1E" w:rsidRPr="00F67784" w:rsidRDefault="00314A1E" w:rsidP="009C16D2">
            <w:pPr>
              <w:spacing w:after="0" w:line="240" w:lineRule="auto"/>
              <w:rPr>
                <w:rFonts w:ascii="Arial" w:eastAsia="Times New Roman" w:hAnsi="Arial" w:cs="Arial"/>
                <w:sz w:val="20"/>
                <w:szCs w:val="20"/>
                <w:lang w:val="nl-NL" w:eastAsia="nl-NL" w:bidi="ar-SA"/>
              </w:rPr>
            </w:pPr>
            <w:r w:rsidRPr="00F67784">
              <w:rPr>
                <w:rFonts w:ascii="Arial" w:eastAsia="Times New Roman" w:hAnsi="Arial" w:cs="Arial"/>
                <w:sz w:val="20"/>
                <w:szCs w:val="20"/>
                <w:lang w:eastAsia="nl-NL" w:bidi="ar-SA"/>
              </w:rPr>
              <w:t xml:space="preserve"> </w:t>
            </w:r>
            <w:proofErr w:type="spellStart"/>
            <w:r w:rsidRPr="00F67784">
              <w:rPr>
                <w:rFonts w:ascii="Arial" w:eastAsia="Times New Roman" w:hAnsi="Arial" w:cs="Arial"/>
                <w:sz w:val="20"/>
                <w:szCs w:val="20"/>
                <w:lang w:val="nl-NL" w:eastAsia="nl-NL" w:bidi="ar-SA"/>
              </w:rPr>
              <w:t>Period</w:t>
            </w:r>
            <w:proofErr w:type="spellEnd"/>
          </w:p>
        </w:tc>
        <w:tc>
          <w:tcPr>
            <w:tcW w:w="1187" w:type="dxa"/>
            <w:tcBorders>
              <w:top w:val="nil"/>
              <w:left w:val="nil"/>
              <w:bottom w:val="single" w:sz="4" w:space="0" w:color="auto"/>
              <w:right w:val="single" w:sz="4" w:space="0" w:color="auto"/>
            </w:tcBorders>
            <w:shd w:val="clear" w:color="auto" w:fill="auto"/>
            <w:noWrap/>
            <w:vAlign w:val="bottom"/>
            <w:hideMark/>
          </w:tcPr>
          <w:p w:rsidR="00314A1E" w:rsidRPr="00F67784" w:rsidRDefault="00314A1E" w:rsidP="009C16D2">
            <w:pPr>
              <w:spacing w:after="0" w:line="240" w:lineRule="auto"/>
              <w:rPr>
                <w:rFonts w:ascii="Arial" w:eastAsia="Times New Roman" w:hAnsi="Arial" w:cs="Arial"/>
                <w:sz w:val="20"/>
                <w:szCs w:val="20"/>
                <w:lang w:val="nl-NL" w:eastAsia="nl-NL" w:bidi="ar-SA"/>
              </w:rPr>
            </w:pPr>
            <w:r w:rsidRPr="00F67784">
              <w:rPr>
                <w:rFonts w:ascii="Arial" w:eastAsia="Times New Roman" w:hAnsi="Arial" w:cs="Arial"/>
                <w:sz w:val="20"/>
                <w:szCs w:val="20"/>
                <w:lang w:val="nl-NL" w:eastAsia="nl-NL" w:bidi="ar-SA"/>
              </w:rPr>
              <w:t>EUCSVS</w:t>
            </w:r>
          </w:p>
        </w:tc>
        <w:tc>
          <w:tcPr>
            <w:tcW w:w="1187" w:type="dxa"/>
            <w:tcBorders>
              <w:top w:val="nil"/>
              <w:left w:val="nil"/>
              <w:bottom w:val="single" w:sz="4" w:space="0" w:color="auto"/>
              <w:right w:val="single" w:sz="4" w:space="0" w:color="auto"/>
            </w:tcBorders>
            <w:shd w:val="clear" w:color="auto" w:fill="auto"/>
            <w:noWrap/>
            <w:vAlign w:val="bottom"/>
            <w:hideMark/>
          </w:tcPr>
          <w:p w:rsidR="00314A1E" w:rsidRPr="00F67784" w:rsidRDefault="00314A1E" w:rsidP="009C16D2">
            <w:pPr>
              <w:spacing w:after="0" w:line="240" w:lineRule="auto"/>
              <w:rPr>
                <w:rFonts w:ascii="Arial" w:eastAsia="Times New Roman" w:hAnsi="Arial" w:cs="Arial"/>
                <w:sz w:val="20"/>
                <w:szCs w:val="20"/>
                <w:lang w:val="nl-NL" w:eastAsia="nl-NL" w:bidi="ar-SA"/>
              </w:rPr>
            </w:pPr>
            <w:r w:rsidRPr="00F67784">
              <w:rPr>
                <w:rFonts w:ascii="Arial" w:eastAsia="Times New Roman" w:hAnsi="Arial" w:cs="Arial"/>
                <w:sz w:val="20"/>
                <w:szCs w:val="20"/>
                <w:lang w:val="nl-NL" w:eastAsia="nl-NL" w:bidi="ar-SA"/>
              </w:rPr>
              <w:t>EUTECH</w:t>
            </w:r>
          </w:p>
        </w:tc>
        <w:tc>
          <w:tcPr>
            <w:tcW w:w="1160" w:type="dxa"/>
            <w:tcBorders>
              <w:top w:val="nil"/>
              <w:left w:val="nil"/>
              <w:bottom w:val="single" w:sz="4" w:space="0" w:color="auto"/>
              <w:right w:val="single" w:sz="4" w:space="0" w:color="auto"/>
            </w:tcBorders>
            <w:shd w:val="clear" w:color="auto" w:fill="auto"/>
            <w:noWrap/>
            <w:vAlign w:val="bottom"/>
            <w:hideMark/>
          </w:tcPr>
          <w:p w:rsidR="00314A1E" w:rsidRPr="00F67784" w:rsidRDefault="00314A1E" w:rsidP="009C16D2">
            <w:pPr>
              <w:spacing w:after="0" w:line="240" w:lineRule="auto"/>
              <w:rPr>
                <w:rFonts w:ascii="Arial" w:eastAsia="Times New Roman" w:hAnsi="Arial" w:cs="Arial"/>
                <w:sz w:val="20"/>
                <w:szCs w:val="20"/>
                <w:lang w:val="nl-NL" w:eastAsia="nl-NL" w:bidi="ar-SA"/>
              </w:rPr>
            </w:pPr>
            <w:r w:rsidRPr="00F67784">
              <w:rPr>
                <w:rFonts w:ascii="Arial" w:eastAsia="Times New Roman" w:hAnsi="Arial" w:cs="Arial"/>
                <w:sz w:val="20"/>
                <w:szCs w:val="20"/>
                <w:lang w:val="nl-NL" w:eastAsia="nl-NL" w:bidi="ar-SA"/>
              </w:rPr>
              <w:t>EUTEL</w:t>
            </w:r>
          </w:p>
        </w:tc>
      </w:tr>
      <w:tr w:rsidR="00314A1E" w:rsidRPr="00F67784" w:rsidTr="009C16D2">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314A1E" w:rsidRPr="00F67784" w:rsidRDefault="00314A1E" w:rsidP="009C16D2">
            <w:pPr>
              <w:spacing w:after="0" w:line="240" w:lineRule="auto"/>
              <w:jc w:val="right"/>
              <w:rPr>
                <w:rFonts w:ascii="Arial" w:eastAsia="Times New Roman" w:hAnsi="Arial" w:cs="Arial"/>
                <w:sz w:val="20"/>
                <w:szCs w:val="20"/>
                <w:lang w:val="nl-NL" w:eastAsia="nl-NL" w:bidi="ar-SA"/>
              </w:rPr>
            </w:pPr>
            <w:r w:rsidRPr="00F67784">
              <w:rPr>
                <w:rFonts w:ascii="Arial" w:eastAsia="Times New Roman" w:hAnsi="Arial" w:cs="Arial"/>
                <w:sz w:val="20"/>
                <w:szCs w:val="20"/>
                <w:lang w:val="nl-NL" w:eastAsia="nl-NL" w:bidi="ar-SA"/>
              </w:rPr>
              <w:t>1</w:t>
            </w:r>
          </w:p>
        </w:tc>
        <w:tc>
          <w:tcPr>
            <w:tcW w:w="1187" w:type="dxa"/>
            <w:tcBorders>
              <w:top w:val="nil"/>
              <w:left w:val="nil"/>
              <w:bottom w:val="single" w:sz="4" w:space="0" w:color="auto"/>
              <w:right w:val="single" w:sz="4" w:space="0" w:color="auto"/>
            </w:tcBorders>
            <w:shd w:val="clear" w:color="auto" w:fill="auto"/>
            <w:noWrap/>
            <w:vAlign w:val="bottom"/>
            <w:hideMark/>
          </w:tcPr>
          <w:p w:rsidR="00314A1E" w:rsidRPr="00F67784" w:rsidRDefault="00314A1E" w:rsidP="009C16D2">
            <w:pPr>
              <w:spacing w:after="0" w:line="240" w:lineRule="auto"/>
              <w:jc w:val="right"/>
              <w:rPr>
                <w:rFonts w:ascii="Arial" w:eastAsia="Times New Roman" w:hAnsi="Arial" w:cs="Arial"/>
                <w:sz w:val="20"/>
                <w:szCs w:val="20"/>
                <w:lang w:val="nl-NL" w:eastAsia="nl-NL" w:bidi="ar-SA"/>
              </w:rPr>
            </w:pPr>
            <w:r w:rsidRPr="00F67784">
              <w:rPr>
                <w:rFonts w:ascii="Arial" w:eastAsia="Times New Roman" w:hAnsi="Arial" w:cs="Arial"/>
                <w:sz w:val="20"/>
                <w:szCs w:val="20"/>
                <w:lang w:val="nl-NL" w:eastAsia="nl-NL" w:bidi="ar-SA"/>
              </w:rPr>
              <w:t>0</w:t>
            </w:r>
          </w:p>
        </w:tc>
        <w:tc>
          <w:tcPr>
            <w:tcW w:w="1187" w:type="dxa"/>
            <w:tcBorders>
              <w:top w:val="nil"/>
              <w:left w:val="nil"/>
              <w:bottom w:val="single" w:sz="4" w:space="0" w:color="auto"/>
              <w:right w:val="single" w:sz="4" w:space="0" w:color="auto"/>
            </w:tcBorders>
            <w:shd w:val="clear" w:color="auto" w:fill="auto"/>
            <w:noWrap/>
            <w:vAlign w:val="bottom"/>
            <w:hideMark/>
          </w:tcPr>
          <w:p w:rsidR="00314A1E" w:rsidRPr="00F67784" w:rsidRDefault="00314A1E" w:rsidP="009C16D2">
            <w:pPr>
              <w:spacing w:after="0" w:line="240" w:lineRule="auto"/>
              <w:jc w:val="right"/>
              <w:rPr>
                <w:rFonts w:ascii="Arial" w:eastAsia="Times New Roman" w:hAnsi="Arial" w:cs="Arial"/>
                <w:sz w:val="20"/>
                <w:szCs w:val="20"/>
                <w:lang w:val="nl-NL" w:eastAsia="nl-NL" w:bidi="ar-SA"/>
              </w:rPr>
            </w:pPr>
            <w:r w:rsidRPr="00F67784">
              <w:rPr>
                <w:rFonts w:ascii="Arial" w:eastAsia="Times New Roman" w:hAnsi="Arial" w:cs="Arial"/>
                <w:sz w:val="20"/>
                <w:szCs w:val="20"/>
                <w:lang w:val="nl-NL" w:eastAsia="nl-NL" w:bidi="ar-SA"/>
              </w:rPr>
              <w:t>0</w:t>
            </w:r>
          </w:p>
        </w:tc>
        <w:tc>
          <w:tcPr>
            <w:tcW w:w="1160" w:type="dxa"/>
            <w:tcBorders>
              <w:top w:val="nil"/>
              <w:left w:val="nil"/>
              <w:bottom w:val="single" w:sz="4" w:space="0" w:color="auto"/>
              <w:right w:val="single" w:sz="4" w:space="0" w:color="auto"/>
            </w:tcBorders>
            <w:shd w:val="clear" w:color="auto" w:fill="auto"/>
            <w:noWrap/>
            <w:vAlign w:val="bottom"/>
            <w:hideMark/>
          </w:tcPr>
          <w:p w:rsidR="00314A1E" w:rsidRPr="00F67784" w:rsidRDefault="00314A1E" w:rsidP="009C16D2">
            <w:pPr>
              <w:spacing w:after="0" w:line="240" w:lineRule="auto"/>
              <w:jc w:val="right"/>
              <w:rPr>
                <w:rFonts w:ascii="Arial" w:eastAsia="Times New Roman" w:hAnsi="Arial" w:cs="Arial"/>
                <w:sz w:val="20"/>
                <w:szCs w:val="20"/>
                <w:lang w:val="nl-NL" w:eastAsia="nl-NL" w:bidi="ar-SA"/>
              </w:rPr>
            </w:pPr>
            <w:r w:rsidRPr="00F67784">
              <w:rPr>
                <w:rFonts w:ascii="Arial" w:eastAsia="Times New Roman" w:hAnsi="Arial" w:cs="Arial"/>
                <w:sz w:val="20"/>
                <w:szCs w:val="20"/>
                <w:lang w:val="nl-NL" w:eastAsia="nl-NL" w:bidi="ar-SA"/>
              </w:rPr>
              <w:t>0</w:t>
            </w:r>
          </w:p>
        </w:tc>
      </w:tr>
      <w:tr w:rsidR="00314A1E" w:rsidRPr="00F67784" w:rsidTr="009C16D2">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314A1E" w:rsidRPr="00F67784" w:rsidRDefault="00314A1E" w:rsidP="009C16D2">
            <w:pPr>
              <w:spacing w:after="0" w:line="240" w:lineRule="auto"/>
              <w:jc w:val="right"/>
              <w:rPr>
                <w:rFonts w:ascii="Arial" w:eastAsia="Times New Roman" w:hAnsi="Arial" w:cs="Arial"/>
                <w:sz w:val="20"/>
                <w:szCs w:val="20"/>
                <w:lang w:val="nl-NL" w:eastAsia="nl-NL" w:bidi="ar-SA"/>
              </w:rPr>
            </w:pPr>
            <w:r w:rsidRPr="00F67784">
              <w:rPr>
                <w:rFonts w:ascii="Arial" w:eastAsia="Times New Roman" w:hAnsi="Arial" w:cs="Arial"/>
                <w:sz w:val="20"/>
                <w:szCs w:val="20"/>
                <w:lang w:val="nl-NL" w:eastAsia="nl-NL" w:bidi="ar-SA"/>
              </w:rPr>
              <w:t>2</w:t>
            </w:r>
          </w:p>
        </w:tc>
        <w:tc>
          <w:tcPr>
            <w:tcW w:w="1187" w:type="dxa"/>
            <w:tcBorders>
              <w:top w:val="nil"/>
              <w:left w:val="nil"/>
              <w:bottom w:val="single" w:sz="4" w:space="0" w:color="auto"/>
              <w:right w:val="single" w:sz="4" w:space="0" w:color="auto"/>
            </w:tcBorders>
            <w:shd w:val="clear" w:color="auto" w:fill="auto"/>
            <w:noWrap/>
            <w:vAlign w:val="bottom"/>
            <w:hideMark/>
          </w:tcPr>
          <w:p w:rsidR="00314A1E" w:rsidRPr="00F67784" w:rsidRDefault="00314A1E" w:rsidP="009C16D2">
            <w:pPr>
              <w:spacing w:after="0" w:line="240" w:lineRule="auto"/>
              <w:jc w:val="right"/>
              <w:rPr>
                <w:rFonts w:ascii="Arial" w:eastAsia="Times New Roman" w:hAnsi="Arial" w:cs="Arial"/>
                <w:sz w:val="20"/>
                <w:szCs w:val="20"/>
                <w:lang w:val="nl-NL" w:eastAsia="nl-NL" w:bidi="ar-SA"/>
              </w:rPr>
            </w:pPr>
            <w:r w:rsidRPr="00F67784">
              <w:rPr>
                <w:rFonts w:ascii="Arial" w:eastAsia="Times New Roman" w:hAnsi="Arial" w:cs="Arial"/>
                <w:sz w:val="20"/>
                <w:szCs w:val="20"/>
                <w:lang w:val="nl-NL" w:eastAsia="nl-NL" w:bidi="ar-SA"/>
              </w:rPr>
              <w:t>-0,000216</w:t>
            </w:r>
          </w:p>
        </w:tc>
        <w:tc>
          <w:tcPr>
            <w:tcW w:w="1187" w:type="dxa"/>
            <w:tcBorders>
              <w:top w:val="nil"/>
              <w:left w:val="nil"/>
              <w:bottom w:val="single" w:sz="4" w:space="0" w:color="auto"/>
              <w:right w:val="single" w:sz="4" w:space="0" w:color="auto"/>
            </w:tcBorders>
            <w:shd w:val="clear" w:color="auto" w:fill="auto"/>
            <w:noWrap/>
            <w:vAlign w:val="bottom"/>
            <w:hideMark/>
          </w:tcPr>
          <w:p w:rsidR="00314A1E" w:rsidRPr="00F67784" w:rsidRDefault="00314A1E" w:rsidP="009C16D2">
            <w:pPr>
              <w:spacing w:after="0" w:line="240" w:lineRule="auto"/>
              <w:jc w:val="right"/>
              <w:rPr>
                <w:rFonts w:ascii="Arial" w:eastAsia="Times New Roman" w:hAnsi="Arial" w:cs="Arial"/>
                <w:sz w:val="20"/>
                <w:szCs w:val="20"/>
                <w:lang w:val="nl-NL" w:eastAsia="nl-NL" w:bidi="ar-SA"/>
              </w:rPr>
            </w:pPr>
            <w:r w:rsidRPr="00F67784">
              <w:rPr>
                <w:rFonts w:ascii="Arial" w:eastAsia="Times New Roman" w:hAnsi="Arial" w:cs="Arial"/>
                <w:sz w:val="20"/>
                <w:szCs w:val="20"/>
                <w:lang w:val="nl-NL" w:eastAsia="nl-NL" w:bidi="ar-SA"/>
              </w:rPr>
              <w:t>-0,000159</w:t>
            </w:r>
          </w:p>
        </w:tc>
        <w:tc>
          <w:tcPr>
            <w:tcW w:w="1160" w:type="dxa"/>
            <w:tcBorders>
              <w:top w:val="nil"/>
              <w:left w:val="nil"/>
              <w:bottom w:val="single" w:sz="4" w:space="0" w:color="auto"/>
              <w:right w:val="single" w:sz="4" w:space="0" w:color="auto"/>
            </w:tcBorders>
            <w:shd w:val="clear" w:color="auto" w:fill="auto"/>
            <w:noWrap/>
            <w:vAlign w:val="bottom"/>
            <w:hideMark/>
          </w:tcPr>
          <w:p w:rsidR="00314A1E" w:rsidRPr="00F67784" w:rsidRDefault="00314A1E" w:rsidP="009C16D2">
            <w:pPr>
              <w:spacing w:after="0" w:line="240" w:lineRule="auto"/>
              <w:jc w:val="right"/>
              <w:rPr>
                <w:rFonts w:ascii="Arial" w:eastAsia="Times New Roman" w:hAnsi="Arial" w:cs="Arial"/>
                <w:sz w:val="20"/>
                <w:szCs w:val="20"/>
                <w:lang w:val="nl-NL" w:eastAsia="nl-NL" w:bidi="ar-SA"/>
              </w:rPr>
            </w:pPr>
            <w:r w:rsidRPr="00F67784">
              <w:rPr>
                <w:rFonts w:ascii="Arial" w:eastAsia="Times New Roman" w:hAnsi="Arial" w:cs="Arial"/>
                <w:sz w:val="20"/>
                <w:szCs w:val="20"/>
                <w:lang w:val="nl-NL" w:eastAsia="nl-NL" w:bidi="ar-SA"/>
              </w:rPr>
              <w:t>1,26E-05</w:t>
            </w:r>
          </w:p>
        </w:tc>
      </w:tr>
      <w:tr w:rsidR="00314A1E" w:rsidRPr="00F67784" w:rsidTr="009C16D2">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314A1E" w:rsidRPr="00F67784" w:rsidRDefault="00314A1E" w:rsidP="009C16D2">
            <w:pPr>
              <w:spacing w:after="0" w:line="240" w:lineRule="auto"/>
              <w:jc w:val="right"/>
              <w:rPr>
                <w:rFonts w:ascii="Arial" w:eastAsia="Times New Roman" w:hAnsi="Arial" w:cs="Arial"/>
                <w:sz w:val="20"/>
                <w:szCs w:val="20"/>
                <w:lang w:val="nl-NL" w:eastAsia="nl-NL" w:bidi="ar-SA"/>
              </w:rPr>
            </w:pPr>
            <w:r w:rsidRPr="00F67784">
              <w:rPr>
                <w:rFonts w:ascii="Arial" w:eastAsia="Times New Roman" w:hAnsi="Arial" w:cs="Arial"/>
                <w:sz w:val="20"/>
                <w:szCs w:val="20"/>
                <w:lang w:val="nl-NL" w:eastAsia="nl-NL" w:bidi="ar-SA"/>
              </w:rPr>
              <w:t>3</w:t>
            </w:r>
          </w:p>
        </w:tc>
        <w:tc>
          <w:tcPr>
            <w:tcW w:w="1187" w:type="dxa"/>
            <w:tcBorders>
              <w:top w:val="nil"/>
              <w:left w:val="nil"/>
              <w:bottom w:val="single" w:sz="4" w:space="0" w:color="auto"/>
              <w:right w:val="single" w:sz="4" w:space="0" w:color="auto"/>
            </w:tcBorders>
            <w:shd w:val="clear" w:color="auto" w:fill="auto"/>
            <w:noWrap/>
            <w:vAlign w:val="bottom"/>
            <w:hideMark/>
          </w:tcPr>
          <w:p w:rsidR="00314A1E" w:rsidRPr="00F67784" w:rsidRDefault="00314A1E" w:rsidP="009C16D2">
            <w:pPr>
              <w:spacing w:after="0" w:line="240" w:lineRule="auto"/>
              <w:jc w:val="right"/>
              <w:rPr>
                <w:rFonts w:ascii="Arial" w:eastAsia="Times New Roman" w:hAnsi="Arial" w:cs="Arial"/>
                <w:sz w:val="20"/>
                <w:szCs w:val="20"/>
                <w:lang w:val="nl-NL" w:eastAsia="nl-NL" w:bidi="ar-SA"/>
              </w:rPr>
            </w:pPr>
            <w:r w:rsidRPr="00F67784">
              <w:rPr>
                <w:rFonts w:ascii="Arial" w:eastAsia="Times New Roman" w:hAnsi="Arial" w:cs="Arial"/>
                <w:sz w:val="20"/>
                <w:szCs w:val="20"/>
                <w:lang w:val="nl-NL" w:eastAsia="nl-NL" w:bidi="ar-SA"/>
              </w:rPr>
              <w:t>-0,00022</w:t>
            </w:r>
          </w:p>
        </w:tc>
        <w:tc>
          <w:tcPr>
            <w:tcW w:w="1187" w:type="dxa"/>
            <w:tcBorders>
              <w:top w:val="nil"/>
              <w:left w:val="nil"/>
              <w:bottom w:val="single" w:sz="4" w:space="0" w:color="auto"/>
              <w:right w:val="single" w:sz="4" w:space="0" w:color="auto"/>
            </w:tcBorders>
            <w:shd w:val="clear" w:color="auto" w:fill="auto"/>
            <w:noWrap/>
            <w:vAlign w:val="bottom"/>
            <w:hideMark/>
          </w:tcPr>
          <w:p w:rsidR="00314A1E" w:rsidRPr="00F67784" w:rsidRDefault="00314A1E" w:rsidP="009C16D2">
            <w:pPr>
              <w:spacing w:after="0" w:line="240" w:lineRule="auto"/>
              <w:jc w:val="right"/>
              <w:rPr>
                <w:rFonts w:ascii="Arial" w:eastAsia="Times New Roman" w:hAnsi="Arial" w:cs="Arial"/>
                <w:sz w:val="20"/>
                <w:szCs w:val="20"/>
                <w:lang w:val="nl-NL" w:eastAsia="nl-NL" w:bidi="ar-SA"/>
              </w:rPr>
            </w:pPr>
            <w:r w:rsidRPr="00F67784">
              <w:rPr>
                <w:rFonts w:ascii="Arial" w:eastAsia="Times New Roman" w:hAnsi="Arial" w:cs="Arial"/>
                <w:sz w:val="20"/>
                <w:szCs w:val="20"/>
                <w:lang w:val="nl-NL" w:eastAsia="nl-NL" w:bidi="ar-SA"/>
              </w:rPr>
              <w:t>-0,000149</w:t>
            </w:r>
          </w:p>
        </w:tc>
        <w:tc>
          <w:tcPr>
            <w:tcW w:w="1160" w:type="dxa"/>
            <w:tcBorders>
              <w:top w:val="nil"/>
              <w:left w:val="nil"/>
              <w:bottom w:val="single" w:sz="4" w:space="0" w:color="auto"/>
              <w:right w:val="single" w:sz="4" w:space="0" w:color="auto"/>
            </w:tcBorders>
            <w:shd w:val="clear" w:color="auto" w:fill="auto"/>
            <w:noWrap/>
            <w:vAlign w:val="bottom"/>
            <w:hideMark/>
          </w:tcPr>
          <w:p w:rsidR="00314A1E" w:rsidRPr="00F67784" w:rsidRDefault="00314A1E" w:rsidP="009C16D2">
            <w:pPr>
              <w:spacing w:after="0" w:line="240" w:lineRule="auto"/>
              <w:jc w:val="right"/>
              <w:rPr>
                <w:rFonts w:ascii="Arial" w:eastAsia="Times New Roman" w:hAnsi="Arial" w:cs="Arial"/>
                <w:sz w:val="20"/>
                <w:szCs w:val="20"/>
                <w:lang w:val="nl-NL" w:eastAsia="nl-NL" w:bidi="ar-SA"/>
              </w:rPr>
            </w:pPr>
            <w:r w:rsidRPr="00F67784">
              <w:rPr>
                <w:rFonts w:ascii="Arial" w:eastAsia="Times New Roman" w:hAnsi="Arial" w:cs="Arial"/>
                <w:sz w:val="20"/>
                <w:szCs w:val="20"/>
                <w:lang w:val="nl-NL" w:eastAsia="nl-NL" w:bidi="ar-SA"/>
              </w:rPr>
              <w:t>3,37E-05</w:t>
            </w:r>
          </w:p>
        </w:tc>
      </w:tr>
      <w:tr w:rsidR="00314A1E" w:rsidRPr="00F67784" w:rsidTr="009C16D2">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314A1E" w:rsidRPr="00F67784" w:rsidRDefault="00314A1E" w:rsidP="009C16D2">
            <w:pPr>
              <w:spacing w:after="0" w:line="240" w:lineRule="auto"/>
              <w:jc w:val="right"/>
              <w:rPr>
                <w:rFonts w:ascii="Arial" w:eastAsia="Times New Roman" w:hAnsi="Arial" w:cs="Arial"/>
                <w:sz w:val="20"/>
                <w:szCs w:val="20"/>
                <w:lang w:val="nl-NL" w:eastAsia="nl-NL" w:bidi="ar-SA"/>
              </w:rPr>
            </w:pPr>
            <w:r w:rsidRPr="00F67784">
              <w:rPr>
                <w:rFonts w:ascii="Arial" w:eastAsia="Times New Roman" w:hAnsi="Arial" w:cs="Arial"/>
                <w:sz w:val="20"/>
                <w:szCs w:val="20"/>
                <w:lang w:val="nl-NL" w:eastAsia="nl-NL" w:bidi="ar-SA"/>
              </w:rPr>
              <w:t>4</w:t>
            </w:r>
          </w:p>
        </w:tc>
        <w:tc>
          <w:tcPr>
            <w:tcW w:w="1187" w:type="dxa"/>
            <w:tcBorders>
              <w:top w:val="nil"/>
              <w:left w:val="nil"/>
              <w:bottom w:val="single" w:sz="4" w:space="0" w:color="auto"/>
              <w:right w:val="single" w:sz="4" w:space="0" w:color="auto"/>
            </w:tcBorders>
            <w:shd w:val="clear" w:color="auto" w:fill="auto"/>
            <w:noWrap/>
            <w:vAlign w:val="bottom"/>
            <w:hideMark/>
          </w:tcPr>
          <w:p w:rsidR="00314A1E" w:rsidRPr="00F67784" w:rsidRDefault="00314A1E" w:rsidP="009C16D2">
            <w:pPr>
              <w:spacing w:after="0" w:line="240" w:lineRule="auto"/>
              <w:jc w:val="right"/>
              <w:rPr>
                <w:rFonts w:ascii="Arial" w:eastAsia="Times New Roman" w:hAnsi="Arial" w:cs="Arial"/>
                <w:sz w:val="20"/>
                <w:szCs w:val="20"/>
                <w:lang w:val="nl-NL" w:eastAsia="nl-NL" w:bidi="ar-SA"/>
              </w:rPr>
            </w:pPr>
            <w:r w:rsidRPr="00F67784">
              <w:rPr>
                <w:rFonts w:ascii="Arial" w:eastAsia="Times New Roman" w:hAnsi="Arial" w:cs="Arial"/>
                <w:sz w:val="20"/>
                <w:szCs w:val="20"/>
                <w:lang w:val="nl-NL" w:eastAsia="nl-NL" w:bidi="ar-SA"/>
              </w:rPr>
              <w:t>-0,000205</w:t>
            </w:r>
          </w:p>
        </w:tc>
        <w:tc>
          <w:tcPr>
            <w:tcW w:w="1187" w:type="dxa"/>
            <w:tcBorders>
              <w:top w:val="nil"/>
              <w:left w:val="nil"/>
              <w:bottom w:val="single" w:sz="4" w:space="0" w:color="auto"/>
              <w:right w:val="single" w:sz="4" w:space="0" w:color="auto"/>
            </w:tcBorders>
            <w:shd w:val="clear" w:color="auto" w:fill="auto"/>
            <w:noWrap/>
            <w:vAlign w:val="bottom"/>
            <w:hideMark/>
          </w:tcPr>
          <w:p w:rsidR="00314A1E" w:rsidRPr="00F67784" w:rsidRDefault="00314A1E" w:rsidP="009C16D2">
            <w:pPr>
              <w:spacing w:after="0" w:line="240" w:lineRule="auto"/>
              <w:jc w:val="right"/>
              <w:rPr>
                <w:rFonts w:ascii="Arial" w:eastAsia="Times New Roman" w:hAnsi="Arial" w:cs="Arial"/>
                <w:sz w:val="20"/>
                <w:szCs w:val="20"/>
                <w:lang w:val="nl-NL" w:eastAsia="nl-NL" w:bidi="ar-SA"/>
              </w:rPr>
            </w:pPr>
            <w:r w:rsidRPr="00F67784">
              <w:rPr>
                <w:rFonts w:ascii="Arial" w:eastAsia="Times New Roman" w:hAnsi="Arial" w:cs="Arial"/>
                <w:sz w:val="20"/>
                <w:szCs w:val="20"/>
                <w:lang w:val="nl-NL" w:eastAsia="nl-NL" w:bidi="ar-SA"/>
              </w:rPr>
              <w:t>-0,000128</w:t>
            </w:r>
          </w:p>
        </w:tc>
        <w:tc>
          <w:tcPr>
            <w:tcW w:w="1160" w:type="dxa"/>
            <w:tcBorders>
              <w:top w:val="nil"/>
              <w:left w:val="nil"/>
              <w:bottom w:val="single" w:sz="4" w:space="0" w:color="auto"/>
              <w:right w:val="single" w:sz="4" w:space="0" w:color="auto"/>
            </w:tcBorders>
            <w:shd w:val="clear" w:color="auto" w:fill="auto"/>
            <w:noWrap/>
            <w:vAlign w:val="bottom"/>
            <w:hideMark/>
          </w:tcPr>
          <w:p w:rsidR="00314A1E" w:rsidRPr="00F67784" w:rsidRDefault="00314A1E" w:rsidP="009C16D2">
            <w:pPr>
              <w:spacing w:after="0" w:line="240" w:lineRule="auto"/>
              <w:jc w:val="right"/>
              <w:rPr>
                <w:rFonts w:ascii="Arial" w:eastAsia="Times New Roman" w:hAnsi="Arial" w:cs="Arial"/>
                <w:sz w:val="20"/>
                <w:szCs w:val="20"/>
                <w:lang w:val="nl-NL" w:eastAsia="nl-NL" w:bidi="ar-SA"/>
              </w:rPr>
            </w:pPr>
            <w:r w:rsidRPr="00F67784">
              <w:rPr>
                <w:rFonts w:ascii="Arial" w:eastAsia="Times New Roman" w:hAnsi="Arial" w:cs="Arial"/>
                <w:sz w:val="20"/>
                <w:szCs w:val="20"/>
                <w:lang w:val="nl-NL" w:eastAsia="nl-NL" w:bidi="ar-SA"/>
              </w:rPr>
              <w:t>5,57E-05</w:t>
            </w:r>
          </w:p>
        </w:tc>
      </w:tr>
      <w:tr w:rsidR="00314A1E" w:rsidRPr="00F67784" w:rsidTr="009C16D2">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314A1E" w:rsidRPr="00F67784" w:rsidRDefault="00314A1E" w:rsidP="009C16D2">
            <w:pPr>
              <w:spacing w:after="0" w:line="240" w:lineRule="auto"/>
              <w:jc w:val="right"/>
              <w:rPr>
                <w:rFonts w:ascii="Arial" w:eastAsia="Times New Roman" w:hAnsi="Arial" w:cs="Arial"/>
                <w:sz w:val="20"/>
                <w:szCs w:val="20"/>
                <w:lang w:val="nl-NL" w:eastAsia="nl-NL" w:bidi="ar-SA"/>
              </w:rPr>
            </w:pPr>
            <w:r w:rsidRPr="00F67784">
              <w:rPr>
                <w:rFonts w:ascii="Arial" w:eastAsia="Times New Roman" w:hAnsi="Arial" w:cs="Arial"/>
                <w:sz w:val="20"/>
                <w:szCs w:val="20"/>
                <w:lang w:val="nl-NL" w:eastAsia="nl-NL" w:bidi="ar-SA"/>
              </w:rPr>
              <w:t>5</w:t>
            </w:r>
          </w:p>
        </w:tc>
        <w:tc>
          <w:tcPr>
            <w:tcW w:w="1187" w:type="dxa"/>
            <w:tcBorders>
              <w:top w:val="nil"/>
              <w:left w:val="nil"/>
              <w:bottom w:val="single" w:sz="4" w:space="0" w:color="auto"/>
              <w:right w:val="single" w:sz="4" w:space="0" w:color="auto"/>
            </w:tcBorders>
            <w:shd w:val="clear" w:color="auto" w:fill="auto"/>
            <w:noWrap/>
            <w:vAlign w:val="bottom"/>
            <w:hideMark/>
          </w:tcPr>
          <w:p w:rsidR="00314A1E" w:rsidRPr="00F67784" w:rsidRDefault="00314A1E" w:rsidP="009C16D2">
            <w:pPr>
              <w:spacing w:after="0" w:line="240" w:lineRule="auto"/>
              <w:jc w:val="right"/>
              <w:rPr>
                <w:rFonts w:ascii="Arial" w:eastAsia="Times New Roman" w:hAnsi="Arial" w:cs="Arial"/>
                <w:sz w:val="20"/>
                <w:szCs w:val="20"/>
                <w:lang w:val="nl-NL" w:eastAsia="nl-NL" w:bidi="ar-SA"/>
              </w:rPr>
            </w:pPr>
            <w:r w:rsidRPr="00F67784">
              <w:rPr>
                <w:rFonts w:ascii="Arial" w:eastAsia="Times New Roman" w:hAnsi="Arial" w:cs="Arial"/>
                <w:sz w:val="20"/>
                <w:szCs w:val="20"/>
                <w:lang w:val="nl-NL" w:eastAsia="nl-NL" w:bidi="ar-SA"/>
              </w:rPr>
              <w:t>-0,000188</w:t>
            </w:r>
          </w:p>
        </w:tc>
        <w:tc>
          <w:tcPr>
            <w:tcW w:w="1187" w:type="dxa"/>
            <w:tcBorders>
              <w:top w:val="nil"/>
              <w:left w:val="nil"/>
              <w:bottom w:val="single" w:sz="4" w:space="0" w:color="auto"/>
              <w:right w:val="single" w:sz="4" w:space="0" w:color="auto"/>
            </w:tcBorders>
            <w:shd w:val="clear" w:color="auto" w:fill="auto"/>
            <w:noWrap/>
            <w:vAlign w:val="bottom"/>
            <w:hideMark/>
          </w:tcPr>
          <w:p w:rsidR="00314A1E" w:rsidRPr="00F67784" w:rsidRDefault="00314A1E" w:rsidP="009C16D2">
            <w:pPr>
              <w:spacing w:after="0" w:line="240" w:lineRule="auto"/>
              <w:jc w:val="right"/>
              <w:rPr>
                <w:rFonts w:ascii="Arial" w:eastAsia="Times New Roman" w:hAnsi="Arial" w:cs="Arial"/>
                <w:sz w:val="20"/>
                <w:szCs w:val="20"/>
                <w:lang w:val="nl-NL" w:eastAsia="nl-NL" w:bidi="ar-SA"/>
              </w:rPr>
            </w:pPr>
            <w:r w:rsidRPr="00F67784">
              <w:rPr>
                <w:rFonts w:ascii="Arial" w:eastAsia="Times New Roman" w:hAnsi="Arial" w:cs="Arial"/>
                <w:sz w:val="20"/>
                <w:szCs w:val="20"/>
                <w:lang w:val="nl-NL" w:eastAsia="nl-NL" w:bidi="ar-SA"/>
              </w:rPr>
              <w:t>-0,000107</w:t>
            </w:r>
          </w:p>
        </w:tc>
        <w:tc>
          <w:tcPr>
            <w:tcW w:w="1160" w:type="dxa"/>
            <w:tcBorders>
              <w:top w:val="nil"/>
              <w:left w:val="nil"/>
              <w:bottom w:val="single" w:sz="4" w:space="0" w:color="auto"/>
              <w:right w:val="single" w:sz="4" w:space="0" w:color="auto"/>
            </w:tcBorders>
            <w:shd w:val="clear" w:color="auto" w:fill="auto"/>
            <w:noWrap/>
            <w:vAlign w:val="bottom"/>
            <w:hideMark/>
          </w:tcPr>
          <w:p w:rsidR="00314A1E" w:rsidRPr="00F67784" w:rsidRDefault="00314A1E" w:rsidP="009C16D2">
            <w:pPr>
              <w:spacing w:after="0" w:line="240" w:lineRule="auto"/>
              <w:jc w:val="right"/>
              <w:rPr>
                <w:rFonts w:ascii="Arial" w:eastAsia="Times New Roman" w:hAnsi="Arial" w:cs="Arial"/>
                <w:sz w:val="20"/>
                <w:szCs w:val="20"/>
                <w:lang w:val="nl-NL" w:eastAsia="nl-NL" w:bidi="ar-SA"/>
              </w:rPr>
            </w:pPr>
            <w:r w:rsidRPr="00F67784">
              <w:rPr>
                <w:rFonts w:ascii="Arial" w:eastAsia="Times New Roman" w:hAnsi="Arial" w:cs="Arial"/>
                <w:sz w:val="20"/>
                <w:szCs w:val="20"/>
                <w:lang w:val="nl-NL" w:eastAsia="nl-NL" w:bidi="ar-SA"/>
              </w:rPr>
              <w:t>7,77E-05</w:t>
            </w:r>
          </w:p>
        </w:tc>
      </w:tr>
      <w:tr w:rsidR="00314A1E" w:rsidRPr="00F67784" w:rsidTr="009C16D2">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314A1E" w:rsidRPr="00F67784" w:rsidRDefault="00314A1E" w:rsidP="009C16D2">
            <w:pPr>
              <w:spacing w:after="0" w:line="240" w:lineRule="auto"/>
              <w:jc w:val="right"/>
              <w:rPr>
                <w:rFonts w:ascii="Arial" w:eastAsia="Times New Roman" w:hAnsi="Arial" w:cs="Arial"/>
                <w:sz w:val="20"/>
                <w:szCs w:val="20"/>
                <w:lang w:val="nl-NL" w:eastAsia="nl-NL" w:bidi="ar-SA"/>
              </w:rPr>
            </w:pPr>
            <w:r w:rsidRPr="00F67784">
              <w:rPr>
                <w:rFonts w:ascii="Arial" w:eastAsia="Times New Roman" w:hAnsi="Arial" w:cs="Arial"/>
                <w:sz w:val="20"/>
                <w:szCs w:val="20"/>
                <w:lang w:val="nl-NL" w:eastAsia="nl-NL" w:bidi="ar-SA"/>
              </w:rPr>
              <w:t>6</w:t>
            </w:r>
          </w:p>
        </w:tc>
        <w:tc>
          <w:tcPr>
            <w:tcW w:w="1187" w:type="dxa"/>
            <w:tcBorders>
              <w:top w:val="nil"/>
              <w:left w:val="nil"/>
              <w:bottom w:val="single" w:sz="4" w:space="0" w:color="auto"/>
              <w:right w:val="single" w:sz="4" w:space="0" w:color="auto"/>
            </w:tcBorders>
            <w:shd w:val="clear" w:color="auto" w:fill="auto"/>
            <w:noWrap/>
            <w:vAlign w:val="bottom"/>
            <w:hideMark/>
          </w:tcPr>
          <w:p w:rsidR="00314A1E" w:rsidRPr="00F67784" w:rsidRDefault="00314A1E" w:rsidP="009C16D2">
            <w:pPr>
              <w:spacing w:after="0" w:line="240" w:lineRule="auto"/>
              <w:jc w:val="right"/>
              <w:rPr>
                <w:rFonts w:ascii="Arial" w:eastAsia="Times New Roman" w:hAnsi="Arial" w:cs="Arial"/>
                <w:sz w:val="20"/>
                <w:szCs w:val="20"/>
                <w:lang w:val="nl-NL" w:eastAsia="nl-NL" w:bidi="ar-SA"/>
              </w:rPr>
            </w:pPr>
            <w:r w:rsidRPr="00F67784">
              <w:rPr>
                <w:rFonts w:ascii="Arial" w:eastAsia="Times New Roman" w:hAnsi="Arial" w:cs="Arial"/>
                <w:sz w:val="20"/>
                <w:szCs w:val="20"/>
                <w:lang w:val="nl-NL" w:eastAsia="nl-NL" w:bidi="ar-SA"/>
              </w:rPr>
              <w:t>-0,000171</w:t>
            </w:r>
          </w:p>
        </w:tc>
        <w:tc>
          <w:tcPr>
            <w:tcW w:w="1187" w:type="dxa"/>
            <w:tcBorders>
              <w:top w:val="nil"/>
              <w:left w:val="nil"/>
              <w:bottom w:val="single" w:sz="4" w:space="0" w:color="auto"/>
              <w:right w:val="single" w:sz="4" w:space="0" w:color="auto"/>
            </w:tcBorders>
            <w:shd w:val="clear" w:color="auto" w:fill="auto"/>
            <w:noWrap/>
            <w:vAlign w:val="bottom"/>
            <w:hideMark/>
          </w:tcPr>
          <w:p w:rsidR="00314A1E" w:rsidRPr="00F67784" w:rsidRDefault="00314A1E" w:rsidP="009C16D2">
            <w:pPr>
              <w:spacing w:after="0" w:line="240" w:lineRule="auto"/>
              <w:jc w:val="right"/>
              <w:rPr>
                <w:rFonts w:ascii="Arial" w:eastAsia="Times New Roman" w:hAnsi="Arial" w:cs="Arial"/>
                <w:sz w:val="20"/>
                <w:szCs w:val="20"/>
                <w:lang w:val="nl-NL" w:eastAsia="nl-NL" w:bidi="ar-SA"/>
              </w:rPr>
            </w:pPr>
            <w:r w:rsidRPr="00F67784">
              <w:rPr>
                <w:rFonts w:ascii="Arial" w:eastAsia="Times New Roman" w:hAnsi="Arial" w:cs="Arial"/>
                <w:sz w:val="20"/>
                <w:szCs w:val="20"/>
                <w:lang w:val="nl-NL" w:eastAsia="nl-NL" w:bidi="ar-SA"/>
              </w:rPr>
              <w:t>-8,52E-05</w:t>
            </w:r>
          </w:p>
        </w:tc>
        <w:tc>
          <w:tcPr>
            <w:tcW w:w="1160" w:type="dxa"/>
            <w:tcBorders>
              <w:top w:val="nil"/>
              <w:left w:val="nil"/>
              <w:bottom w:val="single" w:sz="4" w:space="0" w:color="auto"/>
              <w:right w:val="single" w:sz="4" w:space="0" w:color="auto"/>
            </w:tcBorders>
            <w:shd w:val="clear" w:color="auto" w:fill="auto"/>
            <w:noWrap/>
            <w:vAlign w:val="bottom"/>
            <w:hideMark/>
          </w:tcPr>
          <w:p w:rsidR="00314A1E" w:rsidRPr="00F67784" w:rsidRDefault="00314A1E" w:rsidP="009C16D2">
            <w:pPr>
              <w:spacing w:after="0" w:line="240" w:lineRule="auto"/>
              <w:jc w:val="right"/>
              <w:rPr>
                <w:rFonts w:ascii="Arial" w:eastAsia="Times New Roman" w:hAnsi="Arial" w:cs="Arial"/>
                <w:sz w:val="20"/>
                <w:szCs w:val="20"/>
                <w:lang w:val="nl-NL" w:eastAsia="nl-NL" w:bidi="ar-SA"/>
              </w:rPr>
            </w:pPr>
            <w:r w:rsidRPr="00F67784">
              <w:rPr>
                <w:rFonts w:ascii="Arial" w:eastAsia="Times New Roman" w:hAnsi="Arial" w:cs="Arial"/>
                <w:sz w:val="20"/>
                <w:szCs w:val="20"/>
                <w:lang w:val="nl-NL" w:eastAsia="nl-NL" w:bidi="ar-SA"/>
              </w:rPr>
              <w:t>9,98E-05</w:t>
            </w:r>
          </w:p>
        </w:tc>
      </w:tr>
      <w:tr w:rsidR="00314A1E" w:rsidRPr="00F67784" w:rsidTr="009C16D2">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314A1E" w:rsidRPr="00F67784" w:rsidRDefault="00314A1E" w:rsidP="009C16D2">
            <w:pPr>
              <w:spacing w:after="0" w:line="240" w:lineRule="auto"/>
              <w:jc w:val="right"/>
              <w:rPr>
                <w:rFonts w:ascii="Arial" w:eastAsia="Times New Roman" w:hAnsi="Arial" w:cs="Arial"/>
                <w:sz w:val="20"/>
                <w:szCs w:val="20"/>
                <w:lang w:val="nl-NL" w:eastAsia="nl-NL" w:bidi="ar-SA"/>
              </w:rPr>
            </w:pPr>
            <w:r w:rsidRPr="00F67784">
              <w:rPr>
                <w:rFonts w:ascii="Arial" w:eastAsia="Times New Roman" w:hAnsi="Arial" w:cs="Arial"/>
                <w:sz w:val="20"/>
                <w:szCs w:val="20"/>
                <w:lang w:val="nl-NL" w:eastAsia="nl-NL" w:bidi="ar-SA"/>
              </w:rPr>
              <w:t>7</w:t>
            </w:r>
          </w:p>
        </w:tc>
        <w:tc>
          <w:tcPr>
            <w:tcW w:w="1187" w:type="dxa"/>
            <w:tcBorders>
              <w:top w:val="nil"/>
              <w:left w:val="nil"/>
              <w:bottom w:val="single" w:sz="4" w:space="0" w:color="auto"/>
              <w:right w:val="single" w:sz="4" w:space="0" w:color="auto"/>
            </w:tcBorders>
            <w:shd w:val="clear" w:color="auto" w:fill="auto"/>
            <w:noWrap/>
            <w:vAlign w:val="bottom"/>
            <w:hideMark/>
          </w:tcPr>
          <w:p w:rsidR="00314A1E" w:rsidRPr="00F67784" w:rsidRDefault="00314A1E" w:rsidP="009C16D2">
            <w:pPr>
              <w:spacing w:after="0" w:line="240" w:lineRule="auto"/>
              <w:jc w:val="right"/>
              <w:rPr>
                <w:rFonts w:ascii="Arial" w:eastAsia="Times New Roman" w:hAnsi="Arial" w:cs="Arial"/>
                <w:sz w:val="20"/>
                <w:szCs w:val="20"/>
                <w:lang w:val="nl-NL" w:eastAsia="nl-NL" w:bidi="ar-SA"/>
              </w:rPr>
            </w:pPr>
            <w:r w:rsidRPr="00F67784">
              <w:rPr>
                <w:rFonts w:ascii="Arial" w:eastAsia="Times New Roman" w:hAnsi="Arial" w:cs="Arial"/>
                <w:sz w:val="20"/>
                <w:szCs w:val="20"/>
                <w:lang w:val="nl-NL" w:eastAsia="nl-NL" w:bidi="ar-SA"/>
              </w:rPr>
              <w:t>-0,000154</w:t>
            </w:r>
          </w:p>
        </w:tc>
        <w:tc>
          <w:tcPr>
            <w:tcW w:w="1187" w:type="dxa"/>
            <w:tcBorders>
              <w:top w:val="nil"/>
              <w:left w:val="nil"/>
              <w:bottom w:val="single" w:sz="4" w:space="0" w:color="auto"/>
              <w:right w:val="single" w:sz="4" w:space="0" w:color="auto"/>
            </w:tcBorders>
            <w:shd w:val="clear" w:color="auto" w:fill="auto"/>
            <w:noWrap/>
            <w:vAlign w:val="bottom"/>
            <w:hideMark/>
          </w:tcPr>
          <w:p w:rsidR="00314A1E" w:rsidRPr="00F67784" w:rsidRDefault="00314A1E" w:rsidP="009C16D2">
            <w:pPr>
              <w:spacing w:after="0" w:line="240" w:lineRule="auto"/>
              <w:jc w:val="right"/>
              <w:rPr>
                <w:rFonts w:ascii="Arial" w:eastAsia="Times New Roman" w:hAnsi="Arial" w:cs="Arial"/>
                <w:sz w:val="20"/>
                <w:szCs w:val="20"/>
                <w:lang w:val="nl-NL" w:eastAsia="nl-NL" w:bidi="ar-SA"/>
              </w:rPr>
            </w:pPr>
            <w:r w:rsidRPr="00F67784">
              <w:rPr>
                <w:rFonts w:ascii="Arial" w:eastAsia="Times New Roman" w:hAnsi="Arial" w:cs="Arial"/>
                <w:sz w:val="20"/>
                <w:szCs w:val="20"/>
                <w:lang w:val="nl-NL" w:eastAsia="nl-NL" w:bidi="ar-SA"/>
              </w:rPr>
              <w:t>-6,37E-05</w:t>
            </w:r>
          </w:p>
        </w:tc>
        <w:tc>
          <w:tcPr>
            <w:tcW w:w="1160" w:type="dxa"/>
            <w:tcBorders>
              <w:top w:val="nil"/>
              <w:left w:val="nil"/>
              <w:bottom w:val="single" w:sz="4" w:space="0" w:color="auto"/>
              <w:right w:val="single" w:sz="4" w:space="0" w:color="auto"/>
            </w:tcBorders>
            <w:shd w:val="clear" w:color="auto" w:fill="auto"/>
            <w:noWrap/>
            <w:vAlign w:val="bottom"/>
            <w:hideMark/>
          </w:tcPr>
          <w:p w:rsidR="00314A1E" w:rsidRPr="00F67784" w:rsidRDefault="00314A1E" w:rsidP="009C16D2">
            <w:pPr>
              <w:spacing w:after="0" w:line="240" w:lineRule="auto"/>
              <w:jc w:val="right"/>
              <w:rPr>
                <w:rFonts w:ascii="Arial" w:eastAsia="Times New Roman" w:hAnsi="Arial" w:cs="Arial"/>
                <w:sz w:val="20"/>
                <w:szCs w:val="20"/>
                <w:lang w:val="nl-NL" w:eastAsia="nl-NL" w:bidi="ar-SA"/>
              </w:rPr>
            </w:pPr>
            <w:r w:rsidRPr="00F67784">
              <w:rPr>
                <w:rFonts w:ascii="Arial" w:eastAsia="Times New Roman" w:hAnsi="Arial" w:cs="Arial"/>
                <w:sz w:val="20"/>
                <w:szCs w:val="20"/>
                <w:lang w:val="nl-NL" w:eastAsia="nl-NL" w:bidi="ar-SA"/>
              </w:rPr>
              <w:t>0,000122</w:t>
            </w:r>
          </w:p>
        </w:tc>
      </w:tr>
      <w:tr w:rsidR="00314A1E" w:rsidRPr="00F67784" w:rsidTr="009C16D2">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314A1E" w:rsidRPr="00F67784" w:rsidRDefault="00314A1E" w:rsidP="009C16D2">
            <w:pPr>
              <w:spacing w:after="0" w:line="240" w:lineRule="auto"/>
              <w:jc w:val="right"/>
              <w:rPr>
                <w:rFonts w:ascii="Arial" w:eastAsia="Times New Roman" w:hAnsi="Arial" w:cs="Arial"/>
                <w:sz w:val="20"/>
                <w:szCs w:val="20"/>
                <w:lang w:val="nl-NL" w:eastAsia="nl-NL" w:bidi="ar-SA"/>
              </w:rPr>
            </w:pPr>
            <w:r w:rsidRPr="00F67784">
              <w:rPr>
                <w:rFonts w:ascii="Arial" w:eastAsia="Times New Roman" w:hAnsi="Arial" w:cs="Arial"/>
                <w:sz w:val="20"/>
                <w:szCs w:val="20"/>
                <w:lang w:val="nl-NL" w:eastAsia="nl-NL" w:bidi="ar-SA"/>
              </w:rPr>
              <w:t>8</w:t>
            </w:r>
          </w:p>
        </w:tc>
        <w:tc>
          <w:tcPr>
            <w:tcW w:w="1187" w:type="dxa"/>
            <w:tcBorders>
              <w:top w:val="nil"/>
              <w:left w:val="nil"/>
              <w:bottom w:val="single" w:sz="4" w:space="0" w:color="auto"/>
              <w:right w:val="single" w:sz="4" w:space="0" w:color="auto"/>
            </w:tcBorders>
            <w:shd w:val="clear" w:color="auto" w:fill="auto"/>
            <w:noWrap/>
            <w:vAlign w:val="bottom"/>
            <w:hideMark/>
          </w:tcPr>
          <w:p w:rsidR="00314A1E" w:rsidRPr="00F67784" w:rsidRDefault="00314A1E" w:rsidP="009C16D2">
            <w:pPr>
              <w:spacing w:after="0" w:line="240" w:lineRule="auto"/>
              <w:jc w:val="right"/>
              <w:rPr>
                <w:rFonts w:ascii="Arial" w:eastAsia="Times New Roman" w:hAnsi="Arial" w:cs="Arial"/>
                <w:sz w:val="20"/>
                <w:szCs w:val="20"/>
                <w:lang w:val="nl-NL" w:eastAsia="nl-NL" w:bidi="ar-SA"/>
              </w:rPr>
            </w:pPr>
            <w:r w:rsidRPr="00F67784">
              <w:rPr>
                <w:rFonts w:ascii="Arial" w:eastAsia="Times New Roman" w:hAnsi="Arial" w:cs="Arial"/>
                <w:sz w:val="20"/>
                <w:szCs w:val="20"/>
                <w:lang w:val="nl-NL" w:eastAsia="nl-NL" w:bidi="ar-SA"/>
              </w:rPr>
              <w:t>-0,000136</w:t>
            </w:r>
          </w:p>
        </w:tc>
        <w:tc>
          <w:tcPr>
            <w:tcW w:w="1187" w:type="dxa"/>
            <w:tcBorders>
              <w:top w:val="nil"/>
              <w:left w:val="nil"/>
              <w:bottom w:val="single" w:sz="4" w:space="0" w:color="auto"/>
              <w:right w:val="single" w:sz="4" w:space="0" w:color="auto"/>
            </w:tcBorders>
            <w:shd w:val="clear" w:color="auto" w:fill="auto"/>
            <w:noWrap/>
            <w:vAlign w:val="bottom"/>
            <w:hideMark/>
          </w:tcPr>
          <w:p w:rsidR="00314A1E" w:rsidRPr="00F67784" w:rsidRDefault="00314A1E" w:rsidP="009C16D2">
            <w:pPr>
              <w:spacing w:after="0" w:line="240" w:lineRule="auto"/>
              <w:jc w:val="right"/>
              <w:rPr>
                <w:rFonts w:ascii="Arial" w:eastAsia="Times New Roman" w:hAnsi="Arial" w:cs="Arial"/>
                <w:sz w:val="20"/>
                <w:szCs w:val="20"/>
                <w:lang w:val="nl-NL" w:eastAsia="nl-NL" w:bidi="ar-SA"/>
              </w:rPr>
            </w:pPr>
            <w:r w:rsidRPr="00F67784">
              <w:rPr>
                <w:rFonts w:ascii="Arial" w:eastAsia="Times New Roman" w:hAnsi="Arial" w:cs="Arial"/>
                <w:sz w:val="20"/>
                <w:szCs w:val="20"/>
                <w:lang w:val="nl-NL" w:eastAsia="nl-NL" w:bidi="ar-SA"/>
              </w:rPr>
              <w:t>-4,23E-05</w:t>
            </w:r>
          </w:p>
        </w:tc>
        <w:tc>
          <w:tcPr>
            <w:tcW w:w="1160" w:type="dxa"/>
            <w:tcBorders>
              <w:top w:val="nil"/>
              <w:left w:val="nil"/>
              <w:bottom w:val="single" w:sz="4" w:space="0" w:color="auto"/>
              <w:right w:val="single" w:sz="4" w:space="0" w:color="auto"/>
            </w:tcBorders>
            <w:shd w:val="clear" w:color="auto" w:fill="auto"/>
            <w:noWrap/>
            <w:vAlign w:val="bottom"/>
            <w:hideMark/>
          </w:tcPr>
          <w:p w:rsidR="00314A1E" w:rsidRPr="00F67784" w:rsidRDefault="00314A1E" w:rsidP="009C16D2">
            <w:pPr>
              <w:spacing w:after="0" w:line="240" w:lineRule="auto"/>
              <w:jc w:val="right"/>
              <w:rPr>
                <w:rFonts w:ascii="Arial" w:eastAsia="Times New Roman" w:hAnsi="Arial" w:cs="Arial"/>
                <w:sz w:val="20"/>
                <w:szCs w:val="20"/>
                <w:lang w:val="nl-NL" w:eastAsia="nl-NL" w:bidi="ar-SA"/>
              </w:rPr>
            </w:pPr>
            <w:r w:rsidRPr="00F67784">
              <w:rPr>
                <w:rFonts w:ascii="Arial" w:eastAsia="Times New Roman" w:hAnsi="Arial" w:cs="Arial"/>
                <w:sz w:val="20"/>
                <w:szCs w:val="20"/>
                <w:lang w:val="nl-NL" w:eastAsia="nl-NL" w:bidi="ar-SA"/>
              </w:rPr>
              <w:t>0,000144</w:t>
            </w:r>
          </w:p>
        </w:tc>
      </w:tr>
      <w:tr w:rsidR="00314A1E" w:rsidRPr="00F67784" w:rsidTr="009C16D2">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314A1E" w:rsidRPr="00F67784" w:rsidRDefault="00314A1E" w:rsidP="009C16D2">
            <w:pPr>
              <w:spacing w:after="0" w:line="240" w:lineRule="auto"/>
              <w:jc w:val="right"/>
              <w:rPr>
                <w:rFonts w:ascii="Arial" w:eastAsia="Times New Roman" w:hAnsi="Arial" w:cs="Arial"/>
                <w:sz w:val="20"/>
                <w:szCs w:val="20"/>
                <w:lang w:val="nl-NL" w:eastAsia="nl-NL" w:bidi="ar-SA"/>
              </w:rPr>
            </w:pPr>
            <w:r w:rsidRPr="00F67784">
              <w:rPr>
                <w:rFonts w:ascii="Arial" w:eastAsia="Times New Roman" w:hAnsi="Arial" w:cs="Arial"/>
                <w:sz w:val="20"/>
                <w:szCs w:val="20"/>
                <w:lang w:val="nl-NL" w:eastAsia="nl-NL" w:bidi="ar-SA"/>
              </w:rPr>
              <w:t>9</w:t>
            </w:r>
          </w:p>
        </w:tc>
        <w:tc>
          <w:tcPr>
            <w:tcW w:w="1187" w:type="dxa"/>
            <w:tcBorders>
              <w:top w:val="nil"/>
              <w:left w:val="nil"/>
              <w:bottom w:val="single" w:sz="4" w:space="0" w:color="auto"/>
              <w:right w:val="single" w:sz="4" w:space="0" w:color="auto"/>
            </w:tcBorders>
            <w:shd w:val="clear" w:color="auto" w:fill="auto"/>
            <w:noWrap/>
            <w:vAlign w:val="bottom"/>
            <w:hideMark/>
          </w:tcPr>
          <w:p w:rsidR="00314A1E" w:rsidRPr="00F67784" w:rsidRDefault="00314A1E" w:rsidP="009C16D2">
            <w:pPr>
              <w:spacing w:after="0" w:line="240" w:lineRule="auto"/>
              <w:jc w:val="right"/>
              <w:rPr>
                <w:rFonts w:ascii="Arial" w:eastAsia="Times New Roman" w:hAnsi="Arial" w:cs="Arial"/>
                <w:sz w:val="20"/>
                <w:szCs w:val="20"/>
                <w:lang w:val="nl-NL" w:eastAsia="nl-NL" w:bidi="ar-SA"/>
              </w:rPr>
            </w:pPr>
            <w:r w:rsidRPr="00F67784">
              <w:rPr>
                <w:rFonts w:ascii="Arial" w:eastAsia="Times New Roman" w:hAnsi="Arial" w:cs="Arial"/>
                <w:sz w:val="20"/>
                <w:szCs w:val="20"/>
                <w:lang w:val="nl-NL" w:eastAsia="nl-NL" w:bidi="ar-SA"/>
              </w:rPr>
              <w:t>-0,000119</w:t>
            </w:r>
          </w:p>
        </w:tc>
        <w:tc>
          <w:tcPr>
            <w:tcW w:w="1187" w:type="dxa"/>
            <w:tcBorders>
              <w:top w:val="nil"/>
              <w:left w:val="nil"/>
              <w:bottom w:val="single" w:sz="4" w:space="0" w:color="auto"/>
              <w:right w:val="single" w:sz="4" w:space="0" w:color="auto"/>
            </w:tcBorders>
            <w:shd w:val="clear" w:color="auto" w:fill="auto"/>
            <w:noWrap/>
            <w:vAlign w:val="bottom"/>
            <w:hideMark/>
          </w:tcPr>
          <w:p w:rsidR="00314A1E" w:rsidRPr="00F67784" w:rsidRDefault="00314A1E" w:rsidP="009C16D2">
            <w:pPr>
              <w:spacing w:after="0" w:line="240" w:lineRule="auto"/>
              <w:jc w:val="right"/>
              <w:rPr>
                <w:rFonts w:ascii="Arial" w:eastAsia="Times New Roman" w:hAnsi="Arial" w:cs="Arial"/>
                <w:sz w:val="20"/>
                <w:szCs w:val="20"/>
                <w:lang w:val="nl-NL" w:eastAsia="nl-NL" w:bidi="ar-SA"/>
              </w:rPr>
            </w:pPr>
            <w:r w:rsidRPr="00F67784">
              <w:rPr>
                <w:rFonts w:ascii="Arial" w:eastAsia="Times New Roman" w:hAnsi="Arial" w:cs="Arial"/>
                <w:sz w:val="20"/>
                <w:szCs w:val="20"/>
                <w:lang w:val="nl-NL" w:eastAsia="nl-NL" w:bidi="ar-SA"/>
              </w:rPr>
              <w:t>-2,10E-05</w:t>
            </w:r>
          </w:p>
        </w:tc>
        <w:tc>
          <w:tcPr>
            <w:tcW w:w="1160" w:type="dxa"/>
            <w:tcBorders>
              <w:top w:val="nil"/>
              <w:left w:val="nil"/>
              <w:bottom w:val="single" w:sz="4" w:space="0" w:color="auto"/>
              <w:right w:val="single" w:sz="4" w:space="0" w:color="auto"/>
            </w:tcBorders>
            <w:shd w:val="clear" w:color="auto" w:fill="auto"/>
            <w:noWrap/>
            <w:vAlign w:val="bottom"/>
            <w:hideMark/>
          </w:tcPr>
          <w:p w:rsidR="00314A1E" w:rsidRPr="00F67784" w:rsidRDefault="00314A1E" w:rsidP="009C16D2">
            <w:pPr>
              <w:spacing w:after="0" w:line="240" w:lineRule="auto"/>
              <w:jc w:val="right"/>
              <w:rPr>
                <w:rFonts w:ascii="Arial" w:eastAsia="Times New Roman" w:hAnsi="Arial" w:cs="Arial"/>
                <w:sz w:val="20"/>
                <w:szCs w:val="20"/>
                <w:lang w:val="nl-NL" w:eastAsia="nl-NL" w:bidi="ar-SA"/>
              </w:rPr>
            </w:pPr>
            <w:r w:rsidRPr="00F67784">
              <w:rPr>
                <w:rFonts w:ascii="Arial" w:eastAsia="Times New Roman" w:hAnsi="Arial" w:cs="Arial"/>
                <w:sz w:val="20"/>
                <w:szCs w:val="20"/>
                <w:lang w:val="nl-NL" w:eastAsia="nl-NL" w:bidi="ar-SA"/>
              </w:rPr>
              <w:t>0,000165</w:t>
            </w:r>
          </w:p>
        </w:tc>
      </w:tr>
      <w:tr w:rsidR="00314A1E" w:rsidRPr="00F67784" w:rsidTr="009C16D2">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314A1E" w:rsidRPr="00F67784" w:rsidRDefault="00314A1E" w:rsidP="009C16D2">
            <w:pPr>
              <w:spacing w:after="0" w:line="240" w:lineRule="auto"/>
              <w:jc w:val="right"/>
              <w:rPr>
                <w:rFonts w:ascii="Arial" w:eastAsia="Times New Roman" w:hAnsi="Arial" w:cs="Arial"/>
                <w:sz w:val="20"/>
                <w:szCs w:val="20"/>
                <w:lang w:val="nl-NL" w:eastAsia="nl-NL" w:bidi="ar-SA"/>
              </w:rPr>
            </w:pPr>
            <w:r w:rsidRPr="00F67784">
              <w:rPr>
                <w:rFonts w:ascii="Arial" w:eastAsia="Times New Roman" w:hAnsi="Arial" w:cs="Arial"/>
                <w:sz w:val="20"/>
                <w:szCs w:val="20"/>
                <w:lang w:val="nl-NL" w:eastAsia="nl-NL" w:bidi="ar-SA"/>
              </w:rPr>
              <w:t>10</w:t>
            </w:r>
          </w:p>
        </w:tc>
        <w:tc>
          <w:tcPr>
            <w:tcW w:w="1187" w:type="dxa"/>
            <w:tcBorders>
              <w:top w:val="nil"/>
              <w:left w:val="nil"/>
              <w:bottom w:val="single" w:sz="4" w:space="0" w:color="auto"/>
              <w:right w:val="single" w:sz="4" w:space="0" w:color="auto"/>
            </w:tcBorders>
            <w:shd w:val="clear" w:color="auto" w:fill="auto"/>
            <w:noWrap/>
            <w:vAlign w:val="bottom"/>
            <w:hideMark/>
          </w:tcPr>
          <w:p w:rsidR="00314A1E" w:rsidRPr="00F67784" w:rsidRDefault="00314A1E" w:rsidP="009C16D2">
            <w:pPr>
              <w:spacing w:after="0" w:line="240" w:lineRule="auto"/>
              <w:jc w:val="right"/>
              <w:rPr>
                <w:rFonts w:ascii="Arial" w:eastAsia="Times New Roman" w:hAnsi="Arial" w:cs="Arial"/>
                <w:sz w:val="20"/>
                <w:szCs w:val="20"/>
                <w:lang w:val="nl-NL" w:eastAsia="nl-NL" w:bidi="ar-SA"/>
              </w:rPr>
            </w:pPr>
            <w:r w:rsidRPr="00F67784">
              <w:rPr>
                <w:rFonts w:ascii="Arial" w:eastAsia="Times New Roman" w:hAnsi="Arial" w:cs="Arial"/>
                <w:sz w:val="20"/>
                <w:szCs w:val="20"/>
                <w:lang w:val="nl-NL" w:eastAsia="nl-NL" w:bidi="ar-SA"/>
              </w:rPr>
              <w:t>-0,000102</w:t>
            </w:r>
          </w:p>
        </w:tc>
        <w:tc>
          <w:tcPr>
            <w:tcW w:w="1187" w:type="dxa"/>
            <w:tcBorders>
              <w:top w:val="nil"/>
              <w:left w:val="nil"/>
              <w:bottom w:val="single" w:sz="4" w:space="0" w:color="auto"/>
              <w:right w:val="single" w:sz="4" w:space="0" w:color="auto"/>
            </w:tcBorders>
            <w:shd w:val="clear" w:color="auto" w:fill="auto"/>
            <w:noWrap/>
            <w:vAlign w:val="bottom"/>
            <w:hideMark/>
          </w:tcPr>
          <w:p w:rsidR="00314A1E" w:rsidRPr="00F67784" w:rsidRDefault="00314A1E" w:rsidP="009C16D2">
            <w:pPr>
              <w:spacing w:after="0" w:line="240" w:lineRule="auto"/>
              <w:jc w:val="right"/>
              <w:rPr>
                <w:rFonts w:ascii="Arial" w:eastAsia="Times New Roman" w:hAnsi="Arial" w:cs="Arial"/>
                <w:sz w:val="20"/>
                <w:szCs w:val="20"/>
                <w:lang w:val="nl-NL" w:eastAsia="nl-NL" w:bidi="ar-SA"/>
              </w:rPr>
            </w:pPr>
            <w:r w:rsidRPr="00F67784">
              <w:rPr>
                <w:rFonts w:ascii="Arial" w:eastAsia="Times New Roman" w:hAnsi="Arial" w:cs="Arial"/>
                <w:sz w:val="20"/>
                <w:szCs w:val="20"/>
                <w:lang w:val="nl-NL" w:eastAsia="nl-NL" w:bidi="ar-SA"/>
              </w:rPr>
              <w:t>3,05E-07</w:t>
            </w:r>
          </w:p>
        </w:tc>
        <w:tc>
          <w:tcPr>
            <w:tcW w:w="1160" w:type="dxa"/>
            <w:tcBorders>
              <w:top w:val="nil"/>
              <w:left w:val="nil"/>
              <w:bottom w:val="single" w:sz="4" w:space="0" w:color="auto"/>
              <w:right w:val="single" w:sz="4" w:space="0" w:color="auto"/>
            </w:tcBorders>
            <w:shd w:val="clear" w:color="auto" w:fill="auto"/>
            <w:noWrap/>
            <w:vAlign w:val="bottom"/>
            <w:hideMark/>
          </w:tcPr>
          <w:p w:rsidR="00314A1E" w:rsidRPr="00F67784" w:rsidRDefault="00314A1E" w:rsidP="009C16D2">
            <w:pPr>
              <w:spacing w:after="0" w:line="240" w:lineRule="auto"/>
              <w:jc w:val="right"/>
              <w:rPr>
                <w:rFonts w:ascii="Arial" w:eastAsia="Times New Roman" w:hAnsi="Arial" w:cs="Arial"/>
                <w:sz w:val="20"/>
                <w:szCs w:val="20"/>
                <w:lang w:val="nl-NL" w:eastAsia="nl-NL" w:bidi="ar-SA"/>
              </w:rPr>
            </w:pPr>
            <w:r w:rsidRPr="00F67784">
              <w:rPr>
                <w:rFonts w:ascii="Arial" w:eastAsia="Times New Roman" w:hAnsi="Arial" w:cs="Arial"/>
                <w:sz w:val="20"/>
                <w:szCs w:val="20"/>
                <w:lang w:val="nl-NL" w:eastAsia="nl-NL" w:bidi="ar-SA"/>
              </w:rPr>
              <w:t>0,000187</w:t>
            </w:r>
          </w:p>
        </w:tc>
      </w:tr>
    </w:tbl>
    <w:p w:rsidR="00314A1E" w:rsidRDefault="00314A1E" w:rsidP="00314A1E">
      <w:pPr>
        <w:pStyle w:val="NoSpacing"/>
      </w:pPr>
    </w:p>
    <w:p w:rsidR="00314A1E" w:rsidRDefault="00314A1E" w:rsidP="00314A1E">
      <w:pPr>
        <w:pStyle w:val="NoSpacing"/>
      </w:pPr>
      <w:r>
        <w:t>A feedback relation is proved again for the telecom sector. Feedback relations are often characterized by a third variable, which influences both other variables. The telecom index is the most volatile European index with a standard deviation of 200</w:t>
      </w:r>
      <w:proofErr w:type="gramStart"/>
      <w:r>
        <w:t>,4</w:t>
      </w:r>
      <w:proofErr w:type="gramEnd"/>
      <w:r>
        <w:t>, this makes it appropriate that it reacts on many variables and that there is a variable who influence them both. The direction of influence is positive, which means that the telecom sector profits from a depreciating euro, probably the sector is depended on the imports of advanced technology.</w:t>
      </w:r>
    </w:p>
    <w:p w:rsidR="00314A1E" w:rsidRDefault="00314A1E" w:rsidP="00314A1E">
      <w:pPr>
        <w:pStyle w:val="NoSpacing"/>
      </w:pPr>
    </w:p>
    <w:p w:rsidR="00314A1E" w:rsidRDefault="00314A1E" w:rsidP="00314A1E">
      <w:pPr>
        <w:pStyle w:val="NoSpacing"/>
      </w:pPr>
      <w:r>
        <w:t>Again the health care sector is Granger caused by the currency. It is plausible that the health care industry is more globalized than other sectors, and because of that, more influenced by changes in exchange rates. Remarkable is the different relationship with both currencies. We saw that the health care stocks take profit from a decrease in CHFEUR, but it decreases after a decreasing USDEUR.  Different kind of trades pat</w:t>
      </w:r>
      <w:r w:rsidR="007C63C2">
        <w:t>te</w:t>
      </w:r>
      <w:r>
        <w:t xml:space="preserve">rns with the US and Switzerland could explain </w:t>
      </w:r>
      <w:r w:rsidR="007C63C2">
        <w:t>these differences</w:t>
      </w:r>
      <w:r>
        <w:t xml:space="preserve"> in reaction. </w:t>
      </w:r>
    </w:p>
    <w:p w:rsidR="007C63C2" w:rsidRDefault="007C63C2" w:rsidP="00314A1E">
      <w:pPr>
        <w:pStyle w:val="NoSpacing"/>
      </w:pPr>
    </w:p>
    <w:p w:rsidR="007C63C2" w:rsidRDefault="007C63C2" w:rsidP="00314A1E">
      <w:pPr>
        <w:pStyle w:val="NoSpacing"/>
      </w:pPr>
    </w:p>
    <w:p w:rsidR="007C63C2" w:rsidRDefault="007C63C2" w:rsidP="00314A1E">
      <w:pPr>
        <w:pStyle w:val="NoSpacing"/>
      </w:pPr>
    </w:p>
    <w:p w:rsidR="007C63C2" w:rsidRDefault="007C63C2" w:rsidP="00314A1E">
      <w:pPr>
        <w:pStyle w:val="NoSpacing"/>
      </w:pPr>
    </w:p>
    <w:p w:rsidR="007C63C2" w:rsidRDefault="007C63C2" w:rsidP="00314A1E">
      <w:pPr>
        <w:pStyle w:val="NoSpacing"/>
      </w:pPr>
    </w:p>
    <w:p w:rsidR="007C63C2" w:rsidRDefault="007C63C2" w:rsidP="00314A1E">
      <w:pPr>
        <w:pStyle w:val="NoSpacing"/>
      </w:pPr>
    </w:p>
    <w:p w:rsidR="007C63C2" w:rsidRDefault="007C63C2" w:rsidP="00314A1E">
      <w:pPr>
        <w:pStyle w:val="NoSpacing"/>
      </w:pPr>
    </w:p>
    <w:p w:rsidR="007C63C2" w:rsidRDefault="007C63C2" w:rsidP="00314A1E">
      <w:pPr>
        <w:pStyle w:val="NoSpacing"/>
      </w:pPr>
    </w:p>
    <w:p w:rsidR="007C63C2" w:rsidRDefault="007C63C2" w:rsidP="00314A1E">
      <w:pPr>
        <w:pStyle w:val="NoSpacing"/>
      </w:pPr>
    </w:p>
    <w:p w:rsidR="007C63C2" w:rsidRDefault="007C63C2" w:rsidP="00314A1E">
      <w:pPr>
        <w:pStyle w:val="NoSpacing"/>
      </w:pPr>
    </w:p>
    <w:p w:rsidR="007C63C2" w:rsidRDefault="007C63C2" w:rsidP="00314A1E">
      <w:pPr>
        <w:pStyle w:val="NoSpacing"/>
      </w:pPr>
    </w:p>
    <w:p w:rsidR="007C63C2" w:rsidRDefault="007C63C2" w:rsidP="00314A1E">
      <w:pPr>
        <w:pStyle w:val="NoSpacing"/>
      </w:pPr>
    </w:p>
    <w:p w:rsidR="007C63C2" w:rsidRDefault="007C63C2" w:rsidP="00314A1E">
      <w:pPr>
        <w:pStyle w:val="NoSpacing"/>
      </w:pPr>
    </w:p>
    <w:p w:rsidR="007C63C2" w:rsidRDefault="007C63C2" w:rsidP="00314A1E">
      <w:pPr>
        <w:pStyle w:val="NoSpacing"/>
      </w:pPr>
    </w:p>
    <w:p w:rsidR="007C63C2" w:rsidRDefault="007C63C2" w:rsidP="00314A1E">
      <w:pPr>
        <w:pStyle w:val="NoSpacing"/>
      </w:pPr>
    </w:p>
    <w:p w:rsidR="007C63C2" w:rsidRDefault="007C63C2" w:rsidP="00314A1E">
      <w:pPr>
        <w:pStyle w:val="NoSpacing"/>
      </w:pPr>
    </w:p>
    <w:p w:rsidR="00314A1E" w:rsidRDefault="00DA7F40" w:rsidP="009C16D2">
      <w:pPr>
        <w:pStyle w:val="Heading2"/>
      </w:pPr>
      <w:bookmarkStart w:id="12" w:name="_Toc300320238"/>
      <w:r>
        <w:lastRenderedPageBreak/>
        <w:t xml:space="preserve">6.3) </w:t>
      </w:r>
      <w:r w:rsidR="00314A1E" w:rsidRPr="00F871F5">
        <w:t>Sector indices US</w:t>
      </w:r>
      <w:bookmarkEnd w:id="12"/>
    </w:p>
    <w:p w:rsidR="00314A1E" w:rsidRDefault="00314A1E" w:rsidP="00314A1E">
      <w:pPr>
        <w:pStyle w:val="NoSpacing"/>
      </w:pPr>
      <w:r>
        <w:t xml:space="preserve">Again, a unit root in the series, but stationary after first differences. </w:t>
      </w:r>
    </w:p>
    <w:p w:rsidR="00314A1E" w:rsidRPr="00DD5C65" w:rsidRDefault="00314A1E" w:rsidP="00314A1E">
      <w:pPr>
        <w:pStyle w:val="NoSpacing"/>
      </w:pPr>
    </w:p>
    <w:p w:rsidR="00314A1E" w:rsidRDefault="00314A1E" w:rsidP="00314A1E">
      <w:pPr>
        <w:pStyle w:val="NoSpacing"/>
      </w:pPr>
      <w:r>
        <w:t xml:space="preserve">Table </w:t>
      </w:r>
      <w:r w:rsidR="00CD606C">
        <w:t>14</w:t>
      </w:r>
      <w:r>
        <w:t>: ADF test on stocks (US)</w:t>
      </w:r>
    </w:p>
    <w:tbl>
      <w:tblPr>
        <w:tblW w:w="5142" w:type="dxa"/>
        <w:tblInd w:w="55" w:type="dxa"/>
        <w:tblCellMar>
          <w:left w:w="70" w:type="dxa"/>
          <w:right w:w="70" w:type="dxa"/>
        </w:tblCellMar>
        <w:tblLook w:val="04A0"/>
      </w:tblPr>
      <w:tblGrid>
        <w:gridCol w:w="1026"/>
        <w:gridCol w:w="988"/>
        <w:gridCol w:w="988"/>
        <w:gridCol w:w="1152"/>
        <w:gridCol w:w="988"/>
      </w:tblGrid>
      <w:tr w:rsidR="00314A1E" w:rsidRPr="004817D3" w:rsidTr="009C16D2">
        <w:trPr>
          <w:trHeight w:val="257"/>
        </w:trPr>
        <w:tc>
          <w:tcPr>
            <w:tcW w:w="1026" w:type="dxa"/>
            <w:tcBorders>
              <w:top w:val="nil"/>
              <w:left w:val="nil"/>
              <w:bottom w:val="nil"/>
              <w:right w:val="nil"/>
            </w:tcBorders>
            <w:shd w:val="clear" w:color="auto" w:fill="auto"/>
            <w:noWrap/>
            <w:vAlign w:val="bottom"/>
            <w:hideMark/>
          </w:tcPr>
          <w:p w:rsidR="00314A1E" w:rsidRPr="004817D3" w:rsidRDefault="00314A1E" w:rsidP="009C16D2">
            <w:pPr>
              <w:spacing w:after="0" w:line="240" w:lineRule="auto"/>
              <w:rPr>
                <w:rFonts w:ascii="Arial" w:eastAsia="Times New Roman" w:hAnsi="Arial" w:cs="Arial"/>
                <w:sz w:val="20"/>
                <w:szCs w:val="20"/>
                <w:lang w:eastAsia="nl-NL" w:bidi="ar-SA"/>
              </w:rPr>
            </w:pP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4A1E" w:rsidRPr="004817D3" w:rsidRDefault="00314A1E" w:rsidP="009C16D2">
            <w:pPr>
              <w:spacing w:after="0" w:line="240" w:lineRule="auto"/>
              <w:rPr>
                <w:rFonts w:ascii="Arial" w:eastAsia="Times New Roman" w:hAnsi="Arial" w:cs="Arial"/>
                <w:sz w:val="20"/>
                <w:szCs w:val="20"/>
                <w:lang w:val="nl-NL" w:eastAsia="nl-NL" w:bidi="ar-SA"/>
              </w:rPr>
            </w:pPr>
            <w:r w:rsidRPr="004817D3">
              <w:rPr>
                <w:rFonts w:ascii="Arial" w:eastAsia="Times New Roman" w:hAnsi="Arial" w:cs="Arial"/>
                <w:sz w:val="20"/>
                <w:szCs w:val="20"/>
                <w:lang w:val="nl-NL" w:eastAsia="nl-NL" w:bidi="ar-SA"/>
              </w:rPr>
              <w:t xml:space="preserve">ADF test </w:t>
            </w:r>
            <w:proofErr w:type="spellStart"/>
            <w:r w:rsidRPr="004817D3">
              <w:rPr>
                <w:rFonts w:ascii="Arial" w:eastAsia="Times New Roman" w:hAnsi="Arial" w:cs="Arial"/>
                <w:sz w:val="20"/>
                <w:szCs w:val="20"/>
                <w:lang w:val="nl-NL" w:eastAsia="nl-NL" w:bidi="ar-SA"/>
              </w:rPr>
              <w:t>on</w:t>
            </w:r>
            <w:proofErr w:type="spellEnd"/>
            <w:r w:rsidRPr="004817D3">
              <w:rPr>
                <w:rFonts w:ascii="Arial" w:eastAsia="Times New Roman" w:hAnsi="Arial" w:cs="Arial"/>
                <w:sz w:val="20"/>
                <w:szCs w:val="20"/>
                <w:lang w:val="nl-NL" w:eastAsia="nl-NL" w:bidi="ar-SA"/>
              </w:rPr>
              <w:t xml:space="preserve"> </w:t>
            </w:r>
            <w:proofErr w:type="spellStart"/>
            <w:proofErr w:type="gramStart"/>
            <w:r w:rsidRPr="004817D3">
              <w:rPr>
                <w:rFonts w:ascii="Arial" w:eastAsia="Times New Roman" w:hAnsi="Arial" w:cs="Arial"/>
                <w:sz w:val="20"/>
                <w:szCs w:val="20"/>
                <w:lang w:val="nl-NL" w:eastAsia="nl-NL" w:bidi="ar-SA"/>
              </w:rPr>
              <w:t>levels</w:t>
            </w:r>
            <w:proofErr w:type="spellEnd"/>
            <w:proofErr w:type="gramEnd"/>
          </w:p>
        </w:tc>
        <w:tc>
          <w:tcPr>
            <w:tcW w:w="988" w:type="dxa"/>
            <w:tcBorders>
              <w:top w:val="single" w:sz="4" w:space="0" w:color="auto"/>
              <w:left w:val="nil"/>
              <w:bottom w:val="single" w:sz="4" w:space="0" w:color="auto"/>
              <w:right w:val="single" w:sz="4" w:space="0" w:color="auto"/>
            </w:tcBorders>
            <w:shd w:val="clear" w:color="auto" w:fill="auto"/>
            <w:noWrap/>
            <w:vAlign w:val="bottom"/>
            <w:hideMark/>
          </w:tcPr>
          <w:p w:rsidR="00314A1E" w:rsidRPr="004817D3" w:rsidRDefault="00314A1E" w:rsidP="009C16D2">
            <w:pPr>
              <w:spacing w:after="0" w:line="240" w:lineRule="auto"/>
              <w:rPr>
                <w:rFonts w:ascii="Arial" w:eastAsia="Times New Roman" w:hAnsi="Arial" w:cs="Arial"/>
                <w:sz w:val="20"/>
                <w:szCs w:val="20"/>
                <w:lang w:val="nl-NL" w:eastAsia="nl-NL" w:bidi="ar-SA"/>
              </w:rPr>
            </w:pPr>
            <w:r w:rsidRPr="004817D3">
              <w:rPr>
                <w:rFonts w:ascii="Arial" w:eastAsia="Times New Roman" w:hAnsi="Arial" w:cs="Arial"/>
                <w:sz w:val="20"/>
                <w:szCs w:val="20"/>
                <w:lang w:val="nl-NL" w:eastAsia="nl-NL" w:bidi="ar-SA"/>
              </w:rPr>
              <w:t> </w:t>
            </w: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314A1E" w:rsidRPr="004817D3" w:rsidRDefault="00314A1E" w:rsidP="009C16D2">
            <w:pPr>
              <w:spacing w:after="0" w:line="240" w:lineRule="auto"/>
              <w:rPr>
                <w:rFonts w:ascii="Arial" w:eastAsia="Times New Roman" w:hAnsi="Arial" w:cs="Arial"/>
                <w:sz w:val="20"/>
                <w:szCs w:val="20"/>
                <w:lang w:eastAsia="nl-NL" w:bidi="ar-SA"/>
              </w:rPr>
            </w:pPr>
            <w:r w:rsidRPr="004817D3">
              <w:rPr>
                <w:rFonts w:ascii="Arial" w:eastAsia="Times New Roman" w:hAnsi="Arial" w:cs="Arial"/>
                <w:sz w:val="20"/>
                <w:szCs w:val="20"/>
                <w:lang w:eastAsia="nl-NL" w:bidi="ar-SA"/>
              </w:rPr>
              <w:t>ADF test on first differences</w:t>
            </w:r>
          </w:p>
        </w:tc>
        <w:tc>
          <w:tcPr>
            <w:tcW w:w="988" w:type="dxa"/>
            <w:tcBorders>
              <w:top w:val="single" w:sz="4" w:space="0" w:color="auto"/>
              <w:left w:val="nil"/>
              <w:bottom w:val="single" w:sz="4" w:space="0" w:color="auto"/>
              <w:right w:val="single" w:sz="4" w:space="0" w:color="auto"/>
            </w:tcBorders>
            <w:shd w:val="clear" w:color="auto" w:fill="auto"/>
            <w:noWrap/>
            <w:vAlign w:val="bottom"/>
            <w:hideMark/>
          </w:tcPr>
          <w:p w:rsidR="00314A1E" w:rsidRPr="004817D3" w:rsidRDefault="00314A1E" w:rsidP="009C16D2">
            <w:pPr>
              <w:spacing w:after="0" w:line="240" w:lineRule="auto"/>
              <w:rPr>
                <w:rFonts w:ascii="Arial" w:eastAsia="Times New Roman" w:hAnsi="Arial" w:cs="Arial"/>
                <w:sz w:val="20"/>
                <w:szCs w:val="20"/>
                <w:lang w:eastAsia="nl-NL" w:bidi="ar-SA"/>
              </w:rPr>
            </w:pPr>
            <w:r w:rsidRPr="004817D3">
              <w:rPr>
                <w:rFonts w:ascii="Arial" w:eastAsia="Times New Roman" w:hAnsi="Arial" w:cs="Arial"/>
                <w:sz w:val="20"/>
                <w:szCs w:val="20"/>
                <w:lang w:eastAsia="nl-NL" w:bidi="ar-SA"/>
              </w:rPr>
              <w:t> </w:t>
            </w:r>
          </w:p>
        </w:tc>
      </w:tr>
      <w:tr w:rsidR="00314A1E" w:rsidRPr="004817D3" w:rsidTr="009C16D2">
        <w:trPr>
          <w:trHeight w:val="257"/>
        </w:trPr>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4A1E" w:rsidRPr="004817D3" w:rsidRDefault="00314A1E" w:rsidP="009C16D2">
            <w:pPr>
              <w:spacing w:after="0" w:line="240" w:lineRule="auto"/>
              <w:rPr>
                <w:rFonts w:ascii="Arial" w:eastAsia="Times New Roman" w:hAnsi="Arial" w:cs="Arial"/>
                <w:sz w:val="20"/>
                <w:szCs w:val="20"/>
                <w:lang w:val="nl-NL" w:eastAsia="nl-NL" w:bidi="ar-SA"/>
              </w:rPr>
            </w:pPr>
            <w:r w:rsidRPr="004817D3">
              <w:rPr>
                <w:rFonts w:ascii="Arial" w:eastAsia="Times New Roman" w:hAnsi="Arial" w:cs="Arial"/>
                <w:sz w:val="20"/>
                <w:szCs w:val="20"/>
                <w:lang w:val="nl-NL" w:eastAsia="nl-NL" w:bidi="ar-SA"/>
              </w:rPr>
              <w:t>Series</w:t>
            </w:r>
          </w:p>
        </w:tc>
        <w:tc>
          <w:tcPr>
            <w:tcW w:w="988" w:type="dxa"/>
            <w:tcBorders>
              <w:top w:val="nil"/>
              <w:left w:val="nil"/>
              <w:bottom w:val="single" w:sz="4" w:space="0" w:color="auto"/>
              <w:right w:val="single" w:sz="4" w:space="0" w:color="auto"/>
            </w:tcBorders>
            <w:shd w:val="clear" w:color="auto" w:fill="auto"/>
            <w:noWrap/>
            <w:vAlign w:val="bottom"/>
            <w:hideMark/>
          </w:tcPr>
          <w:p w:rsidR="00314A1E" w:rsidRPr="004817D3" w:rsidRDefault="00314A1E" w:rsidP="009C16D2">
            <w:pPr>
              <w:spacing w:after="0" w:line="240" w:lineRule="auto"/>
              <w:rPr>
                <w:rFonts w:ascii="Arial" w:eastAsia="Times New Roman" w:hAnsi="Arial" w:cs="Arial"/>
                <w:sz w:val="20"/>
                <w:szCs w:val="20"/>
                <w:lang w:val="nl-NL" w:eastAsia="nl-NL" w:bidi="ar-SA"/>
              </w:rPr>
            </w:pPr>
            <w:proofErr w:type="spellStart"/>
            <w:r w:rsidRPr="004817D3">
              <w:rPr>
                <w:rFonts w:ascii="Arial" w:eastAsia="Times New Roman" w:hAnsi="Arial" w:cs="Arial"/>
                <w:sz w:val="20"/>
                <w:szCs w:val="20"/>
                <w:lang w:val="nl-NL" w:eastAsia="nl-NL" w:bidi="ar-SA"/>
              </w:rPr>
              <w:t>t-statistic</w:t>
            </w:r>
            <w:proofErr w:type="spellEnd"/>
          </w:p>
        </w:tc>
        <w:tc>
          <w:tcPr>
            <w:tcW w:w="988" w:type="dxa"/>
            <w:tcBorders>
              <w:top w:val="nil"/>
              <w:left w:val="nil"/>
              <w:bottom w:val="single" w:sz="4" w:space="0" w:color="auto"/>
              <w:right w:val="single" w:sz="4" w:space="0" w:color="auto"/>
            </w:tcBorders>
            <w:shd w:val="clear" w:color="auto" w:fill="auto"/>
            <w:noWrap/>
            <w:vAlign w:val="bottom"/>
            <w:hideMark/>
          </w:tcPr>
          <w:p w:rsidR="00314A1E" w:rsidRPr="004817D3" w:rsidRDefault="00314A1E" w:rsidP="009C16D2">
            <w:pPr>
              <w:spacing w:after="0" w:line="240" w:lineRule="auto"/>
              <w:rPr>
                <w:rFonts w:ascii="Arial" w:eastAsia="Times New Roman" w:hAnsi="Arial" w:cs="Arial"/>
                <w:sz w:val="20"/>
                <w:szCs w:val="20"/>
                <w:lang w:val="nl-NL" w:eastAsia="nl-NL" w:bidi="ar-SA"/>
              </w:rPr>
            </w:pPr>
            <w:proofErr w:type="spellStart"/>
            <w:r w:rsidRPr="004817D3">
              <w:rPr>
                <w:rFonts w:ascii="Arial" w:eastAsia="Times New Roman" w:hAnsi="Arial" w:cs="Arial"/>
                <w:sz w:val="20"/>
                <w:szCs w:val="20"/>
                <w:lang w:val="nl-NL" w:eastAsia="nl-NL" w:bidi="ar-SA"/>
              </w:rPr>
              <w:t>p-value</w:t>
            </w:r>
            <w:proofErr w:type="spellEnd"/>
          </w:p>
        </w:tc>
        <w:tc>
          <w:tcPr>
            <w:tcW w:w="1152" w:type="dxa"/>
            <w:tcBorders>
              <w:top w:val="nil"/>
              <w:left w:val="nil"/>
              <w:bottom w:val="single" w:sz="4" w:space="0" w:color="auto"/>
              <w:right w:val="single" w:sz="4" w:space="0" w:color="auto"/>
            </w:tcBorders>
            <w:shd w:val="clear" w:color="auto" w:fill="auto"/>
            <w:noWrap/>
            <w:vAlign w:val="bottom"/>
            <w:hideMark/>
          </w:tcPr>
          <w:p w:rsidR="00314A1E" w:rsidRPr="004817D3" w:rsidRDefault="00314A1E" w:rsidP="009C16D2">
            <w:pPr>
              <w:spacing w:after="0" w:line="240" w:lineRule="auto"/>
              <w:rPr>
                <w:rFonts w:ascii="Arial" w:eastAsia="Times New Roman" w:hAnsi="Arial" w:cs="Arial"/>
                <w:sz w:val="20"/>
                <w:szCs w:val="20"/>
                <w:lang w:val="nl-NL" w:eastAsia="nl-NL" w:bidi="ar-SA"/>
              </w:rPr>
            </w:pPr>
            <w:proofErr w:type="spellStart"/>
            <w:r w:rsidRPr="004817D3">
              <w:rPr>
                <w:rFonts w:ascii="Arial" w:eastAsia="Times New Roman" w:hAnsi="Arial" w:cs="Arial"/>
                <w:sz w:val="20"/>
                <w:szCs w:val="20"/>
                <w:lang w:val="nl-NL" w:eastAsia="nl-NL" w:bidi="ar-SA"/>
              </w:rPr>
              <w:t>t-statistic</w:t>
            </w:r>
            <w:proofErr w:type="spellEnd"/>
          </w:p>
        </w:tc>
        <w:tc>
          <w:tcPr>
            <w:tcW w:w="988" w:type="dxa"/>
            <w:tcBorders>
              <w:top w:val="nil"/>
              <w:left w:val="nil"/>
              <w:bottom w:val="single" w:sz="4" w:space="0" w:color="auto"/>
              <w:right w:val="single" w:sz="4" w:space="0" w:color="auto"/>
            </w:tcBorders>
            <w:shd w:val="clear" w:color="auto" w:fill="auto"/>
            <w:noWrap/>
            <w:vAlign w:val="bottom"/>
            <w:hideMark/>
          </w:tcPr>
          <w:p w:rsidR="00314A1E" w:rsidRPr="004817D3" w:rsidRDefault="00314A1E" w:rsidP="009C16D2">
            <w:pPr>
              <w:spacing w:after="0" w:line="240" w:lineRule="auto"/>
              <w:rPr>
                <w:rFonts w:ascii="Arial" w:eastAsia="Times New Roman" w:hAnsi="Arial" w:cs="Arial"/>
                <w:sz w:val="20"/>
                <w:szCs w:val="20"/>
                <w:lang w:val="nl-NL" w:eastAsia="nl-NL" w:bidi="ar-SA"/>
              </w:rPr>
            </w:pPr>
            <w:proofErr w:type="spellStart"/>
            <w:r w:rsidRPr="004817D3">
              <w:rPr>
                <w:rFonts w:ascii="Arial" w:eastAsia="Times New Roman" w:hAnsi="Arial" w:cs="Arial"/>
                <w:sz w:val="20"/>
                <w:szCs w:val="20"/>
                <w:lang w:val="nl-NL" w:eastAsia="nl-NL" w:bidi="ar-SA"/>
              </w:rPr>
              <w:t>p-value</w:t>
            </w:r>
            <w:proofErr w:type="spellEnd"/>
          </w:p>
        </w:tc>
      </w:tr>
      <w:tr w:rsidR="00314A1E" w:rsidRPr="004817D3" w:rsidTr="009C16D2">
        <w:trPr>
          <w:trHeight w:val="257"/>
        </w:trPr>
        <w:tc>
          <w:tcPr>
            <w:tcW w:w="1026" w:type="dxa"/>
            <w:tcBorders>
              <w:top w:val="nil"/>
              <w:left w:val="single" w:sz="4" w:space="0" w:color="auto"/>
              <w:bottom w:val="single" w:sz="4" w:space="0" w:color="auto"/>
              <w:right w:val="single" w:sz="4" w:space="0" w:color="auto"/>
            </w:tcBorders>
            <w:shd w:val="clear" w:color="auto" w:fill="auto"/>
            <w:noWrap/>
            <w:vAlign w:val="bottom"/>
            <w:hideMark/>
          </w:tcPr>
          <w:p w:rsidR="00314A1E" w:rsidRPr="004817D3" w:rsidRDefault="00314A1E" w:rsidP="009C16D2">
            <w:pPr>
              <w:spacing w:after="0" w:line="240" w:lineRule="auto"/>
              <w:rPr>
                <w:rFonts w:ascii="Arial" w:eastAsia="Times New Roman" w:hAnsi="Arial" w:cs="Arial"/>
                <w:sz w:val="20"/>
                <w:szCs w:val="20"/>
                <w:lang w:val="nl-NL" w:eastAsia="nl-NL" w:bidi="ar-SA"/>
              </w:rPr>
            </w:pPr>
            <w:r w:rsidRPr="004817D3">
              <w:rPr>
                <w:rFonts w:ascii="Arial" w:eastAsia="Times New Roman" w:hAnsi="Arial" w:cs="Arial"/>
                <w:sz w:val="20"/>
                <w:szCs w:val="20"/>
                <w:lang w:val="nl-NL" w:eastAsia="nl-NL" w:bidi="ar-SA"/>
              </w:rPr>
              <w:t>USUT</w:t>
            </w:r>
          </w:p>
        </w:tc>
        <w:tc>
          <w:tcPr>
            <w:tcW w:w="988" w:type="dxa"/>
            <w:tcBorders>
              <w:top w:val="nil"/>
              <w:left w:val="nil"/>
              <w:bottom w:val="single" w:sz="4" w:space="0" w:color="auto"/>
              <w:right w:val="single" w:sz="4" w:space="0" w:color="auto"/>
            </w:tcBorders>
            <w:shd w:val="clear" w:color="auto" w:fill="auto"/>
            <w:noWrap/>
            <w:vAlign w:val="bottom"/>
            <w:hideMark/>
          </w:tcPr>
          <w:p w:rsidR="00314A1E" w:rsidRPr="004817D3" w:rsidRDefault="00314A1E" w:rsidP="009C16D2">
            <w:pPr>
              <w:spacing w:after="0" w:line="240" w:lineRule="auto"/>
              <w:jc w:val="right"/>
              <w:rPr>
                <w:rFonts w:ascii="Arial" w:eastAsia="Times New Roman" w:hAnsi="Arial" w:cs="Arial"/>
                <w:sz w:val="20"/>
                <w:szCs w:val="20"/>
                <w:lang w:val="nl-NL" w:eastAsia="nl-NL" w:bidi="ar-SA"/>
              </w:rPr>
            </w:pPr>
            <w:r w:rsidRPr="004817D3">
              <w:rPr>
                <w:rFonts w:ascii="Arial" w:eastAsia="Times New Roman" w:hAnsi="Arial" w:cs="Arial"/>
                <w:sz w:val="20"/>
                <w:szCs w:val="20"/>
                <w:lang w:val="nl-NL" w:eastAsia="nl-NL" w:bidi="ar-SA"/>
              </w:rPr>
              <w:t>-1,7439</w:t>
            </w:r>
          </w:p>
        </w:tc>
        <w:tc>
          <w:tcPr>
            <w:tcW w:w="988" w:type="dxa"/>
            <w:tcBorders>
              <w:top w:val="nil"/>
              <w:left w:val="nil"/>
              <w:bottom w:val="single" w:sz="4" w:space="0" w:color="auto"/>
              <w:right w:val="single" w:sz="4" w:space="0" w:color="auto"/>
            </w:tcBorders>
            <w:shd w:val="clear" w:color="auto" w:fill="auto"/>
            <w:noWrap/>
            <w:vAlign w:val="bottom"/>
            <w:hideMark/>
          </w:tcPr>
          <w:p w:rsidR="00314A1E" w:rsidRPr="004817D3" w:rsidRDefault="00314A1E" w:rsidP="009C16D2">
            <w:pPr>
              <w:spacing w:after="0" w:line="240" w:lineRule="auto"/>
              <w:jc w:val="right"/>
              <w:rPr>
                <w:rFonts w:ascii="Arial" w:eastAsia="Times New Roman" w:hAnsi="Arial" w:cs="Arial"/>
                <w:sz w:val="20"/>
                <w:szCs w:val="20"/>
                <w:lang w:val="nl-NL" w:eastAsia="nl-NL" w:bidi="ar-SA"/>
              </w:rPr>
            </w:pPr>
            <w:r w:rsidRPr="004817D3">
              <w:rPr>
                <w:rFonts w:ascii="Arial" w:eastAsia="Times New Roman" w:hAnsi="Arial" w:cs="Arial"/>
                <w:sz w:val="20"/>
                <w:szCs w:val="20"/>
                <w:lang w:val="nl-NL" w:eastAsia="nl-NL" w:bidi="ar-SA"/>
              </w:rPr>
              <w:t>0,409</w:t>
            </w:r>
          </w:p>
        </w:tc>
        <w:tc>
          <w:tcPr>
            <w:tcW w:w="1152" w:type="dxa"/>
            <w:tcBorders>
              <w:top w:val="nil"/>
              <w:left w:val="nil"/>
              <w:bottom w:val="single" w:sz="4" w:space="0" w:color="auto"/>
              <w:right w:val="single" w:sz="4" w:space="0" w:color="auto"/>
            </w:tcBorders>
            <w:shd w:val="clear" w:color="auto" w:fill="auto"/>
            <w:noWrap/>
            <w:vAlign w:val="bottom"/>
            <w:hideMark/>
          </w:tcPr>
          <w:p w:rsidR="00314A1E" w:rsidRPr="004817D3" w:rsidRDefault="00314A1E" w:rsidP="009C16D2">
            <w:pPr>
              <w:spacing w:after="0" w:line="240" w:lineRule="auto"/>
              <w:jc w:val="right"/>
              <w:rPr>
                <w:rFonts w:ascii="Arial" w:eastAsia="Times New Roman" w:hAnsi="Arial" w:cs="Arial"/>
                <w:sz w:val="20"/>
                <w:szCs w:val="20"/>
                <w:lang w:val="nl-NL" w:eastAsia="nl-NL" w:bidi="ar-SA"/>
              </w:rPr>
            </w:pPr>
            <w:r w:rsidRPr="004817D3">
              <w:rPr>
                <w:rFonts w:ascii="Arial" w:eastAsia="Times New Roman" w:hAnsi="Arial" w:cs="Arial"/>
                <w:sz w:val="20"/>
                <w:szCs w:val="20"/>
                <w:lang w:val="nl-NL" w:eastAsia="nl-NL" w:bidi="ar-SA"/>
              </w:rPr>
              <w:t>-42,548</w:t>
            </w:r>
          </w:p>
        </w:tc>
        <w:tc>
          <w:tcPr>
            <w:tcW w:w="988" w:type="dxa"/>
            <w:tcBorders>
              <w:top w:val="nil"/>
              <w:left w:val="nil"/>
              <w:bottom w:val="single" w:sz="4" w:space="0" w:color="auto"/>
              <w:right w:val="single" w:sz="4" w:space="0" w:color="auto"/>
            </w:tcBorders>
            <w:shd w:val="clear" w:color="auto" w:fill="auto"/>
            <w:noWrap/>
            <w:vAlign w:val="bottom"/>
            <w:hideMark/>
          </w:tcPr>
          <w:p w:rsidR="00314A1E" w:rsidRPr="004817D3" w:rsidRDefault="00314A1E" w:rsidP="009C16D2">
            <w:pPr>
              <w:spacing w:after="0" w:line="240" w:lineRule="auto"/>
              <w:jc w:val="right"/>
              <w:rPr>
                <w:rFonts w:ascii="Arial" w:eastAsia="Times New Roman" w:hAnsi="Arial" w:cs="Arial"/>
                <w:sz w:val="20"/>
                <w:szCs w:val="20"/>
                <w:lang w:val="nl-NL" w:eastAsia="nl-NL" w:bidi="ar-SA"/>
              </w:rPr>
            </w:pPr>
            <w:r w:rsidRPr="004817D3">
              <w:rPr>
                <w:rFonts w:ascii="Arial" w:eastAsia="Times New Roman" w:hAnsi="Arial" w:cs="Arial"/>
                <w:sz w:val="20"/>
                <w:szCs w:val="20"/>
                <w:lang w:val="nl-NL" w:eastAsia="nl-NL" w:bidi="ar-SA"/>
              </w:rPr>
              <w:t>0</w:t>
            </w:r>
          </w:p>
        </w:tc>
      </w:tr>
      <w:tr w:rsidR="00314A1E" w:rsidRPr="004817D3" w:rsidTr="009C16D2">
        <w:trPr>
          <w:trHeight w:val="257"/>
        </w:trPr>
        <w:tc>
          <w:tcPr>
            <w:tcW w:w="1026" w:type="dxa"/>
            <w:tcBorders>
              <w:top w:val="nil"/>
              <w:left w:val="single" w:sz="4" w:space="0" w:color="auto"/>
              <w:bottom w:val="single" w:sz="4" w:space="0" w:color="auto"/>
              <w:right w:val="single" w:sz="4" w:space="0" w:color="auto"/>
            </w:tcBorders>
            <w:shd w:val="clear" w:color="auto" w:fill="auto"/>
            <w:noWrap/>
            <w:vAlign w:val="bottom"/>
            <w:hideMark/>
          </w:tcPr>
          <w:p w:rsidR="00314A1E" w:rsidRPr="004817D3" w:rsidRDefault="00314A1E" w:rsidP="009C16D2">
            <w:pPr>
              <w:spacing w:after="0" w:line="240" w:lineRule="auto"/>
              <w:rPr>
                <w:rFonts w:ascii="Arial" w:eastAsia="Times New Roman" w:hAnsi="Arial" w:cs="Arial"/>
                <w:sz w:val="20"/>
                <w:szCs w:val="20"/>
                <w:lang w:val="nl-NL" w:eastAsia="nl-NL" w:bidi="ar-SA"/>
              </w:rPr>
            </w:pPr>
            <w:r w:rsidRPr="004817D3">
              <w:rPr>
                <w:rFonts w:ascii="Arial" w:eastAsia="Times New Roman" w:hAnsi="Arial" w:cs="Arial"/>
                <w:sz w:val="20"/>
                <w:szCs w:val="20"/>
                <w:lang w:val="nl-NL" w:eastAsia="nl-NL" w:bidi="ar-SA"/>
              </w:rPr>
              <w:t>USTEL</w:t>
            </w:r>
          </w:p>
        </w:tc>
        <w:tc>
          <w:tcPr>
            <w:tcW w:w="988" w:type="dxa"/>
            <w:tcBorders>
              <w:top w:val="nil"/>
              <w:left w:val="nil"/>
              <w:bottom w:val="single" w:sz="4" w:space="0" w:color="auto"/>
              <w:right w:val="single" w:sz="4" w:space="0" w:color="auto"/>
            </w:tcBorders>
            <w:shd w:val="clear" w:color="auto" w:fill="auto"/>
            <w:noWrap/>
            <w:vAlign w:val="bottom"/>
            <w:hideMark/>
          </w:tcPr>
          <w:p w:rsidR="00314A1E" w:rsidRPr="004817D3" w:rsidRDefault="00314A1E" w:rsidP="009C16D2">
            <w:pPr>
              <w:spacing w:after="0" w:line="240" w:lineRule="auto"/>
              <w:jc w:val="right"/>
              <w:rPr>
                <w:rFonts w:ascii="Arial" w:eastAsia="Times New Roman" w:hAnsi="Arial" w:cs="Arial"/>
                <w:sz w:val="20"/>
                <w:szCs w:val="20"/>
                <w:lang w:val="nl-NL" w:eastAsia="nl-NL" w:bidi="ar-SA"/>
              </w:rPr>
            </w:pPr>
            <w:r w:rsidRPr="004817D3">
              <w:rPr>
                <w:rFonts w:ascii="Arial" w:eastAsia="Times New Roman" w:hAnsi="Arial" w:cs="Arial"/>
                <w:sz w:val="20"/>
                <w:szCs w:val="20"/>
                <w:lang w:val="nl-NL" w:eastAsia="nl-NL" w:bidi="ar-SA"/>
              </w:rPr>
              <w:t>-1,8544</w:t>
            </w:r>
          </w:p>
        </w:tc>
        <w:tc>
          <w:tcPr>
            <w:tcW w:w="988" w:type="dxa"/>
            <w:tcBorders>
              <w:top w:val="nil"/>
              <w:left w:val="nil"/>
              <w:bottom w:val="single" w:sz="4" w:space="0" w:color="auto"/>
              <w:right w:val="single" w:sz="4" w:space="0" w:color="auto"/>
            </w:tcBorders>
            <w:shd w:val="clear" w:color="auto" w:fill="auto"/>
            <w:noWrap/>
            <w:vAlign w:val="bottom"/>
            <w:hideMark/>
          </w:tcPr>
          <w:p w:rsidR="00314A1E" w:rsidRPr="004817D3" w:rsidRDefault="00314A1E" w:rsidP="009C16D2">
            <w:pPr>
              <w:spacing w:after="0" w:line="240" w:lineRule="auto"/>
              <w:jc w:val="right"/>
              <w:rPr>
                <w:rFonts w:ascii="Arial" w:eastAsia="Times New Roman" w:hAnsi="Arial" w:cs="Arial"/>
                <w:sz w:val="20"/>
                <w:szCs w:val="20"/>
                <w:lang w:val="nl-NL" w:eastAsia="nl-NL" w:bidi="ar-SA"/>
              </w:rPr>
            </w:pPr>
            <w:r w:rsidRPr="004817D3">
              <w:rPr>
                <w:rFonts w:ascii="Arial" w:eastAsia="Times New Roman" w:hAnsi="Arial" w:cs="Arial"/>
                <w:sz w:val="20"/>
                <w:szCs w:val="20"/>
                <w:lang w:val="nl-NL" w:eastAsia="nl-NL" w:bidi="ar-SA"/>
              </w:rPr>
              <w:t>0,3543</w:t>
            </w:r>
          </w:p>
        </w:tc>
        <w:tc>
          <w:tcPr>
            <w:tcW w:w="1152" w:type="dxa"/>
            <w:tcBorders>
              <w:top w:val="nil"/>
              <w:left w:val="nil"/>
              <w:bottom w:val="single" w:sz="4" w:space="0" w:color="auto"/>
              <w:right w:val="single" w:sz="4" w:space="0" w:color="auto"/>
            </w:tcBorders>
            <w:shd w:val="clear" w:color="auto" w:fill="auto"/>
            <w:noWrap/>
            <w:vAlign w:val="bottom"/>
            <w:hideMark/>
          </w:tcPr>
          <w:p w:rsidR="00314A1E" w:rsidRPr="004817D3" w:rsidRDefault="00314A1E" w:rsidP="009C16D2">
            <w:pPr>
              <w:spacing w:after="0" w:line="240" w:lineRule="auto"/>
              <w:jc w:val="right"/>
              <w:rPr>
                <w:rFonts w:ascii="Arial" w:eastAsia="Times New Roman" w:hAnsi="Arial" w:cs="Arial"/>
                <w:sz w:val="20"/>
                <w:szCs w:val="20"/>
                <w:lang w:val="nl-NL" w:eastAsia="nl-NL" w:bidi="ar-SA"/>
              </w:rPr>
            </w:pPr>
            <w:r w:rsidRPr="004817D3">
              <w:rPr>
                <w:rFonts w:ascii="Arial" w:eastAsia="Times New Roman" w:hAnsi="Arial" w:cs="Arial"/>
                <w:sz w:val="20"/>
                <w:szCs w:val="20"/>
                <w:lang w:val="nl-NL" w:eastAsia="nl-NL" w:bidi="ar-SA"/>
              </w:rPr>
              <w:t>-35,517</w:t>
            </w:r>
          </w:p>
        </w:tc>
        <w:tc>
          <w:tcPr>
            <w:tcW w:w="988" w:type="dxa"/>
            <w:tcBorders>
              <w:top w:val="nil"/>
              <w:left w:val="nil"/>
              <w:bottom w:val="single" w:sz="4" w:space="0" w:color="auto"/>
              <w:right w:val="single" w:sz="4" w:space="0" w:color="auto"/>
            </w:tcBorders>
            <w:shd w:val="clear" w:color="auto" w:fill="auto"/>
            <w:noWrap/>
            <w:vAlign w:val="bottom"/>
            <w:hideMark/>
          </w:tcPr>
          <w:p w:rsidR="00314A1E" w:rsidRPr="004817D3" w:rsidRDefault="00314A1E" w:rsidP="009C16D2">
            <w:pPr>
              <w:spacing w:after="0" w:line="240" w:lineRule="auto"/>
              <w:jc w:val="right"/>
              <w:rPr>
                <w:rFonts w:ascii="Arial" w:eastAsia="Times New Roman" w:hAnsi="Arial" w:cs="Arial"/>
                <w:sz w:val="20"/>
                <w:szCs w:val="20"/>
                <w:lang w:val="nl-NL" w:eastAsia="nl-NL" w:bidi="ar-SA"/>
              </w:rPr>
            </w:pPr>
            <w:r w:rsidRPr="004817D3">
              <w:rPr>
                <w:rFonts w:ascii="Arial" w:eastAsia="Times New Roman" w:hAnsi="Arial" w:cs="Arial"/>
                <w:sz w:val="20"/>
                <w:szCs w:val="20"/>
                <w:lang w:val="nl-NL" w:eastAsia="nl-NL" w:bidi="ar-SA"/>
              </w:rPr>
              <w:t>0</w:t>
            </w:r>
          </w:p>
        </w:tc>
      </w:tr>
      <w:tr w:rsidR="00314A1E" w:rsidRPr="004817D3" w:rsidTr="009C16D2">
        <w:trPr>
          <w:trHeight w:val="257"/>
        </w:trPr>
        <w:tc>
          <w:tcPr>
            <w:tcW w:w="1026" w:type="dxa"/>
            <w:tcBorders>
              <w:top w:val="nil"/>
              <w:left w:val="single" w:sz="4" w:space="0" w:color="auto"/>
              <w:bottom w:val="single" w:sz="4" w:space="0" w:color="auto"/>
              <w:right w:val="single" w:sz="4" w:space="0" w:color="auto"/>
            </w:tcBorders>
            <w:shd w:val="clear" w:color="auto" w:fill="auto"/>
            <w:noWrap/>
            <w:vAlign w:val="bottom"/>
            <w:hideMark/>
          </w:tcPr>
          <w:p w:rsidR="00314A1E" w:rsidRPr="004817D3" w:rsidRDefault="00314A1E" w:rsidP="009C16D2">
            <w:pPr>
              <w:spacing w:after="0" w:line="240" w:lineRule="auto"/>
              <w:rPr>
                <w:rFonts w:ascii="Arial" w:eastAsia="Times New Roman" w:hAnsi="Arial" w:cs="Arial"/>
                <w:sz w:val="20"/>
                <w:szCs w:val="20"/>
                <w:lang w:val="nl-NL" w:eastAsia="nl-NL" w:bidi="ar-SA"/>
              </w:rPr>
            </w:pPr>
            <w:r w:rsidRPr="004817D3">
              <w:rPr>
                <w:rFonts w:ascii="Arial" w:eastAsia="Times New Roman" w:hAnsi="Arial" w:cs="Arial"/>
                <w:sz w:val="20"/>
                <w:szCs w:val="20"/>
                <w:lang w:val="nl-NL" w:eastAsia="nl-NL" w:bidi="ar-SA"/>
              </w:rPr>
              <w:t>USTECH</w:t>
            </w:r>
          </w:p>
        </w:tc>
        <w:tc>
          <w:tcPr>
            <w:tcW w:w="988" w:type="dxa"/>
            <w:tcBorders>
              <w:top w:val="nil"/>
              <w:left w:val="nil"/>
              <w:bottom w:val="single" w:sz="4" w:space="0" w:color="auto"/>
              <w:right w:val="single" w:sz="4" w:space="0" w:color="auto"/>
            </w:tcBorders>
            <w:shd w:val="clear" w:color="auto" w:fill="auto"/>
            <w:noWrap/>
            <w:vAlign w:val="bottom"/>
            <w:hideMark/>
          </w:tcPr>
          <w:p w:rsidR="00314A1E" w:rsidRPr="004817D3" w:rsidRDefault="00314A1E" w:rsidP="009C16D2">
            <w:pPr>
              <w:spacing w:after="0" w:line="240" w:lineRule="auto"/>
              <w:jc w:val="right"/>
              <w:rPr>
                <w:rFonts w:ascii="Arial" w:eastAsia="Times New Roman" w:hAnsi="Arial" w:cs="Arial"/>
                <w:sz w:val="20"/>
                <w:szCs w:val="20"/>
                <w:lang w:val="nl-NL" w:eastAsia="nl-NL" w:bidi="ar-SA"/>
              </w:rPr>
            </w:pPr>
            <w:r w:rsidRPr="004817D3">
              <w:rPr>
                <w:rFonts w:ascii="Arial" w:eastAsia="Times New Roman" w:hAnsi="Arial" w:cs="Arial"/>
                <w:sz w:val="20"/>
                <w:szCs w:val="20"/>
                <w:lang w:val="nl-NL" w:eastAsia="nl-NL" w:bidi="ar-SA"/>
              </w:rPr>
              <w:t>-1,78</w:t>
            </w:r>
          </w:p>
        </w:tc>
        <w:tc>
          <w:tcPr>
            <w:tcW w:w="988" w:type="dxa"/>
            <w:tcBorders>
              <w:top w:val="nil"/>
              <w:left w:val="nil"/>
              <w:bottom w:val="single" w:sz="4" w:space="0" w:color="auto"/>
              <w:right w:val="single" w:sz="4" w:space="0" w:color="auto"/>
            </w:tcBorders>
            <w:shd w:val="clear" w:color="auto" w:fill="auto"/>
            <w:noWrap/>
            <w:vAlign w:val="bottom"/>
            <w:hideMark/>
          </w:tcPr>
          <w:p w:rsidR="00314A1E" w:rsidRPr="004817D3" w:rsidRDefault="00314A1E" w:rsidP="009C16D2">
            <w:pPr>
              <w:spacing w:after="0" w:line="240" w:lineRule="auto"/>
              <w:jc w:val="right"/>
              <w:rPr>
                <w:rFonts w:ascii="Arial" w:eastAsia="Times New Roman" w:hAnsi="Arial" w:cs="Arial"/>
                <w:sz w:val="20"/>
                <w:szCs w:val="20"/>
                <w:lang w:val="nl-NL" w:eastAsia="nl-NL" w:bidi="ar-SA"/>
              </w:rPr>
            </w:pPr>
            <w:r w:rsidRPr="004817D3">
              <w:rPr>
                <w:rFonts w:ascii="Arial" w:eastAsia="Times New Roman" w:hAnsi="Arial" w:cs="Arial"/>
                <w:sz w:val="20"/>
                <w:szCs w:val="20"/>
                <w:lang w:val="nl-NL" w:eastAsia="nl-NL" w:bidi="ar-SA"/>
              </w:rPr>
              <w:t>0,3909</w:t>
            </w:r>
          </w:p>
        </w:tc>
        <w:tc>
          <w:tcPr>
            <w:tcW w:w="1152" w:type="dxa"/>
            <w:tcBorders>
              <w:top w:val="nil"/>
              <w:left w:val="nil"/>
              <w:bottom w:val="single" w:sz="4" w:space="0" w:color="auto"/>
              <w:right w:val="single" w:sz="4" w:space="0" w:color="auto"/>
            </w:tcBorders>
            <w:shd w:val="clear" w:color="auto" w:fill="auto"/>
            <w:noWrap/>
            <w:vAlign w:val="bottom"/>
            <w:hideMark/>
          </w:tcPr>
          <w:p w:rsidR="00314A1E" w:rsidRPr="004817D3" w:rsidRDefault="00314A1E" w:rsidP="009C16D2">
            <w:pPr>
              <w:spacing w:after="0" w:line="240" w:lineRule="auto"/>
              <w:jc w:val="right"/>
              <w:rPr>
                <w:rFonts w:ascii="Arial" w:eastAsia="Times New Roman" w:hAnsi="Arial" w:cs="Arial"/>
                <w:sz w:val="20"/>
                <w:szCs w:val="20"/>
                <w:lang w:val="nl-NL" w:eastAsia="nl-NL" w:bidi="ar-SA"/>
              </w:rPr>
            </w:pPr>
            <w:r w:rsidRPr="004817D3">
              <w:rPr>
                <w:rFonts w:ascii="Arial" w:eastAsia="Times New Roman" w:hAnsi="Arial" w:cs="Arial"/>
                <w:sz w:val="20"/>
                <w:szCs w:val="20"/>
                <w:lang w:val="nl-NL" w:eastAsia="nl-NL" w:bidi="ar-SA"/>
              </w:rPr>
              <w:t>-56,356</w:t>
            </w:r>
          </w:p>
        </w:tc>
        <w:tc>
          <w:tcPr>
            <w:tcW w:w="988" w:type="dxa"/>
            <w:tcBorders>
              <w:top w:val="nil"/>
              <w:left w:val="nil"/>
              <w:bottom w:val="single" w:sz="4" w:space="0" w:color="auto"/>
              <w:right w:val="single" w:sz="4" w:space="0" w:color="auto"/>
            </w:tcBorders>
            <w:shd w:val="clear" w:color="auto" w:fill="auto"/>
            <w:noWrap/>
            <w:vAlign w:val="bottom"/>
            <w:hideMark/>
          </w:tcPr>
          <w:p w:rsidR="00314A1E" w:rsidRPr="004817D3" w:rsidRDefault="00314A1E" w:rsidP="009C16D2">
            <w:pPr>
              <w:spacing w:after="0" w:line="240" w:lineRule="auto"/>
              <w:jc w:val="right"/>
              <w:rPr>
                <w:rFonts w:ascii="Arial" w:eastAsia="Times New Roman" w:hAnsi="Arial" w:cs="Arial"/>
                <w:sz w:val="20"/>
                <w:szCs w:val="20"/>
                <w:lang w:val="nl-NL" w:eastAsia="nl-NL" w:bidi="ar-SA"/>
              </w:rPr>
            </w:pPr>
            <w:r w:rsidRPr="004817D3">
              <w:rPr>
                <w:rFonts w:ascii="Arial" w:eastAsia="Times New Roman" w:hAnsi="Arial" w:cs="Arial"/>
                <w:sz w:val="20"/>
                <w:szCs w:val="20"/>
                <w:lang w:val="nl-NL" w:eastAsia="nl-NL" w:bidi="ar-SA"/>
              </w:rPr>
              <w:t>0,0001</w:t>
            </w:r>
          </w:p>
        </w:tc>
      </w:tr>
      <w:tr w:rsidR="00314A1E" w:rsidRPr="004817D3" w:rsidTr="009C16D2">
        <w:trPr>
          <w:trHeight w:val="257"/>
        </w:trPr>
        <w:tc>
          <w:tcPr>
            <w:tcW w:w="1026" w:type="dxa"/>
            <w:tcBorders>
              <w:top w:val="nil"/>
              <w:left w:val="single" w:sz="4" w:space="0" w:color="auto"/>
              <w:bottom w:val="single" w:sz="4" w:space="0" w:color="auto"/>
              <w:right w:val="single" w:sz="4" w:space="0" w:color="auto"/>
            </w:tcBorders>
            <w:shd w:val="clear" w:color="auto" w:fill="auto"/>
            <w:noWrap/>
            <w:vAlign w:val="bottom"/>
            <w:hideMark/>
          </w:tcPr>
          <w:p w:rsidR="00314A1E" w:rsidRPr="004817D3" w:rsidRDefault="00314A1E" w:rsidP="009C16D2">
            <w:pPr>
              <w:spacing w:after="0" w:line="240" w:lineRule="auto"/>
              <w:rPr>
                <w:rFonts w:ascii="Arial" w:eastAsia="Times New Roman" w:hAnsi="Arial" w:cs="Arial"/>
                <w:sz w:val="20"/>
                <w:szCs w:val="20"/>
                <w:lang w:val="nl-NL" w:eastAsia="nl-NL" w:bidi="ar-SA"/>
              </w:rPr>
            </w:pPr>
            <w:r w:rsidRPr="004817D3">
              <w:rPr>
                <w:rFonts w:ascii="Arial" w:eastAsia="Times New Roman" w:hAnsi="Arial" w:cs="Arial"/>
                <w:sz w:val="20"/>
                <w:szCs w:val="20"/>
                <w:lang w:val="nl-NL" w:eastAsia="nl-NL" w:bidi="ar-SA"/>
              </w:rPr>
              <w:t>USOIG</w:t>
            </w:r>
          </w:p>
        </w:tc>
        <w:tc>
          <w:tcPr>
            <w:tcW w:w="988" w:type="dxa"/>
            <w:tcBorders>
              <w:top w:val="nil"/>
              <w:left w:val="nil"/>
              <w:bottom w:val="single" w:sz="4" w:space="0" w:color="auto"/>
              <w:right w:val="single" w:sz="4" w:space="0" w:color="auto"/>
            </w:tcBorders>
            <w:shd w:val="clear" w:color="auto" w:fill="auto"/>
            <w:noWrap/>
            <w:vAlign w:val="bottom"/>
            <w:hideMark/>
          </w:tcPr>
          <w:p w:rsidR="00314A1E" w:rsidRPr="004817D3" w:rsidRDefault="00314A1E" w:rsidP="009C16D2">
            <w:pPr>
              <w:spacing w:after="0" w:line="240" w:lineRule="auto"/>
              <w:jc w:val="right"/>
              <w:rPr>
                <w:rFonts w:ascii="Arial" w:eastAsia="Times New Roman" w:hAnsi="Arial" w:cs="Arial"/>
                <w:sz w:val="20"/>
                <w:szCs w:val="20"/>
                <w:lang w:val="nl-NL" w:eastAsia="nl-NL" w:bidi="ar-SA"/>
              </w:rPr>
            </w:pPr>
            <w:r w:rsidRPr="004817D3">
              <w:rPr>
                <w:rFonts w:ascii="Arial" w:eastAsia="Times New Roman" w:hAnsi="Arial" w:cs="Arial"/>
                <w:sz w:val="20"/>
                <w:szCs w:val="20"/>
                <w:lang w:val="nl-NL" w:eastAsia="nl-NL" w:bidi="ar-SA"/>
              </w:rPr>
              <w:t>-1,034</w:t>
            </w:r>
          </w:p>
        </w:tc>
        <w:tc>
          <w:tcPr>
            <w:tcW w:w="988" w:type="dxa"/>
            <w:tcBorders>
              <w:top w:val="nil"/>
              <w:left w:val="nil"/>
              <w:bottom w:val="single" w:sz="4" w:space="0" w:color="auto"/>
              <w:right w:val="single" w:sz="4" w:space="0" w:color="auto"/>
            </w:tcBorders>
            <w:shd w:val="clear" w:color="auto" w:fill="auto"/>
            <w:noWrap/>
            <w:vAlign w:val="bottom"/>
            <w:hideMark/>
          </w:tcPr>
          <w:p w:rsidR="00314A1E" w:rsidRPr="004817D3" w:rsidRDefault="00314A1E" w:rsidP="009C16D2">
            <w:pPr>
              <w:spacing w:after="0" w:line="240" w:lineRule="auto"/>
              <w:jc w:val="right"/>
              <w:rPr>
                <w:rFonts w:ascii="Arial" w:eastAsia="Times New Roman" w:hAnsi="Arial" w:cs="Arial"/>
                <w:sz w:val="20"/>
                <w:szCs w:val="20"/>
                <w:lang w:val="nl-NL" w:eastAsia="nl-NL" w:bidi="ar-SA"/>
              </w:rPr>
            </w:pPr>
            <w:r w:rsidRPr="004817D3">
              <w:rPr>
                <w:rFonts w:ascii="Arial" w:eastAsia="Times New Roman" w:hAnsi="Arial" w:cs="Arial"/>
                <w:sz w:val="20"/>
                <w:szCs w:val="20"/>
                <w:lang w:val="nl-NL" w:eastAsia="nl-NL" w:bidi="ar-SA"/>
              </w:rPr>
              <w:t>0,7431</w:t>
            </w:r>
          </w:p>
        </w:tc>
        <w:tc>
          <w:tcPr>
            <w:tcW w:w="1152" w:type="dxa"/>
            <w:tcBorders>
              <w:top w:val="nil"/>
              <w:left w:val="nil"/>
              <w:bottom w:val="single" w:sz="4" w:space="0" w:color="auto"/>
              <w:right w:val="single" w:sz="4" w:space="0" w:color="auto"/>
            </w:tcBorders>
            <w:shd w:val="clear" w:color="auto" w:fill="auto"/>
            <w:noWrap/>
            <w:vAlign w:val="bottom"/>
            <w:hideMark/>
          </w:tcPr>
          <w:p w:rsidR="00314A1E" w:rsidRPr="004817D3" w:rsidRDefault="00314A1E" w:rsidP="009C16D2">
            <w:pPr>
              <w:spacing w:after="0" w:line="240" w:lineRule="auto"/>
              <w:jc w:val="right"/>
              <w:rPr>
                <w:rFonts w:ascii="Arial" w:eastAsia="Times New Roman" w:hAnsi="Arial" w:cs="Arial"/>
                <w:sz w:val="20"/>
                <w:szCs w:val="20"/>
                <w:lang w:val="nl-NL" w:eastAsia="nl-NL" w:bidi="ar-SA"/>
              </w:rPr>
            </w:pPr>
            <w:r w:rsidRPr="004817D3">
              <w:rPr>
                <w:rFonts w:ascii="Arial" w:eastAsia="Times New Roman" w:hAnsi="Arial" w:cs="Arial"/>
                <w:sz w:val="20"/>
                <w:szCs w:val="20"/>
                <w:lang w:val="nl-NL" w:eastAsia="nl-NL" w:bidi="ar-SA"/>
              </w:rPr>
              <w:t>-45,729</w:t>
            </w:r>
          </w:p>
        </w:tc>
        <w:tc>
          <w:tcPr>
            <w:tcW w:w="988" w:type="dxa"/>
            <w:tcBorders>
              <w:top w:val="nil"/>
              <w:left w:val="nil"/>
              <w:bottom w:val="single" w:sz="4" w:space="0" w:color="auto"/>
              <w:right w:val="single" w:sz="4" w:space="0" w:color="auto"/>
            </w:tcBorders>
            <w:shd w:val="clear" w:color="auto" w:fill="auto"/>
            <w:noWrap/>
            <w:vAlign w:val="bottom"/>
            <w:hideMark/>
          </w:tcPr>
          <w:p w:rsidR="00314A1E" w:rsidRPr="004817D3" w:rsidRDefault="00314A1E" w:rsidP="009C16D2">
            <w:pPr>
              <w:spacing w:after="0" w:line="240" w:lineRule="auto"/>
              <w:jc w:val="right"/>
              <w:rPr>
                <w:rFonts w:ascii="Arial" w:eastAsia="Times New Roman" w:hAnsi="Arial" w:cs="Arial"/>
                <w:sz w:val="20"/>
                <w:szCs w:val="20"/>
                <w:lang w:val="nl-NL" w:eastAsia="nl-NL" w:bidi="ar-SA"/>
              </w:rPr>
            </w:pPr>
            <w:r w:rsidRPr="004817D3">
              <w:rPr>
                <w:rFonts w:ascii="Arial" w:eastAsia="Times New Roman" w:hAnsi="Arial" w:cs="Arial"/>
                <w:sz w:val="20"/>
                <w:szCs w:val="20"/>
                <w:lang w:val="nl-NL" w:eastAsia="nl-NL" w:bidi="ar-SA"/>
              </w:rPr>
              <w:t>0,0001</w:t>
            </w:r>
          </w:p>
        </w:tc>
      </w:tr>
      <w:tr w:rsidR="00314A1E" w:rsidRPr="004817D3" w:rsidTr="009C16D2">
        <w:trPr>
          <w:trHeight w:val="257"/>
        </w:trPr>
        <w:tc>
          <w:tcPr>
            <w:tcW w:w="1026" w:type="dxa"/>
            <w:tcBorders>
              <w:top w:val="nil"/>
              <w:left w:val="single" w:sz="4" w:space="0" w:color="auto"/>
              <w:bottom w:val="single" w:sz="4" w:space="0" w:color="auto"/>
              <w:right w:val="single" w:sz="4" w:space="0" w:color="auto"/>
            </w:tcBorders>
            <w:shd w:val="clear" w:color="auto" w:fill="auto"/>
            <w:noWrap/>
            <w:vAlign w:val="bottom"/>
            <w:hideMark/>
          </w:tcPr>
          <w:p w:rsidR="00314A1E" w:rsidRPr="004817D3" w:rsidRDefault="00314A1E" w:rsidP="009C16D2">
            <w:pPr>
              <w:spacing w:after="0" w:line="240" w:lineRule="auto"/>
              <w:rPr>
                <w:rFonts w:ascii="Arial" w:eastAsia="Times New Roman" w:hAnsi="Arial" w:cs="Arial"/>
                <w:sz w:val="20"/>
                <w:szCs w:val="20"/>
                <w:lang w:val="nl-NL" w:eastAsia="nl-NL" w:bidi="ar-SA"/>
              </w:rPr>
            </w:pPr>
            <w:r w:rsidRPr="004817D3">
              <w:rPr>
                <w:rFonts w:ascii="Arial" w:eastAsia="Times New Roman" w:hAnsi="Arial" w:cs="Arial"/>
                <w:sz w:val="20"/>
                <w:szCs w:val="20"/>
                <w:lang w:val="nl-NL" w:eastAsia="nl-NL" w:bidi="ar-SA"/>
              </w:rPr>
              <w:t>USIND</w:t>
            </w:r>
          </w:p>
        </w:tc>
        <w:tc>
          <w:tcPr>
            <w:tcW w:w="988" w:type="dxa"/>
            <w:tcBorders>
              <w:top w:val="nil"/>
              <w:left w:val="nil"/>
              <w:bottom w:val="single" w:sz="4" w:space="0" w:color="auto"/>
              <w:right w:val="single" w:sz="4" w:space="0" w:color="auto"/>
            </w:tcBorders>
            <w:shd w:val="clear" w:color="auto" w:fill="auto"/>
            <w:noWrap/>
            <w:vAlign w:val="bottom"/>
            <w:hideMark/>
          </w:tcPr>
          <w:p w:rsidR="00314A1E" w:rsidRPr="004817D3" w:rsidRDefault="00314A1E" w:rsidP="009C16D2">
            <w:pPr>
              <w:spacing w:after="0" w:line="240" w:lineRule="auto"/>
              <w:jc w:val="right"/>
              <w:rPr>
                <w:rFonts w:ascii="Arial" w:eastAsia="Times New Roman" w:hAnsi="Arial" w:cs="Arial"/>
                <w:sz w:val="20"/>
                <w:szCs w:val="20"/>
                <w:lang w:val="nl-NL" w:eastAsia="nl-NL" w:bidi="ar-SA"/>
              </w:rPr>
            </w:pPr>
            <w:r w:rsidRPr="004817D3">
              <w:rPr>
                <w:rFonts w:ascii="Arial" w:eastAsia="Times New Roman" w:hAnsi="Arial" w:cs="Arial"/>
                <w:sz w:val="20"/>
                <w:szCs w:val="20"/>
                <w:lang w:val="nl-NL" w:eastAsia="nl-NL" w:bidi="ar-SA"/>
              </w:rPr>
              <w:t>-1,9889</w:t>
            </w:r>
          </w:p>
        </w:tc>
        <w:tc>
          <w:tcPr>
            <w:tcW w:w="988" w:type="dxa"/>
            <w:tcBorders>
              <w:top w:val="nil"/>
              <w:left w:val="nil"/>
              <w:bottom w:val="single" w:sz="4" w:space="0" w:color="auto"/>
              <w:right w:val="single" w:sz="4" w:space="0" w:color="auto"/>
            </w:tcBorders>
            <w:shd w:val="clear" w:color="auto" w:fill="auto"/>
            <w:noWrap/>
            <w:vAlign w:val="bottom"/>
            <w:hideMark/>
          </w:tcPr>
          <w:p w:rsidR="00314A1E" w:rsidRPr="004817D3" w:rsidRDefault="00314A1E" w:rsidP="009C16D2">
            <w:pPr>
              <w:spacing w:after="0" w:line="240" w:lineRule="auto"/>
              <w:jc w:val="right"/>
              <w:rPr>
                <w:rFonts w:ascii="Arial" w:eastAsia="Times New Roman" w:hAnsi="Arial" w:cs="Arial"/>
                <w:sz w:val="20"/>
                <w:szCs w:val="20"/>
                <w:lang w:val="nl-NL" w:eastAsia="nl-NL" w:bidi="ar-SA"/>
              </w:rPr>
            </w:pPr>
            <w:r w:rsidRPr="004817D3">
              <w:rPr>
                <w:rFonts w:ascii="Arial" w:eastAsia="Times New Roman" w:hAnsi="Arial" w:cs="Arial"/>
                <w:sz w:val="20"/>
                <w:szCs w:val="20"/>
                <w:lang w:val="nl-NL" w:eastAsia="nl-NL" w:bidi="ar-SA"/>
              </w:rPr>
              <w:t>0,2919</w:t>
            </w:r>
          </w:p>
        </w:tc>
        <w:tc>
          <w:tcPr>
            <w:tcW w:w="1152" w:type="dxa"/>
            <w:tcBorders>
              <w:top w:val="nil"/>
              <w:left w:val="nil"/>
              <w:bottom w:val="single" w:sz="4" w:space="0" w:color="auto"/>
              <w:right w:val="single" w:sz="4" w:space="0" w:color="auto"/>
            </w:tcBorders>
            <w:shd w:val="clear" w:color="auto" w:fill="auto"/>
            <w:noWrap/>
            <w:vAlign w:val="bottom"/>
            <w:hideMark/>
          </w:tcPr>
          <w:p w:rsidR="00314A1E" w:rsidRPr="004817D3" w:rsidRDefault="00314A1E" w:rsidP="009C16D2">
            <w:pPr>
              <w:spacing w:after="0" w:line="240" w:lineRule="auto"/>
              <w:jc w:val="right"/>
              <w:rPr>
                <w:rFonts w:ascii="Arial" w:eastAsia="Times New Roman" w:hAnsi="Arial" w:cs="Arial"/>
                <w:sz w:val="20"/>
                <w:szCs w:val="20"/>
                <w:lang w:val="nl-NL" w:eastAsia="nl-NL" w:bidi="ar-SA"/>
              </w:rPr>
            </w:pPr>
            <w:r w:rsidRPr="004817D3">
              <w:rPr>
                <w:rFonts w:ascii="Arial" w:eastAsia="Times New Roman" w:hAnsi="Arial" w:cs="Arial"/>
                <w:sz w:val="20"/>
                <w:szCs w:val="20"/>
                <w:lang w:val="nl-NL" w:eastAsia="nl-NL" w:bidi="ar-SA"/>
              </w:rPr>
              <w:t>-57,441</w:t>
            </w:r>
          </w:p>
        </w:tc>
        <w:tc>
          <w:tcPr>
            <w:tcW w:w="988" w:type="dxa"/>
            <w:tcBorders>
              <w:top w:val="nil"/>
              <w:left w:val="nil"/>
              <w:bottom w:val="single" w:sz="4" w:space="0" w:color="auto"/>
              <w:right w:val="single" w:sz="4" w:space="0" w:color="auto"/>
            </w:tcBorders>
            <w:shd w:val="clear" w:color="auto" w:fill="auto"/>
            <w:noWrap/>
            <w:vAlign w:val="bottom"/>
            <w:hideMark/>
          </w:tcPr>
          <w:p w:rsidR="00314A1E" w:rsidRPr="004817D3" w:rsidRDefault="00314A1E" w:rsidP="009C16D2">
            <w:pPr>
              <w:spacing w:after="0" w:line="240" w:lineRule="auto"/>
              <w:jc w:val="right"/>
              <w:rPr>
                <w:rFonts w:ascii="Arial" w:eastAsia="Times New Roman" w:hAnsi="Arial" w:cs="Arial"/>
                <w:sz w:val="20"/>
                <w:szCs w:val="20"/>
                <w:lang w:val="nl-NL" w:eastAsia="nl-NL" w:bidi="ar-SA"/>
              </w:rPr>
            </w:pPr>
            <w:r w:rsidRPr="004817D3">
              <w:rPr>
                <w:rFonts w:ascii="Arial" w:eastAsia="Times New Roman" w:hAnsi="Arial" w:cs="Arial"/>
                <w:sz w:val="20"/>
                <w:szCs w:val="20"/>
                <w:lang w:val="nl-NL" w:eastAsia="nl-NL" w:bidi="ar-SA"/>
              </w:rPr>
              <w:t>0,0001</w:t>
            </w:r>
          </w:p>
        </w:tc>
      </w:tr>
      <w:tr w:rsidR="00314A1E" w:rsidRPr="004817D3" w:rsidTr="009C16D2">
        <w:trPr>
          <w:trHeight w:val="257"/>
        </w:trPr>
        <w:tc>
          <w:tcPr>
            <w:tcW w:w="1026" w:type="dxa"/>
            <w:tcBorders>
              <w:top w:val="nil"/>
              <w:left w:val="single" w:sz="4" w:space="0" w:color="auto"/>
              <w:bottom w:val="single" w:sz="4" w:space="0" w:color="auto"/>
              <w:right w:val="single" w:sz="4" w:space="0" w:color="auto"/>
            </w:tcBorders>
            <w:shd w:val="clear" w:color="auto" w:fill="auto"/>
            <w:noWrap/>
            <w:vAlign w:val="bottom"/>
            <w:hideMark/>
          </w:tcPr>
          <w:p w:rsidR="00314A1E" w:rsidRPr="004817D3" w:rsidRDefault="00314A1E" w:rsidP="009C16D2">
            <w:pPr>
              <w:spacing w:after="0" w:line="240" w:lineRule="auto"/>
              <w:rPr>
                <w:rFonts w:ascii="Arial" w:eastAsia="Times New Roman" w:hAnsi="Arial" w:cs="Arial"/>
                <w:sz w:val="20"/>
                <w:szCs w:val="20"/>
                <w:lang w:val="nl-NL" w:eastAsia="nl-NL" w:bidi="ar-SA"/>
              </w:rPr>
            </w:pPr>
            <w:r w:rsidRPr="004817D3">
              <w:rPr>
                <w:rFonts w:ascii="Arial" w:eastAsia="Times New Roman" w:hAnsi="Arial" w:cs="Arial"/>
                <w:sz w:val="20"/>
                <w:szCs w:val="20"/>
                <w:lang w:val="nl-NL" w:eastAsia="nl-NL" w:bidi="ar-SA"/>
              </w:rPr>
              <w:t>USHC</w:t>
            </w:r>
          </w:p>
        </w:tc>
        <w:tc>
          <w:tcPr>
            <w:tcW w:w="988" w:type="dxa"/>
            <w:tcBorders>
              <w:top w:val="nil"/>
              <w:left w:val="nil"/>
              <w:bottom w:val="single" w:sz="4" w:space="0" w:color="auto"/>
              <w:right w:val="single" w:sz="4" w:space="0" w:color="auto"/>
            </w:tcBorders>
            <w:shd w:val="clear" w:color="auto" w:fill="auto"/>
            <w:noWrap/>
            <w:vAlign w:val="bottom"/>
            <w:hideMark/>
          </w:tcPr>
          <w:p w:rsidR="00314A1E" w:rsidRPr="004817D3" w:rsidRDefault="00314A1E" w:rsidP="009C16D2">
            <w:pPr>
              <w:spacing w:after="0" w:line="240" w:lineRule="auto"/>
              <w:jc w:val="right"/>
              <w:rPr>
                <w:rFonts w:ascii="Arial" w:eastAsia="Times New Roman" w:hAnsi="Arial" w:cs="Arial"/>
                <w:sz w:val="20"/>
                <w:szCs w:val="20"/>
                <w:lang w:val="nl-NL" w:eastAsia="nl-NL" w:bidi="ar-SA"/>
              </w:rPr>
            </w:pPr>
            <w:r w:rsidRPr="004817D3">
              <w:rPr>
                <w:rFonts w:ascii="Arial" w:eastAsia="Times New Roman" w:hAnsi="Arial" w:cs="Arial"/>
                <w:sz w:val="20"/>
                <w:szCs w:val="20"/>
                <w:lang w:val="nl-NL" w:eastAsia="nl-NL" w:bidi="ar-SA"/>
              </w:rPr>
              <w:t>-2,8507</w:t>
            </w:r>
          </w:p>
        </w:tc>
        <w:tc>
          <w:tcPr>
            <w:tcW w:w="988" w:type="dxa"/>
            <w:tcBorders>
              <w:top w:val="nil"/>
              <w:left w:val="nil"/>
              <w:bottom w:val="single" w:sz="4" w:space="0" w:color="auto"/>
              <w:right w:val="single" w:sz="4" w:space="0" w:color="auto"/>
            </w:tcBorders>
            <w:shd w:val="clear" w:color="auto" w:fill="auto"/>
            <w:noWrap/>
            <w:vAlign w:val="bottom"/>
            <w:hideMark/>
          </w:tcPr>
          <w:p w:rsidR="00314A1E" w:rsidRPr="004817D3" w:rsidRDefault="00314A1E" w:rsidP="009C16D2">
            <w:pPr>
              <w:spacing w:after="0" w:line="240" w:lineRule="auto"/>
              <w:jc w:val="right"/>
              <w:rPr>
                <w:rFonts w:ascii="Arial" w:eastAsia="Times New Roman" w:hAnsi="Arial" w:cs="Arial"/>
                <w:sz w:val="20"/>
                <w:szCs w:val="20"/>
                <w:lang w:val="nl-NL" w:eastAsia="nl-NL" w:bidi="ar-SA"/>
              </w:rPr>
            </w:pPr>
            <w:r w:rsidRPr="004817D3">
              <w:rPr>
                <w:rFonts w:ascii="Arial" w:eastAsia="Times New Roman" w:hAnsi="Arial" w:cs="Arial"/>
                <w:sz w:val="20"/>
                <w:szCs w:val="20"/>
                <w:lang w:val="nl-NL" w:eastAsia="nl-NL" w:bidi="ar-SA"/>
              </w:rPr>
              <w:t>0,0515</w:t>
            </w:r>
          </w:p>
        </w:tc>
        <w:tc>
          <w:tcPr>
            <w:tcW w:w="1152" w:type="dxa"/>
            <w:tcBorders>
              <w:top w:val="nil"/>
              <w:left w:val="nil"/>
              <w:bottom w:val="single" w:sz="4" w:space="0" w:color="auto"/>
              <w:right w:val="single" w:sz="4" w:space="0" w:color="auto"/>
            </w:tcBorders>
            <w:shd w:val="clear" w:color="auto" w:fill="auto"/>
            <w:noWrap/>
            <w:vAlign w:val="bottom"/>
            <w:hideMark/>
          </w:tcPr>
          <w:p w:rsidR="00314A1E" w:rsidRPr="004817D3" w:rsidRDefault="00314A1E" w:rsidP="009C16D2">
            <w:pPr>
              <w:spacing w:after="0" w:line="240" w:lineRule="auto"/>
              <w:jc w:val="right"/>
              <w:rPr>
                <w:rFonts w:ascii="Arial" w:eastAsia="Times New Roman" w:hAnsi="Arial" w:cs="Arial"/>
                <w:sz w:val="20"/>
                <w:szCs w:val="20"/>
                <w:lang w:val="nl-NL" w:eastAsia="nl-NL" w:bidi="ar-SA"/>
              </w:rPr>
            </w:pPr>
            <w:r w:rsidRPr="004817D3">
              <w:rPr>
                <w:rFonts w:ascii="Arial" w:eastAsia="Times New Roman" w:hAnsi="Arial" w:cs="Arial"/>
                <w:sz w:val="20"/>
                <w:szCs w:val="20"/>
                <w:lang w:val="nl-NL" w:eastAsia="nl-NL" w:bidi="ar-SA"/>
              </w:rPr>
              <w:t>-43,629</w:t>
            </w:r>
          </w:p>
        </w:tc>
        <w:tc>
          <w:tcPr>
            <w:tcW w:w="988" w:type="dxa"/>
            <w:tcBorders>
              <w:top w:val="nil"/>
              <w:left w:val="nil"/>
              <w:bottom w:val="single" w:sz="4" w:space="0" w:color="auto"/>
              <w:right w:val="single" w:sz="4" w:space="0" w:color="auto"/>
            </w:tcBorders>
            <w:shd w:val="clear" w:color="auto" w:fill="auto"/>
            <w:noWrap/>
            <w:vAlign w:val="bottom"/>
            <w:hideMark/>
          </w:tcPr>
          <w:p w:rsidR="00314A1E" w:rsidRPr="004817D3" w:rsidRDefault="00314A1E" w:rsidP="009C16D2">
            <w:pPr>
              <w:spacing w:after="0" w:line="240" w:lineRule="auto"/>
              <w:jc w:val="right"/>
              <w:rPr>
                <w:rFonts w:ascii="Arial" w:eastAsia="Times New Roman" w:hAnsi="Arial" w:cs="Arial"/>
                <w:sz w:val="20"/>
                <w:szCs w:val="20"/>
                <w:lang w:val="nl-NL" w:eastAsia="nl-NL" w:bidi="ar-SA"/>
              </w:rPr>
            </w:pPr>
            <w:r w:rsidRPr="004817D3">
              <w:rPr>
                <w:rFonts w:ascii="Arial" w:eastAsia="Times New Roman" w:hAnsi="Arial" w:cs="Arial"/>
                <w:sz w:val="20"/>
                <w:szCs w:val="20"/>
                <w:lang w:val="nl-NL" w:eastAsia="nl-NL" w:bidi="ar-SA"/>
              </w:rPr>
              <w:t>0</w:t>
            </w:r>
          </w:p>
        </w:tc>
      </w:tr>
      <w:tr w:rsidR="00314A1E" w:rsidRPr="004817D3" w:rsidTr="009C16D2">
        <w:trPr>
          <w:trHeight w:val="257"/>
        </w:trPr>
        <w:tc>
          <w:tcPr>
            <w:tcW w:w="1026" w:type="dxa"/>
            <w:tcBorders>
              <w:top w:val="nil"/>
              <w:left w:val="single" w:sz="4" w:space="0" w:color="auto"/>
              <w:bottom w:val="single" w:sz="4" w:space="0" w:color="auto"/>
              <w:right w:val="single" w:sz="4" w:space="0" w:color="auto"/>
            </w:tcBorders>
            <w:shd w:val="clear" w:color="auto" w:fill="auto"/>
            <w:noWrap/>
            <w:vAlign w:val="bottom"/>
            <w:hideMark/>
          </w:tcPr>
          <w:p w:rsidR="00314A1E" w:rsidRPr="004817D3" w:rsidRDefault="00314A1E" w:rsidP="009C16D2">
            <w:pPr>
              <w:spacing w:after="0" w:line="240" w:lineRule="auto"/>
              <w:rPr>
                <w:rFonts w:ascii="Arial" w:eastAsia="Times New Roman" w:hAnsi="Arial" w:cs="Arial"/>
                <w:sz w:val="20"/>
                <w:szCs w:val="20"/>
                <w:lang w:val="nl-NL" w:eastAsia="nl-NL" w:bidi="ar-SA"/>
              </w:rPr>
            </w:pPr>
            <w:r w:rsidRPr="004817D3">
              <w:rPr>
                <w:rFonts w:ascii="Arial" w:eastAsia="Times New Roman" w:hAnsi="Arial" w:cs="Arial"/>
                <w:sz w:val="20"/>
                <w:szCs w:val="20"/>
                <w:lang w:val="nl-NL" w:eastAsia="nl-NL" w:bidi="ar-SA"/>
              </w:rPr>
              <w:t>USFSVS</w:t>
            </w:r>
          </w:p>
        </w:tc>
        <w:tc>
          <w:tcPr>
            <w:tcW w:w="988" w:type="dxa"/>
            <w:tcBorders>
              <w:top w:val="nil"/>
              <w:left w:val="nil"/>
              <w:bottom w:val="single" w:sz="4" w:space="0" w:color="auto"/>
              <w:right w:val="single" w:sz="4" w:space="0" w:color="auto"/>
            </w:tcBorders>
            <w:shd w:val="clear" w:color="auto" w:fill="auto"/>
            <w:noWrap/>
            <w:vAlign w:val="bottom"/>
            <w:hideMark/>
          </w:tcPr>
          <w:p w:rsidR="00314A1E" w:rsidRPr="004817D3" w:rsidRDefault="00314A1E" w:rsidP="009C16D2">
            <w:pPr>
              <w:spacing w:after="0" w:line="240" w:lineRule="auto"/>
              <w:jc w:val="right"/>
              <w:rPr>
                <w:rFonts w:ascii="Arial" w:eastAsia="Times New Roman" w:hAnsi="Arial" w:cs="Arial"/>
                <w:sz w:val="20"/>
                <w:szCs w:val="20"/>
                <w:lang w:val="nl-NL" w:eastAsia="nl-NL" w:bidi="ar-SA"/>
              </w:rPr>
            </w:pPr>
            <w:r w:rsidRPr="004817D3">
              <w:rPr>
                <w:rFonts w:ascii="Arial" w:eastAsia="Times New Roman" w:hAnsi="Arial" w:cs="Arial"/>
                <w:sz w:val="20"/>
                <w:szCs w:val="20"/>
                <w:lang w:val="nl-NL" w:eastAsia="nl-NL" w:bidi="ar-SA"/>
              </w:rPr>
              <w:t>-1,75</w:t>
            </w:r>
          </w:p>
        </w:tc>
        <w:tc>
          <w:tcPr>
            <w:tcW w:w="988" w:type="dxa"/>
            <w:tcBorders>
              <w:top w:val="nil"/>
              <w:left w:val="nil"/>
              <w:bottom w:val="single" w:sz="4" w:space="0" w:color="auto"/>
              <w:right w:val="single" w:sz="4" w:space="0" w:color="auto"/>
            </w:tcBorders>
            <w:shd w:val="clear" w:color="auto" w:fill="auto"/>
            <w:noWrap/>
            <w:vAlign w:val="bottom"/>
            <w:hideMark/>
          </w:tcPr>
          <w:p w:rsidR="00314A1E" w:rsidRPr="004817D3" w:rsidRDefault="00314A1E" w:rsidP="009C16D2">
            <w:pPr>
              <w:spacing w:after="0" w:line="240" w:lineRule="auto"/>
              <w:jc w:val="right"/>
              <w:rPr>
                <w:rFonts w:ascii="Arial" w:eastAsia="Times New Roman" w:hAnsi="Arial" w:cs="Arial"/>
                <w:sz w:val="20"/>
                <w:szCs w:val="20"/>
                <w:lang w:val="nl-NL" w:eastAsia="nl-NL" w:bidi="ar-SA"/>
              </w:rPr>
            </w:pPr>
            <w:r w:rsidRPr="004817D3">
              <w:rPr>
                <w:rFonts w:ascii="Arial" w:eastAsia="Times New Roman" w:hAnsi="Arial" w:cs="Arial"/>
                <w:sz w:val="20"/>
                <w:szCs w:val="20"/>
                <w:lang w:val="nl-NL" w:eastAsia="nl-NL" w:bidi="ar-SA"/>
              </w:rPr>
              <w:t>0,4058</w:t>
            </w:r>
          </w:p>
        </w:tc>
        <w:tc>
          <w:tcPr>
            <w:tcW w:w="1152" w:type="dxa"/>
            <w:tcBorders>
              <w:top w:val="nil"/>
              <w:left w:val="nil"/>
              <w:bottom w:val="single" w:sz="4" w:space="0" w:color="auto"/>
              <w:right w:val="single" w:sz="4" w:space="0" w:color="auto"/>
            </w:tcBorders>
            <w:shd w:val="clear" w:color="auto" w:fill="auto"/>
            <w:noWrap/>
            <w:vAlign w:val="bottom"/>
            <w:hideMark/>
          </w:tcPr>
          <w:p w:rsidR="00314A1E" w:rsidRPr="004817D3" w:rsidRDefault="00314A1E" w:rsidP="009C16D2">
            <w:pPr>
              <w:spacing w:after="0" w:line="240" w:lineRule="auto"/>
              <w:jc w:val="right"/>
              <w:rPr>
                <w:rFonts w:ascii="Arial" w:eastAsia="Times New Roman" w:hAnsi="Arial" w:cs="Arial"/>
                <w:sz w:val="20"/>
                <w:szCs w:val="20"/>
                <w:lang w:val="nl-NL" w:eastAsia="nl-NL" w:bidi="ar-SA"/>
              </w:rPr>
            </w:pPr>
            <w:r w:rsidRPr="004817D3">
              <w:rPr>
                <w:rFonts w:ascii="Arial" w:eastAsia="Times New Roman" w:hAnsi="Arial" w:cs="Arial"/>
                <w:sz w:val="20"/>
                <w:szCs w:val="20"/>
                <w:lang w:val="nl-NL" w:eastAsia="nl-NL" w:bidi="ar-SA"/>
              </w:rPr>
              <w:t>-60,268</w:t>
            </w:r>
          </w:p>
        </w:tc>
        <w:tc>
          <w:tcPr>
            <w:tcW w:w="988" w:type="dxa"/>
            <w:tcBorders>
              <w:top w:val="nil"/>
              <w:left w:val="nil"/>
              <w:bottom w:val="single" w:sz="4" w:space="0" w:color="auto"/>
              <w:right w:val="single" w:sz="4" w:space="0" w:color="auto"/>
            </w:tcBorders>
            <w:shd w:val="clear" w:color="auto" w:fill="auto"/>
            <w:noWrap/>
            <w:vAlign w:val="bottom"/>
            <w:hideMark/>
          </w:tcPr>
          <w:p w:rsidR="00314A1E" w:rsidRPr="004817D3" w:rsidRDefault="00314A1E" w:rsidP="009C16D2">
            <w:pPr>
              <w:spacing w:after="0" w:line="240" w:lineRule="auto"/>
              <w:jc w:val="right"/>
              <w:rPr>
                <w:rFonts w:ascii="Arial" w:eastAsia="Times New Roman" w:hAnsi="Arial" w:cs="Arial"/>
                <w:sz w:val="20"/>
                <w:szCs w:val="20"/>
                <w:lang w:val="nl-NL" w:eastAsia="nl-NL" w:bidi="ar-SA"/>
              </w:rPr>
            </w:pPr>
            <w:r w:rsidRPr="004817D3">
              <w:rPr>
                <w:rFonts w:ascii="Arial" w:eastAsia="Times New Roman" w:hAnsi="Arial" w:cs="Arial"/>
                <w:sz w:val="20"/>
                <w:szCs w:val="20"/>
                <w:lang w:val="nl-NL" w:eastAsia="nl-NL" w:bidi="ar-SA"/>
              </w:rPr>
              <w:t>0,0001</w:t>
            </w:r>
          </w:p>
        </w:tc>
      </w:tr>
      <w:tr w:rsidR="00314A1E" w:rsidRPr="004817D3" w:rsidTr="009C16D2">
        <w:trPr>
          <w:trHeight w:val="257"/>
        </w:trPr>
        <w:tc>
          <w:tcPr>
            <w:tcW w:w="1026" w:type="dxa"/>
            <w:tcBorders>
              <w:top w:val="nil"/>
              <w:left w:val="single" w:sz="4" w:space="0" w:color="auto"/>
              <w:bottom w:val="single" w:sz="4" w:space="0" w:color="auto"/>
              <w:right w:val="single" w:sz="4" w:space="0" w:color="auto"/>
            </w:tcBorders>
            <w:shd w:val="clear" w:color="auto" w:fill="auto"/>
            <w:noWrap/>
            <w:vAlign w:val="bottom"/>
            <w:hideMark/>
          </w:tcPr>
          <w:p w:rsidR="00314A1E" w:rsidRPr="004817D3" w:rsidRDefault="00314A1E" w:rsidP="009C16D2">
            <w:pPr>
              <w:spacing w:after="0" w:line="240" w:lineRule="auto"/>
              <w:rPr>
                <w:rFonts w:ascii="Arial" w:eastAsia="Times New Roman" w:hAnsi="Arial" w:cs="Arial"/>
                <w:sz w:val="20"/>
                <w:szCs w:val="20"/>
                <w:lang w:val="nl-NL" w:eastAsia="nl-NL" w:bidi="ar-SA"/>
              </w:rPr>
            </w:pPr>
            <w:r w:rsidRPr="004817D3">
              <w:rPr>
                <w:rFonts w:ascii="Arial" w:eastAsia="Times New Roman" w:hAnsi="Arial" w:cs="Arial"/>
                <w:sz w:val="20"/>
                <w:szCs w:val="20"/>
                <w:lang w:val="nl-NL" w:eastAsia="nl-NL" w:bidi="ar-SA"/>
              </w:rPr>
              <w:t>USCS</w:t>
            </w:r>
          </w:p>
        </w:tc>
        <w:tc>
          <w:tcPr>
            <w:tcW w:w="988" w:type="dxa"/>
            <w:tcBorders>
              <w:top w:val="nil"/>
              <w:left w:val="nil"/>
              <w:bottom w:val="single" w:sz="4" w:space="0" w:color="auto"/>
              <w:right w:val="single" w:sz="4" w:space="0" w:color="auto"/>
            </w:tcBorders>
            <w:shd w:val="clear" w:color="auto" w:fill="auto"/>
            <w:noWrap/>
            <w:vAlign w:val="bottom"/>
            <w:hideMark/>
          </w:tcPr>
          <w:p w:rsidR="00314A1E" w:rsidRPr="004817D3" w:rsidRDefault="00314A1E" w:rsidP="009C16D2">
            <w:pPr>
              <w:spacing w:after="0" w:line="240" w:lineRule="auto"/>
              <w:jc w:val="right"/>
              <w:rPr>
                <w:rFonts w:ascii="Arial" w:eastAsia="Times New Roman" w:hAnsi="Arial" w:cs="Arial"/>
                <w:sz w:val="20"/>
                <w:szCs w:val="20"/>
                <w:lang w:val="nl-NL" w:eastAsia="nl-NL" w:bidi="ar-SA"/>
              </w:rPr>
            </w:pPr>
            <w:r w:rsidRPr="004817D3">
              <w:rPr>
                <w:rFonts w:ascii="Arial" w:eastAsia="Times New Roman" w:hAnsi="Arial" w:cs="Arial"/>
                <w:sz w:val="20"/>
                <w:szCs w:val="20"/>
                <w:lang w:val="nl-NL" w:eastAsia="nl-NL" w:bidi="ar-SA"/>
              </w:rPr>
              <w:t>-2,4159</w:t>
            </w:r>
          </w:p>
        </w:tc>
        <w:tc>
          <w:tcPr>
            <w:tcW w:w="988" w:type="dxa"/>
            <w:tcBorders>
              <w:top w:val="nil"/>
              <w:left w:val="nil"/>
              <w:bottom w:val="single" w:sz="4" w:space="0" w:color="auto"/>
              <w:right w:val="single" w:sz="4" w:space="0" w:color="auto"/>
            </w:tcBorders>
            <w:shd w:val="clear" w:color="auto" w:fill="auto"/>
            <w:noWrap/>
            <w:vAlign w:val="bottom"/>
            <w:hideMark/>
          </w:tcPr>
          <w:p w:rsidR="00314A1E" w:rsidRPr="004817D3" w:rsidRDefault="00314A1E" w:rsidP="009C16D2">
            <w:pPr>
              <w:spacing w:after="0" w:line="240" w:lineRule="auto"/>
              <w:jc w:val="right"/>
              <w:rPr>
                <w:rFonts w:ascii="Arial" w:eastAsia="Times New Roman" w:hAnsi="Arial" w:cs="Arial"/>
                <w:sz w:val="20"/>
                <w:szCs w:val="20"/>
                <w:lang w:val="nl-NL" w:eastAsia="nl-NL" w:bidi="ar-SA"/>
              </w:rPr>
            </w:pPr>
            <w:r w:rsidRPr="004817D3">
              <w:rPr>
                <w:rFonts w:ascii="Arial" w:eastAsia="Times New Roman" w:hAnsi="Arial" w:cs="Arial"/>
                <w:sz w:val="20"/>
                <w:szCs w:val="20"/>
                <w:lang w:val="nl-NL" w:eastAsia="nl-NL" w:bidi="ar-SA"/>
              </w:rPr>
              <w:t>0,1374</w:t>
            </w:r>
          </w:p>
        </w:tc>
        <w:tc>
          <w:tcPr>
            <w:tcW w:w="1152" w:type="dxa"/>
            <w:tcBorders>
              <w:top w:val="nil"/>
              <w:left w:val="nil"/>
              <w:bottom w:val="single" w:sz="4" w:space="0" w:color="auto"/>
              <w:right w:val="single" w:sz="4" w:space="0" w:color="auto"/>
            </w:tcBorders>
            <w:shd w:val="clear" w:color="auto" w:fill="auto"/>
            <w:noWrap/>
            <w:vAlign w:val="bottom"/>
            <w:hideMark/>
          </w:tcPr>
          <w:p w:rsidR="00314A1E" w:rsidRPr="004817D3" w:rsidRDefault="00314A1E" w:rsidP="009C16D2">
            <w:pPr>
              <w:spacing w:after="0" w:line="240" w:lineRule="auto"/>
              <w:jc w:val="right"/>
              <w:rPr>
                <w:rFonts w:ascii="Arial" w:eastAsia="Times New Roman" w:hAnsi="Arial" w:cs="Arial"/>
                <w:sz w:val="20"/>
                <w:szCs w:val="20"/>
                <w:lang w:val="nl-NL" w:eastAsia="nl-NL" w:bidi="ar-SA"/>
              </w:rPr>
            </w:pPr>
            <w:r w:rsidRPr="004817D3">
              <w:rPr>
                <w:rFonts w:ascii="Arial" w:eastAsia="Times New Roman" w:hAnsi="Arial" w:cs="Arial"/>
                <w:sz w:val="20"/>
                <w:szCs w:val="20"/>
                <w:lang w:val="nl-NL" w:eastAsia="nl-NL" w:bidi="ar-SA"/>
              </w:rPr>
              <w:t>-41,837</w:t>
            </w:r>
          </w:p>
        </w:tc>
        <w:tc>
          <w:tcPr>
            <w:tcW w:w="988" w:type="dxa"/>
            <w:tcBorders>
              <w:top w:val="nil"/>
              <w:left w:val="nil"/>
              <w:bottom w:val="single" w:sz="4" w:space="0" w:color="auto"/>
              <w:right w:val="single" w:sz="4" w:space="0" w:color="auto"/>
            </w:tcBorders>
            <w:shd w:val="clear" w:color="auto" w:fill="auto"/>
            <w:noWrap/>
            <w:vAlign w:val="bottom"/>
            <w:hideMark/>
          </w:tcPr>
          <w:p w:rsidR="00314A1E" w:rsidRPr="004817D3" w:rsidRDefault="00314A1E" w:rsidP="009C16D2">
            <w:pPr>
              <w:spacing w:after="0" w:line="240" w:lineRule="auto"/>
              <w:jc w:val="right"/>
              <w:rPr>
                <w:rFonts w:ascii="Arial" w:eastAsia="Times New Roman" w:hAnsi="Arial" w:cs="Arial"/>
                <w:sz w:val="20"/>
                <w:szCs w:val="20"/>
                <w:lang w:val="nl-NL" w:eastAsia="nl-NL" w:bidi="ar-SA"/>
              </w:rPr>
            </w:pPr>
            <w:r w:rsidRPr="004817D3">
              <w:rPr>
                <w:rFonts w:ascii="Arial" w:eastAsia="Times New Roman" w:hAnsi="Arial" w:cs="Arial"/>
                <w:sz w:val="20"/>
                <w:szCs w:val="20"/>
                <w:lang w:val="nl-NL" w:eastAsia="nl-NL" w:bidi="ar-SA"/>
              </w:rPr>
              <w:t>0</w:t>
            </w:r>
          </w:p>
        </w:tc>
      </w:tr>
      <w:tr w:rsidR="00314A1E" w:rsidRPr="004817D3" w:rsidTr="009C16D2">
        <w:trPr>
          <w:trHeight w:val="257"/>
        </w:trPr>
        <w:tc>
          <w:tcPr>
            <w:tcW w:w="1026" w:type="dxa"/>
            <w:tcBorders>
              <w:top w:val="nil"/>
              <w:left w:val="single" w:sz="4" w:space="0" w:color="auto"/>
              <w:bottom w:val="single" w:sz="4" w:space="0" w:color="auto"/>
              <w:right w:val="single" w:sz="4" w:space="0" w:color="auto"/>
            </w:tcBorders>
            <w:shd w:val="clear" w:color="auto" w:fill="auto"/>
            <w:noWrap/>
            <w:vAlign w:val="bottom"/>
            <w:hideMark/>
          </w:tcPr>
          <w:p w:rsidR="00314A1E" w:rsidRPr="004817D3" w:rsidRDefault="00314A1E" w:rsidP="009C16D2">
            <w:pPr>
              <w:spacing w:after="0" w:line="240" w:lineRule="auto"/>
              <w:rPr>
                <w:rFonts w:ascii="Arial" w:eastAsia="Times New Roman" w:hAnsi="Arial" w:cs="Arial"/>
                <w:sz w:val="20"/>
                <w:szCs w:val="20"/>
                <w:lang w:val="nl-NL" w:eastAsia="nl-NL" w:bidi="ar-SA"/>
              </w:rPr>
            </w:pPr>
            <w:r w:rsidRPr="004817D3">
              <w:rPr>
                <w:rFonts w:ascii="Arial" w:eastAsia="Times New Roman" w:hAnsi="Arial" w:cs="Arial"/>
                <w:sz w:val="20"/>
                <w:szCs w:val="20"/>
                <w:lang w:val="nl-NL" w:eastAsia="nl-NL" w:bidi="ar-SA"/>
              </w:rPr>
              <w:t>USCGDS</w:t>
            </w:r>
          </w:p>
        </w:tc>
        <w:tc>
          <w:tcPr>
            <w:tcW w:w="988" w:type="dxa"/>
            <w:tcBorders>
              <w:top w:val="nil"/>
              <w:left w:val="nil"/>
              <w:bottom w:val="single" w:sz="4" w:space="0" w:color="auto"/>
              <w:right w:val="single" w:sz="4" w:space="0" w:color="auto"/>
            </w:tcBorders>
            <w:shd w:val="clear" w:color="auto" w:fill="auto"/>
            <w:noWrap/>
            <w:vAlign w:val="bottom"/>
            <w:hideMark/>
          </w:tcPr>
          <w:p w:rsidR="00314A1E" w:rsidRPr="004817D3" w:rsidRDefault="00314A1E" w:rsidP="009C16D2">
            <w:pPr>
              <w:spacing w:after="0" w:line="240" w:lineRule="auto"/>
              <w:jc w:val="right"/>
              <w:rPr>
                <w:rFonts w:ascii="Arial" w:eastAsia="Times New Roman" w:hAnsi="Arial" w:cs="Arial"/>
                <w:sz w:val="20"/>
                <w:szCs w:val="20"/>
                <w:lang w:val="nl-NL" w:eastAsia="nl-NL" w:bidi="ar-SA"/>
              </w:rPr>
            </w:pPr>
            <w:r w:rsidRPr="004817D3">
              <w:rPr>
                <w:rFonts w:ascii="Arial" w:eastAsia="Times New Roman" w:hAnsi="Arial" w:cs="Arial"/>
                <w:sz w:val="20"/>
                <w:szCs w:val="20"/>
                <w:lang w:val="nl-NL" w:eastAsia="nl-NL" w:bidi="ar-SA"/>
              </w:rPr>
              <w:t>-0,9325</w:t>
            </w:r>
          </w:p>
        </w:tc>
        <w:tc>
          <w:tcPr>
            <w:tcW w:w="988" w:type="dxa"/>
            <w:tcBorders>
              <w:top w:val="nil"/>
              <w:left w:val="nil"/>
              <w:bottom w:val="single" w:sz="4" w:space="0" w:color="auto"/>
              <w:right w:val="single" w:sz="4" w:space="0" w:color="auto"/>
            </w:tcBorders>
            <w:shd w:val="clear" w:color="auto" w:fill="auto"/>
            <w:noWrap/>
            <w:vAlign w:val="bottom"/>
            <w:hideMark/>
          </w:tcPr>
          <w:p w:rsidR="00314A1E" w:rsidRPr="004817D3" w:rsidRDefault="00314A1E" w:rsidP="009C16D2">
            <w:pPr>
              <w:spacing w:after="0" w:line="240" w:lineRule="auto"/>
              <w:jc w:val="right"/>
              <w:rPr>
                <w:rFonts w:ascii="Arial" w:eastAsia="Times New Roman" w:hAnsi="Arial" w:cs="Arial"/>
                <w:sz w:val="20"/>
                <w:szCs w:val="20"/>
                <w:lang w:val="nl-NL" w:eastAsia="nl-NL" w:bidi="ar-SA"/>
              </w:rPr>
            </w:pPr>
            <w:r w:rsidRPr="004817D3">
              <w:rPr>
                <w:rFonts w:ascii="Arial" w:eastAsia="Times New Roman" w:hAnsi="Arial" w:cs="Arial"/>
                <w:sz w:val="20"/>
                <w:szCs w:val="20"/>
                <w:lang w:val="nl-NL" w:eastAsia="nl-NL" w:bidi="ar-SA"/>
              </w:rPr>
              <w:t>0,7784</w:t>
            </w:r>
          </w:p>
        </w:tc>
        <w:tc>
          <w:tcPr>
            <w:tcW w:w="1152" w:type="dxa"/>
            <w:tcBorders>
              <w:top w:val="nil"/>
              <w:left w:val="nil"/>
              <w:bottom w:val="single" w:sz="4" w:space="0" w:color="auto"/>
              <w:right w:val="single" w:sz="4" w:space="0" w:color="auto"/>
            </w:tcBorders>
            <w:shd w:val="clear" w:color="auto" w:fill="auto"/>
            <w:noWrap/>
            <w:vAlign w:val="bottom"/>
            <w:hideMark/>
          </w:tcPr>
          <w:p w:rsidR="00314A1E" w:rsidRPr="004817D3" w:rsidRDefault="00314A1E" w:rsidP="009C16D2">
            <w:pPr>
              <w:spacing w:after="0" w:line="240" w:lineRule="auto"/>
              <w:jc w:val="right"/>
              <w:rPr>
                <w:rFonts w:ascii="Arial" w:eastAsia="Times New Roman" w:hAnsi="Arial" w:cs="Arial"/>
                <w:sz w:val="20"/>
                <w:szCs w:val="20"/>
                <w:lang w:val="nl-NL" w:eastAsia="nl-NL" w:bidi="ar-SA"/>
              </w:rPr>
            </w:pPr>
            <w:r w:rsidRPr="004817D3">
              <w:rPr>
                <w:rFonts w:ascii="Arial" w:eastAsia="Times New Roman" w:hAnsi="Arial" w:cs="Arial"/>
                <w:sz w:val="20"/>
                <w:szCs w:val="20"/>
                <w:lang w:val="nl-NL" w:eastAsia="nl-NL" w:bidi="ar-SA"/>
              </w:rPr>
              <w:t>-43,93</w:t>
            </w:r>
          </w:p>
        </w:tc>
        <w:tc>
          <w:tcPr>
            <w:tcW w:w="988" w:type="dxa"/>
            <w:tcBorders>
              <w:top w:val="nil"/>
              <w:left w:val="nil"/>
              <w:bottom w:val="single" w:sz="4" w:space="0" w:color="auto"/>
              <w:right w:val="single" w:sz="4" w:space="0" w:color="auto"/>
            </w:tcBorders>
            <w:shd w:val="clear" w:color="auto" w:fill="auto"/>
            <w:noWrap/>
            <w:vAlign w:val="bottom"/>
            <w:hideMark/>
          </w:tcPr>
          <w:p w:rsidR="00314A1E" w:rsidRPr="004817D3" w:rsidRDefault="00314A1E" w:rsidP="009C16D2">
            <w:pPr>
              <w:spacing w:after="0" w:line="240" w:lineRule="auto"/>
              <w:jc w:val="right"/>
              <w:rPr>
                <w:rFonts w:ascii="Arial" w:eastAsia="Times New Roman" w:hAnsi="Arial" w:cs="Arial"/>
                <w:sz w:val="20"/>
                <w:szCs w:val="20"/>
                <w:lang w:val="nl-NL" w:eastAsia="nl-NL" w:bidi="ar-SA"/>
              </w:rPr>
            </w:pPr>
            <w:r w:rsidRPr="004817D3">
              <w:rPr>
                <w:rFonts w:ascii="Arial" w:eastAsia="Times New Roman" w:hAnsi="Arial" w:cs="Arial"/>
                <w:sz w:val="20"/>
                <w:szCs w:val="20"/>
                <w:lang w:val="nl-NL" w:eastAsia="nl-NL" w:bidi="ar-SA"/>
              </w:rPr>
              <w:t>0</w:t>
            </w:r>
          </w:p>
        </w:tc>
      </w:tr>
      <w:tr w:rsidR="00314A1E" w:rsidRPr="004817D3" w:rsidTr="009C16D2">
        <w:trPr>
          <w:trHeight w:val="257"/>
        </w:trPr>
        <w:tc>
          <w:tcPr>
            <w:tcW w:w="1026" w:type="dxa"/>
            <w:tcBorders>
              <w:top w:val="nil"/>
              <w:left w:val="single" w:sz="4" w:space="0" w:color="auto"/>
              <w:bottom w:val="single" w:sz="4" w:space="0" w:color="auto"/>
              <w:right w:val="single" w:sz="4" w:space="0" w:color="auto"/>
            </w:tcBorders>
            <w:shd w:val="clear" w:color="auto" w:fill="auto"/>
            <w:noWrap/>
            <w:vAlign w:val="bottom"/>
            <w:hideMark/>
          </w:tcPr>
          <w:p w:rsidR="00314A1E" w:rsidRPr="004817D3" w:rsidRDefault="00314A1E" w:rsidP="009C16D2">
            <w:pPr>
              <w:spacing w:after="0" w:line="240" w:lineRule="auto"/>
              <w:rPr>
                <w:rFonts w:ascii="Arial" w:eastAsia="Times New Roman" w:hAnsi="Arial" w:cs="Arial"/>
                <w:sz w:val="20"/>
                <w:szCs w:val="20"/>
                <w:lang w:val="nl-NL" w:eastAsia="nl-NL" w:bidi="ar-SA"/>
              </w:rPr>
            </w:pPr>
            <w:r w:rsidRPr="004817D3">
              <w:rPr>
                <w:rFonts w:ascii="Arial" w:eastAsia="Times New Roman" w:hAnsi="Arial" w:cs="Arial"/>
                <w:sz w:val="20"/>
                <w:szCs w:val="20"/>
                <w:lang w:val="nl-NL" w:eastAsia="nl-NL" w:bidi="ar-SA"/>
              </w:rPr>
              <w:t>USBM</w:t>
            </w:r>
          </w:p>
        </w:tc>
        <w:tc>
          <w:tcPr>
            <w:tcW w:w="988" w:type="dxa"/>
            <w:tcBorders>
              <w:top w:val="nil"/>
              <w:left w:val="nil"/>
              <w:bottom w:val="single" w:sz="4" w:space="0" w:color="auto"/>
              <w:right w:val="single" w:sz="4" w:space="0" w:color="auto"/>
            </w:tcBorders>
            <w:shd w:val="clear" w:color="auto" w:fill="auto"/>
            <w:noWrap/>
            <w:vAlign w:val="bottom"/>
            <w:hideMark/>
          </w:tcPr>
          <w:p w:rsidR="00314A1E" w:rsidRPr="004817D3" w:rsidRDefault="00314A1E" w:rsidP="009C16D2">
            <w:pPr>
              <w:spacing w:after="0" w:line="240" w:lineRule="auto"/>
              <w:jc w:val="right"/>
              <w:rPr>
                <w:rFonts w:ascii="Arial" w:eastAsia="Times New Roman" w:hAnsi="Arial" w:cs="Arial"/>
                <w:sz w:val="20"/>
                <w:szCs w:val="20"/>
                <w:lang w:val="nl-NL" w:eastAsia="nl-NL" w:bidi="ar-SA"/>
              </w:rPr>
            </w:pPr>
            <w:r w:rsidRPr="004817D3">
              <w:rPr>
                <w:rFonts w:ascii="Arial" w:eastAsia="Times New Roman" w:hAnsi="Arial" w:cs="Arial"/>
                <w:sz w:val="20"/>
                <w:szCs w:val="20"/>
                <w:lang w:val="nl-NL" w:eastAsia="nl-NL" w:bidi="ar-SA"/>
              </w:rPr>
              <w:t>-1,3488</w:t>
            </w:r>
          </w:p>
        </w:tc>
        <w:tc>
          <w:tcPr>
            <w:tcW w:w="988" w:type="dxa"/>
            <w:tcBorders>
              <w:top w:val="nil"/>
              <w:left w:val="nil"/>
              <w:bottom w:val="single" w:sz="4" w:space="0" w:color="auto"/>
              <w:right w:val="single" w:sz="4" w:space="0" w:color="auto"/>
            </w:tcBorders>
            <w:shd w:val="clear" w:color="auto" w:fill="auto"/>
            <w:noWrap/>
            <w:vAlign w:val="bottom"/>
            <w:hideMark/>
          </w:tcPr>
          <w:p w:rsidR="00314A1E" w:rsidRPr="004817D3" w:rsidRDefault="00314A1E" w:rsidP="009C16D2">
            <w:pPr>
              <w:spacing w:after="0" w:line="240" w:lineRule="auto"/>
              <w:jc w:val="right"/>
              <w:rPr>
                <w:rFonts w:ascii="Arial" w:eastAsia="Times New Roman" w:hAnsi="Arial" w:cs="Arial"/>
                <w:sz w:val="20"/>
                <w:szCs w:val="20"/>
                <w:lang w:val="nl-NL" w:eastAsia="nl-NL" w:bidi="ar-SA"/>
              </w:rPr>
            </w:pPr>
            <w:r w:rsidRPr="004817D3">
              <w:rPr>
                <w:rFonts w:ascii="Arial" w:eastAsia="Times New Roman" w:hAnsi="Arial" w:cs="Arial"/>
                <w:sz w:val="20"/>
                <w:szCs w:val="20"/>
                <w:lang w:val="nl-NL" w:eastAsia="nl-NL" w:bidi="ar-SA"/>
              </w:rPr>
              <w:t>0,6087</w:t>
            </w:r>
          </w:p>
        </w:tc>
        <w:tc>
          <w:tcPr>
            <w:tcW w:w="1152" w:type="dxa"/>
            <w:tcBorders>
              <w:top w:val="nil"/>
              <w:left w:val="nil"/>
              <w:bottom w:val="single" w:sz="4" w:space="0" w:color="auto"/>
              <w:right w:val="single" w:sz="4" w:space="0" w:color="auto"/>
            </w:tcBorders>
            <w:shd w:val="clear" w:color="auto" w:fill="auto"/>
            <w:noWrap/>
            <w:vAlign w:val="bottom"/>
            <w:hideMark/>
          </w:tcPr>
          <w:p w:rsidR="00314A1E" w:rsidRPr="004817D3" w:rsidRDefault="00314A1E" w:rsidP="009C16D2">
            <w:pPr>
              <w:spacing w:after="0" w:line="240" w:lineRule="auto"/>
              <w:jc w:val="right"/>
              <w:rPr>
                <w:rFonts w:ascii="Arial" w:eastAsia="Times New Roman" w:hAnsi="Arial" w:cs="Arial"/>
                <w:sz w:val="20"/>
                <w:szCs w:val="20"/>
                <w:lang w:val="nl-NL" w:eastAsia="nl-NL" w:bidi="ar-SA"/>
              </w:rPr>
            </w:pPr>
            <w:r w:rsidRPr="004817D3">
              <w:rPr>
                <w:rFonts w:ascii="Arial" w:eastAsia="Times New Roman" w:hAnsi="Arial" w:cs="Arial"/>
                <w:sz w:val="20"/>
                <w:szCs w:val="20"/>
                <w:lang w:val="nl-NL" w:eastAsia="nl-NL" w:bidi="ar-SA"/>
              </w:rPr>
              <w:t>-58,142</w:t>
            </w:r>
          </w:p>
        </w:tc>
        <w:tc>
          <w:tcPr>
            <w:tcW w:w="988" w:type="dxa"/>
            <w:tcBorders>
              <w:top w:val="nil"/>
              <w:left w:val="nil"/>
              <w:bottom w:val="single" w:sz="4" w:space="0" w:color="auto"/>
              <w:right w:val="single" w:sz="4" w:space="0" w:color="auto"/>
            </w:tcBorders>
            <w:shd w:val="clear" w:color="auto" w:fill="auto"/>
            <w:noWrap/>
            <w:vAlign w:val="bottom"/>
            <w:hideMark/>
          </w:tcPr>
          <w:p w:rsidR="00314A1E" w:rsidRPr="004817D3" w:rsidRDefault="00314A1E" w:rsidP="009C16D2">
            <w:pPr>
              <w:spacing w:after="0" w:line="240" w:lineRule="auto"/>
              <w:jc w:val="right"/>
              <w:rPr>
                <w:rFonts w:ascii="Arial" w:eastAsia="Times New Roman" w:hAnsi="Arial" w:cs="Arial"/>
                <w:sz w:val="20"/>
                <w:szCs w:val="20"/>
                <w:lang w:val="nl-NL" w:eastAsia="nl-NL" w:bidi="ar-SA"/>
              </w:rPr>
            </w:pPr>
            <w:r w:rsidRPr="004817D3">
              <w:rPr>
                <w:rFonts w:ascii="Arial" w:eastAsia="Times New Roman" w:hAnsi="Arial" w:cs="Arial"/>
                <w:sz w:val="20"/>
                <w:szCs w:val="20"/>
                <w:lang w:val="nl-NL" w:eastAsia="nl-NL" w:bidi="ar-SA"/>
              </w:rPr>
              <w:t>0,0001</w:t>
            </w:r>
          </w:p>
        </w:tc>
      </w:tr>
    </w:tbl>
    <w:p w:rsidR="00314A1E" w:rsidRDefault="00314A1E" w:rsidP="00314A1E">
      <w:pPr>
        <w:pStyle w:val="NoSpacing"/>
      </w:pPr>
    </w:p>
    <w:p w:rsidR="00314A1E" w:rsidRDefault="00314A1E" w:rsidP="00314A1E">
      <w:pPr>
        <w:pStyle w:val="NoSpacing"/>
      </w:pPr>
      <w:r>
        <w:t xml:space="preserve">The results for all the </w:t>
      </w:r>
      <w:proofErr w:type="spellStart"/>
      <w:r>
        <w:t>cointegration</w:t>
      </w:r>
      <w:proofErr w:type="spellEnd"/>
      <w:r>
        <w:t xml:space="preserve"> tests confirm each other. </w:t>
      </w:r>
      <w:proofErr w:type="spellStart"/>
      <w:r>
        <w:t>Stavarek</w:t>
      </w:r>
      <w:proofErr w:type="spellEnd"/>
      <w:r>
        <w:t xml:space="preserve"> (2004) and </w:t>
      </w:r>
      <w:proofErr w:type="spellStart"/>
      <w:r>
        <w:t>Nieh</w:t>
      </w:r>
      <w:proofErr w:type="spellEnd"/>
      <w:r>
        <w:t xml:space="preserve"> and Lee (2001) did not find </w:t>
      </w:r>
      <w:proofErr w:type="spellStart"/>
      <w:r>
        <w:t>cointegration</w:t>
      </w:r>
      <w:proofErr w:type="spellEnd"/>
      <w:r>
        <w:t xml:space="preserve"> for developed countries too. Developed countries have well developed highly efficient markets, which are influenced by a lot of </w:t>
      </w:r>
      <w:proofErr w:type="gramStart"/>
      <w:r>
        <w:t>factors,</w:t>
      </w:r>
      <w:proofErr w:type="gramEnd"/>
      <w:r>
        <w:t xml:space="preserve"> the role of one market is obviously not big enough to influence the other in the long run. To ensure that the outcomes of the EG test are right, the Johansen </w:t>
      </w:r>
      <w:proofErr w:type="spellStart"/>
      <w:r>
        <w:t>cointegration</w:t>
      </w:r>
      <w:proofErr w:type="spellEnd"/>
      <w:r>
        <w:t xml:space="preserve"> test is done to control the EG tests. The Johansen test can be a stronger one, especially when testing with groups. However, the results of the Johansen </w:t>
      </w:r>
      <w:proofErr w:type="spellStart"/>
      <w:r>
        <w:t>cointegration</w:t>
      </w:r>
      <w:proofErr w:type="spellEnd"/>
      <w:r>
        <w:t xml:space="preserve"> tests are in line with Engle and Granger. Again, no </w:t>
      </w:r>
      <w:proofErr w:type="spellStart"/>
      <w:r>
        <w:t>cointegration</w:t>
      </w:r>
      <w:proofErr w:type="spellEnd"/>
      <w:r>
        <w:t xml:space="preserve"> is found. We conclude that there is no long term equilibrium between stock markets and the exchange rates for these countries. The results of the Johansen </w:t>
      </w:r>
      <w:proofErr w:type="spellStart"/>
      <w:r>
        <w:t>cointegration</w:t>
      </w:r>
      <w:proofErr w:type="spellEnd"/>
      <w:r>
        <w:t xml:space="preserve"> test are in the appendix. </w:t>
      </w:r>
    </w:p>
    <w:p w:rsidR="00314A1E" w:rsidRDefault="00314A1E" w:rsidP="00314A1E">
      <w:pPr>
        <w:pStyle w:val="NoSpacing"/>
      </w:pPr>
    </w:p>
    <w:p w:rsidR="00314A1E" w:rsidRDefault="00314A1E" w:rsidP="00314A1E">
      <w:pPr>
        <w:pStyle w:val="NoSpacing"/>
      </w:pPr>
      <w:r>
        <w:t xml:space="preserve">Table </w:t>
      </w:r>
      <w:r w:rsidR="00CD606C">
        <w:t>15</w:t>
      </w:r>
      <w:r>
        <w:t>: Granger causality tests for US stock indices and exchange rates</w:t>
      </w:r>
    </w:p>
    <w:tbl>
      <w:tblPr>
        <w:tblW w:w="9390" w:type="dxa"/>
        <w:tblInd w:w="55" w:type="dxa"/>
        <w:tblCellMar>
          <w:left w:w="70" w:type="dxa"/>
          <w:right w:w="70" w:type="dxa"/>
        </w:tblCellMar>
        <w:tblLook w:val="04A0"/>
      </w:tblPr>
      <w:tblGrid>
        <w:gridCol w:w="2567"/>
        <w:gridCol w:w="1069"/>
        <w:gridCol w:w="1027"/>
        <w:gridCol w:w="2631"/>
        <w:gridCol w:w="1069"/>
        <w:gridCol w:w="1027"/>
      </w:tblGrid>
      <w:tr w:rsidR="00314A1E" w:rsidRPr="00DD5C65" w:rsidTr="009C16D2">
        <w:trPr>
          <w:trHeight w:val="273"/>
        </w:trPr>
        <w:tc>
          <w:tcPr>
            <w:tcW w:w="2567" w:type="dxa"/>
            <w:tcBorders>
              <w:top w:val="single" w:sz="8" w:space="0" w:color="auto"/>
              <w:left w:val="single" w:sz="8" w:space="0" w:color="auto"/>
              <w:bottom w:val="single" w:sz="8" w:space="0" w:color="auto"/>
              <w:right w:val="nil"/>
            </w:tcBorders>
            <w:shd w:val="clear" w:color="auto" w:fill="auto"/>
            <w:noWrap/>
            <w:vAlign w:val="bottom"/>
            <w:hideMark/>
          </w:tcPr>
          <w:p w:rsidR="00314A1E" w:rsidRPr="00DD5C65" w:rsidRDefault="00314A1E" w:rsidP="009C16D2">
            <w:pPr>
              <w:spacing w:after="0" w:line="240" w:lineRule="auto"/>
              <w:rPr>
                <w:rFonts w:ascii="Arial" w:eastAsia="Times New Roman" w:hAnsi="Arial" w:cs="Arial"/>
                <w:sz w:val="20"/>
                <w:szCs w:val="20"/>
                <w:lang w:val="nl-NL" w:eastAsia="nl-NL" w:bidi="ar-SA"/>
              </w:rPr>
            </w:pPr>
            <w:proofErr w:type="spellStart"/>
            <w:r w:rsidRPr="00DD5C65">
              <w:rPr>
                <w:rFonts w:ascii="Arial" w:eastAsia="Times New Roman" w:hAnsi="Arial" w:cs="Arial"/>
                <w:sz w:val="20"/>
                <w:szCs w:val="20"/>
                <w:lang w:val="nl-NL" w:eastAsia="nl-NL" w:bidi="ar-SA"/>
              </w:rPr>
              <w:t>Null</w:t>
            </w:r>
            <w:proofErr w:type="spellEnd"/>
            <w:r w:rsidRPr="00DD5C65">
              <w:rPr>
                <w:rFonts w:ascii="Arial" w:eastAsia="Times New Roman" w:hAnsi="Arial" w:cs="Arial"/>
                <w:sz w:val="20"/>
                <w:szCs w:val="20"/>
                <w:lang w:val="nl-NL" w:eastAsia="nl-NL" w:bidi="ar-SA"/>
              </w:rPr>
              <w:t xml:space="preserve"> Hypothesis:</w:t>
            </w:r>
          </w:p>
        </w:tc>
        <w:tc>
          <w:tcPr>
            <w:tcW w:w="1069" w:type="dxa"/>
            <w:tcBorders>
              <w:top w:val="single" w:sz="8" w:space="0" w:color="auto"/>
              <w:left w:val="nil"/>
              <w:bottom w:val="single" w:sz="8" w:space="0" w:color="auto"/>
              <w:right w:val="nil"/>
            </w:tcBorders>
            <w:shd w:val="clear" w:color="auto" w:fill="auto"/>
            <w:noWrap/>
            <w:vAlign w:val="bottom"/>
            <w:hideMark/>
          </w:tcPr>
          <w:p w:rsidR="00314A1E" w:rsidRPr="00DD5C65" w:rsidRDefault="00314A1E" w:rsidP="009C16D2">
            <w:pPr>
              <w:spacing w:after="0" w:line="240" w:lineRule="auto"/>
              <w:rPr>
                <w:rFonts w:ascii="Arial" w:eastAsia="Times New Roman" w:hAnsi="Arial" w:cs="Arial"/>
                <w:sz w:val="20"/>
                <w:szCs w:val="20"/>
                <w:lang w:val="nl-NL" w:eastAsia="nl-NL" w:bidi="ar-SA"/>
              </w:rPr>
            </w:pPr>
            <w:proofErr w:type="spellStart"/>
            <w:r w:rsidRPr="00DD5C65">
              <w:rPr>
                <w:rFonts w:ascii="Arial" w:eastAsia="Times New Roman" w:hAnsi="Arial" w:cs="Arial"/>
                <w:sz w:val="20"/>
                <w:szCs w:val="20"/>
                <w:lang w:val="nl-NL" w:eastAsia="nl-NL" w:bidi="ar-SA"/>
              </w:rPr>
              <w:t>F-Statistic</w:t>
            </w:r>
            <w:proofErr w:type="spellEnd"/>
          </w:p>
        </w:tc>
        <w:tc>
          <w:tcPr>
            <w:tcW w:w="1027" w:type="dxa"/>
            <w:tcBorders>
              <w:top w:val="single" w:sz="8" w:space="0" w:color="auto"/>
              <w:left w:val="nil"/>
              <w:bottom w:val="single" w:sz="8" w:space="0" w:color="auto"/>
              <w:right w:val="single" w:sz="8" w:space="0" w:color="auto"/>
            </w:tcBorders>
            <w:shd w:val="clear" w:color="auto" w:fill="auto"/>
            <w:noWrap/>
            <w:vAlign w:val="bottom"/>
            <w:hideMark/>
          </w:tcPr>
          <w:p w:rsidR="00314A1E" w:rsidRPr="00DD5C65" w:rsidRDefault="00314A1E" w:rsidP="009C16D2">
            <w:pPr>
              <w:spacing w:after="0" w:line="240" w:lineRule="auto"/>
              <w:rPr>
                <w:rFonts w:ascii="Arial" w:eastAsia="Times New Roman" w:hAnsi="Arial" w:cs="Arial"/>
                <w:sz w:val="20"/>
                <w:szCs w:val="20"/>
                <w:lang w:val="nl-NL" w:eastAsia="nl-NL" w:bidi="ar-SA"/>
              </w:rPr>
            </w:pPr>
            <w:proofErr w:type="spellStart"/>
            <w:r w:rsidRPr="00DD5C65">
              <w:rPr>
                <w:rFonts w:ascii="Arial" w:eastAsia="Times New Roman" w:hAnsi="Arial" w:cs="Arial"/>
                <w:sz w:val="20"/>
                <w:szCs w:val="20"/>
                <w:lang w:val="nl-NL" w:eastAsia="nl-NL" w:bidi="ar-SA"/>
              </w:rPr>
              <w:t>Prob</w:t>
            </w:r>
            <w:proofErr w:type="spellEnd"/>
            <w:r w:rsidRPr="00DD5C65">
              <w:rPr>
                <w:rFonts w:ascii="Arial" w:eastAsia="Times New Roman" w:hAnsi="Arial" w:cs="Arial"/>
                <w:sz w:val="20"/>
                <w:szCs w:val="20"/>
                <w:lang w:val="nl-NL" w:eastAsia="nl-NL" w:bidi="ar-SA"/>
              </w:rPr>
              <w:t xml:space="preserve">. </w:t>
            </w:r>
          </w:p>
        </w:tc>
        <w:tc>
          <w:tcPr>
            <w:tcW w:w="2631" w:type="dxa"/>
            <w:tcBorders>
              <w:top w:val="single" w:sz="8" w:space="0" w:color="auto"/>
              <w:left w:val="nil"/>
              <w:bottom w:val="single" w:sz="8" w:space="0" w:color="auto"/>
              <w:right w:val="nil"/>
            </w:tcBorders>
            <w:shd w:val="clear" w:color="auto" w:fill="auto"/>
            <w:noWrap/>
            <w:vAlign w:val="bottom"/>
            <w:hideMark/>
          </w:tcPr>
          <w:p w:rsidR="00314A1E" w:rsidRPr="00DD5C65" w:rsidRDefault="00314A1E" w:rsidP="009C16D2">
            <w:pPr>
              <w:spacing w:after="0" w:line="240" w:lineRule="auto"/>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 xml:space="preserve"> </w:t>
            </w:r>
            <w:proofErr w:type="spellStart"/>
            <w:r w:rsidRPr="00DD5C65">
              <w:rPr>
                <w:rFonts w:ascii="Arial" w:eastAsia="Times New Roman" w:hAnsi="Arial" w:cs="Arial"/>
                <w:sz w:val="20"/>
                <w:szCs w:val="20"/>
                <w:lang w:val="nl-NL" w:eastAsia="nl-NL" w:bidi="ar-SA"/>
              </w:rPr>
              <w:t>Null</w:t>
            </w:r>
            <w:proofErr w:type="spellEnd"/>
            <w:r w:rsidRPr="00DD5C65">
              <w:rPr>
                <w:rFonts w:ascii="Arial" w:eastAsia="Times New Roman" w:hAnsi="Arial" w:cs="Arial"/>
                <w:sz w:val="20"/>
                <w:szCs w:val="20"/>
                <w:lang w:val="nl-NL" w:eastAsia="nl-NL" w:bidi="ar-SA"/>
              </w:rPr>
              <w:t xml:space="preserve"> Hypothesis:</w:t>
            </w:r>
          </w:p>
        </w:tc>
        <w:tc>
          <w:tcPr>
            <w:tcW w:w="1069" w:type="dxa"/>
            <w:tcBorders>
              <w:top w:val="single" w:sz="8" w:space="0" w:color="auto"/>
              <w:left w:val="nil"/>
              <w:bottom w:val="single" w:sz="8" w:space="0" w:color="auto"/>
              <w:right w:val="nil"/>
            </w:tcBorders>
            <w:shd w:val="clear" w:color="auto" w:fill="auto"/>
            <w:noWrap/>
            <w:vAlign w:val="bottom"/>
            <w:hideMark/>
          </w:tcPr>
          <w:p w:rsidR="00314A1E" w:rsidRPr="00DD5C65" w:rsidRDefault="00314A1E" w:rsidP="009C16D2">
            <w:pPr>
              <w:spacing w:after="0" w:line="240" w:lineRule="auto"/>
              <w:rPr>
                <w:rFonts w:ascii="Arial" w:eastAsia="Times New Roman" w:hAnsi="Arial" w:cs="Arial"/>
                <w:sz w:val="20"/>
                <w:szCs w:val="20"/>
                <w:lang w:val="nl-NL" w:eastAsia="nl-NL" w:bidi="ar-SA"/>
              </w:rPr>
            </w:pPr>
            <w:proofErr w:type="spellStart"/>
            <w:r w:rsidRPr="00DD5C65">
              <w:rPr>
                <w:rFonts w:ascii="Arial" w:eastAsia="Times New Roman" w:hAnsi="Arial" w:cs="Arial"/>
                <w:sz w:val="20"/>
                <w:szCs w:val="20"/>
                <w:lang w:val="nl-NL" w:eastAsia="nl-NL" w:bidi="ar-SA"/>
              </w:rPr>
              <w:t>F-Statistic</w:t>
            </w:r>
            <w:proofErr w:type="spellEnd"/>
          </w:p>
        </w:tc>
        <w:tc>
          <w:tcPr>
            <w:tcW w:w="1027" w:type="dxa"/>
            <w:tcBorders>
              <w:top w:val="single" w:sz="8" w:space="0" w:color="auto"/>
              <w:left w:val="nil"/>
              <w:bottom w:val="single" w:sz="8" w:space="0" w:color="auto"/>
              <w:right w:val="single" w:sz="8" w:space="0" w:color="auto"/>
            </w:tcBorders>
            <w:shd w:val="clear" w:color="auto" w:fill="auto"/>
            <w:noWrap/>
            <w:vAlign w:val="bottom"/>
            <w:hideMark/>
          </w:tcPr>
          <w:p w:rsidR="00314A1E" w:rsidRPr="00DD5C65" w:rsidRDefault="00314A1E" w:rsidP="009C16D2">
            <w:pPr>
              <w:spacing w:after="0" w:line="240" w:lineRule="auto"/>
              <w:rPr>
                <w:rFonts w:ascii="Arial" w:eastAsia="Times New Roman" w:hAnsi="Arial" w:cs="Arial"/>
                <w:sz w:val="20"/>
                <w:szCs w:val="20"/>
                <w:lang w:val="nl-NL" w:eastAsia="nl-NL" w:bidi="ar-SA"/>
              </w:rPr>
            </w:pPr>
            <w:proofErr w:type="spellStart"/>
            <w:r w:rsidRPr="00DD5C65">
              <w:rPr>
                <w:rFonts w:ascii="Arial" w:eastAsia="Times New Roman" w:hAnsi="Arial" w:cs="Arial"/>
                <w:sz w:val="20"/>
                <w:szCs w:val="20"/>
                <w:lang w:val="nl-NL" w:eastAsia="nl-NL" w:bidi="ar-SA"/>
              </w:rPr>
              <w:t>Prob</w:t>
            </w:r>
            <w:proofErr w:type="spellEnd"/>
            <w:r w:rsidRPr="00DD5C65">
              <w:rPr>
                <w:rFonts w:ascii="Arial" w:eastAsia="Times New Roman" w:hAnsi="Arial" w:cs="Arial"/>
                <w:sz w:val="20"/>
                <w:szCs w:val="20"/>
                <w:lang w:val="nl-NL" w:eastAsia="nl-NL" w:bidi="ar-SA"/>
              </w:rPr>
              <w:t xml:space="preserve">. </w:t>
            </w:r>
          </w:p>
        </w:tc>
      </w:tr>
      <w:tr w:rsidR="00314A1E" w:rsidRPr="00DD5C65" w:rsidTr="009C16D2">
        <w:trPr>
          <w:trHeight w:val="258"/>
        </w:trPr>
        <w:tc>
          <w:tcPr>
            <w:tcW w:w="2567" w:type="dxa"/>
            <w:tcBorders>
              <w:top w:val="nil"/>
              <w:left w:val="single" w:sz="8" w:space="0" w:color="auto"/>
              <w:bottom w:val="nil"/>
              <w:right w:val="nil"/>
            </w:tcBorders>
            <w:shd w:val="clear" w:color="auto" w:fill="auto"/>
            <w:noWrap/>
            <w:vAlign w:val="bottom"/>
            <w:hideMark/>
          </w:tcPr>
          <w:p w:rsidR="00314A1E" w:rsidRPr="00DD5C65" w:rsidRDefault="00314A1E" w:rsidP="009C16D2">
            <w:pPr>
              <w:spacing w:after="0" w:line="240" w:lineRule="auto"/>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 xml:space="preserve"> USUT -/-&gt; CHFUSD</w:t>
            </w:r>
          </w:p>
        </w:tc>
        <w:tc>
          <w:tcPr>
            <w:tcW w:w="1069" w:type="dxa"/>
            <w:tcBorders>
              <w:top w:val="nil"/>
              <w:left w:val="nil"/>
              <w:bottom w:val="nil"/>
              <w:right w:val="nil"/>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2,1348</w:t>
            </w:r>
          </w:p>
        </w:tc>
        <w:tc>
          <w:tcPr>
            <w:tcW w:w="1027" w:type="dxa"/>
            <w:tcBorders>
              <w:top w:val="nil"/>
              <w:left w:val="nil"/>
              <w:bottom w:val="nil"/>
              <w:right w:val="single" w:sz="8" w:space="0" w:color="auto"/>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0,1184</w:t>
            </w:r>
          </w:p>
        </w:tc>
        <w:tc>
          <w:tcPr>
            <w:tcW w:w="2631" w:type="dxa"/>
            <w:tcBorders>
              <w:top w:val="nil"/>
              <w:left w:val="nil"/>
              <w:bottom w:val="nil"/>
              <w:right w:val="nil"/>
            </w:tcBorders>
            <w:shd w:val="clear" w:color="auto" w:fill="auto"/>
            <w:noWrap/>
            <w:vAlign w:val="bottom"/>
            <w:hideMark/>
          </w:tcPr>
          <w:p w:rsidR="00314A1E" w:rsidRPr="00DD5C65" w:rsidRDefault="00314A1E" w:rsidP="009C16D2">
            <w:pPr>
              <w:spacing w:after="0" w:line="240" w:lineRule="auto"/>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 xml:space="preserve"> USUT -/-&gt; EURUSD</w:t>
            </w:r>
          </w:p>
        </w:tc>
        <w:tc>
          <w:tcPr>
            <w:tcW w:w="1069" w:type="dxa"/>
            <w:tcBorders>
              <w:top w:val="nil"/>
              <w:left w:val="nil"/>
              <w:bottom w:val="nil"/>
              <w:right w:val="nil"/>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4,1312</w:t>
            </w:r>
          </w:p>
        </w:tc>
        <w:tc>
          <w:tcPr>
            <w:tcW w:w="1027" w:type="dxa"/>
            <w:tcBorders>
              <w:top w:val="nil"/>
              <w:left w:val="nil"/>
              <w:bottom w:val="nil"/>
              <w:right w:val="single" w:sz="8" w:space="0" w:color="auto"/>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0,0162</w:t>
            </w:r>
          </w:p>
        </w:tc>
      </w:tr>
      <w:tr w:rsidR="00314A1E" w:rsidRPr="00DD5C65" w:rsidTr="009C16D2">
        <w:trPr>
          <w:trHeight w:val="273"/>
        </w:trPr>
        <w:tc>
          <w:tcPr>
            <w:tcW w:w="2567" w:type="dxa"/>
            <w:tcBorders>
              <w:top w:val="nil"/>
              <w:left w:val="single" w:sz="8" w:space="0" w:color="auto"/>
              <w:bottom w:val="single" w:sz="8" w:space="0" w:color="auto"/>
              <w:right w:val="nil"/>
            </w:tcBorders>
            <w:shd w:val="clear" w:color="auto" w:fill="auto"/>
            <w:noWrap/>
            <w:vAlign w:val="bottom"/>
            <w:hideMark/>
          </w:tcPr>
          <w:p w:rsidR="00314A1E" w:rsidRPr="00DD5C65" w:rsidRDefault="00314A1E" w:rsidP="009C16D2">
            <w:pPr>
              <w:spacing w:after="0" w:line="240" w:lineRule="auto"/>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 xml:space="preserve"> CHFUSD -/-&gt; USUT</w:t>
            </w:r>
          </w:p>
        </w:tc>
        <w:tc>
          <w:tcPr>
            <w:tcW w:w="1069" w:type="dxa"/>
            <w:tcBorders>
              <w:top w:val="nil"/>
              <w:left w:val="nil"/>
              <w:bottom w:val="single" w:sz="8" w:space="0" w:color="auto"/>
              <w:right w:val="nil"/>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4,2527</w:t>
            </w:r>
          </w:p>
        </w:tc>
        <w:tc>
          <w:tcPr>
            <w:tcW w:w="1027" w:type="dxa"/>
            <w:tcBorders>
              <w:top w:val="nil"/>
              <w:left w:val="nil"/>
              <w:bottom w:val="single" w:sz="8" w:space="0" w:color="auto"/>
              <w:right w:val="single" w:sz="8" w:space="0" w:color="auto"/>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0,0143</w:t>
            </w:r>
          </w:p>
        </w:tc>
        <w:tc>
          <w:tcPr>
            <w:tcW w:w="2631" w:type="dxa"/>
            <w:tcBorders>
              <w:top w:val="nil"/>
              <w:left w:val="nil"/>
              <w:bottom w:val="single" w:sz="8" w:space="0" w:color="auto"/>
              <w:right w:val="nil"/>
            </w:tcBorders>
            <w:shd w:val="clear" w:color="auto" w:fill="auto"/>
            <w:noWrap/>
            <w:vAlign w:val="bottom"/>
            <w:hideMark/>
          </w:tcPr>
          <w:p w:rsidR="00314A1E" w:rsidRPr="00DD5C65" w:rsidRDefault="00314A1E" w:rsidP="009C16D2">
            <w:pPr>
              <w:spacing w:after="0" w:line="240" w:lineRule="auto"/>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 xml:space="preserve"> EURUSD -/-&gt; USUT</w:t>
            </w:r>
          </w:p>
        </w:tc>
        <w:tc>
          <w:tcPr>
            <w:tcW w:w="1069" w:type="dxa"/>
            <w:tcBorders>
              <w:top w:val="nil"/>
              <w:left w:val="nil"/>
              <w:bottom w:val="single" w:sz="8" w:space="0" w:color="auto"/>
              <w:right w:val="nil"/>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0,8756</w:t>
            </w:r>
          </w:p>
        </w:tc>
        <w:tc>
          <w:tcPr>
            <w:tcW w:w="1027" w:type="dxa"/>
            <w:tcBorders>
              <w:top w:val="nil"/>
              <w:left w:val="nil"/>
              <w:bottom w:val="single" w:sz="8" w:space="0" w:color="auto"/>
              <w:right w:val="single" w:sz="8" w:space="0" w:color="auto"/>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0,4167</w:t>
            </w:r>
          </w:p>
        </w:tc>
      </w:tr>
      <w:tr w:rsidR="00314A1E" w:rsidRPr="00DD5C65" w:rsidTr="009C16D2">
        <w:trPr>
          <w:trHeight w:val="258"/>
        </w:trPr>
        <w:tc>
          <w:tcPr>
            <w:tcW w:w="2567" w:type="dxa"/>
            <w:tcBorders>
              <w:top w:val="nil"/>
              <w:left w:val="single" w:sz="8" w:space="0" w:color="auto"/>
              <w:bottom w:val="nil"/>
              <w:right w:val="nil"/>
            </w:tcBorders>
            <w:shd w:val="clear" w:color="auto" w:fill="auto"/>
            <w:noWrap/>
            <w:vAlign w:val="bottom"/>
            <w:hideMark/>
          </w:tcPr>
          <w:p w:rsidR="00314A1E" w:rsidRPr="00DD5C65" w:rsidRDefault="00314A1E" w:rsidP="009C16D2">
            <w:pPr>
              <w:spacing w:after="0" w:line="240" w:lineRule="auto"/>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 xml:space="preserve"> USTEL -/-&gt; CHFUSD</w:t>
            </w:r>
          </w:p>
        </w:tc>
        <w:tc>
          <w:tcPr>
            <w:tcW w:w="1069" w:type="dxa"/>
            <w:tcBorders>
              <w:top w:val="nil"/>
              <w:left w:val="nil"/>
              <w:bottom w:val="nil"/>
              <w:right w:val="nil"/>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3,1068</w:t>
            </w:r>
          </w:p>
        </w:tc>
        <w:tc>
          <w:tcPr>
            <w:tcW w:w="1027" w:type="dxa"/>
            <w:tcBorders>
              <w:top w:val="nil"/>
              <w:left w:val="nil"/>
              <w:bottom w:val="nil"/>
              <w:right w:val="single" w:sz="8" w:space="0" w:color="auto"/>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0,0449</w:t>
            </w:r>
          </w:p>
        </w:tc>
        <w:tc>
          <w:tcPr>
            <w:tcW w:w="2631" w:type="dxa"/>
            <w:tcBorders>
              <w:top w:val="nil"/>
              <w:left w:val="nil"/>
              <w:bottom w:val="nil"/>
              <w:right w:val="nil"/>
            </w:tcBorders>
            <w:shd w:val="clear" w:color="auto" w:fill="auto"/>
            <w:noWrap/>
            <w:vAlign w:val="bottom"/>
            <w:hideMark/>
          </w:tcPr>
          <w:p w:rsidR="00314A1E" w:rsidRPr="00DD5C65" w:rsidRDefault="00314A1E" w:rsidP="009C16D2">
            <w:pPr>
              <w:spacing w:after="0" w:line="240" w:lineRule="auto"/>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 xml:space="preserve"> USTEL -/-&gt; EURUSD</w:t>
            </w:r>
          </w:p>
        </w:tc>
        <w:tc>
          <w:tcPr>
            <w:tcW w:w="1069" w:type="dxa"/>
            <w:tcBorders>
              <w:top w:val="nil"/>
              <w:left w:val="nil"/>
              <w:bottom w:val="nil"/>
              <w:right w:val="nil"/>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2,9515</w:t>
            </w:r>
          </w:p>
        </w:tc>
        <w:tc>
          <w:tcPr>
            <w:tcW w:w="1027" w:type="dxa"/>
            <w:tcBorders>
              <w:top w:val="nil"/>
              <w:left w:val="nil"/>
              <w:bottom w:val="nil"/>
              <w:right w:val="single" w:sz="8" w:space="0" w:color="auto"/>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0,0524</w:t>
            </w:r>
          </w:p>
        </w:tc>
      </w:tr>
      <w:tr w:rsidR="00314A1E" w:rsidRPr="00DD5C65" w:rsidTr="009C16D2">
        <w:trPr>
          <w:trHeight w:val="273"/>
        </w:trPr>
        <w:tc>
          <w:tcPr>
            <w:tcW w:w="2567" w:type="dxa"/>
            <w:tcBorders>
              <w:top w:val="nil"/>
              <w:left w:val="single" w:sz="8" w:space="0" w:color="auto"/>
              <w:bottom w:val="single" w:sz="8" w:space="0" w:color="auto"/>
              <w:right w:val="nil"/>
            </w:tcBorders>
            <w:shd w:val="clear" w:color="auto" w:fill="auto"/>
            <w:noWrap/>
            <w:vAlign w:val="bottom"/>
            <w:hideMark/>
          </w:tcPr>
          <w:p w:rsidR="00314A1E" w:rsidRPr="00DD5C65" w:rsidRDefault="00314A1E" w:rsidP="009C16D2">
            <w:pPr>
              <w:spacing w:after="0" w:line="240" w:lineRule="auto"/>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 xml:space="preserve"> CHFUSD -/-&gt; USTEL</w:t>
            </w:r>
          </w:p>
        </w:tc>
        <w:tc>
          <w:tcPr>
            <w:tcW w:w="1069" w:type="dxa"/>
            <w:tcBorders>
              <w:top w:val="nil"/>
              <w:left w:val="nil"/>
              <w:bottom w:val="single" w:sz="8" w:space="0" w:color="auto"/>
              <w:right w:val="nil"/>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1,8286</w:t>
            </w:r>
          </w:p>
        </w:tc>
        <w:tc>
          <w:tcPr>
            <w:tcW w:w="1027" w:type="dxa"/>
            <w:tcBorders>
              <w:top w:val="nil"/>
              <w:left w:val="nil"/>
              <w:bottom w:val="single" w:sz="8" w:space="0" w:color="auto"/>
              <w:right w:val="single" w:sz="8" w:space="0" w:color="auto"/>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0,1608</w:t>
            </w:r>
          </w:p>
        </w:tc>
        <w:tc>
          <w:tcPr>
            <w:tcW w:w="2631" w:type="dxa"/>
            <w:tcBorders>
              <w:top w:val="nil"/>
              <w:left w:val="nil"/>
              <w:bottom w:val="single" w:sz="8" w:space="0" w:color="auto"/>
              <w:right w:val="nil"/>
            </w:tcBorders>
            <w:shd w:val="clear" w:color="auto" w:fill="auto"/>
            <w:noWrap/>
            <w:vAlign w:val="bottom"/>
            <w:hideMark/>
          </w:tcPr>
          <w:p w:rsidR="00314A1E" w:rsidRPr="00DD5C65" w:rsidRDefault="00314A1E" w:rsidP="009C16D2">
            <w:pPr>
              <w:spacing w:after="0" w:line="240" w:lineRule="auto"/>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 xml:space="preserve"> EURUSD -/-&gt;USTEL</w:t>
            </w:r>
          </w:p>
        </w:tc>
        <w:tc>
          <w:tcPr>
            <w:tcW w:w="1069" w:type="dxa"/>
            <w:tcBorders>
              <w:top w:val="nil"/>
              <w:left w:val="nil"/>
              <w:bottom w:val="single" w:sz="8" w:space="0" w:color="auto"/>
              <w:right w:val="nil"/>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0,3941</w:t>
            </w:r>
          </w:p>
        </w:tc>
        <w:tc>
          <w:tcPr>
            <w:tcW w:w="1027" w:type="dxa"/>
            <w:tcBorders>
              <w:top w:val="nil"/>
              <w:left w:val="nil"/>
              <w:bottom w:val="single" w:sz="8" w:space="0" w:color="auto"/>
              <w:right w:val="single" w:sz="8" w:space="0" w:color="auto"/>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0,6743</w:t>
            </w:r>
          </w:p>
        </w:tc>
      </w:tr>
      <w:tr w:rsidR="00314A1E" w:rsidRPr="00DD5C65" w:rsidTr="009C16D2">
        <w:trPr>
          <w:trHeight w:val="258"/>
        </w:trPr>
        <w:tc>
          <w:tcPr>
            <w:tcW w:w="2567" w:type="dxa"/>
            <w:tcBorders>
              <w:top w:val="nil"/>
              <w:left w:val="single" w:sz="8" w:space="0" w:color="auto"/>
              <w:bottom w:val="nil"/>
              <w:right w:val="nil"/>
            </w:tcBorders>
            <w:shd w:val="clear" w:color="auto" w:fill="auto"/>
            <w:noWrap/>
            <w:vAlign w:val="bottom"/>
            <w:hideMark/>
          </w:tcPr>
          <w:p w:rsidR="00314A1E" w:rsidRPr="00DD5C65" w:rsidRDefault="00314A1E" w:rsidP="009C16D2">
            <w:pPr>
              <w:spacing w:after="0" w:line="240" w:lineRule="auto"/>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 xml:space="preserve"> USTECH -/-&gt; CHFUSD</w:t>
            </w:r>
          </w:p>
        </w:tc>
        <w:tc>
          <w:tcPr>
            <w:tcW w:w="1069" w:type="dxa"/>
            <w:tcBorders>
              <w:top w:val="nil"/>
              <w:left w:val="nil"/>
              <w:bottom w:val="nil"/>
              <w:right w:val="nil"/>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1,3841</w:t>
            </w:r>
          </w:p>
        </w:tc>
        <w:tc>
          <w:tcPr>
            <w:tcW w:w="1027" w:type="dxa"/>
            <w:tcBorders>
              <w:top w:val="nil"/>
              <w:left w:val="nil"/>
              <w:bottom w:val="nil"/>
              <w:right w:val="single" w:sz="8" w:space="0" w:color="auto"/>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0,2507</w:t>
            </w:r>
          </w:p>
        </w:tc>
        <w:tc>
          <w:tcPr>
            <w:tcW w:w="2631" w:type="dxa"/>
            <w:tcBorders>
              <w:top w:val="nil"/>
              <w:left w:val="nil"/>
              <w:bottom w:val="nil"/>
              <w:right w:val="nil"/>
            </w:tcBorders>
            <w:shd w:val="clear" w:color="auto" w:fill="auto"/>
            <w:noWrap/>
            <w:vAlign w:val="bottom"/>
            <w:hideMark/>
          </w:tcPr>
          <w:p w:rsidR="00314A1E" w:rsidRPr="00DD5C65" w:rsidRDefault="00314A1E" w:rsidP="009C16D2">
            <w:pPr>
              <w:spacing w:after="0" w:line="240" w:lineRule="auto"/>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 xml:space="preserve"> USTECH -/-&gt; EURUSD</w:t>
            </w:r>
          </w:p>
        </w:tc>
        <w:tc>
          <w:tcPr>
            <w:tcW w:w="1069" w:type="dxa"/>
            <w:tcBorders>
              <w:top w:val="nil"/>
              <w:left w:val="nil"/>
              <w:bottom w:val="nil"/>
              <w:right w:val="nil"/>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3,8387</w:t>
            </w:r>
          </w:p>
        </w:tc>
        <w:tc>
          <w:tcPr>
            <w:tcW w:w="1027" w:type="dxa"/>
            <w:tcBorders>
              <w:top w:val="nil"/>
              <w:left w:val="nil"/>
              <w:bottom w:val="nil"/>
              <w:right w:val="single" w:sz="8" w:space="0" w:color="auto"/>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0,0216</w:t>
            </w:r>
          </w:p>
        </w:tc>
      </w:tr>
      <w:tr w:rsidR="00314A1E" w:rsidRPr="00DD5C65" w:rsidTr="009C16D2">
        <w:trPr>
          <w:trHeight w:val="273"/>
        </w:trPr>
        <w:tc>
          <w:tcPr>
            <w:tcW w:w="2567" w:type="dxa"/>
            <w:tcBorders>
              <w:top w:val="nil"/>
              <w:left w:val="single" w:sz="8" w:space="0" w:color="auto"/>
              <w:bottom w:val="single" w:sz="8" w:space="0" w:color="auto"/>
              <w:right w:val="nil"/>
            </w:tcBorders>
            <w:shd w:val="clear" w:color="auto" w:fill="auto"/>
            <w:noWrap/>
            <w:vAlign w:val="bottom"/>
            <w:hideMark/>
          </w:tcPr>
          <w:p w:rsidR="00314A1E" w:rsidRPr="00DD5C65" w:rsidRDefault="00314A1E" w:rsidP="009C16D2">
            <w:pPr>
              <w:spacing w:after="0" w:line="240" w:lineRule="auto"/>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 xml:space="preserve"> CHFUSD -/-&gt; USTECH</w:t>
            </w:r>
          </w:p>
        </w:tc>
        <w:tc>
          <w:tcPr>
            <w:tcW w:w="1069" w:type="dxa"/>
            <w:tcBorders>
              <w:top w:val="nil"/>
              <w:left w:val="nil"/>
              <w:bottom w:val="single" w:sz="8" w:space="0" w:color="auto"/>
              <w:right w:val="nil"/>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0,4311</w:t>
            </w:r>
          </w:p>
        </w:tc>
        <w:tc>
          <w:tcPr>
            <w:tcW w:w="1027" w:type="dxa"/>
            <w:tcBorders>
              <w:top w:val="nil"/>
              <w:left w:val="nil"/>
              <w:bottom w:val="single" w:sz="8" w:space="0" w:color="auto"/>
              <w:right w:val="single" w:sz="8" w:space="0" w:color="auto"/>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0,6499</w:t>
            </w:r>
          </w:p>
        </w:tc>
        <w:tc>
          <w:tcPr>
            <w:tcW w:w="2631" w:type="dxa"/>
            <w:tcBorders>
              <w:top w:val="nil"/>
              <w:left w:val="nil"/>
              <w:bottom w:val="single" w:sz="8" w:space="0" w:color="auto"/>
              <w:right w:val="nil"/>
            </w:tcBorders>
            <w:shd w:val="clear" w:color="auto" w:fill="auto"/>
            <w:noWrap/>
            <w:vAlign w:val="bottom"/>
            <w:hideMark/>
          </w:tcPr>
          <w:p w:rsidR="00314A1E" w:rsidRPr="00DD5C65" w:rsidRDefault="00314A1E" w:rsidP="009C16D2">
            <w:pPr>
              <w:spacing w:after="0" w:line="240" w:lineRule="auto"/>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 xml:space="preserve"> EURUSD -/-&gt; USTECH</w:t>
            </w:r>
          </w:p>
        </w:tc>
        <w:tc>
          <w:tcPr>
            <w:tcW w:w="1069" w:type="dxa"/>
            <w:tcBorders>
              <w:top w:val="nil"/>
              <w:left w:val="nil"/>
              <w:bottom w:val="single" w:sz="8" w:space="0" w:color="auto"/>
              <w:right w:val="nil"/>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2,0359</w:t>
            </w:r>
          </w:p>
        </w:tc>
        <w:tc>
          <w:tcPr>
            <w:tcW w:w="1027" w:type="dxa"/>
            <w:tcBorders>
              <w:top w:val="nil"/>
              <w:left w:val="nil"/>
              <w:bottom w:val="single" w:sz="8" w:space="0" w:color="auto"/>
              <w:right w:val="single" w:sz="8" w:space="0" w:color="auto"/>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0,1307</w:t>
            </w:r>
          </w:p>
        </w:tc>
      </w:tr>
      <w:tr w:rsidR="00314A1E" w:rsidRPr="00DD5C65" w:rsidTr="009C16D2">
        <w:trPr>
          <w:trHeight w:val="258"/>
        </w:trPr>
        <w:tc>
          <w:tcPr>
            <w:tcW w:w="2567" w:type="dxa"/>
            <w:tcBorders>
              <w:top w:val="nil"/>
              <w:left w:val="single" w:sz="8" w:space="0" w:color="auto"/>
              <w:bottom w:val="nil"/>
              <w:right w:val="nil"/>
            </w:tcBorders>
            <w:shd w:val="clear" w:color="auto" w:fill="auto"/>
            <w:noWrap/>
            <w:vAlign w:val="bottom"/>
            <w:hideMark/>
          </w:tcPr>
          <w:p w:rsidR="00314A1E" w:rsidRPr="00DD5C65" w:rsidRDefault="00314A1E" w:rsidP="009C16D2">
            <w:pPr>
              <w:spacing w:after="0" w:line="240" w:lineRule="auto"/>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 xml:space="preserve"> USOIG -/-&gt; CHFUSD</w:t>
            </w:r>
          </w:p>
        </w:tc>
        <w:tc>
          <w:tcPr>
            <w:tcW w:w="1069" w:type="dxa"/>
            <w:tcBorders>
              <w:top w:val="nil"/>
              <w:left w:val="nil"/>
              <w:bottom w:val="nil"/>
              <w:right w:val="nil"/>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7,3762</w:t>
            </w:r>
          </w:p>
        </w:tc>
        <w:tc>
          <w:tcPr>
            <w:tcW w:w="1027" w:type="dxa"/>
            <w:tcBorders>
              <w:top w:val="nil"/>
              <w:left w:val="nil"/>
              <w:bottom w:val="nil"/>
              <w:right w:val="single" w:sz="8" w:space="0" w:color="auto"/>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0,0006</w:t>
            </w:r>
          </w:p>
        </w:tc>
        <w:tc>
          <w:tcPr>
            <w:tcW w:w="2631" w:type="dxa"/>
            <w:tcBorders>
              <w:top w:val="nil"/>
              <w:left w:val="nil"/>
              <w:bottom w:val="nil"/>
              <w:right w:val="nil"/>
            </w:tcBorders>
            <w:shd w:val="clear" w:color="auto" w:fill="auto"/>
            <w:noWrap/>
            <w:vAlign w:val="bottom"/>
            <w:hideMark/>
          </w:tcPr>
          <w:p w:rsidR="00314A1E" w:rsidRPr="00DD5C65" w:rsidRDefault="00314A1E" w:rsidP="009C16D2">
            <w:pPr>
              <w:spacing w:after="0" w:line="240" w:lineRule="auto"/>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 xml:space="preserve"> USOIG -/-&gt; EURUSD</w:t>
            </w:r>
          </w:p>
        </w:tc>
        <w:tc>
          <w:tcPr>
            <w:tcW w:w="1069" w:type="dxa"/>
            <w:tcBorders>
              <w:top w:val="nil"/>
              <w:left w:val="nil"/>
              <w:bottom w:val="nil"/>
              <w:right w:val="nil"/>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30,4654</w:t>
            </w:r>
          </w:p>
        </w:tc>
        <w:tc>
          <w:tcPr>
            <w:tcW w:w="1027" w:type="dxa"/>
            <w:tcBorders>
              <w:top w:val="nil"/>
              <w:left w:val="nil"/>
              <w:bottom w:val="nil"/>
              <w:right w:val="single" w:sz="8" w:space="0" w:color="auto"/>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0</w:t>
            </w:r>
          </w:p>
        </w:tc>
      </w:tr>
      <w:tr w:rsidR="00314A1E" w:rsidRPr="00DD5C65" w:rsidTr="009C16D2">
        <w:trPr>
          <w:trHeight w:val="273"/>
        </w:trPr>
        <w:tc>
          <w:tcPr>
            <w:tcW w:w="2567" w:type="dxa"/>
            <w:tcBorders>
              <w:top w:val="nil"/>
              <w:left w:val="single" w:sz="8" w:space="0" w:color="auto"/>
              <w:bottom w:val="single" w:sz="8" w:space="0" w:color="auto"/>
              <w:right w:val="nil"/>
            </w:tcBorders>
            <w:shd w:val="clear" w:color="auto" w:fill="auto"/>
            <w:noWrap/>
            <w:vAlign w:val="bottom"/>
            <w:hideMark/>
          </w:tcPr>
          <w:p w:rsidR="00314A1E" w:rsidRPr="00DD5C65" w:rsidRDefault="00314A1E" w:rsidP="009C16D2">
            <w:pPr>
              <w:spacing w:after="0" w:line="240" w:lineRule="auto"/>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 xml:space="preserve"> CHFUSD -/-&gt; USOIG</w:t>
            </w:r>
          </w:p>
        </w:tc>
        <w:tc>
          <w:tcPr>
            <w:tcW w:w="1069" w:type="dxa"/>
            <w:tcBorders>
              <w:top w:val="nil"/>
              <w:left w:val="nil"/>
              <w:bottom w:val="single" w:sz="8" w:space="0" w:color="auto"/>
              <w:right w:val="nil"/>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3,3166</w:t>
            </w:r>
          </w:p>
        </w:tc>
        <w:tc>
          <w:tcPr>
            <w:tcW w:w="1027" w:type="dxa"/>
            <w:tcBorders>
              <w:top w:val="nil"/>
              <w:left w:val="nil"/>
              <w:bottom w:val="single" w:sz="8" w:space="0" w:color="auto"/>
              <w:right w:val="single" w:sz="8" w:space="0" w:color="auto"/>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0,0364</w:t>
            </w:r>
          </w:p>
        </w:tc>
        <w:tc>
          <w:tcPr>
            <w:tcW w:w="2631" w:type="dxa"/>
            <w:tcBorders>
              <w:top w:val="nil"/>
              <w:left w:val="nil"/>
              <w:bottom w:val="single" w:sz="8" w:space="0" w:color="auto"/>
              <w:right w:val="nil"/>
            </w:tcBorders>
            <w:shd w:val="clear" w:color="auto" w:fill="auto"/>
            <w:noWrap/>
            <w:vAlign w:val="bottom"/>
            <w:hideMark/>
          </w:tcPr>
          <w:p w:rsidR="00314A1E" w:rsidRPr="00DD5C65" w:rsidRDefault="00314A1E" w:rsidP="009C16D2">
            <w:pPr>
              <w:spacing w:after="0" w:line="240" w:lineRule="auto"/>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 xml:space="preserve"> EURUSD -/-&gt; USOIG</w:t>
            </w:r>
          </w:p>
        </w:tc>
        <w:tc>
          <w:tcPr>
            <w:tcW w:w="1069" w:type="dxa"/>
            <w:tcBorders>
              <w:top w:val="nil"/>
              <w:left w:val="nil"/>
              <w:bottom w:val="single" w:sz="8" w:space="0" w:color="auto"/>
              <w:right w:val="nil"/>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1,658</w:t>
            </w:r>
          </w:p>
        </w:tc>
        <w:tc>
          <w:tcPr>
            <w:tcW w:w="1027" w:type="dxa"/>
            <w:tcBorders>
              <w:top w:val="nil"/>
              <w:left w:val="nil"/>
              <w:bottom w:val="single" w:sz="8" w:space="0" w:color="auto"/>
              <w:right w:val="single" w:sz="8" w:space="0" w:color="auto"/>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0,1907</w:t>
            </w:r>
          </w:p>
        </w:tc>
      </w:tr>
      <w:tr w:rsidR="00314A1E" w:rsidRPr="00DD5C65" w:rsidTr="009C16D2">
        <w:trPr>
          <w:trHeight w:val="258"/>
        </w:trPr>
        <w:tc>
          <w:tcPr>
            <w:tcW w:w="2567" w:type="dxa"/>
            <w:tcBorders>
              <w:top w:val="nil"/>
              <w:left w:val="single" w:sz="8" w:space="0" w:color="auto"/>
              <w:bottom w:val="nil"/>
              <w:right w:val="nil"/>
            </w:tcBorders>
            <w:shd w:val="clear" w:color="auto" w:fill="auto"/>
            <w:noWrap/>
            <w:vAlign w:val="bottom"/>
            <w:hideMark/>
          </w:tcPr>
          <w:p w:rsidR="00314A1E" w:rsidRPr="00DD5C65" w:rsidRDefault="00314A1E" w:rsidP="009C16D2">
            <w:pPr>
              <w:spacing w:after="0" w:line="240" w:lineRule="auto"/>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 xml:space="preserve"> USIND -/-&gt; CHFUSD</w:t>
            </w:r>
          </w:p>
        </w:tc>
        <w:tc>
          <w:tcPr>
            <w:tcW w:w="1069" w:type="dxa"/>
            <w:tcBorders>
              <w:top w:val="nil"/>
              <w:left w:val="nil"/>
              <w:bottom w:val="nil"/>
              <w:right w:val="nil"/>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1,2583</w:t>
            </w:r>
          </w:p>
        </w:tc>
        <w:tc>
          <w:tcPr>
            <w:tcW w:w="1027" w:type="dxa"/>
            <w:tcBorders>
              <w:top w:val="nil"/>
              <w:left w:val="nil"/>
              <w:bottom w:val="nil"/>
              <w:right w:val="single" w:sz="8" w:space="0" w:color="auto"/>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0,2843</w:t>
            </w:r>
          </w:p>
        </w:tc>
        <w:tc>
          <w:tcPr>
            <w:tcW w:w="2631" w:type="dxa"/>
            <w:tcBorders>
              <w:top w:val="nil"/>
              <w:left w:val="nil"/>
              <w:bottom w:val="nil"/>
              <w:right w:val="nil"/>
            </w:tcBorders>
            <w:shd w:val="clear" w:color="auto" w:fill="auto"/>
            <w:noWrap/>
            <w:vAlign w:val="bottom"/>
            <w:hideMark/>
          </w:tcPr>
          <w:p w:rsidR="00314A1E" w:rsidRPr="00DD5C65" w:rsidRDefault="00314A1E" w:rsidP="009C16D2">
            <w:pPr>
              <w:spacing w:after="0" w:line="240" w:lineRule="auto"/>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 xml:space="preserve"> USIND -/-&gt; EURUSD</w:t>
            </w:r>
          </w:p>
        </w:tc>
        <w:tc>
          <w:tcPr>
            <w:tcW w:w="1069" w:type="dxa"/>
            <w:tcBorders>
              <w:top w:val="nil"/>
              <w:left w:val="nil"/>
              <w:bottom w:val="nil"/>
              <w:right w:val="nil"/>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1,6682</w:t>
            </w:r>
          </w:p>
        </w:tc>
        <w:tc>
          <w:tcPr>
            <w:tcW w:w="1027" w:type="dxa"/>
            <w:tcBorders>
              <w:top w:val="nil"/>
              <w:left w:val="nil"/>
              <w:bottom w:val="nil"/>
              <w:right w:val="single" w:sz="8" w:space="0" w:color="auto"/>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0,1888</w:t>
            </w:r>
          </w:p>
        </w:tc>
      </w:tr>
      <w:tr w:rsidR="00314A1E" w:rsidRPr="00DD5C65" w:rsidTr="009C16D2">
        <w:trPr>
          <w:trHeight w:val="273"/>
        </w:trPr>
        <w:tc>
          <w:tcPr>
            <w:tcW w:w="2567" w:type="dxa"/>
            <w:tcBorders>
              <w:top w:val="nil"/>
              <w:left w:val="single" w:sz="8" w:space="0" w:color="auto"/>
              <w:bottom w:val="single" w:sz="8" w:space="0" w:color="auto"/>
              <w:right w:val="nil"/>
            </w:tcBorders>
            <w:shd w:val="clear" w:color="auto" w:fill="auto"/>
            <w:noWrap/>
            <w:vAlign w:val="bottom"/>
            <w:hideMark/>
          </w:tcPr>
          <w:p w:rsidR="00314A1E" w:rsidRPr="00DD5C65" w:rsidRDefault="00314A1E" w:rsidP="009C16D2">
            <w:pPr>
              <w:spacing w:after="0" w:line="240" w:lineRule="auto"/>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 xml:space="preserve"> CHFUSD -/-&gt; USIND</w:t>
            </w:r>
          </w:p>
        </w:tc>
        <w:tc>
          <w:tcPr>
            <w:tcW w:w="1069" w:type="dxa"/>
            <w:tcBorders>
              <w:top w:val="nil"/>
              <w:left w:val="nil"/>
              <w:bottom w:val="single" w:sz="8" w:space="0" w:color="auto"/>
              <w:right w:val="nil"/>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2,6565</w:t>
            </w:r>
          </w:p>
        </w:tc>
        <w:tc>
          <w:tcPr>
            <w:tcW w:w="1027" w:type="dxa"/>
            <w:tcBorders>
              <w:top w:val="nil"/>
              <w:left w:val="nil"/>
              <w:bottom w:val="single" w:sz="8" w:space="0" w:color="auto"/>
              <w:right w:val="single" w:sz="8" w:space="0" w:color="auto"/>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0,0704</w:t>
            </w:r>
          </w:p>
        </w:tc>
        <w:tc>
          <w:tcPr>
            <w:tcW w:w="2631" w:type="dxa"/>
            <w:tcBorders>
              <w:top w:val="nil"/>
              <w:left w:val="nil"/>
              <w:bottom w:val="single" w:sz="8" w:space="0" w:color="auto"/>
              <w:right w:val="nil"/>
            </w:tcBorders>
            <w:shd w:val="clear" w:color="auto" w:fill="auto"/>
            <w:noWrap/>
            <w:vAlign w:val="bottom"/>
            <w:hideMark/>
          </w:tcPr>
          <w:p w:rsidR="00314A1E" w:rsidRPr="00DD5C65" w:rsidRDefault="00314A1E" w:rsidP="009C16D2">
            <w:pPr>
              <w:spacing w:after="0" w:line="240" w:lineRule="auto"/>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 xml:space="preserve"> EURUSD -/-&gt; USIND</w:t>
            </w:r>
          </w:p>
        </w:tc>
        <w:tc>
          <w:tcPr>
            <w:tcW w:w="1069" w:type="dxa"/>
            <w:tcBorders>
              <w:top w:val="nil"/>
              <w:left w:val="nil"/>
              <w:bottom w:val="single" w:sz="8" w:space="0" w:color="auto"/>
              <w:right w:val="nil"/>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3,0211</w:t>
            </w:r>
          </w:p>
        </w:tc>
        <w:tc>
          <w:tcPr>
            <w:tcW w:w="1027" w:type="dxa"/>
            <w:tcBorders>
              <w:top w:val="nil"/>
              <w:left w:val="nil"/>
              <w:bottom w:val="single" w:sz="8" w:space="0" w:color="auto"/>
              <w:right w:val="single" w:sz="8" w:space="0" w:color="auto"/>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0,0489</w:t>
            </w:r>
          </w:p>
        </w:tc>
      </w:tr>
      <w:tr w:rsidR="00314A1E" w:rsidRPr="00DD5C65" w:rsidTr="009C16D2">
        <w:trPr>
          <w:trHeight w:val="258"/>
        </w:trPr>
        <w:tc>
          <w:tcPr>
            <w:tcW w:w="2567" w:type="dxa"/>
            <w:tcBorders>
              <w:top w:val="nil"/>
              <w:left w:val="single" w:sz="8" w:space="0" w:color="auto"/>
              <w:bottom w:val="nil"/>
              <w:right w:val="nil"/>
            </w:tcBorders>
            <w:shd w:val="clear" w:color="auto" w:fill="auto"/>
            <w:noWrap/>
            <w:vAlign w:val="bottom"/>
            <w:hideMark/>
          </w:tcPr>
          <w:p w:rsidR="00314A1E" w:rsidRPr="00DD5C65" w:rsidRDefault="00314A1E" w:rsidP="009C16D2">
            <w:pPr>
              <w:spacing w:after="0" w:line="240" w:lineRule="auto"/>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 xml:space="preserve"> USHC -/-&gt; CHFUSD</w:t>
            </w:r>
          </w:p>
        </w:tc>
        <w:tc>
          <w:tcPr>
            <w:tcW w:w="1069" w:type="dxa"/>
            <w:tcBorders>
              <w:top w:val="nil"/>
              <w:left w:val="nil"/>
              <w:bottom w:val="nil"/>
              <w:right w:val="nil"/>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0,1932</w:t>
            </w:r>
          </w:p>
        </w:tc>
        <w:tc>
          <w:tcPr>
            <w:tcW w:w="1027" w:type="dxa"/>
            <w:tcBorders>
              <w:top w:val="nil"/>
              <w:left w:val="nil"/>
              <w:bottom w:val="nil"/>
              <w:right w:val="single" w:sz="8" w:space="0" w:color="auto"/>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0,8243</w:t>
            </w:r>
          </w:p>
        </w:tc>
        <w:tc>
          <w:tcPr>
            <w:tcW w:w="2631" w:type="dxa"/>
            <w:tcBorders>
              <w:top w:val="nil"/>
              <w:left w:val="nil"/>
              <w:bottom w:val="nil"/>
              <w:right w:val="nil"/>
            </w:tcBorders>
            <w:shd w:val="clear" w:color="auto" w:fill="auto"/>
            <w:noWrap/>
            <w:vAlign w:val="bottom"/>
            <w:hideMark/>
          </w:tcPr>
          <w:p w:rsidR="00314A1E" w:rsidRPr="00DD5C65" w:rsidRDefault="00314A1E" w:rsidP="009C16D2">
            <w:pPr>
              <w:spacing w:after="0" w:line="240" w:lineRule="auto"/>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 xml:space="preserve"> USHC -/-&gt; EURUSD</w:t>
            </w:r>
          </w:p>
        </w:tc>
        <w:tc>
          <w:tcPr>
            <w:tcW w:w="1069" w:type="dxa"/>
            <w:tcBorders>
              <w:top w:val="nil"/>
              <w:left w:val="nil"/>
              <w:bottom w:val="nil"/>
              <w:right w:val="nil"/>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0,4441</w:t>
            </w:r>
          </w:p>
        </w:tc>
        <w:tc>
          <w:tcPr>
            <w:tcW w:w="1027" w:type="dxa"/>
            <w:tcBorders>
              <w:top w:val="nil"/>
              <w:left w:val="nil"/>
              <w:bottom w:val="nil"/>
              <w:right w:val="single" w:sz="8" w:space="0" w:color="auto"/>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0,6414</w:t>
            </w:r>
          </w:p>
        </w:tc>
      </w:tr>
      <w:tr w:rsidR="00314A1E" w:rsidRPr="00DD5C65" w:rsidTr="009C16D2">
        <w:trPr>
          <w:trHeight w:val="273"/>
        </w:trPr>
        <w:tc>
          <w:tcPr>
            <w:tcW w:w="2567" w:type="dxa"/>
            <w:tcBorders>
              <w:top w:val="nil"/>
              <w:left w:val="single" w:sz="8" w:space="0" w:color="auto"/>
              <w:bottom w:val="single" w:sz="8" w:space="0" w:color="auto"/>
              <w:right w:val="nil"/>
            </w:tcBorders>
            <w:shd w:val="clear" w:color="auto" w:fill="auto"/>
            <w:noWrap/>
            <w:vAlign w:val="bottom"/>
            <w:hideMark/>
          </w:tcPr>
          <w:p w:rsidR="00314A1E" w:rsidRPr="00DD5C65" w:rsidRDefault="00314A1E" w:rsidP="009C16D2">
            <w:pPr>
              <w:spacing w:after="0" w:line="240" w:lineRule="auto"/>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 xml:space="preserve"> CHFUSD -/-&gt; USHC</w:t>
            </w:r>
          </w:p>
        </w:tc>
        <w:tc>
          <w:tcPr>
            <w:tcW w:w="1069" w:type="dxa"/>
            <w:tcBorders>
              <w:top w:val="nil"/>
              <w:left w:val="nil"/>
              <w:bottom w:val="single" w:sz="8" w:space="0" w:color="auto"/>
              <w:right w:val="nil"/>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2,3958</w:t>
            </w:r>
          </w:p>
        </w:tc>
        <w:tc>
          <w:tcPr>
            <w:tcW w:w="1027" w:type="dxa"/>
            <w:tcBorders>
              <w:top w:val="nil"/>
              <w:left w:val="nil"/>
              <w:bottom w:val="single" w:sz="8" w:space="0" w:color="auto"/>
              <w:right w:val="single" w:sz="8" w:space="0" w:color="auto"/>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0,0913</w:t>
            </w:r>
          </w:p>
        </w:tc>
        <w:tc>
          <w:tcPr>
            <w:tcW w:w="2631" w:type="dxa"/>
            <w:tcBorders>
              <w:top w:val="nil"/>
              <w:left w:val="nil"/>
              <w:bottom w:val="single" w:sz="8" w:space="0" w:color="auto"/>
              <w:right w:val="nil"/>
            </w:tcBorders>
            <w:shd w:val="clear" w:color="auto" w:fill="auto"/>
            <w:noWrap/>
            <w:vAlign w:val="bottom"/>
            <w:hideMark/>
          </w:tcPr>
          <w:p w:rsidR="00314A1E" w:rsidRPr="00DD5C65" w:rsidRDefault="00314A1E" w:rsidP="009C16D2">
            <w:pPr>
              <w:spacing w:after="0" w:line="240" w:lineRule="auto"/>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 xml:space="preserve"> EURUSD -/-&gt; USHC</w:t>
            </w:r>
          </w:p>
        </w:tc>
        <w:tc>
          <w:tcPr>
            <w:tcW w:w="1069" w:type="dxa"/>
            <w:tcBorders>
              <w:top w:val="nil"/>
              <w:left w:val="nil"/>
              <w:bottom w:val="single" w:sz="8" w:space="0" w:color="auto"/>
              <w:right w:val="nil"/>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1,0275</w:t>
            </w:r>
          </w:p>
        </w:tc>
        <w:tc>
          <w:tcPr>
            <w:tcW w:w="1027" w:type="dxa"/>
            <w:tcBorders>
              <w:top w:val="nil"/>
              <w:left w:val="nil"/>
              <w:bottom w:val="single" w:sz="8" w:space="0" w:color="auto"/>
              <w:right w:val="single" w:sz="8" w:space="0" w:color="auto"/>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0,358</w:t>
            </w:r>
          </w:p>
        </w:tc>
      </w:tr>
      <w:tr w:rsidR="00314A1E" w:rsidRPr="00DD5C65" w:rsidTr="009C16D2">
        <w:trPr>
          <w:trHeight w:val="258"/>
        </w:trPr>
        <w:tc>
          <w:tcPr>
            <w:tcW w:w="2567" w:type="dxa"/>
            <w:tcBorders>
              <w:top w:val="nil"/>
              <w:left w:val="single" w:sz="8" w:space="0" w:color="auto"/>
              <w:bottom w:val="nil"/>
              <w:right w:val="nil"/>
            </w:tcBorders>
            <w:shd w:val="clear" w:color="auto" w:fill="auto"/>
            <w:noWrap/>
            <w:vAlign w:val="bottom"/>
            <w:hideMark/>
          </w:tcPr>
          <w:p w:rsidR="00314A1E" w:rsidRPr="00DD5C65" w:rsidRDefault="00314A1E" w:rsidP="009C16D2">
            <w:pPr>
              <w:spacing w:after="0" w:line="240" w:lineRule="auto"/>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 xml:space="preserve"> USFSVS -/-&gt; CHFUSD</w:t>
            </w:r>
          </w:p>
        </w:tc>
        <w:tc>
          <w:tcPr>
            <w:tcW w:w="1069" w:type="dxa"/>
            <w:tcBorders>
              <w:top w:val="nil"/>
              <w:left w:val="nil"/>
              <w:bottom w:val="nil"/>
              <w:right w:val="nil"/>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1,5901</w:t>
            </w:r>
          </w:p>
        </w:tc>
        <w:tc>
          <w:tcPr>
            <w:tcW w:w="1027" w:type="dxa"/>
            <w:tcBorders>
              <w:top w:val="nil"/>
              <w:left w:val="nil"/>
              <w:bottom w:val="nil"/>
              <w:right w:val="single" w:sz="8" w:space="0" w:color="auto"/>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0,2041</w:t>
            </w:r>
          </w:p>
        </w:tc>
        <w:tc>
          <w:tcPr>
            <w:tcW w:w="2631" w:type="dxa"/>
            <w:tcBorders>
              <w:top w:val="nil"/>
              <w:left w:val="nil"/>
              <w:bottom w:val="nil"/>
              <w:right w:val="nil"/>
            </w:tcBorders>
            <w:shd w:val="clear" w:color="auto" w:fill="auto"/>
            <w:noWrap/>
            <w:vAlign w:val="bottom"/>
            <w:hideMark/>
          </w:tcPr>
          <w:p w:rsidR="00314A1E" w:rsidRPr="00DD5C65" w:rsidRDefault="00314A1E" w:rsidP="009C16D2">
            <w:pPr>
              <w:spacing w:after="0" w:line="240" w:lineRule="auto"/>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 xml:space="preserve"> USFSVS -/-&gt; EURUSD</w:t>
            </w:r>
          </w:p>
        </w:tc>
        <w:tc>
          <w:tcPr>
            <w:tcW w:w="1069" w:type="dxa"/>
            <w:tcBorders>
              <w:top w:val="nil"/>
              <w:left w:val="nil"/>
              <w:bottom w:val="nil"/>
              <w:right w:val="nil"/>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1,404</w:t>
            </w:r>
          </w:p>
        </w:tc>
        <w:tc>
          <w:tcPr>
            <w:tcW w:w="1027" w:type="dxa"/>
            <w:tcBorders>
              <w:top w:val="nil"/>
              <w:left w:val="nil"/>
              <w:bottom w:val="nil"/>
              <w:right w:val="single" w:sz="8" w:space="0" w:color="auto"/>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0,2458</w:t>
            </w:r>
          </w:p>
        </w:tc>
      </w:tr>
      <w:tr w:rsidR="00314A1E" w:rsidRPr="00DD5C65" w:rsidTr="009C16D2">
        <w:trPr>
          <w:trHeight w:val="273"/>
        </w:trPr>
        <w:tc>
          <w:tcPr>
            <w:tcW w:w="2567" w:type="dxa"/>
            <w:tcBorders>
              <w:top w:val="nil"/>
              <w:left w:val="single" w:sz="8" w:space="0" w:color="auto"/>
              <w:bottom w:val="single" w:sz="8" w:space="0" w:color="auto"/>
              <w:right w:val="nil"/>
            </w:tcBorders>
            <w:shd w:val="clear" w:color="auto" w:fill="auto"/>
            <w:noWrap/>
            <w:vAlign w:val="bottom"/>
            <w:hideMark/>
          </w:tcPr>
          <w:p w:rsidR="00314A1E" w:rsidRPr="00DD5C65" w:rsidRDefault="00314A1E" w:rsidP="009C16D2">
            <w:pPr>
              <w:spacing w:after="0" w:line="240" w:lineRule="auto"/>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 xml:space="preserve"> CHFUSD -/-&gt; USFSVS</w:t>
            </w:r>
          </w:p>
        </w:tc>
        <w:tc>
          <w:tcPr>
            <w:tcW w:w="1069" w:type="dxa"/>
            <w:tcBorders>
              <w:top w:val="nil"/>
              <w:left w:val="nil"/>
              <w:bottom w:val="single" w:sz="8" w:space="0" w:color="auto"/>
              <w:right w:val="nil"/>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0,6883</w:t>
            </w:r>
          </w:p>
        </w:tc>
        <w:tc>
          <w:tcPr>
            <w:tcW w:w="1027" w:type="dxa"/>
            <w:tcBorders>
              <w:top w:val="nil"/>
              <w:left w:val="nil"/>
              <w:bottom w:val="single" w:sz="8" w:space="0" w:color="auto"/>
              <w:right w:val="single" w:sz="8" w:space="0" w:color="auto"/>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0,5025</w:t>
            </w:r>
          </w:p>
        </w:tc>
        <w:tc>
          <w:tcPr>
            <w:tcW w:w="2631" w:type="dxa"/>
            <w:tcBorders>
              <w:top w:val="nil"/>
              <w:left w:val="nil"/>
              <w:bottom w:val="single" w:sz="8" w:space="0" w:color="auto"/>
              <w:right w:val="nil"/>
            </w:tcBorders>
            <w:shd w:val="clear" w:color="auto" w:fill="auto"/>
            <w:noWrap/>
            <w:vAlign w:val="bottom"/>
            <w:hideMark/>
          </w:tcPr>
          <w:p w:rsidR="00314A1E" w:rsidRPr="00DD5C65" w:rsidRDefault="00314A1E" w:rsidP="009C16D2">
            <w:pPr>
              <w:spacing w:after="0" w:line="240" w:lineRule="auto"/>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 xml:space="preserve"> EURUSD -/-&gt; USFSVS</w:t>
            </w:r>
          </w:p>
        </w:tc>
        <w:tc>
          <w:tcPr>
            <w:tcW w:w="1069" w:type="dxa"/>
            <w:tcBorders>
              <w:top w:val="nil"/>
              <w:left w:val="nil"/>
              <w:bottom w:val="single" w:sz="8" w:space="0" w:color="auto"/>
              <w:right w:val="nil"/>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2,7588</w:t>
            </w:r>
          </w:p>
        </w:tc>
        <w:tc>
          <w:tcPr>
            <w:tcW w:w="1027" w:type="dxa"/>
            <w:tcBorders>
              <w:top w:val="nil"/>
              <w:left w:val="nil"/>
              <w:bottom w:val="single" w:sz="8" w:space="0" w:color="auto"/>
              <w:right w:val="single" w:sz="8" w:space="0" w:color="auto"/>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0,0635</w:t>
            </w:r>
          </w:p>
        </w:tc>
      </w:tr>
      <w:tr w:rsidR="00314A1E" w:rsidRPr="00DD5C65" w:rsidTr="009C16D2">
        <w:trPr>
          <w:trHeight w:val="258"/>
        </w:trPr>
        <w:tc>
          <w:tcPr>
            <w:tcW w:w="2567" w:type="dxa"/>
            <w:tcBorders>
              <w:top w:val="nil"/>
              <w:left w:val="single" w:sz="8" w:space="0" w:color="auto"/>
              <w:bottom w:val="nil"/>
              <w:right w:val="nil"/>
            </w:tcBorders>
            <w:shd w:val="clear" w:color="auto" w:fill="auto"/>
            <w:noWrap/>
            <w:vAlign w:val="bottom"/>
            <w:hideMark/>
          </w:tcPr>
          <w:p w:rsidR="00314A1E" w:rsidRPr="00DD5C65" w:rsidRDefault="00314A1E" w:rsidP="009C16D2">
            <w:pPr>
              <w:spacing w:after="0" w:line="240" w:lineRule="auto"/>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 xml:space="preserve"> USCS -/-&gt; CHFUSD</w:t>
            </w:r>
          </w:p>
        </w:tc>
        <w:tc>
          <w:tcPr>
            <w:tcW w:w="1069" w:type="dxa"/>
            <w:tcBorders>
              <w:top w:val="nil"/>
              <w:left w:val="nil"/>
              <w:bottom w:val="nil"/>
              <w:right w:val="nil"/>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0,3204</w:t>
            </w:r>
          </w:p>
        </w:tc>
        <w:tc>
          <w:tcPr>
            <w:tcW w:w="1027" w:type="dxa"/>
            <w:tcBorders>
              <w:top w:val="nil"/>
              <w:left w:val="nil"/>
              <w:bottom w:val="nil"/>
              <w:right w:val="single" w:sz="8" w:space="0" w:color="auto"/>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0,7259</w:t>
            </w:r>
          </w:p>
        </w:tc>
        <w:tc>
          <w:tcPr>
            <w:tcW w:w="2631" w:type="dxa"/>
            <w:tcBorders>
              <w:top w:val="nil"/>
              <w:left w:val="nil"/>
              <w:bottom w:val="nil"/>
              <w:right w:val="nil"/>
            </w:tcBorders>
            <w:shd w:val="clear" w:color="auto" w:fill="auto"/>
            <w:noWrap/>
            <w:vAlign w:val="bottom"/>
            <w:hideMark/>
          </w:tcPr>
          <w:p w:rsidR="00314A1E" w:rsidRPr="00DD5C65" w:rsidRDefault="00314A1E" w:rsidP="009C16D2">
            <w:pPr>
              <w:spacing w:after="0" w:line="240" w:lineRule="auto"/>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 xml:space="preserve"> USCS -/-&gt; EURUSD</w:t>
            </w:r>
          </w:p>
        </w:tc>
        <w:tc>
          <w:tcPr>
            <w:tcW w:w="1069" w:type="dxa"/>
            <w:tcBorders>
              <w:top w:val="nil"/>
              <w:left w:val="nil"/>
              <w:bottom w:val="nil"/>
              <w:right w:val="nil"/>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1,0278</w:t>
            </w:r>
          </w:p>
        </w:tc>
        <w:tc>
          <w:tcPr>
            <w:tcW w:w="1027" w:type="dxa"/>
            <w:tcBorders>
              <w:top w:val="nil"/>
              <w:left w:val="nil"/>
              <w:bottom w:val="nil"/>
              <w:right w:val="single" w:sz="8" w:space="0" w:color="auto"/>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0,3579</w:t>
            </w:r>
          </w:p>
        </w:tc>
      </w:tr>
      <w:tr w:rsidR="00314A1E" w:rsidRPr="00DD5C65" w:rsidTr="009C16D2">
        <w:trPr>
          <w:trHeight w:val="273"/>
        </w:trPr>
        <w:tc>
          <w:tcPr>
            <w:tcW w:w="2567" w:type="dxa"/>
            <w:tcBorders>
              <w:top w:val="nil"/>
              <w:left w:val="single" w:sz="8" w:space="0" w:color="auto"/>
              <w:bottom w:val="single" w:sz="8" w:space="0" w:color="auto"/>
              <w:right w:val="nil"/>
            </w:tcBorders>
            <w:shd w:val="clear" w:color="auto" w:fill="auto"/>
            <w:noWrap/>
            <w:vAlign w:val="bottom"/>
            <w:hideMark/>
          </w:tcPr>
          <w:p w:rsidR="00314A1E" w:rsidRPr="00DD5C65" w:rsidRDefault="00314A1E" w:rsidP="009C16D2">
            <w:pPr>
              <w:spacing w:after="0" w:line="240" w:lineRule="auto"/>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 xml:space="preserve"> CHFUSD -/-&gt; USCS</w:t>
            </w:r>
          </w:p>
        </w:tc>
        <w:tc>
          <w:tcPr>
            <w:tcW w:w="1069" w:type="dxa"/>
            <w:tcBorders>
              <w:top w:val="nil"/>
              <w:left w:val="nil"/>
              <w:bottom w:val="single" w:sz="8" w:space="0" w:color="auto"/>
              <w:right w:val="nil"/>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0,8815</w:t>
            </w:r>
          </w:p>
        </w:tc>
        <w:tc>
          <w:tcPr>
            <w:tcW w:w="1027" w:type="dxa"/>
            <w:tcBorders>
              <w:top w:val="nil"/>
              <w:left w:val="nil"/>
              <w:bottom w:val="single" w:sz="8" w:space="0" w:color="auto"/>
              <w:right w:val="single" w:sz="8" w:space="0" w:color="auto"/>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0,4143</w:t>
            </w:r>
          </w:p>
        </w:tc>
        <w:tc>
          <w:tcPr>
            <w:tcW w:w="2631" w:type="dxa"/>
            <w:tcBorders>
              <w:top w:val="nil"/>
              <w:left w:val="nil"/>
              <w:bottom w:val="single" w:sz="8" w:space="0" w:color="auto"/>
              <w:right w:val="nil"/>
            </w:tcBorders>
            <w:shd w:val="clear" w:color="auto" w:fill="auto"/>
            <w:noWrap/>
            <w:vAlign w:val="bottom"/>
            <w:hideMark/>
          </w:tcPr>
          <w:p w:rsidR="00314A1E" w:rsidRPr="00DD5C65" w:rsidRDefault="00314A1E" w:rsidP="009C16D2">
            <w:pPr>
              <w:spacing w:after="0" w:line="240" w:lineRule="auto"/>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 xml:space="preserve"> EURUSD -/-&gt; USCS</w:t>
            </w:r>
          </w:p>
        </w:tc>
        <w:tc>
          <w:tcPr>
            <w:tcW w:w="1069" w:type="dxa"/>
            <w:tcBorders>
              <w:top w:val="nil"/>
              <w:left w:val="nil"/>
              <w:bottom w:val="single" w:sz="8" w:space="0" w:color="auto"/>
              <w:right w:val="nil"/>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1,0001</w:t>
            </w:r>
          </w:p>
        </w:tc>
        <w:tc>
          <w:tcPr>
            <w:tcW w:w="1027" w:type="dxa"/>
            <w:tcBorders>
              <w:top w:val="nil"/>
              <w:left w:val="nil"/>
              <w:bottom w:val="single" w:sz="8" w:space="0" w:color="auto"/>
              <w:right w:val="single" w:sz="8" w:space="0" w:color="auto"/>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0,368</w:t>
            </w:r>
          </w:p>
        </w:tc>
      </w:tr>
      <w:tr w:rsidR="00314A1E" w:rsidRPr="00DD5C65" w:rsidTr="009C16D2">
        <w:trPr>
          <w:trHeight w:val="258"/>
        </w:trPr>
        <w:tc>
          <w:tcPr>
            <w:tcW w:w="2567" w:type="dxa"/>
            <w:tcBorders>
              <w:top w:val="nil"/>
              <w:left w:val="single" w:sz="8" w:space="0" w:color="auto"/>
              <w:bottom w:val="nil"/>
              <w:right w:val="nil"/>
            </w:tcBorders>
            <w:shd w:val="clear" w:color="auto" w:fill="auto"/>
            <w:noWrap/>
            <w:vAlign w:val="bottom"/>
            <w:hideMark/>
          </w:tcPr>
          <w:p w:rsidR="00314A1E" w:rsidRPr="00DD5C65" w:rsidRDefault="00314A1E" w:rsidP="009C16D2">
            <w:pPr>
              <w:spacing w:after="0" w:line="240" w:lineRule="auto"/>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 xml:space="preserve"> USCGDS -/-&gt; CHFUSD</w:t>
            </w:r>
          </w:p>
        </w:tc>
        <w:tc>
          <w:tcPr>
            <w:tcW w:w="1069" w:type="dxa"/>
            <w:tcBorders>
              <w:top w:val="nil"/>
              <w:left w:val="nil"/>
              <w:bottom w:val="nil"/>
              <w:right w:val="nil"/>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0,7129</w:t>
            </w:r>
          </w:p>
        </w:tc>
        <w:tc>
          <w:tcPr>
            <w:tcW w:w="1027" w:type="dxa"/>
            <w:tcBorders>
              <w:top w:val="nil"/>
              <w:left w:val="nil"/>
              <w:bottom w:val="nil"/>
              <w:right w:val="single" w:sz="8" w:space="0" w:color="auto"/>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0,4903</w:t>
            </w:r>
          </w:p>
        </w:tc>
        <w:tc>
          <w:tcPr>
            <w:tcW w:w="2631" w:type="dxa"/>
            <w:tcBorders>
              <w:top w:val="nil"/>
              <w:left w:val="nil"/>
              <w:bottom w:val="nil"/>
              <w:right w:val="nil"/>
            </w:tcBorders>
            <w:shd w:val="clear" w:color="auto" w:fill="auto"/>
            <w:noWrap/>
            <w:vAlign w:val="bottom"/>
            <w:hideMark/>
          </w:tcPr>
          <w:p w:rsidR="00314A1E" w:rsidRPr="00DD5C65" w:rsidRDefault="00314A1E" w:rsidP="009C16D2">
            <w:pPr>
              <w:spacing w:after="0" w:line="240" w:lineRule="auto"/>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 xml:space="preserve"> USCGDS -/-&gt; EURUSD</w:t>
            </w:r>
          </w:p>
        </w:tc>
        <w:tc>
          <w:tcPr>
            <w:tcW w:w="1069" w:type="dxa"/>
            <w:tcBorders>
              <w:top w:val="nil"/>
              <w:left w:val="nil"/>
              <w:bottom w:val="nil"/>
              <w:right w:val="nil"/>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1,2304</w:t>
            </w:r>
          </w:p>
        </w:tc>
        <w:tc>
          <w:tcPr>
            <w:tcW w:w="1027" w:type="dxa"/>
            <w:tcBorders>
              <w:top w:val="nil"/>
              <w:left w:val="nil"/>
              <w:bottom w:val="nil"/>
              <w:right w:val="single" w:sz="8" w:space="0" w:color="auto"/>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0,2923</w:t>
            </w:r>
          </w:p>
        </w:tc>
      </w:tr>
      <w:tr w:rsidR="00314A1E" w:rsidRPr="00DD5C65" w:rsidTr="009C16D2">
        <w:trPr>
          <w:trHeight w:val="273"/>
        </w:trPr>
        <w:tc>
          <w:tcPr>
            <w:tcW w:w="2567" w:type="dxa"/>
            <w:tcBorders>
              <w:top w:val="nil"/>
              <w:left w:val="single" w:sz="8" w:space="0" w:color="auto"/>
              <w:bottom w:val="single" w:sz="8" w:space="0" w:color="auto"/>
              <w:right w:val="nil"/>
            </w:tcBorders>
            <w:shd w:val="clear" w:color="auto" w:fill="auto"/>
            <w:noWrap/>
            <w:vAlign w:val="bottom"/>
            <w:hideMark/>
          </w:tcPr>
          <w:p w:rsidR="00314A1E" w:rsidRPr="00DD5C65" w:rsidRDefault="00314A1E" w:rsidP="009C16D2">
            <w:pPr>
              <w:spacing w:after="0" w:line="240" w:lineRule="auto"/>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 xml:space="preserve"> CHFUSD -/-&gt; USCGDS</w:t>
            </w:r>
          </w:p>
        </w:tc>
        <w:tc>
          <w:tcPr>
            <w:tcW w:w="1069" w:type="dxa"/>
            <w:tcBorders>
              <w:top w:val="nil"/>
              <w:left w:val="nil"/>
              <w:bottom w:val="single" w:sz="8" w:space="0" w:color="auto"/>
              <w:right w:val="nil"/>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4,9439</w:t>
            </w:r>
          </w:p>
        </w:tc>
        <w:tc>
          <w:tcPr>
            <w:tcW w:w="1027" w:type="dxa"/>
            <w:tcBorders>
              <w:top w:val="nil"/>
              <w:left w:val="nil"/>
              <w:bottom w:val="single" w:sz="8" w:space="0" w:color="auto"/>
              <w:right w:val="single" w:sz="8" w:space="0" w:color="auto"/>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0,0072</w:t>
            </w:r>
          </w:p>
        </w:tc>
        <w:tc>
          <w:tcPr>
            <w:tcW w:w="2631" w:type="dxa"/>
            <w:tcBorders>
              <w:top w:val="nil"/>
              <w:left w:val="nil"/>
              <w:bottom w:val="single" w:sz="8" w:space="0" w:color="auto"/>
              <w:right w:val="nil"/>
            </w:tcBorders>
            <w:shd w:val="clear" w:color="auto" w:fill="auto"/>
            <w:noWrap/>
            <w:vAlign w:val="bottom"/>
            <w:hideMark/>
          </w:tcPr>
          <w:p w:rsidR="00314A1E" w:rsidRPr="00DD5C65" w:rsidRDefault="00314A1E" w:rsidP="009C16D2">
            <w:pPr>
              <w:spacing w:after="0" w:line="240" w:lineRule="auto"/>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 xml:space="preserve"> EURUSD -/-&gt; USCGDS</w:t>
            </w:r>
          </w:p>
        </w:tc>
        <w:tc>
          <w:tcPr>
            <w:tcW w:w="1069" w:type="dxa"/>
            <w:tcBorders>
              <w:top w:val="nil"/>
              <w:left w:val="nil"/>
              <w:bottom w:val="single" w:sz="8" w:space="0" w:color="auto"/>
              <w:right w:val="nil"/>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3,3858</w:t>
            </w:r>
          </w:p>
        </w:tc>
        <w:tc>
          <w:tcPr>
            <w:tcW w:w="1027" w:type="dxa"/>
            <w:tcBorders>
              <w:top w:val="nil"/>
              <w:left w:val="nil"/>
              <w:bottom w:val="single" w:sz="8" w:space="0" w:color="auto"/>
              <w:right w:val="single" w:sz="8" w:space="0" w:color="auto"/>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0,034</w:t>
            </w:r>
          </w:p>
        </w:tc>
      </w:tr>
      <w:tr w:rsidR="00314A1E" w:rsidRPr="00DD5C65" w:rsidTr="009C16D2">
        <w:trPr>
          <w:trHeight w:val="258"/>
        </w:trPr>
        <w:tc>
          <w:tcPr>
            <w:tcW w:w="2567" w:type="dxa"/>
            <w:tcBorders>
              <w:top w:val="nil"/>
              <w:left w:val="single" w:sz="8" w:space="0" w:color="auto"/>
              <w:bottom w:val="nil"/>
              <w:right w:val="nil"/>
            </w:tcBorders>
            <w:shd w:val="clear" w:color="auto" w:fill="auto"/>
            <w:noWrap/>
            <w:vAlign w:val="bottom"/>
            <w:hideMark/>
          </w:tcPr>
          <w:p w:rsidR="00314A1E" w:rsidRPr="00DD5C65" w:rsidRDefault="00314A1E" w:rsidP="009C16D2">
            <w:pPr>
              <w:spacing w:after="0" w:line="240" w:lineRule="auto"/>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 xml:space="preserve"> USBM -/-&gt; CHFUSD</w:t>
            </w:r>
          </w:p>
        </w:tc>
        <w:tc>
          <w:tcPr>
            <w:tcW w:w="1069" w:type="dxa"/>
            <w:tcBorders>
              <w:top w:val="nil"/>
              <w:left w:val="nil"/>
              <w:bottom w:val="nil"/>
              <w:right w:val="nil"/>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9,0518</w:t>
            </w:r>
          </w:p>
        </w:tc>
        <w:tc>
          <w:tcPr>
            <w:tcW w:w="1027" w:type="dxa"/>
            <w:tcBorders>
              <w:top w:val="nil"/>
              <w:left w:val="nil"/>
              <w:bottom w:val="nil"/>
              <w:right w:val="single" w:sz="8" w:space="0" w:color="auto"/>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0,0001</w:t>
            </w:r>
          </w:p>
        </w:tc>
        <w:tc>
          <w:tcPr>
            <w:tcW w:w="2631" w:type="dxa"/>
            <w:tcBorders>
              <w:top w:val="nil"/>
              <w:left w:val="nil"/>
              <w:bottom w:val="nil"/>
              <w:right w:val="nil"/>
            </w:tcBorders>
            <w:shd w:val="clear" w:color="auto" w:fill="auto"/>
            <w:noWrap/>
            <w:vAlign w:val="bottom"/>
            <w:hideMark/>
          </w:tcPr>
          <w:p w:rsidR="00314A1E" w:rsidRPr="00DD5C65" w:rsidRDefault="00314A1E" w:rsidP="009C16D2">
            <w:pPr>
              <w:spacing w:after="0" w:line="240" w:lineRule="auto"/>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 xml:space="preserve"> USBM -/-&gt; EURUSD</w:t>
            </w:r>
          </w:p>
        </w:tc>
        <w:tc>
          <w:tcPr>
            <w:tcW w:w="1069" w:type="dxa"/>
            <w:tcBorders>
              <w:top w:val="nil"/>
              <w:left w:val="nil"/>
              <w:bottom w:val="nil"/>
              <w:right w:val="nil"/>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29,7403</w:t>
            </w:r>
          </w:p>
        </w:tc>
        <w:tc>
          <w:tcPr>
            <w:tcW w:w="1027" w:type="dxa"/>
            <w:tcBorders>
              <w:top w:val="nil"/>
              <w:left w:val="nil"/>
              <w:bottom w:val="nil"/>
              <w:right w:val="single" w:sz="8" w:space="0" w:color="auto"/>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0</w:t>
            </w:r>
          </w:p>
        </w:tc>
      </w:tr>
      <w:tr w:rsidR="00314A1E" w:rsidRPr="00DD5C65" w:rsidTr="009C16D2">
        <w:trPr>
          <w:trHeight w:val="273"/>
        </w:trPr>
        <w:tc>
          <w:tcPr>
            <w:tcW w:w="2567" w:type="dxa"/>
            <w:tcBorders>
              <w:top w:val="nil"/>
              <w:left w:val="single" w:sz="8" w:space="0" w:color="auto"/>
              <w:bottom w:val="single" w:sz="8" w:space="0" w:color="auto"/>
              <w:right w:val="nil"/>
            </w:tcBorders>
            <w:shd w:val="clear" w:color="auto" w:fill="auto"/>
            <w:noWrap/>
            <w:vAlign w:val="bottom"/>
            <w:hideMark/>
          </w:tcPr>
          <w:p w:rsidR="00314A1E" w:rsidRPr="00DD5C65" w:rsidRDefault="00314A1E" w:rsidP="009C16D2">
            <w:pPr>
              <w:spacing w:after="0" w:line="240" w:lineRule="auto"/>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 xml:space="preserve"> CHFUSD -/-&gt; USBM</w:t>
            </w:r>
          </w:p>
        </w:tc>
        <w:tc>
          <w:tcPr>
            <w:tcW w:w="1069" w:type="dxa"/>
            <w:tcBorders>
              <w:top w:val="nil"/>
              <w:left w:val="nil"/>
              <w:bottom w:val="single" w:sz="8" w:space="0" w:color="auto"/>
              <w:right w:val="nil"/>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5,1802</w:t>
            </w:r>
          </w:p>
        </w:tc>
        <w:tc>
          <w:tcPr>
            <w:tcW w:w="1027" w:type="dxa"/>
            <w:tcBorders>
              <w:top w:val="nil"/>
              <w:left w:val="nil"/>
              <w:bottom w:val="single" w:sz="8" w:space="0" w:color="auto"/>
              <w:right w:val="single" w:sz="8" w:space="0" w:color="auto"/>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0,0057</w:t>
            </w:r>
          </w:p>
        </w:tc>
        <w:tc>
          <w:tcPr>
            <w:tcW w:w="2631" w:type="dxa"/>
            <w:tcBorders>
              <w:top w:val="nil"/>
              <w:left w:val="nil"/>
              <w:bottom w:val="single" w:sz="8" w:space="0" w:color="auto"/>
              <w:right w:val="nil"/>
            </w:tcBorders>
            <w:shd w:val="clear" w:color="auto" w:fill="auto"/>
            <w:noWrap/>
            <w:vAlign w:val="bottom"/>
            <w:hideMark/>
          </w:tcPr>
          <w:p w:rsidR="00314A1E" w:rsidRPr="00DD5C65" w:rsidRDefault="00314A1E" w:rsidP="009C16D2">
            <w:pPr>
              <w:spacing w:after="0" w:line="240" w:lineRule="auto"/>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 xml:space="preserve"> EURUSD -/-&gt; USBM</w:t>
            </w:r>
          </w:p>
        </w:tc>
        <w:tc>
          <w:tcPr>
            <w:tcW w:w="1069" w:type="dxa"/>
            <w:tcBorders>
              <w:top w:val="nil"/>
              <w:left w:val="nil"/>
              <w:bottom w:val="single" w:sz="8" w:space="0" w:color="auto"/>
              <w:right w:val="nil"/>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3,9437</w:t>
            </w:r>
          </w:p>
        </w:tc>
        <w:tc>
          <w:tcPr>
            <w:tcW w:w="1027" w:type="dxa"/>
            <w:tcBorders>
              <w:top w:val="nil"/>
              <w:left w:val="nil"/>
              <w:bottom w:val="single" w:sz="8" w:space="0" w:color="auto"/>
              <w:right w:val="single" w:sz="8" w:space="0" w:color="auto"/>
            </w:tcBorders>
            <w:shd w:val="clear" w:color="auto" w:fill="auto"/>
            <w:noWrap/>
            <w:vAlign w:val="bottom"/>
            <w:hideMark/>
          </w:tcPr>
          <w:p w:rsidR="00314A1E" w:rsidRPr="00DD5C65" w:rsidRDefault="00314A1E" w:rsidP="009C16D2">
            <w:pPr>
              <w:spacing w:after="0" w:line="240" w:lineRule="auto"/>
              <w:jc w:val="right"/>
              <w:rPr>
                <w:rFonts w:ascii="Arial" w:eastAsia="Times New Roman" w:hAnsi="Arial" w:cs="Arial"/>
                <w:sz w:val="20"/>
                <w:szCs w:val="20"/>
                <w:lang w:val="nl-NL" w:eastAsia="nl-NL" w:bidi="ar-SA"/>
              </w:rPr>
            </w:pPr>
            <w:r w:rsidRPr="00DD5C65">
              <w:rPr>
                <w:rFonts w:ascii="Arial" w:eastAsia="Times New Roman" w:hAnsi="Arial" w:cs="Arial"/>
                <w:sz w:val="20"/>
                <w:szCs w:val="20"/>
                <w:lang w:val="nl-NL" w:eastAsia="nl-NL" w:bidi="ar-SA"/>
              </w:rPr>
              <w:t>0,0195</w:t>
            </w:r>
          </w:p>
        </w:tc>
      </w:tr>
    </w:tbl>
    <w:p w:rsidR="00314A1E" w:rsidRDefault="00314A1E" w:rsidP="00314A1E">
      <w:pPr>
        <w:pStyle w:val="NoSpacing"/>
        <w:ind w:left="720"/>
      </w:pPr>
    </w:p>
    <w:p w:rsidR="00314A1E" w:rsidRDefault="00861EA7" w:rsidP="00314A1E">
      <w:pPr>
        <w:pStyle w:val="NoSpacing"/>
        <w:numPr>
          <w:ilvl w:val="0"/>
          <w:numId w:val="13"/>
        </w:numPr>
      </w:pPr>
      <w:r>
        <w:t>3</w:t>
      </w:r>
      <w:r w:rsidR="00314A1E">
        <w:t xml:space="preserve"> US ind</w:t>
      </w:r>
      <w:r>
        <w:t>ices</w:t>
      </w:r>
      <w:r w:rsidR="00314A1E">
        <w:t xml:space="preserve"> Granger cause the Swiss franc (telecom, oil and gas, basic materials)</w:t>
      </w:r>
    </w:p>
    <w:p w:rsidR="00314A1E" w:rsidRDefault="00314A1E" w:rsidP="00314A1E">
      <w:pPr>
        <w:pStyle w:val="NoSpacing"/>
        <w:numPr>
          <w:ilvl w:val="0"/>
          <w:numId w:val="13"/>
        </w:numPr>
      </w:pPr>
      <w:r>
        <w:t xml:space="preserve">The Swiss franc Granger causes </w:t>
      </w:r>
      <w:r w:rsidR="00861EA7">
        <w:t xml:space="preserve">4 </w:t>
      </w:r>
      <w:r>
        <w:t>US ind</w:t>
      </w:r>
      <w:r w:rsidR="00861EA7">
        <w:t>ices</w:t>
      </w:r>
      <w:r>
        <w:t xml:space="preserve"> (utilities, oil and gas, consumer goods, basic materials)</w:t>
      </w:r>
    </w:p>
    <w:p w:rsidR="00314A1E" w:rsidRDefault="00314A1E" w:rsidP="00314A1E">
      <w:pPr>
        <w:pStyle w:val="NoSpacing"/>
      </w:pPr>
    </w:p>
    <w:p w:rsidR="00314A1E" w:rsidRDefault="00314A1E" w:rsidP="00314A1E">
      <w:pPr>
        <w:pStyle w:val="NoSpacing"/>
      </w:pPr>
      <w:r>
        <w:t xml:space="preserve">All directions of influence are positive, except the influence of the Swiss franc on utilities and consumer </w:t>
      </w:r>
      <w:proofErr w:type="gramStart"/>
      <w:r>
        <w:t>goods,</w:t>
      </w:r>
      <w:proofErr w:type="gramEnd"/>
      <w:r>
        <w:t xml:space="preserve"> they increase after an appreciation of the dollar (see appendix). Consumer goods profit from cheaper imports. For utilities it is more complicated, but the oil price could explain a part. Two feedback relations are found, oil and gas and basic materials. To think of a third variable that influences the Swiss franc and the oil and gas sector is not very difficult; again the price of oil. </w:t>
      </w:r>
    </w:p>
    <w:p w:rsidR="00314A1E" w:rsidRDefault="00314A1E" w:rsidP="00314A1E">
      <w:pPr>
        <w:pStyle w:val="NoSpacing"/>
      </w:pPr>
    </w:p>
    <w:p w:rsidR="00314A1E" w:rsidRDefault="00861EA7" w:rsidP="00314A1E">
      <w:pPr>
        <w:pStyle w:val="NoSpacing"/>
        <w:numPr>
          <w:ilvl w:val="0"/>
          <w:numId w:val="13"/>
        </w:numPr>
      </w:pPr>
      <w:r>
        <w:t>4</w:t>
      </w:r>
      <w:r w:rsidR="00314A1E">
        <w:t xml:space="preserve"> US ind</w:t>
      </w:r>
      <w:r>
        <w:t>ices</w:t>
      </w:r>
      <w:r w:rsidR="00314A1E">
        <w:t xml:space="preserve"> Granger cause the euro (utilities, technology, oil and gas, basic materials)</w:t>
      </w:r>
    </w:p>
    <w:p w:rsidR="00314A1E" w:rsidRDefault="00314A1E" w:rsidP="00314A1E">
      <w:pPr>
        <w:pStyle w:val="NoSpacing"/>
        <w:numPr>
          <w:ilvl w:val="0"/>
          <w:numId w:val="13"/>
        </w:numPr>
      </w:pPr>
      <w:r>
        <w:t xml:space="preserve">The euro Granger causes </w:t>
      </w:r>
      <w:r w:rsidR="00861EA7">
        <w:t>3</w:t>
      </w:r>
      <w:r>
        <w:t xml:space="preserve"> US ind</w:t>
      </w:r>
      <w:r w:rsidR="00861EA7">
        <w:t xml:space="preserve">ices </w:t>
      </w:r>
      <w:r>
        <w:t xml:space="preserve"> (industries, consumer goods, basic materials)</w:t>
      </w:r>
    </w:p>
    <w:p w:rsidR="00314A1E" w:rsidRDefault="00314A1E" w:rsidP="00314A1E">
      <w:pPr>
        <w:pStyle w:val="NoSpacing"/>
      </w:pPr>
    </w:p>
    <w:p w:rsidR="00314A1E" w:rsidRDefault="00314A1E" w:rsidP="00314A1E">
      <w:pPr>
        <w:pStyle w:val="NoSpacing"/>
      </w:pPr>
      <w:r>
        <w:t xml:space="preserve">The EURUSD has not more relationships with the US indices than the CHFUSD, it is a remarkable fact because there is a lot more currency trade in the euro, the </w:t>
      </w:r>
      <w:proofErr w:type="spellStart"/>
      <w:r>
        <w:t>eurozone</w:t>
      </w:r>
      <w:proofErr w:type="spellEnd"/>
      <w:r>
        <w:t xml:space="preserve"> is one of the world’s most important regions and it is more important trading partner than Switzerland. A high correlation coefficient of 95% between EURUSD and CHFUSD could explain this. This is also the reason why we see for sectors in the US that are influenced by both currencies than in the EU.</w:t>
      </w:r>
    </w:p>
    <w:p w:rsidR="00314A1E" w:rsidRDefault="00314A1E" w:rsidP="00314A1E">
      <w:pPr>
        <w:pStyle w:val="NoSpacing"/>
      </w:pPr>
      <w:r>
        <w:t xml:space="preserve"> </w:t>
      </w:r>
    </w:p>
    <w:p w:rsidR="00314A1E" w:rsidRDefault="00314A1E" w:rsidP="00314A1E">
      <w:pPr>
        <w:pStyle w:val="NoSpacing"/>
      </w:pPr>
      <w:r>
        <w:t xml:space="preserve">Consumer goods and basic materials are Granger caused by both the EURUSD and CHFUSD, indicating that companies in both sectors are highly sensible to changes in the dollar. Basic materials has a positive feedback relation with both currencies, probably cheap imports are responsible for this result. The relationship of consumer goods with both currencies is </w:t>
      </w:r>
      <w:proofErr w:type="gramStart"/>
      <w:r>
        <w:t>different,</w:t>
      </w:r>
      <w:proofErr w:type="gramEnd"/>
      <w:r>
        <w:t xml:space="preserve"> maybe trade patrons could explain the differences.  </w:t>
      </w:r>
    </w:p>
    <w:p w:rsidR="00314A1E" w:rsidRDefault="00314A1E" w:rsidP="00314A1E">
      <w:pPr>
        <w:pStyle w:val="NoSpacing"/>
      </w:pPr>
    </w:p>
    <w:p w:rsidR="00314A1E" w:rsidRDefault="00314A1E" w:rsidP="00314A1E">
      <w:pPr>
        <w:pStyle w:val="NoSpacing"/>
      </w:pPr>
      <w:r>
        <w:t xml:space="preserve">The results for tests done with the US data are less strong than the earlier discussed European tests. Again the stock indices show more power in predicting the currency than the currency predicting the stock indices. This makes it plausible to assume that the stock exchanges are more important predictors of the exchange rates than vice versa, which is according to the balanced-model theory. If we look to the results, there is not a consistent pattern between the tests done with the Swiss franc and tests done with the euro. </w:t>
      </w:r>
    </w:p>
    <w:p w:rsidR="00314A1E" w:rsidRDefault="00314A1E" w:rsidP="00314A1E">
      <w:pPr>
        <w:pStyle w:val="NoSpacing"/>
      </w:pPr>
    </w:p>
    <w:p w:rsidR="00314A1E" w:rsidRDefault="00314A1E" w:rsidP="00314A1E">
      <w:pPr>
        <w:pStyle w:val="NoSpacing"/>
      </w:pPr>
      <w:r>
        <w:t xml:space="preserve">The difference between the significant results for Europe and the US can be due to the Swiss franc as the second currency. It is obvious that European stocks have a strong relationship with the Swiss franc. If another currency was used, for example the Canadian or Hong Kong dollar the results could be more in advantage of the US. But for this research we conclude that the US stocks show less relations with exchange rates than the European stocks. </w:t>
      </w:r>
    </w:p>
    <w:p w:rsidR="00314A1E" w:rsidRDefault="00314A1E" w:rsidP="00314A1E">
      <w:pPr>
        <w:pStyle w:val="NoSpacing"/>
      </w:pPr>
    </w:p>
    <w:p w:rsidR="00314A1E" w:rsidRDefault="00314A1E" w:rsidP="00314A1E">
      <w:pPr>
        <w:pStyle w:val="NoSpacing"/>
      </w:pPr>
    </w:p>
    <w:p w:rsidR="00314A1E" w:rsidRDefault="00314A1E" w:rsidP="00314A1E">
      <w:pPr>
        <w:pStyle w:val="NoSpacing"/>
      </w:pPr>
    </w:p>
    <w:p w:rsidR="00314A1E" w:rsidRDefault="00314A1E" w:rsidP="00314A1E">
      <w:pPr>
        <w:pStyle w:val="NoSpacing"/>
      </w:pPr>
    </w:p>
    <w:p w:rsidR="00314A1E" w:rsidRDefault="00314A1E" w:rsidP="009C16D2">
      <w:pPr>
        <w:pStyle w:val="Heading1"/>
      </w:pPr>
    </w:p>
    <w:p w:rsidR="00D6604F" w:rsidRDefault="00D6604F" w:rsidP="00D6604F"/>
    <w:p w:rsidR="00D6604F" w:rsidRPr="00D6604F" w:rsidRDefault="00D6604F" w:rsidP="00D6604F"/>
    <w:p w:rsidR="00D6604F" w:rsidRPr="00D6604F" w:rsidRDefault="00D6604F" w:rsidP="00D6604F"/>
    <w:p w:rsidR="00314A1E" w:rsidRDefault="00314A1E" w:rsidP="00DA7F40">
      <w:pPr>
        <w:pStyle w:val="Heading1"/>
        <w:numPr>
          <w:ilvl w:val="0"/>
          <w:numId w:val="14"/>
        </w:numPr>
      </w:pPr>
      <w:bookmarkStart w:id="13" w:name="_Toc300320239"/>
      <w:r>
        <w:lastRenderedPageBreak/>
        <w:t>Conclusions</w:t>
      </w:r>
      <w:bookmarkEnd w:id="13"/>
    </w:p>
    <w:p w:rsidR="00314A1E" w:rsidRDefault="00314A1E" w:rsidP="00314A1E">
      <w:pPr>
        <w:pStyle w:val="NoSpacing"/>
      </w:pPr>
      <w:r>
        <w:t xml:space="preserve">This thesis investigates the relationship between exchange rates and stock markets for the short and the long run for the </w:t>
      </w:r>
      <w:proofErr w:type="spellStart"/>
      <w:r>
        <w:t>eurozone</w:t>
      </w:r>
      <w:proofErr w:type="spellEnd"/>
      <w:r>
        <w:t xml:space="preserve"> and the US, but extended the not convincing earlier researches with ten different sectors and the Swiss franc. The sector indices are used to find some more detailed information about how a currency can influence or can be influenced by separated sectors. </w:t>
      </w:r>
    </w:p>
    <w:p w:rsidR="00314A1E" w:rsidRDefault="00314A1E" w:rsidP="00314A1E">
      <w:pPr>
        <w:pStyle w:val="NoSpacing"/>
      </w:pPr>
    </w:p>
    <w:p w:rsidR="00314A1E" w:rsidRDefault="00314A1E" w:rsidP="00314A1E">
      <w:pPr>
        <w:pStyle w:val="NoSpacing"/>
      </w:pPr>
      <w:r>
        <w:t xml:space="preserve">Summarizing the results, no </w:t>
      </w:r>
      <w:proofErr w:type="spellStart"/>
      <w:r>
        <w:t>cointegration</w:t>
      </w:r>
      <w:proofErr w:type="spellEnd"/>
      <w:r>
        <w:t xml:space="preserve"> was found with the </w:t>
      </w:r>
      <w:proofErr w:type="spellStart"/>
      <w:r>
        <w:t>cointegration</w:t>
      </w:r>
      <w:proofErr w:type="spellEnd"/>
      <w:r>
        <w:t xml:space="preserve"> tests from Engle and Granger and Johansen, indicating that there is no long term relationship between stock markets and exchange rates.  The well developed highly efficient stock and exchange rate markets are influenced by so many factors that they are not dependent enough on each other to be influenced in the long run.  </w:t>
      </w:r>
    </w:p>
    <w:p w:rsidR="00314A1E" w:rsidRDefault="00314A1E" w:rsidP="00314A1E">
      <w:pPr>
        <w:pStyle w:val="NoSpacing"/>
      </w:pPr>
    </w:p>
    <w:p w:rsidR="00314A1E" w:rsidRDefault="00314A1E" w:rsidP="00314A1E">
      <w:pPr>
        <w:pStyle w:val="NoSpacing"/>
      </w:pPr>
      <w:r>
        <w:t xml:space="preserve">In the short run, significant relations are found between the CHFEUR and the European indices, as only health care does not influences CHFEUR. CHFEUR influences five of the eleven used indices and all in the same direction. The European stocks tend to the stock-balanced models, as the </w:t>
      </w:r>
      <w:proofErr w:type="gramStart"/>
      <w:r>
        <w:t>euro appreciate</w:t>
      </w:r>
      <w:proofErr w:type="gramEnd"/>
      <w:r>
        <w:t xml:space="preserve"> after an increase in most stocks. </w:t>
      </w:r>
    </w:p>
    <w:p w:rsidR="00314A1E" w:rsidRDefault="00314A1E" w:rsidP="00314A1E">
      <w:pPr>
        <w:pStyle w:val="NoSpacing"/>
      </w:pPr>
    </w:p>
    <w:p w:rsidR="00314A1E" w:rsidRDefault="00314A1E" w:rsidP="00314A1E">
      <w:pPr>
        <w:pStyle w:val="NoSpacing"/>
      </w:pPr>
      <w:r>
        <w:t xml:space="preserve">Most papers are done using the US dollar, but this thesis proves that the Swiss franc has more influence on the </w:t>
      </w:r>
      <w:proofErr w:type="spellStart"/>
      <w:r>
        <w:t>eurozone</w:t>
      </w:r>
      <w:proofErr w:type="spellEnd"/>
      <w:r>
        <w:t>. This finding questioned the importance of the dollar on European stocks, although it is the worldwide most used currency.  It evokes interest about the relationships with other currencies as the British po</w:t>
      </w:r>
      <w:r w:rsidR="0016653A">
        <w:t>u</w:t>
      </w:r>
      <w:r>
        <w:t xml:space="preserve">nd or Chinese yen. </w:t>
      </w:r>
    </w:p>
    <w:p w:rsidR="00314A1E" w:rsidRDefault="00314A1E" w:rsidP="00314A1E">
      <w:pPr>
        <w:pStyle w:val="NoSpacing"/>
      </w:pPr>
    </w:p>
    <w:p w:rsidR="00314A1E" w:rsidRDefault="00314A1E" w:rsidP="00314A1E">
      <w:pPr>
        <w:pStyle w:val="NoSpacing"/>
      </w:pPr>
      <w:r>
        <w:t>A little bit disappointing is the fact that no clear patterns are seen between the tests, but the US results show more of a pat</w:t>
      </w:r>
      <w:r w:rsidR="0016653A">
        <w:t>ter</w:t>
      </w:r>
      <w:r>
        <w:t xml:space="preserve">n than the European ones. Some sectors are obviously more sensible to changes in the exchange rates; consumer services and telecom for Europe and utilities, oil and gas, consumer goods and basic materials for the US. </w:t>
      </w:r>
    </w:p>
    <w:p w:rsidR="00314A1E" w:rsidRDefault="00314A1E" w:rsidP="00314A1E">
      <w:pPr>
        <w:pStyle w:val="NoSpacing"/>
      </w:pPr>
    </w:p>
    <w:p w:rsidR="00314A1E" w:rsidRDefault="00314A1E" w:rsidP="00314A1E">
      <w:pPr>
        <w:pStyle w:val="NoSpacing"/>
      </w:pPr>
      <w:r>
        <w:t xml:space="preserve">The problems in analyzing the sector indices are in the fact that the companies in the index probably do not react on the same way on changes in exchange rates. They differ in imports and exports and in which countries they have affiliate companies. For example, a company imports from countries A, B, and C, has affiliate companies in countries B, D and F and exports to countries A, B, D, and G. Tests can give an indication about the relationship with the exchange rates, but analyzing the underlying reasons very difficult, even for stock analysts. It could be even </w:t>
      </w:r>
      <w:proofErr w:type="gramStart"/>
      <w:r>
        <w:t>a</w:t>
      </w:r>
      <w:proofErr w:type="gramEnd"/>
      <w:r>
        <w:t xml:space="preserve"> explanation for stock prices not to react on currencies, as investors do not fully understand the consequences of changes in exchange rates. </w:t>
      </w:r>
    </w:p>
    <w:p w:rsidR="00314A1E" w:rsidRDefault="00314A1E" w:rsidP="00314A1E">
      <w:pPr>
        <w:pStyle w:val="NoSpacing"/>
      </w:pPr>
    </w:p>
    <w:p w:rsidR="00314A1E" w:rsidRDefault="00314A1E" w:rsidP="00314A1E">
      <w:pPr>
        <w:pStyle w:val="NoSpacing"/>
      </w:pPr>
      <w:r>
        <w:t xml:space="preserve">The relationships between European sectors/market index and the Swiss franc are convincing.  A reasons for no relation in the other tests in the short run can be due to the same reason given for no relations in the long run, the markets are not important enough to influence each other. Markets react all day on economic news, and the change in the currency (stock) </w:t>
      </w:r>
      <w:proofErr w:type="gramStart"/>
      <w:r>
        <w:t>market  is</w:t>
      </w:r>
      <w:proofErr w:type="gramEnd"/>
      <w:r>
        <w:t xml:space="preserve"> simply not important enough to show a significant change in the stock (currency) market </w:t>
      </w:r>
    </w:p>
    <w:p w:rsidR="00314A1E" w:rsidRDefault="00314A1E" w:rsidP="00314A1E">
      <w:pPr>
        <w:pStyle w:val="NoSpacing"/>
      </w:pPr>
    </w:p>
    <w:p w:rsidR="00314A1E" w:rsidRDefault="00314A1E" w:rsidP="00314A1E">
      <w:pPr>
        <w:pStyle w:val="NoSpacing"/>
      </w:pPr>
      <w:r>
        <w:t>Explanations for not finding relationships are plenty. Exchange rate risk could be priced in the stock market, but this is not proved in the literature (</w:t>
      </w:r>
      <w:proofErr w:type="spellStart"/>
      <w:r>
        <w:t>Jorion</w:t>
      </w:r>
      <w:proofErr w:type="spellEnd"/>
      <w:r>
        <w:t xml:space="preserve"> 1991). Today’s companies have worldwide diversified </w:t>
      </w:r>
      <w:proofErr w:type="gramStart"/>
      <w:r>
        <w:t>operations,</w:t>
      </w:r>
      <w:proofErr w:type="gramEnd"/>
      <w:r>
        <w:t xml:space="preserve"> their diversification could be so well that it minimize exchange rate risk. If this diversification is not enough, a company can minimize exposure itself with their risk management. A company’s own risk management is probably one of the most important factors why stocks are not influenced by exchange rates and it can make flow-balanced theories useless. </w:t>
      </w:r>
    </w:p>
    <w:p w:rsidR="00314A1E" w:rsidRDefault="00314A1E" w:rsidP="00314A1E">
      <w:pPr>
        <w:pStyle w:val="NoSpacing"/>
      </w:pPr>
    </w:p>
    <w:p w:rsidR="00314A1E" w:rsidRDefault="00314A1E" w:rsidP="00314A1E">
      <w:pPr>
        <w:pStyle w:val="NoSpacing"/>
      </w:pPr>
      <w:r>
        <w:t xml:space="preserve">This paper gives, unfortunately, no decisive answer about the relationship between stock prices and exchange rates. Relations are highly dependent on which sectors and exchange rates are used. No </w:t>
      </w:r>
      <w:r>
        <w:lastRenderedPageBreak/>
        <w:t xml:space="preserve">conclusions about the flow-balanced or portfolio-balanced models can be made, although the results tend a little bit more to the portfolio-balanced model, but not significant. But despite the not convincing results, some important lessons are learned, especially about the importance of the Swiss franc. The conclusion is that there is no direct, significant relationship between both markets. Further research should incorporate variables that trigger them both, like inflation, oil prices, interest rates and GDP growth. </w:t>
      </w:r>
    </w:p>
    <w:p w:rsidR="00314A1E" w:rsidRDefault="00314A1E" w:rsidP="00314A1E">
      <w:pPr>
        <w:pStyle w:val="NoSpacing"/>
      </w:pPr>
    </w:p>
    <w:p w:rsidR="00314A1E" w:rsidRDefault="00314A1E" w:rsidP="00314A1E">
      <w:pPr>
        <w:pStyle w:val="NoSpacing"/>
      </w:pPr>
    </w:p>
    <w:p w:rsidR="00314A1E" w:rsidRDefault="00314A1E" w:rsidP="00314A1E">
      <w:pPr>
        <w:pStyle w:val="NoSpacing"/>
      </w:pPr>
    </w:p>
    <w:p w:rsidR="00314A1E" w:rsidRDefault="00314A1E" w:rsidP="00314A1E">
      <w:pPr>
        <w:pStyle w:val="NoSpacing"/>
      </w:pPr>
    </w:p>
    <w:p w:rsidR="00314A1E" w:rsidRDefault="00314A1E" w:rsidP="00314A1E">
      <w:pPr>
        <w:pStyle w:val="NoSpacing"/>
      </w:pPr>
      <w:r>
        <w:t xml:space="preserve"> </w:t>
      </w:r>
    </w:p>
    <w:p w:rsidR="00314A1E" w:rsidRDefault="00314A1E" w:rsidP="00314A1E">
      <w:pPr>
        <w:pStyle w:val="NoSpacing"/>
      </w:pPr>
    </w:p>
    <w:p w:rsidR="00314A1E" w:rsidRDefault="00314A1E" w:rsidP="00314A1E">
      <w:pPr>
        <w:pStyle w:val="NoSpacing"/>
      </w:pPr>
    </w:p>
    <w:p w:rsidR="00314A1E" w:rsidRDefault="00314A1E" w:rsidP="00314A1E">
      <w:pPr>
        <w:pStyle w:val="NoSpacing"/>
      </w:pPr>
    </w:p>
    <w:p w:rsidR="00314A1E" w:rsidRDefault="00314A1E" w:rsidP="00314A1E">
      <w:pPr>
        <w:pStyle w:val="NoSpacing"/>
      </w:pPr>
    </w:p>
    <w:p w:rsidR="00314A1E" w:rsidRDefault="00314A1E" w:rsidP="00314A1E">
      <w:pPr>
        <w:pStyle w:val="NoSpacing"/>
      </w:pPr>
    </w:p>
    <w:p w:rsidR="00314A1E" w:rsidRDefault="00314A1E" w:rsidP="00314A1E">
      <w:pPr>
        <w:pStyle w:val="NoSpacing"/>
      </w:pPr>
    </w:p>
    <w:p w:rsidR="00314A1E" w:rsidRDefault="00314A1E" w:rsidP="00314A1E">
      <w:pPr>
        <w:pStyle w:val="NoSpacing"/>
      </w:pPr>
    </w:p>
    <w:p w:rsidR="00314A1E" w:rsidRDefault="00314A1E" w:rsidP="00314A1E">
      <w:pPr>
        <w:pStyle w:val="NoSpacing"/>
      </w:pPr>
    </w:p>
    <w:p w:rsidR="00314A1E" w:rsidRDefault="00314A1E" w:rsidP="00314A1E">
      <w:pPr>
        <w:pStyle w:val="NoSpacing"/>
      </w:pPr>
    </w:p>
    <w:p w:rsidR="00314A1E" w:rsidRDefault="00314A1E" w:rsidP="00314A1E">
      <w:pPr>
        <w:pStyle w:val="NoSpacing"/>
      </w:pPr>
    </w:p>
    <w:p w:rsidR="00314A1E" w:rsidRDefault="00314A1E" w:rsidP="00314A1E">
      <w:pPr>
        <w:pStyle w:val="NoSpacing"/>
      </w:pPr>
    </w:p>
    <w:p w:rsidR="00314A1E" w:rsidRDefault="00314A1E" w:rsidP="00314A1E">
      <w:pPr>
        <w:pStyle w:val="NoSpacing"/>
      </w:pPr>
    </w:p>
    <w:p w:rsidR="00314A1E" w:rsidRDefault="00314A1E" w:rsidP="00314A1E">
      <w:pPr>
        <w:pStyle w:val="NoSpacing"/>
      </w:pPr>
    </w:p>
    <w:p w:rsidR="00314A1E" w:rsidRPr="00156358" w:rsidRDefault="00314A1E" w:rsidP="00314A1E">
      <w:pPr>
        <w:rPr>
          <w:i/>
        </w:rPr>
      </w:pPr>
    </w:p>
    <w:p w:rsidR="00314A1E" w:rsidRDefault="00314A1E" w:rsidP="00314A1E"/>
    <w:p w:rsidR="00314A1E" w:rsidRDefault="00314A1E" w:rsidP="00314A1E"/>
    <w:p w:rsidR="00314A1E" w:rsidRDefault="00314A1E" w:rsidP="00314A1E"/>
    <w:p w:rsidR="00314A1E" w:rsidRDefault="00314A1E" w:rsidP="00314A1E"/>
    <w:p w:rsidR="00314A1E" w:rsidRDefault="00314A1E" w:rsidP="00314A1E"/>
    <w:p w:rsidR="00314A1E" w:rsidRDefault="00314A1E" w:rsidP="00314A1E"/>
    <w:p w:rsidR="00314A1E" w:rsidRDefault="00314A1E" w:rsidP="00314A1E"/>
    <w:p w:rsidR="00314A1E" w:rsidRDefault="00314A1E" w:rsidP="00314A1E"/>
    <w:p w:rsidR="00D6604F" w:rsidRDefault="00D6604F" w:rsidP="00314A1E"/>
    <w:p w:rsidR="00D6604F" w:rsidRDefault="00D6604F" w:rsidP="00314A1E"/>
    <w:p w:rsidR="00D2718D" w:rsidRDefault="00D2718D" w:rsidP="00314A1E"/>
    <w:p w:rsidR="00314A1E" w:rsidRDefault="00314A1E" w:rsidP="00314A1E"/>
    <w:p w:rsidR="00314A1E" w:rsidRDefault="00314A1E" w:rsidP="00314A1E"/>
    <w:p w:rsidR="00E00EA7" w:rsidRDefault="00E00EA7" w:rsidP="009C16D2">
      <w:pPr>
        <w:pStyle w:val="Heading1"/>
      </w:pPr>
      <w:bookmarkStart w:id="14" w:name="_Toc300320240"/>
      <w:r>
        <w:lastRenderedPageBreak/>
        <w:t>References</w:t>
      </w:r>
      <w:bookmarkEnd w:id="14"/>
    </w:p>
    <w:p w:rsidR="00E00EA7" w:rsidRDefault="00E00EA7" w:rsidP="00E00EA7">
      <w:pPr>
        <w:pStyle w:val="NoSpacing"/>
      </w:pPr>
    </w:p>
    <w:p w:rsidR="00E00EA7" w:rsidRPr="007C31E4" w:rsidRDefault="00E00EA7" w:rsidP="00DA7F40">
      <w:pPr>
        <w:pStyle w:val="NoSpacing"/>
        <w:rPr>
          <w:lang w:bidi="ar-SA"/>
        </w:rPr>
      </w:pPr>
      <w:proofErr w:type="spellStart"/>
      <w:r w:rsidRPr="007C31E4">
        <w:rPr>
          <w:lang w:bidi="ar-SA"/>
        </w:rPr>
        <w:t>A</w:t>
      </w:r>
      <w:r>
        <w:rPr>
          <w:lang w:bidi="ar-SA"/>
        </w:rPr>
        <w:t>ggerwal</w:t>
      </w:r>
      <w:proofErr w:type="spellEnd"/>
      <w:r w:rsidRPr="007C31E4">
        <w:rPr>
          <w:lang w:bidi="ar-SA"/>
        </w:rPr>
        <w:t>, R. (1981): Exchange Rates and Stock Prices: A Study of U. S. Capital Market under</w:t>
      </w:r>
    </w:p>
    <w:p w:rsidR="00E00EA7" w:rsidRPr="007C31E4" w:rsidRDefault="00E00EA7" w:rsidP="00DA7F40">
      <w:pPr>
        <w:pStyle w:val="NoSpacing"/>
      </w:pPr>
      <w:proofErr w:type="gramStart"/>
      <w:r w:rsidRPr="007C31E4">
        <w:rPr>
          <w:lang w:bidi="ar-SA"/>
        </w:rPr>
        <w:t>Floating Exchange Rates.</w:t>
      </w:r>
      <w:proofErr w:type="gramEnd"/>
      <w:r w:rsidRPr="007C31E4">
        <w:rPr>
          <w:lang w:bidi="ar-SA"/>
        </w:rPr>
        <w:t xml:space="preserve"> </w:t>
      </w:r>
      <w:r w:rsidRPr="007C31E4">
        <w:rPr>
          <w:rFonts w:cs="NewCenturySchoolCE-Italic"/>
          <w:i/>
          <w:iCs/>
          <w:lang w:bidi="ar-SA"/>
        </w:rPr>
        <w:t>Akron Business and Economic Review</w:t>
      </w:r>
      <w:r w:rsidRPr="007C31E4">
        <w:rPr>
          <w:lang w:bidi="ar-SA"/>
        </w:rPr>
        <w:t>, vol. 12, 1981, pp. 7–12.</w:t>
      </w:r>
    </w:p>
    <w:p w:rsidR="00E00EA7" w:rsidRPr="007C31E4" w:rsidRDefault="00E00EA7" w:rsidP="00DA7F40">
      <w:pPr>
        <w:pStyle w:val="NoSpacing"/>
        <w:rPr>
          <w:lang w:bidi="ar-SA"/>
        </w:rPr>
      </w:pPr>
      <w:proofErr w:type="spellStart"/>
      <w:r w:rsidRPr="007C31E4">
        <w:rPr>
          <w:lang w:bidi="ar-SA"/>
        </w:rPr>
        <w:t>A</w:t>
      </w:r>
      <w:r>
        <w:rPr>
          <w:lang w:bidi="ar-SA"/>
        </w:rPr>
        <w:t>jayi</w:t>
      </w:r>
      <w:proofErr w:type="spellEnd"/>
      <w:r w:rsidRPr="007C31E4">
        <w:rPr>
          <w:lang w:bidi="ar-SA"/>
        </w:rPr>
        <w:t xml:space="preserve">, R. A. – </w:t>
      </w:r>
      <w:proofErr w:type="spellStart"/>
      <w:r w:rsidRPr="007C31E4">
        <w:rPr>
          <w:lang w:bidi="ar-SA"/>
        </w:rPr>
        <w:t>M</w:t>
      </w:r>
      <w:r>
        <w:rPr>
          <w:lang w:bidi="ar-SA"/>
        </w:rPr>
        <w:t>ougoue</w:t>
      </w:r>
      <w:proofErr w:type="spellEnd"/>
      <w:r w:rsidRPr="007C31E4">
        <w:rPr>
          <w:lang w:bidi="ar-SA"/>
        </w:rPr>
        <w:t xml:space="preserve">, </w:t>
      </w:r>
      <w:r>
        <w:rPr>
          <w:lang w:bidi="ar-SA"/>
        </w:rPr>
        <w:t>M</w:t>
      </w:r>
      <w:r w:rsidRPr="007C31E4">
        <w:rPr>
          <w:lang w:bidi="ar-SA"/>
        </w:rPr>
        <w:t>. (1996): On the Dynamic Relation between Stock Prices and Exchange</w:t>
      </w:r>
    </w:p>
    <w:p w:rsidR="00E00EA7" w:rsidRPr="007C31E4" w:rsidRDefault="00E00EA7" w:rsidP="00DA7F40">
      <w:pPr>
        <w:pStyle w:val="NoSpacing"/>
      </w:pPr>
      <w:proofErr w:type="gramStart"/>
      <w:r w:rsidRPr="007C31E4">
        <w:rPr>
          <w:lang w:bidi="ar-SA"/>
        </w:rPr>
        <w:t>Rates.</w:t>
      </w:r>
      <w:proofErr w:type="gramEnd"/>
      <w:r w:rsidRPr="007C31E4">
        <w:rPr>
          <w:lang w:bidi="ar-SA"/>
        </w:rPr>
        <w:t xml:space="preserve"> </w:t>
      </w:r>
      <w:r w:rsidRPr="007C31E4">
        <w:rPr>
          <w:rFonts w:cs="NewCenturySchoolCE-Italic"/>
          <w:i/>
          <w:iCs/>
          <w:lang w:bidi="ar-SA"/>
        </w:rPr>
        <w:t>Journal of Financial Research</w:t>
      </w:r>
      <w:r w:rsidRPr="007C31E4">
        <w:rPr>
          <w:lang w:bidi="ar-SA"/>
        </w:rPr>
        <w:t>, vol. 19, 1996, pp. 193–207.</w:t>
      </w:r>
    </w:p>
    <w:p w:rsidR="00DA7F40" w:rsidRDefault="00DA7F40" w:rsidP="00DA7F40">
      <w:pPr>
        <w:pStyle w:val="NoSpacing"/>
        <w:rPr>
          <w:lang w:bidi="ar-SA"/>
        </w:rPr>
      </w:pPr>
    </w:p>
    <w:p w:rsidR="00E00EA7" w:rsidRPr="007C31E4" w:rsidRDefault="00E00EA7" w:rsidP="00DA7F40">
      <w:pPr>
        <w:pStyle w:val="NoSpacing"/>
        <w:rPr>
          <w:lang w:bidi="ar-SA"/>
        </w:rPr>
      </w:pPr>
      <w:proofErr w:type="spellStart"/>
      <w:r w:rsidRPr="007C31E4">
        <w:rPr>
          <w:lang w:bidi="ar-SA"/>
        </w:rPr>
        <w:t>B</w:t>
      </w:r>
      <w:r>
        <w:rPr>
          <w:lang w:bidi="ar-SA"/>
        </w:rPr>
        <w:t>ahmani-Oskooee</w:t>
      </w:r>
      <w:proofErr w:type="spellEnd"/>
      <w:r w:rsidRPr="007C31E4">
        <w:rPr>
          <w:lang w:bidi="ar-SA"/>
        </w:rPr>
        <w:t xml:space="preserve">, M. – </w:t>
      </w:r>
      <w:proofErr w:type="spellStart"/>
      <w:r w:rsidRPr="007C31E4">
        <w:rPr>
          <w:lang w:bidi="ar-SA"/>
        </w:rPr>
        <w:t>S</w:t>
      </w:r>
      <w:r>
        <w:rPr>
          <w:lang w:bidi="ar-SA"/>
        </w:rPr>
        <w:t>ohrabian</w:t>
      </w:r>
      <w:proofErr w:type="spellEnd"/>
      <w:r w:rsidRPr="007C31E4">
        <w:rPr>
          <w:lang w:bidi="ar-SA"/>
        </w:rPr>
        <w:t>, A. (1992): Stock Prices and the Effective Exchange</w:t>
      </w:r>
    </w:p>
    <w:p w:rsidR="00E00EA7" w:rsidRPr="007C31E4" w:rsidRDefault="00E00EA7" w:rsidP="00DA7F40">
      <w:pPr>
        <w:pStyle w:val="NoSpacing"/>
      </w:pPr>
      <w:proofErr w:type="gramStart"/>
      <w:r w:rsidRPr="007C31E4">
        <w:rPr>
          <w:lang w:bidi="ar-SA"/>
        </w:rPr>
        <w:t>Rate of the Dollar.</w:t>
      </w:r>
      <w:proofErr w:type="gramEnd"/>
      <w:r w:rsidRPr="007C31E4">
        <w:rPr>
          <w:lang w:bidi="ar-SA"/>
        </w:rPr>
        <w:t xml:space="preserve"> </w:t>
      </w:r>
      <w:proofErr w:type="gramStart"/>
      <w:r w:rsidRPr="007C31E4">
        <w:rPr>
          <w:rFonts w:cs="NewCenturySchoolCE-Italic"/>
          <w:i/>
          <w:iCs/>
          <w:lang w:bidi="ar-SA"/>
        </w:rPr>
        <w:t>Applied Economics</w:t>
      </w:r>
      <w:r w:rsidRPr="007C31E4">
        <w:rPr>
          <w:lang w:bidi="ar-SA"/>
        </w:rPr>
        <w:t>, vol. 24, 1992, pp. 459–464.</w:t>
      </w:r>
      <w:proofErr w:type="gramEnd"/>
    </w:p>
    <w:p w:rsidR="00E00EA7" w:rsidRPr="007C31E4" w:rsidRDefault="00E00EA7" w:rsidP="00DA7F40">
      <w:pPr>
        <w:pStyle w:val="NoSpacing"/>
      </w:pPr>
    </w:p>
    <w:p w:rsidR="00E00EA7" w:rsidRPr="007C31E4" w:rsidRDefault="00E00EA7" w:rsidP="00DA7F40">
      <w:pPr>
        <w:pStyle w:val="NoSpacing"/>
        <w:rPr>
          <w:lang w:bidi="ar-SA"/>
        </w:rPr>
      </w:pPr>
      <w:r w:rsidRPr="007C31E4">
        <w:rPr>
          <w:lang w:bidi="ar-SA"/>
        </w:rPr>
        <w:t>B</w:t>
      </w:r>
      <w:r>
        <w:rPr>
          <w:lang w:bidi="ar-SA"/>
        </w:rPr>
        <w:t>ranson</w:t>
      </w:r>
      <w:r w:rsidRPr="007C31E4">
        <w:rPr>
          <w:lang w:bidi="ar-SA"/>
        </w:rPr>
        <w:t>, W. H. – H</w:t>
      </w:r>
      <w:r>
        <w:rPr>
          <w:lang w:bidi="ar-SA"/>
        </w:rPr>
        <w:t>enderson</w:t>
      </w:r>
      <w:r w:rsidRPr="007C31E4">
        <w:rPr>
          <w:lang w:bidi="ar-SA"/>
        </w:rPr>
        <w:t>, D. W. (1985): The Specification and Influence of Assets Markets.</w:t>
      </w:r>
    </w:p>
    <w:p w:rsidR="00E00EA7" w:rsidRPr="007C31E4" w:rsidRDefault="00E00EA7" w:rsidP="00DA7F40">
      <w:pPr>
        <w:pStyle w:val="NoSpacing"/>
        <w:rPr>
          <w:lang w:bidi="ar-SA"/>
        </w:rPr>
      </w:pPr>
      <w:r w:rsidRPr="007C31E4">
        <w:rPr>
          <w:lang w:val="nl-NL" w:bidi="ar-SA"/>
        </w:rPr>
        <w:t>In: Jones, R. W. – Kenen, P. B. (</w:t>
      </w:r>
      <w:proofErr w:type="spellStart"/>
      <w:r w:rsidRPr="007C31E4">
        <w:rPr>
          <w:lang w:val="nl-NL" w:bidi="ar-SA"/>
        </w:rPr>
        <w:t>eds</w:t>
      </w:r>
      <w:proofErr w:type="spellEnd"/>
      <w:r w:rsidRPr="007C31E4">
        <w:rPr>
          <w:lang w:val="nl-NL" w:bidi="ar-SA"/>
        </w:rPr>
        <w:t xml:space="preserve">.): </w:t>
      </w:r>
      <w:proofErr w:type="spellStart"/>
      <w:r w:rsidRPr="007C31E4">
        <w:rPr>
          <w:rFonts w:cs="NewCenturySchoolCE-Italic"/>
          <w:i/>
          <w:iCs/>
          <w:lang w:val="nl-NL" w:bidi="ar-SA"/>
        </w:rPr>
        <w:t>Handbook</w:t>
      </w:r>
      <w:proofErr w:type="spellEnd"/>
      <w:r w:rsidRPr="007C31E4">
        <w:rPr>
          <w:rFonts w:cs="NewCenturySchoolCE-Italic"/>
          <w:i/>
          <w:iCs/>
          <w:lang w:val="nl-NL" w:bidi="ar-SA"/>
        </w:rPr>
        <w:t xml:space="preserve"> of International </w:t>
      </w:r>
      <w:proofErr w:type="spellStart"/>
      <w:r w:rsidRPr="007C31E4">
        <w:rPr>
          <w:rFonts w:cs="NewCenturySchoolCE-Italic"/>
          <w:i/>
          <w:iCs/>
          <w:lang w:val="nl-NL" w:bidi="ar-SA"/>
        </w:rPr>
        <w:t>Economics</w:t>
      </w:r>
      <w:proofErr w:type="spellEnd"/>
      <w:r w:rsidRPr="007C31E4">
        <w:rPr>
          <w:lang w:val="nl-NL" w:bidi="ar-SA"/>
        </w:rPr>
        <w:t xml:space="preserve">. Vol. 2. </w:t>
      </w:r>
      <w:r w:rsidRPr="007C31E4">
        <w:rPr>
          <w:lang w:bidi="ar-SA"/>
        </w:rPr>
        <w:t>Amsterdam,</w:t>
      </w:r>
    </w:p>
    <w:p w:rsidR="00E00EA7" w:rsidRPr="007C31E4" w:rsidRDefault="00E00EA7" w:rsidP="00DA7F40">
      <w:pPr>
        <w:pStyle w:val="NoSpacing"/>
      </w:pPr>
      <w:r w:rsidRPr="007C31E4">
        <w:rPr>
          <w:lang w:bidi="ar-SA"/>
        </w:rPr>
        <w:t>Elsevier, 1985, pp. 179–201.</w:t>
      </w:r>
    </w:p>
    <w:p w:rsidR="00E00EA7" w:rsidRPr="007C31E4" w:rsidRDefault="00E00EA7" w:rsidP="00DA7F40">
      <w:pPr>
        <w:pStyle w:val="NoSpacing"/>
      </w:pPr>
    </w:p>
    <w:p w:rsidR="00E00EA7" w:rsidRPr="007C31E4" w:rsidRDefault="00E00EA7" w:rsidP="00DA7F40">
      <w:pPr>
        <w:pStyle w:val="NoSpacing"/>
        <w:rPr>
          <w:lang w:bidi="ar-SA"/>
        </w:rPr>
      </w:pPr>
      <w:r w:rsidRPr="007C31E4">
        <w:rPr>
          <w:lang w:bidi="ar-SA"/>
        </w:rPr>
        <w:t>C</w:t>
      </w:r>
      <w:r>
        <w:rPr>
          <w:lang w:bidi="ar-SA"/>
        </w:rPr>
        <w:t>hamberlain</w:t>
      </w:r>
      <w:r w:rsidRPr="007C31E4">
        <w:rPr>
          <w:lang w:bidi="ar-SA"/>
        </w:rPr>
        <w:t>, S. – H</w:t>
      </w:r>
      <w:r>
        <w:rPr>
          <w:lang w:bidi="ar-SA"/>
        </w:rPr>
        <w:t>owe</w:t>
      </w:r>
      <w:r w:rsidRPr="007C31E4">
        <w:rPr>
          <w:lang w:bidi="ar-SA"/>
        </w:rPr>
        <w:t>, J. S. – P</w:t>
      </w:r>
      <w:r>
        <w:rPr>
          <w:lang w:bidi="ar-SA"/>
        </w:rPr>
        <w:t>opper</w:t>
      </w:r>
      <w:r w:rsidRPr="007C31E4">
        <w:rPr>
          <w:lang w:bidi="ar-SA"/>
        </w:rPr>
        <w:t>, H. (1997): The Exchange Rate Exposure of U. S.</w:t>
      </w:r>
    </w:p>
    <w:p w:rsidR="00E00EA7" w:rsidRPr="007C31E4" w:rsidRDefault="00E00EA7" w:rsidP="00DA7F40">
      <w:pPr>
        <w:pStyle w:val="NoSpacing"/>
      </w:pPr>
      <w:proofErr w:type="gramStart"/>
      <w:r w:rsidRPr="007C31E4">
        <w:rPr>
          <w:lang w:bidi="ar-SA"/>
        </w:rPr>
        <w:t>and</w:t>
      </w:r>
      <w:proofErr w:type="gramEnd"/>
      <w:r w:rsidRPr="007C31E4">
        <w:rPr>
          <w:lang w:bidi="ar-SA"/>
        </w:rPr>
        <w:t xml:space="preserve"> Japanese Banking Institutions. </w:t>
      </w:r>
      <w:r w:rsidRPr="007C31E4">
        <w:rPr>
          <w:rFonts w:cs="NewCenturySchoolCE-Italic"/>
          <w:i/>
          <w:iCs/>
          <w:lang w:bidi="ar-SA"/>
        </w:rPr>
        <w:t>Banking and Finance</w:t>
      </w:r>
      <w:r w:rsidRPr="007C31E4">
        <w:rPr>
          <w:lang w:bidi="ar-SA"/>
        </w:rPr>
        <w:t>, vol. 21, 1997, pp. 871–892.</w:t>
      </w:r>
    </w:p>
    <w:p w:rsidR="00E00EA7" w:rsidRPr="007C31E4" w:rsidRDefault="00E00EA7" w:rsidP="00DA7F40">
      <w:pPr>
        <w:pStyle w:val="NoSpacing"/>
      </w:pPr>
    </w:p>
    <w:p w:rsidR="00E00EA7" w:rsidRPr="007C31E4" w:rsidRDefault="00E00EA7" w:rsidP="00DA7F40">
      <w:pPr>
        <w:pStyle w:val="NoSpacing"/>
        <w:rPr>
          <w:rFonts w:cs="TimesNewRoman"/>
          <w:lang w:bidi="ar-SA"/>
        </w:rPr>
      </w:pPr>
      <w:proofErr w:type="spellStart"/>
      <w:r w:rsidRPr="007C31E4">
        <w:rPr>
          <w:rFonts w:cs="TimesNewRoman"/>
          <w:lang w:bidi="ar-SA"/>
        </w:rPr>
        <w:t>Dornbusch</w:t>
      </w:r>
      <w:proofErr w:type="spellEnd"/>
      <w:r w:rsidRPr="007C31E4">
        <w:rPr>
          <w:rFonts w:cs="TimesNewRoman"/>
          <w:lang w:bidi="ar-SA"/>
        </w:rPr>
        <w:t>, R. and S. Fischer, 1980, “Exchange Rates and Current Account,” American</w:t>
      </w:r>
    </w:p>
    <w:p w:rsidR="00E00EA7" w:rsidRPr="007C31E4" w:rsidRDefault="00E00EA7" w:rsidP="00DA7F40">
      <w:pPr>
        <w:pStyle w:val="NoSpacing"/>
      </w:pPr>
      <w:r w:rsidRPr="007C31E4">
        <w:rPr>
          <w:rFonts w:cs="TimesNewRoman"/>
          <w:lang w:bidi="ar-SA"/>
        </w:rPr>
        <w:t>Economic Review 70, 960-971.</w:t>
      </w:r>
    </w:p>
    <w:p w:rsidR="00E00EA7" w:rsidRPr="007C31E4" w:rsidRDefault="00E00EA7" w:rsidP="00DA7F40">
      <w:pPr>
        <w:pStyle w:val="NoSpacing"/>
      </w:pPr>
    </w:p>
    <w:p w:rsidR="00E00EA7" w:rsidRPr="007C31E4" w:rsidRDefault="00E00EA7" w:rsidP="00DA7F40">
      <w:pPr>
        <w:pStyle w:val="NoSpacing"/>
        <w:rPr>
          <w:lang w:bidi="ar-SA"/>
        </w:rPr>
      </w:pPr>
      <w:r w:rsidRPr="007C31E4">
        <w:rPr>
          <w:lang w:bidi="ar-SA"/>
        </w:rPr>
        <w:t>E</w:t>
      </w:r>
      <w:r>
        <w:rPr>
          <w:lang w:bidi="ar-SA"/>
        </w:rPr>
        <w:t>ngle</w:t>
      </w:r>
      <w:r w:rsidRPr="007C31E4">
        <w:rPr>
          <w:lang w:bidi="ar-SA"/>
        </w:rPr>
        <w:t>, R. F. – G</w:t>
      </w:r>
      <w:r>
        <w:rPr>
          <w:lang w:bidi="ar-SA"/>
        </w:rPr>
        <w:t>ranger</w:t>
      </w:r>
      <w:r w:rsidRPr="007C31E4">
        <w:rPr>
          <w:lang w:bidi="ar-SA"/>
        </w:rPr>
        <w:t>, C. W. (1987): Co-integration and Error Correction: Representation,</w:t>
      </w:r>
    </w:p>
    <w:p w:rsidR="00E00EA7" w:rsidRPr="007C31E4" w:rsidRDefault="00E00EA7" w:rsidP="00DA7F40">
      <w:pPr>
        <w:pStyle w:val="NoSpacing"/>
        <w:rPr>
          <w:lang w:bidi="ar-SA"/>
        </w:rPr>
      </w:pPr>
      <w:proofErr w:type="gramStart"/>
      <w:r w:rsidRPr="007C31E4">
        <w:rPr>
          <w:lang w:bidi="ar-SA"/>
        </w:rPr>
        <w:t>Estimation,</w:t>
      </w:r>
      <w:proofErr w:type="gramEnd"/>
      <w:r w:rsidRPr="007C31E4">
        <w:rPr>
          <w:lang w:bidi="ar-SA"/>
        </w:rPr>
        <w:t xml:space="preserve"> and Testing. </w:t>
      </w:r>
      <w:proofErr w:type="spellStart"/>
      <w:r w:rsidRPr="007C31E4">
        <w:rPr>
          <w:rFonts w:cs="NewCenturySchoolCE-Italic"/>
          <w:i/>
          <w:iCs/>
          <w:lang w:bidi="ar-SA"/>
        </w:rPr>
        <w:t>Econometrica</w:t>
      </w:r>
      <w:proofErr w:type="spellEnd"/>
      <w:r w:rsidRPr="007C31E4">
        <w:rPr>
          <w:lang w:bidi="ar-SA"/>
        </w:rPr>
        <w:t>, vol. 55, 1987, pp. 251–276.</w:t>
      </w:r>
    </w:p>
    <w:p w:rsidR="00E00EA7" w:rsidRDefault="00E00EA7" w:rsidP="00DA7F40">
      <w:pPr>
        <w:pStyle w:val="NoSpacing"/>
        <w:rPr>
          <w:lang w:bidi="ar-SA"/>
        </w:rPr>
      </w:pPr>
    </w:p>
    <w:p w:rsidR="00E00EA7" w:rsidRPr="007C31E4" w:rsidRDefault="00E00EA7" w:rsidP="00DA7F40">
      <w:pPr>
        <w:pStyle w:val="NoSpacing"/>
      </w:pPr>
      <w:r w:rsidRPr="007C31E4">
        <w:rPr>
          <w:lang w:bidi="ar-SA"/>
        </w:rPr>
        <w:t>F</w:t>
      </w:r>
      <w:r>
        <w:rPr>
          <w:lang w:bidi="ar-SA"/>
        </w:rPr>
        <w:t>ranck</w:t>
      </w:r>
      <w:r w:rsidRPr="007C31E4">
        <w:rPr>
          <w:lang w:bidi="ar-SA"/>
        </w:rPr>
        <w:t>, P. – Y</w:t>
      </w:r>
      <w:r>
        <w:rPr>
          <w:lang w:bidi="ar-SA"/>
        </w:rPr>
        <w:t>oung</w:t>
      </w:r>
      <w:r w:rsidRPr="007C31E4">
        <w:rPr>
          <w:lang w:bidi="ar-SA"/>
        </w:rPr>
        <w:t>, A. (1972): Stock Price Reaction of Multinational Firms to Exchange Realignments.</w:t>
      </w:r>
      <w:r>
        <w:rPr>
          <w:lang w:bidi="ar-SA"/>
        </w:rPr>
        <w:t xml:space="preserve"> </w:t>
      </w:r>
      <w:r w:rsidRPr="007C31E4">
        <w:rPr>
          <w:rFonts w:cs="NewCenturySchoolCE-Italic"/>
          <w:i/>
          <w:iCs/>
          <w:lang w:bidi="ar-SA"/>
        </w:rPr>
        <w:t>Financial Management</w:t>
      </w:r>
      <w:r w:rsidRPr="007C31E4">
        <w:rPr>
          <w:lang w:bidi="ar-SA"/>
        </w:rPr>
        <w:t>, vol. 1, 1972, pp. 66–73.</w:t>
      </w:r>
    </w:p>
    <w:p w:rsidR="00E00EA7" w:rsidRPr="007C31E4" w:rsidRDefault="00E00EA7" w:rsidP="00DA7F40">
      <w:pPr>
        <w:pStyle w:val="NoSpacing"/>
      </w:pPr>
    </w:p>
    <w:p w:rsidR="00E00EA7" w:rsidRPr="007C31E4" w:rsidRDefault="00E00EA7" w:rsidP="00DA7F40">
      <w:pPr>
        <w:pStyle w:val="NoSpacing"/>
        <w:rPr>
          <w:lang w:bidi="ar-SA"/>
        </w:rPr>
      </w:pPr>
      <w:r w:rsidRPr="007C31E4">
        <w:rPr>
          <w:lang w:bidi="ar-SA"/>
        </w:rPr>
        <w:t>F</w:t>
      </w:r>
      <w:r>
        <w:rPr>
          <w:lang w:bidi="ar-SA"/>
        </w:rPr>
        <w:t>rankel</w:t>
      </w:r>
      <w:r w:rsidRPr="007C31E4">
        <w:rPr>
          <w:lang w:bidi="ar-SA"/>
        </w:rPr>
        <w:t>, J. (1983): Monetary and Portfolio Balance Models of Exchange Rate Determination.</w:t>
      </w:r>
    </w:p>
    <w:p w:rsidR="00E00EA7" w:rsidRPr="007C31E4" w:rsidRDefault="00E00EA7" w:rsidP="00DA7F40">
      <w:pPr>
        <w:pStyle w:val="NoSpacing"/>
        <w:rPr>
          <w:lang w:bidi="ar-SA"/>
        </w:rPr>
      </w:pPr>
      <w:r w:rsidRPr="007C31E4">
        <w:rPr>
          <w:lang w:bidi="ar-SA"/>
        </w:rPr>
        <w:t xml:space="preserve">In: </w:t>
      </w:r>
      <w:proofErr w:type="spellStart"/>
      <w:r w:rsidRPr="007C31E4">
        <w:rPr>
          <w:lang w:bidi="ar-SA"/>
        </w:rPr>
        <w:t>Bhandari</w:t>
      </w:r>
      <w:proofErr w:type="spellEnd"/>
      <w:r w:rsidRPr="007C31E4">
        <w:rPr>
          <w:lang w:bidi="ar-SA"/>
        </w:rPr>
        <w:t xml:space="preserve">, J. – Putnam, B. (eds.): </w:t>
      </w:r>
      <w:r w:rsidRPr="007C31E4">
        <w:rPr>
          <w:rFonts w:cs="NewCenturySchoolCE-Italic"/>
          <w:i/>
          <w:iCs/>
          <w:lang w:bidi="ar-SA"/>
        </w:rPr>
        <w:t>Economic Interdependence and Flexible Exchange Rates</w:t>
      </w:r>
      <w:r w:rsidRPr="007C31E4">
        <w:rPr>
          <w:lang w:bidi="ar-SA"/>
        </w:rPr>
        <w:t>.</w:t>
      </w:r>
    </w:p>
    <w:p w:rsidR="00E00EA7" w:rsidRPr="007C31E4" w:rsidRDefault="00E00EA7" w:rsidP="00DA7F40">
      <w:pPr>
        <w:pStyle w:val="NoSpacing"/>
      </w:pPr>
      <w:r w:rsidRPr="007C31E4">
        <w:rPr>
          <w:lang w:bidi="ar-SA"/>
        </w:rPr>
        <w:t>Cambridge (MA), MIT Press, pp. 84–114.</w:t>
      </w:r>
    </w:p>
    <w:p w:rsidR="00E00EA7" w:rsidRPr="007C31E4" w:rsidRDefault="00E00EA7" w:rsidP="00DA7F40">
      <w:pPr>
        <w:pStyle w:val="NoSpacing"/>
      </w:pPr>
    </w:p>
    <w:p w:rsidR="00E00EA7" w:rsidRPr="007C31E4" w:rsidRDefault="00E00EA7" w:rsidP="00DA7F40">
      <w:pPr>
        <w:pStyle w:val="NoSpacing"/>
        <w:rPr>
          <w:lang w:bidi="ar-SA"/>
        </w:rPr>
      </w:pPr>
      <w:r w:rsidRPr="007C31E4">
        <w:rPr>
          <w:lang w:bidi="ar-SA"/>
        </w:rPr>
        <w:t>G</w:t>
      </w:r>
      <w:r>
        <w:rPr>
          <w:lang w:bidi="ar-SA"/>
        </w:rPr>
        <w:t>riffin</w:t>
      </w:r>
      <w:r w:rsidRPr="007C31E4">
        <w:rPr>
          <w:lang w:bidi="ar-SA"/>
        </w:rPr>
        <w:t xml:space="preserve">, J. M. – </w:t>
      </w:r>
      <w:proofErr w:type="spellStart"/>
      <w:r w:rsidRPr="007C31E4">
        <w:rPr>
          <w:lang w:bidi="ar-SA"/>
        </w:rPr>
        <w:t>S</w:t>
      </w:r>
      <w:r>
        <w:rPr>
          <w:lang w:bidi="ar-SA"/>
        </w:rPr>
        <w:t>tulz</w:t>
      </w:r>
      <w:proofErr w:type="spellEnd"/>
      <w:r w:rsidRPr="007C31E4">
        <w:rPr>
          <w:lang w:bidi="ar-SA"/>
        </w:rPr>
        <w:t>, R. M. (2001): International Competition and Exchange Rate Shocks:</w:t>
      </w:r>
    </w:p>
    <w:p w:rsidR="00E00EA7" w:rsidRPr="007C31E4" w:rsidRDefault="00E00EA7" w:rsidP="00DA7F40">
      <w:pPr>
        <w:pStyle w:val="NoSpacing"/>
        <w:rPr>
          <w:lang w:bidi="ar-SA"/>
        </w:rPr>
      </w:pPr>
      <w:proofErr w:type="gramStart"/>
      <w:r w:rsidRPr="007C31E4">
        <w:rPr>
          <w:lang w:bidi="ar-SA"/>
        </w:rPr>
        <w:t>A Cross-country Industry Analysis of Stock Returns.</w:t>
      </w:r>
      <w:proofErr w:type="gramEnd"/>
      <w:r w:rsidRPr="007C31E4">
        <w:rPr>
          <w:lang w:bidi="ar-SA"/>
        </w:rPr>
        <w:t xml:space="preserve"> The </w:t>
      </w:r>
      <w:r w:rsidRPr="007C31E4">
        <w:rPr>
          <w:rFonts w:cs="NewCenturySchoolCE-Italic"/>
          <w:i/>
          <w:iCs/>
          <w:lang w:bidi="ar-SA"/>
        </w:rPr>
        <w:t>Review of Financial Studies</w:t>
      </w:r>
      <w:r w:rsidRPr="007C31E4">
        <w:rPr>
          <w:lang w:bidi="ar-SA"/>
        </w:rPr>
        <w:t>, vol. 14,</w:t>
      </w:r>
    </w:p>
    <w:p w:rsidR="00E00EA7" w:rsidRPr="007C31E4" w:rsidRDefault="00E00EA7" w:rsidP="00DA7F40">
      <w:pPr>
        <w:pStyle w:val="NoSpacing"/>
      </w:pPr>
      <w:r w:rsidRPr="00E00EA7">
        <w:rPr>
          <w:lang w:bidi="ar-SA"/>
        </w:rPr>
        <w:t>2001, pp. 215–241.</w:t>
      </w:r>
    </w:p>
    <w:p w:rsidR="00E00EA7" w:rsidRPr="007C31E4" w:rsidRDefault="00E00EA7" w:rsidP="00DA7F40">
      <w:pPr>
        <w:pStyle w:val="NoSpacing"/>
      </w:pPr>
    </w:p>
    <w:p w:rsidR="00E00EA7" w:rsidRPr="007C31E4" w:rsidRDefault="00E00EA7" w:rsidP="00DA7F40">
      <w:pPr>
        <w:pStyle w:val="NoSpacing"/>
      </w:pPr>
      <w:proofErr w:type="gramStart"/>
      <w:r w:rsidRPr="007C31E4">
        <w:t>Granger, C.W.J, Huang, B., Yang, C.W., 2000.</w:t>
      </w:r>
      <w:proofErr w:type="gramEnd"/>
      <w:r w:rsidRPr="007C31E4">
        <w:t xml:space="preserve"> A </w:t>
      </w:r>
      <w:proofErr w:type="spellStart"/>
      <w:r w:rsidRPr="007C31E4">
        <w:t>bivariate</w:t>
      </w:r>
      <w:proofErr w:type="spellEnd"/>
      <w:r w:rsidRPr="007C31E4">
        <w:t xml:space="preserve"> causality between stock prices and exchange rates: Evidence form recent Asian flu. </w:t>
      </w:r>
      <w:r w:rsidRPr="007C31E4">
        <w:rPr>
          <w:i/>
          <w:iCs/>
        </w:rPr>
        <w:t xml:space="preserve">The Quarterly Review of Economics and Finance </w:t>
      </w:r>
      <w:r w:rsidRPr="007C31E4">
        <w:t>40: 337-354</w:t>
      </w:r>
    </w:p>
    <w:p w:rsidR="00E00EA7" w:rsidRDefault="00E00EA7" w:rsidP="00DA7F40">
      <w:pPr>
        <w:pStyle w:val="NoSpacing"/>
      </w:pPr>
    </w:p>
    <w:p w:rsidR="00E00EA7" w:rsidRPr="008224F3" w:rsidRDefault="00E00EA7" w:rsidP="00DA7F40">
      <w:pPr>
        <w:pStyle w:val="NoSpacing"/>
        <w:rPr>
          <w:i/>
        </w:rPr>
      </w:pPr>
      <w:r>
        <w:t xml:space="preserve">Granger, C.W.J., (1969) “Investigating Causal Relations by Econometric Models and Cross-spectral Methods” </w:t>
      </w:r>
      <w:proofErr w:type="spellStart"/>
      <w:r w:rsidRPr="008224F3">
        <w:rPr>
          <w:i/>
        </w:rPr>
        <w:t>Econometria</w:t>
      </w:r>
      <w:proofErr w:type="spellEnd"/>
      <w:r w:rsidRPr="008224F3">
        <w:rPr>
          <w:i/>
        </w:rPr>
        <w:t xml:space="preserve"> </w:t>
      </w:r>
    </w:p>
    <w:p w:rsidR="00E00EA7" w:rsidRDefault="00E00EA7" w:rsidP="00DA7F40">
      <w:pPr>
        <w:pStyle w:val="NoSpacing"/>
      </w:pPr>
    </w:p>
    <w:p w:rsidR="00E00EA7" w:rsidRPr="008224F3" w:rsidRDefault="00E00EA7" w:rsidP="00DA7F40">
      <w:pPr>
        <w:pStyle w:val="NoSpacing"/>
        <w:rPr>
          <w:i/>
        </w:rPr>
      </w:pPr>
      <w:r>
        <w:t xml:space="preserve">Hill, C.R., Griffiths, W.E., Lim, G.C., (2008) “Principles of Econometrics”, </w:t>
      </w:r>
      <w:r w:rsidRPr="008224F3">
        <w:rPr>
          <w:i/>
        </w:rPr>
        <w:t xml:space="preserve">John Wiley &amp; Sons </w:t>
      </w:r>
    </w:p>
    <w:p w:rsidR="00E00EA7" w:rsidRDefault="00E00EA7" w:rsidP="00DA7F40">
      <w:pPr>
        <w:pStyle w:val="NoSpacing"/>
      </w:pPr>
    </w:p>
    <w:p w:rsidR="00E00EA7" w:rsidRDefault="00E00EA7" w:rsidP="00DA7F40">
      <w:pPr>
        <w:pStyle w:val="NoSpacing"/>
      </w:pPr>
      <w:r>
        <w:t>Johansen, S., (1991) "</w:t>
      </w:r>
      <w:proofErr w:type="spellStart"/>
      <w:r>
        <w:t>Cointegration</w:t>
      </w:r>
      <w:proofErr w:type="spellEnd"/>
      <w:r>
        <w:t xml:space="preserve"> and Hypothesis Testing of </w:t>
      </w:r>
      <w:proofErr w:type="spellStart"/>
      <w:r>
        <w:t>Cointegration</w:t>
      </w:r>
      <w:proofErr w:type="spellEnd"/>
      <w:r>
        <w:t xml:space="preserve"> Vectors in Gaussian Vector Autoregressive Models", </w:t>
      </w:r>
      <w:proofErr w:type="spellStart"/>
      <w:r w:rsidRPr="00AD7BF8">
        <w:rPr>
          <w:i/>
        </w:rPr>
        <w:t>Econometrica</w:t>
      </w:r>
      <w:proofErr w:type="spellEnd"/>
      <w:r>
        <w:t>, 1551–1580</w:t>
      </w:r>
    </w:p>
    <w:p w:rsidR="00E00EA7" w:rsidRDefault="00E00EA7" w:rsidP="00DA7F40">
      <w:pPr>
        <w:pStyle w:val="NoSpacing"/>
      </w:pPr>
    </w:p>
    <w:p w:rsidR="00E00EA7" w:rsidRPr="00960852" w:rsidRDefault="00E00EA7" w:rsidP="00DA7F40">
      <w:pPr>
        <w:pStyle w:val="NoSpacing"/>
        <w:rPr>
          <w:i/>
        </w:rPr>
      </w:pPr>
      <w:r>
        <w:t xml:space="preserve">Mark, N.C., (2001) “International Macroeconomics and Finance” </w:t>
      </w:r>
      <w:r w:rsidRPr="00960852">
        <w:rPr>
          <w:i/>
        </w:rPr>
        <w:t>Blackwell Publishers</w:t>
      </w:r>
    </w:p>
    <w:p w:rsidR="00E00EA7" w:rsidRDefault="00E00EA7" w:rsidP="00DA7F40">
      <w:pPr>
        <w:pStyle w:val="NoSpacing"/>
      </w:pPr>
    </w:p>
    <w:p w:rsidR="00E00EA7" w:rsidRPr="008D0A55" w:rsidRDefault="00E00EA7" w:rsidP="00DA7F40">
      <w:pPr>
        <w:pStyle w:val="NoSpacing"/>
        <w:rPr>
          <w:i/>
        </w:rPr>
      </w:pPr>
      <w:proofErr w:type="spellStart"/>
      <w:r>
        <w:t>Marrewijk</w:t>
      </w:r>
      <w:proofErr w:type="spellEnd"/>
      <w:r>
        <w:t xml:space="preserve"> van, C (2007) “International Economics, Theory, Application and Policy” </w:t>
      </w:r>
      <w:r w:rsidRPr="008D0A55">
        <w:rPr>
          <w:i/>
        </w:rPr>
        <w:t>Oxford University Press</w:t>
      </w:r>
    </w:p>
    <w:p w:rsidR="00E00EA7" w:rsidRDefault="00E00EA7" w:rsidP="00DA7F40">
      <w:pPr>
        <w:pStyle w:val="NoSpacing"/>
      </w:pPr>
    </w:p>
    <w:p w:rsidR="00E00EA7" w:rsidRPr="008224F3" w:rsidRDefault="00E00EA7" w:rsidP="00DA7F40">
      <w:pPr>
        <w:pStyle w:val="NoSpacing"/>
        <w:rPr>
          <w:i/>
        </w:rPr>
      </w:pPr>
      <w:r>
        <w:lastRenderedPageBreak/>
        <w:t xml:space="preserve">Nelson, C.R., </w:t>
      </w:r>
      <w:proofErr w:type="spellStart"/>
      <w:r>
        <w:t>Plosser</w:t>
      </w:r>
      <w:proofErr w:type="spellEnd"/>
      <w:r>
        <w:t xml:space="preserve">, C.R. (1982), “Trends and random walks in </w:t>
      </w:r>
      <w:proofErr w:type="spellStart"/>
      <w:r>
        <w:t>marcroeconomic</w:t>
      </w:r>
      <w:proofErr w:type="spellEnd"/>
      <w:r>
        <w:t xml:space="preserve"> time series: evidence and implications”, </w:t>
      </w:r>
      <w:r w:rsidRPr="008224F3">
        <w:rPr>
          <w:i/>
        </w:rPr>
        <w:t xml:space="preserve">Journal of Monetary Economics. </w:t>
      </w:r>
    </w:p>
    <w:p w:rsidR="00E00EA7" w:rsidRPr="007C31E4" w:rsidRDefault="00E00EA7" w:rsidP="00DA7F40">
      <w:pPr>
        <w:pStyle w:val="NoSpacing"/>
      </w:pPr>
    </w:p>
    <w:p w:rsidR="00E00EA7" w:rsidRPr="007C31E4" w:rsidRDefault="00E00EA7" w:rsidP="00DA7F40">
      <w:pPr>
        <w:pStyle w:val="NoSpacing"/>
        <w:rPr>
          <w:rFonts w:cs="TimesNewRomanPSMT"/>
          <w:lang w:bidi="ar-SA"/>
        </w:rPr>
      </w:pPr>
      <w:proofErr w:type="spellStart"/>
      <w:proofErr w:type="gramStart"/>
      <w:r w:rsidRPr="007C31E4">
        <w:rPr>
          <w:rFonts w:cs="TimesNewRomanPSMT"/>
          <w:lang w:bidi="ar-SA"/>
        </w:rPr>
        <w:t>Nieh</w:t>
      </w:r>
      <w:proofErr w:type="spellEnd"/>
      <w:r w:rsidRPr="007C31E4">
        <w:rPr>
          <w:rFonts w:cs="TimesNewRomanPSMT"/>
          <w:lang w:bidi="ar-SA"/>
        </w:rPr>
        <w:t xml:space="preserve">, </w:t>
      </w:r>
      <w:proofErr w:type="spellStart"/>
      <w:r w:rsidRPr="007C31E4">
        <w:rPr>
          <w:rFonts w:cs="TimesNewRomanPSMT"/>
          <w:lang w:bidi="ar-SA"/>
        </w:rPr>
        <w:t>Chien</w:t>
      </w:r>
      <w:proofErr w:type="spellEnd"/>
      <w:r w:rsidRPr="007C31E4">
        <w:rPr>
          <w:rFonts w:cs="TimesNewRomanPSMT"/>
          <w:lang w:bidi="ar-SA"/>
        </w:rPr>
        <w:t>-Chung and Lee, Cheng-Few, 2001.</w:t>
      </w:r>
      <w:proofErr w:type="gramEnd"/>
      <w:r w:rsidRPr="007C31E4">
        <w:rPr>
          <w:rFonts w:cs="TimesNewRomanPSMT"/>
          <w:lang w:bidi="ar-SA"/>
        </w:rPr>
        <w:t xml:space="preserve"> “Dynamic relationship between stock prices</w:t>
      </w:r>
    </w:p>
    <w:p w:rsidR="00E00EA7" w:rsidRPr="007C31E4" w:rsidRDefault="00E00EA7" w:rsidP="00DA7F40">
      <w:pPr>
        <w:pStyle w:val="NoSpacing"/>
        <w:rPr>
          <w:rFonts w:cs="TimesNewRomanPSMT"/>
          <w:lang w:bidi="ar-SA"/>
        </w:rPr>
      </w:pPr>
      <w:proofErr w:type="gramStart"/>
      <w:r w:rsidRPr="007C31E4">
        <w:rPr>
          <w:rFonts w:cs="TimesNewRomanPSMT"/>
          <w:lang w:bidi="ar-SA"/>
        </w:rPr>
        <w:t>and</w:t>
      </w:r>
      <w:proofErr w:type="gramEnd"/>
      <w:r w:rsidRPr="007C31E4">
        <w:rPr>
          <w:rFonts w:cs="TimesNewRomanPSMT"/>
          <w:lang w:bidi="ar-SA"/>
        </w:rPr>
        <w:t xml:space="preserve"> exchange rates for G-7 countries”, </w:t>
      </w:r>
      <w:r w:rsidRPr="007C31E4">
        <w:rPr>
          <w:rFonts w:cs="TimesNewRomanPS-ItalicMT"/>
          <w:i/>
          <w:iCs/>
          <w:lang w:bidi="ar-SA"/>
        </w:rPr>
        <w:t xml:space="preserve">The Quarterly Review of Economics and Finance </w:t>
      </w:r>
      <w:r w:rsidRPr="007C31E4">
        <w:rPr>
          <w:rFonts w:cs="TimesNewRomanPSMT"/>
          <w:lang w:bidi="ar-SA"/>
        </w:rPr>
        <w:t>41,</w:t>
      </w:r>
    </w:p>
    <w:p w:rsidR="00E00EA7" w:rsidRPr="007C31E4" w:rsidRDefault="00E00EA7" w:rsidP="00DA7F40">
      <w:pPr>
        <w:pStyle w:val="NoSpacing"/>
      </w:pPr>
      <w:r w:rsidRPr="00960852">
        <w:rPr>
          <w:rFonts w:cs="TimesNewRomanPSMT"/>
          <w:lang w:bidi="ar-SA"/>
        </w:rPr>
        <w:t>pp. 477–490.</w:t>
      </w:r>
    </w:p>
    <w:p w:rsidR="00E00EA7" w:rsidRDefault="00E00EA7" w:rsidP="00DA7F40">
      <w:pPr>
        <w:pStyle w:val="NoSpacing"/>
      </w:pPr>
    </w:p>
    <w:p w:rsidR="00E00EA7" w:rsidRPr="00960852" w:rsidRDefault="00E00EA7" w:rsidP="00DA7F40">
      <w:pPr>
        <w:pStyle w:val="NoSpacing"/>
        <w:rPr>
          <w:i/>
        </w:rPr>
      </w:pPr>
      <w:proofErr w:type="spellStart"/>
      <w:r>
        <w:t>Madalla</w:t>
      </w:r>
      <w:proofErr w:type="spellEnd"/>
      <w:r>
        <w:t xml:space="preserve">, G.S., In-Moo Kim, (1998) “Unit Roots, </w:t>
      </w:r>
      <w:proofErr w:type="spellStart"/>
      <w:r>
        <w:t>Cointegration</w:t>
      </w:r>
      <w:proofErr w:type="spellEnd"/>
      <w:r>
        <w:t xml:space="preserve"> and Structural Change” </w:t>
      </w:r>
      <w:r w:rsidRPr="00960852">
        <w:rPr>
          <w:i/>
        </w:rPr>
        <w:t>Cambridge University Press</w:t>
      </w:r>
    </w:p>
    <w:p w:rsidR="00E00EA7" w:rsidRDefault="00E00EA7" w:rsidP="00DA7F40">
      <w:pPr>
        <w:pStyle w:val="NoSpacing"/>
      </w:pPr>
    </w:p>
    <w:p w:rsidR="00E00EA7" w:rsidRPr="007C31E4" w:rsidRDefault="00E00EA7" w:rsidP="00DA7F40">
      <w:pPr>
        <w:pStyle w:val="NoSpacing"/>
        <w:rPr>
          <w:lang w:bidi="ar-SA"/>
        </w:rPr>
      </w:pPr>
      <w:proofErr w:type="spellStart"/>
      <w:r w:rsidRPr="007C31E4">
        <w:rPr>
          <w:lang w:bidi="ar-SA"/>
        </w:rPr>
        <w:t>S</w:t>
      </w:r>
      <w:r>
        <w:rPr>
          <w:lang w:bidi="ar-SA"/>
        </w:rPr>
        <w:t>tavarek</w:t>
      </w:r>
      <w:proofErr w:type="spellEnd"/>
      <w:r w:rsidRPr="007C31E4">
        <w:rPr>
          <w:lang w:bidi="ar-SA"/>
        </w:rPr>
        <w:t>, D. (2004): Causalities between Stock and Foreign Exchange Markets: Evidence</w:t>
      </w:r>
    </w:p>
    <w:p w:rsidR="00E00EA7" w:rsidRPr="007C31E4" w:rsidRDefault="00E00EA7" w:rsidP="00DA7F40">
      <w:pPr>
        <w:pStyle w:val="NoSpacing"/>
        <w:rPr>
          <w:rFonts w:cs="NewCenturySchoolCE-Italic"/>
          <w:i/>
          <w:iCs/>
          <w:lang w:bidi="ar-SA"/>
        </w:rPr>
      </w:pPr>
      <w:proofErr w:type="gramStart"/>
      <w:r w:rsidRPr="007C31E4">
        <w:rPr>
          <w:lang w:bidi="ar-SA"/>
        </w:rPr>
        <w:t>from</w:t>
      </w:r>
      <w:proofErr w:type="gramEnd"/>
      <w:r w:rsidRPr="007C31E4">
        <w:rPr>
          <w:lang w:bidi="ar-SA"/>
        </w:rPr>
        <w:t xml:space="preserve"> Selected EU-Member Countries. In: </w:t>
      </w:r>
      <w:proofErr w:type="spellStart"/>
      <w:r w:rsidRPr="007C31E4">
        <w:rPr>
          <w:lang w:bidi="ar-SA"/>
        </w:rPr>
        <w:t>Hanisz</w:t>
      </w:r>
      <w:proofErr w:type="spellEnd"/>
      <w:r w:rsidRPr="007C31E4">
        <w:rPr>
          <w:lang w:bidi="ar-SA"/>
        </w:rPr>
        <w:t xml:space="preserve">, R. N. – </w:t>
      </w:r>
      <w:proofErr w:type="spellStart"/>
      <w:r w:rsidRPr="007C31E4">
        <w:rPr>
          <w:lang w:bidi="ar-SA"/>
        </w:rPr>
        <w:t>Znaniecka</w:t>
      </w:r>
      <w:proofErr w:type="spellEnd"/>
      <w:r w:rsidRPr="007C31E4">
        <w:rPr>
          <w:lang w:bidi="ar-SA"/>
        </w:rPr>
        <w:t xml:space="preserve">, K. (eds.): </w:t>
      </w:r>
      <w:r w:rsidRPr="007C31E4">
        <w:rPr>
          <w:rFonts w:cs="NewCenturySchoolCE-Italic"/>
          <w:i/>
          <w:iCs/>
          <w:lang w:bidi="ar-SA"/>
        </w:rPr>
        <w:t>Finance in Enlarged</w:t>
      </w:r>
    </w:p>
    <w:p w:rsidR="00E00EA7" w:rsidRPr="007C31E4" w:rsidRDefault="00E00EA7" w:rsidP="00DA7F40">
      <w:pPr>
        <w:pStyle w:val="NoSpacing"/>
      </w:pPr>
      <w:proofErr w:type="gramStart"/>
      <w:r w:rsidRPr="007C31E4">
        <w:rPr>
          <w:rFonts w:cs="NewCenturySchoolCE-Italic"/>
          <w:i/>
          <w:iCs/>
          <w:lang w:bidi="ar-SA"/>
        </w:rPr>
        <w:t>European Union.</w:t>
      </w:r>
      <w:proofErr w:type="gramEnd"/>
      <w:r w:rsidRPr="007C31E4">
        <w:rPr>
          <w:rFonts w:cs="NewCenturySchoolCE-Italic"/>
          <w:i/>
          <w:iCs/>
          <w:lang w:bidi="ar-SA"/>
        </w:rPr>
        <w:t xml:space="preserve"> </w:t>
      </w:r>
      <w:r w:rsidRPr="007C31E4">
        <w:rPr>
          <w:lang w:bidi="ar-SA"/>
        </w:rPr>
        <w:t xml:space="preserve">Katowice, </w:t>
      </w:r>
      <w:proofErr w:type="spellStart"/>
      <w:r w:rsidRPr="007C31E4">
        <w:rPr>
          <w:lang w:bidi="ar-SA"/>
        </w:rPr>
        <w:t>Wydawnictwo</w:t>
      </w:r>
      <w:proofErr w:type="spellEnd"/>
      <w:r w:rsidRPr="007C31E4">
        <w:rPr>
          <w:lang w:bidi="ar-SA"/>
        </w:rPr>
        <w:t xml:space="preserve"> </w:t>
      </w:r>
      <w:proofErr w:type="spellStart"/>
      <w:r w:rsidRPr="007C31E4">
        <w:rPr>
          <w:lang w:bidi="ar-SA"/>
        </w:rPr>
        <w:t>Akademii</w:t>
      </w:r>
      <w:proofErr w:type="spellEnd"/>
      <w:r w:rsidRPr="007C31E4">
        <w:rPr>
          <w:lang w:bidi="ar-SA"/>
        </w:rPr>
        <w:t xml:space="preserve"> </w:t>
      </w:r>
      <w:proofErr w:type="spellStart"/>
      <w:r w:rsidRPr="007C31E4">
        <w:rPr>
          <w:lang w:bidi="ar-SA"/>
        </w:rPr>
        <w:t>Ekonomicznej</w:t>
      </w:r>
      <w:proofErr w:type="spellEnd"/>
      <w:r w:rsidRPr="007C31E4">
        <w:rPr>
          <w:lang w:bidi="ar-SA"/>
        </w:rPr>
        <w:t>, 2004, pp. 233–243.</w:t>
      </w:r>
    </w:p>
    <w:p w:rsidR="00E00EA7" w:rsidRPr="007C31E4" w:rsidRDefault="00E00EA7" w:rsidP="00DA7F40">
      <w:pPr>
        <w:pStyle w:val="NoSpacing"/>
      </w:pPr>
    </w:p>
    <w:p w:rsidR="00E00EA7" w:rsidRPr="007C31E4" w:rsidRDefault="00E00EA7" w:rsidP="00DA7F40">
      <w:pPr>
        <w:pStyle w:val="NoSpacing"/>
      </w:pPr>
    </w:p>
    <w:p w:rsidR="00E00EA7" w:rsidRDefault="00E00EA7" w:rsidP="00DA7F40">
      <w:pPr>
        <w:pStyle w:val="NoSpacing"/>
      </w:pPr>
    </w:p>
    <w:p w:rsidR="00E00EA7" w:rsidRPr="007C31E4" w:rsidRDefault="00E00EA7" w:rsidP="00DA7F40"/>
    <w:p w:rsidR="00E00EA7" w:rsidRPr="007C31E4" w:rsidRDefault="00E00EA7" w:rsidP="00DA7F40"/>
    <w:p w:rsidR="00E00EA7" w:rsidRPr="007C31E4" w:rsidRDefault="00E00EA7" w:rsidP="00DA7F40"/>
    <w:p w:rsidR="00E00EA7" w:rsidRDefault="00E00EA7" w:rsidP="00DA7F40"/>
    <w:p w:rsidR="00E00EA7" w:rsidRDefault="00E00EA7" w:rsidP="00E00EA7">
      <w:pPr>
        <w:pStyle w:val="NoSpacing"/>
      </w:pPr>
    </w:p>
    <w:p w:rsidR="00E00EA7" w:rsidRDefault="00E00EA7" w:rsidP="00E00EA7">
      <w:pPr>
        <w:pStyle w:val="NoSpacing"/>
      </w:pPr>
    </w:p>
    <w:p w:rsidR="00E00EA7" w:rsidRDefault="00E00EA7" w:rsidP="00E00EA7">
      <w:pPr>
        <w:pStyle w:val="NoSpacing"/>
      </w:pPr>
    </w:p>
    <w:p w:rsidR="00960852" w:rsidRDefault="00960852" w:rsidP="00960852">
      <w:pPr>
        <w:pStyle w:val="NoSpacing"/>
        <w:jc w:val="both"/>
      </w:pPr>
    </w:p>
    <w:p w:rsidR="00960852" w:rsidRDefault="00960852" w:rsidP="00960852">
      <w:pPr>
        <w:pStyle w:val="NoSpacing"/>
        <w:jc w:val="both"/>
      </w:pPr>
    </w:p>
    <w:p w:rsidR="00960852" w:rsidRDefault="00960852" w:rsidP="00960852">
      <w:pPr>
        <w:pStyle w:val="NoSpacing"/>
        <w:jc w:val="both"/>
      </w:pPr>
    </w:p>
    <w:p w:rsidR="00960852" w:rsidRDefault="00960852" w:rsidP="00960852">
      <w:pPr>
        <w:pStyle w:val="NoSpacing"/>
        <w:jc w:val="both"/>
      </w:pPr>
    </w:p>
    <w:p w:rsidR="00960852" w:rsidRDefault="00960852" w:rsidP="00960852">
      <w:pPr>
        <w:pStyle w:val="NoSpacing"/>
        <w:jc w:val="both"/>
      </w:pPr>
    </w:p>
    <w:p w:rsidR="00960852" w:rsidRDefault="00960852" w:rsidP="00960852">
      <w:pPr>
        <w:pStyle w:val="NoSpacing"/>
        <w:jc w:val="both"/>
      </w:pPr>
    </w:p>
    <w:p w:rsidR="00960852" w:rsidRDefault="00960852" w:rsidP="00960852">
      <w:pPr>
        <w:pStyle w:val="NoSpacing"/>
        <w:jc w:val="both"/>
      </w:pPr>
    </w:p>
    <w:p w:rsidR="00960852" w:rsidRDefault="00960852" w:rsidP="00960852">
      <w:pPr>
        <w:pStyle w:val="NoSpacing"/>
        <w:jc w:val="both"/>
      </w:pPr>
    </w:p>
    <w:p w:rsidR="00960852" w:rsidRDefault="00960852" w:rsidP="00960852">
      <w:pPr>
        <w:pStyle w:val="NoSpacing"/>
        <w:jc w:val="both"/>
      </w:pPr>
    </w:p>
    <w:p w:rsidR="00960852" w:rsidRDefault="00960852" w:rsidP="00960852">
      <w:pPr>
        <w:pStyle w:val="NoSpacing"/>
        <w:jc w:val="both"/>
      </w:pPr>
    </w:p>
    <w:p w:rsidR="00960852" w:rsidRDefault="00960852" w:rsidP="00960852">
      <w:pPr>
        <w:pStyle w:val="NoSpacing"/>
        <w:jc w:val="both"/>
      </w:pPr>
    </w:p>
    <w:p w:rsidR="00960852" w:rsidRDefault="00960852" w:rsidP="00960852">
      <w:pPr>
        <w:pStyle w:val="NoSpacing"/>
        <w:jc w:val="both"/>
      </w:pPr>
    </w:p>
    <w:p w:rsidR="00960852" w:rsidRDefault="00960852" w:rsidP="00960852">
      <w:pPr>
        <w:pStyle w:val="NoSpacing"/>
        <w:jc w:val="both"/>
      </w:pPr>
    </w:p>
    <w:p w:rsidR="00960852" w:rsidRDefault="00960852" w:rsidP="00960852">
      <w:pPr>
        <w:pStyle w:val="NoSpacing"/>
        <w:jc w:val="both"/>
      </w:pPr>
    </w:p>
    <w:p w:rsidR="00960852" w:rsidRDefault="00960852" w:rsidP="00960852">
      <w:pPr>
        <w:pStyle w:val="NoSpacing"/>
        <w:jc w:val="both"/>
      </w:pPr>
    </w:p>
    <w:p w:rsidR="00960852" w:rsidRDefault="00960852" w:rsidP="00960852">
      <w:pPr>
        <w:pStyle w:val="NoSpacing"/>
        <w:jc w:val="both"/>
      </w:pPr>
    </w:p>
    <w:p w:rsidR="00960852" w:rsidRDefault="00960852" w:rsidP="00960852">
      <w:pPr>
        <w:pStyle w:val="NoSpacing"/>
        <w:jc w:val="both"/>
      </w:pPr>
    </w:p>
    <w:p w:rsidR="00960852" w:rsidRDefault="00960852" w:rsidP="00960852">
      <w:pPr>
        <w:pStyle w:val="NoSpacing"/>
        <w:jc w:val="both"/>
      </w:pPr>
    </w:p>
    <w:p w:rsidR="00960852" w:rsidRDefault="00960852" w:rsidP="00960852">
      <w:pPr>
        <w:pStyle w:val="NoSpacing"/>
        <w:jc w:val="both"/>
      </w:pPr>
    </w:p>
    <w:p w:rsidR="00960852" w:rsidRDefault="00960852" w:rsidP="00960852">
      <w:pPr>
        <w:pStyle w:val="NoSpacing"/>
        <w:jc w:val="both"/>
      </w:pPr>
    </w:p>
    <w:p w:rsidR="00960852" w:rsidRDefault="00960852" w:rsidP="00960852">
      <w:pPr>
        <w:pStyle w:val="NoSpacing"/>
        <w:jc w:val="both"/>
      </w:pPr>
    </w:p>
    <w:p w:rsidR="00960852" w:rsidRDefault="00960852" w:rsidP="00960852">
      <w:pPr>
        <w:pStyle w:val="NoSpacing"/>
        <w:jc w:val="both"/>
      </w:pPr>
    </w:p>
    <w:p w:rsidR="00960852" w:rsidRDefault="00960852" w:rsidP="00960852">
      <w:pPr>
        <w:pStyle w:val="NoSpacing"/>
        <w:jc w:val="both"/>
      </w:pPr>
    </w:p>
    <w:p w:rsidR="00960852" w:rsidRDefault="00960852" w:rsidP="00960852">
      <w:pPr>
        <w:pStyle w:val="NoSpacing"/>
        <w:jc w:val="both"/>
      </w:pPr>
    </w:p>
    <w:p w:rsidR="00960852" w:rsidRDefault="00960852" w:rsidP="00960852">
      <w:pPr>
        <w:pStyle w:val="NoSpacing"/>
        <w:jc w:val="both"/>
      </w:pPr>
    </w:p>
    <w:p w:rsidR="009C16D2" w:rsidRDefault="00D6604F" w:rsidP="00107DB1">
      <w:pPr>
        <w:pStyle w:val="Heading1"/>
      </w:pPr>
      <w:bookmarkStart w:id="15" w:name="_Toc300320241"/>
      <w:r>
        <w:lastRenderedPageBreak/>
        <w:t>A</w:t>
      </w:r>
      <w:r w:rsidR="00960852">
        <w:t>ppendix</w:t>
      </w:r>
      <w:r w:rsidR="008D0A55">
        <w:t xml:space="preserve"> </w:t>
      </w:r>
      <w:proofErr w:type="gramStart"/>
      <w:r w:rsidR="008D0A55">
        <w:t>A</w:t>
      </w:r>
      <w:proofErr w:type="gramEnd"/>
      <w:r w:rsidR="00107DB1">
        <w:t xml:space="preserve"> </w:t>
      </w:r>
      <w:r w:rsidR="009C16D2">
        <w:t>Abbreviations of indices and exchange rates used in results</w:t>
      </w:r>
      <w:bookmarkEnd w:id="15"/>
    </w:p>
    <w:p w:rsidR="009C16D2" w:rsidRDefault="009C16D2" w:rsidP="009C16D2">
      <w:pPr>
        <w:pStyle w:val="NoSpacing"/>
        <w:jc w:val="both"/>
      </w:pPr>
    </w:p>
    <w:tbl>
      <w:tblPr>
        <w:tblW w:w="8620" w:type="dxa"/>
        <w:tblInd w:w="53" w:type="dxa"/>
        <w:tblCellMar>
          <w:left w:w="70" w:type="dxa"/>
          <w:right w:w="70" w:type="dxa"/>
        </w:tblCellMar>
        <w:tblLook w:val="04A0"/>
      </w:tblPr>
      <w:tblGrid>
        <w:gridCol w:w="1837"/>
        <w:gridCol w:w="146"/>
        <w:gridCol w:w="2860"/>
        <w:gridCol w:w="960"/>
        <w:gridCol w:w="960"/>
        <w:gridCol w:w="960"/>
        <w:gridCol w:w="960"/>
      </w:tblGrid>
      <w:tr w:rsidR="009C16D2" w:rsidRPr="00B23586" w:rsidTr="009C16D2">
        <w:trPr>
          <w:trHeight w:val="285"/>
        </w:trPr>
        <w:tc>
          <w:tcPr>
            <w:tcW w:w="1920" w:type="dxa"/>
            <w:gridSpan w:val="2"/>
            <w:tcBorders>
              <w:top w:val="nil"/>
              <w:left w:val="nil"/>
              <w:bottom w:val="nil"/>
              <w:right w:val="nil"/>
            </w:tcBorders>
            <w:shd w:val="clear" w:color="auto" w:fill="auto"/>
            <w:noWrap/>
            <w:vAlign w:val="bottom"/>
            <w:hideMark/>
          </w:tcPr>
          <w:p w:rsidR="009C16D2" w:rsidRPr="002E5B80" w:rsidRDefault="009C16D2" w:rsidP="009C16D2">
            <w:pPr>
              <w:spacing w:after="0" w:line="240" w:lineRule="auto"/>
              <w:rPr>
                <w:rFonts w:ascii="Times New Roman" w:eastAsia="Times New Roman" w:hAnsi="Times New Roman" w:cs="Times New Roman"/>
                <w:b/>
                <w:i/>
                <w:lang w:eastAsia="nl-NL" w:bidi="ar-SA"/>
              </w:rPr>
            </w:pPr>
            <w:r w:rsidRPr="002E5B80">
              <w:rPr>
                <w:rFonts w:ascii="Times New Roman" w:eastAsia="Times New Roman" w:hAnsi="Times New Roman" w:cs="Times New Roman"/>
                <w:b/>
                <w:i/>
                <w:lang w:eastAsia="nl-NL" w:bidi="ar-SA"/>
              </w:rPr>
              <w:t>Abbreviation</w:t>
            </w:r>
          </w:p>
        </w:tc>
        <w:tc>
          <w:tcPr>
            <w:tcW w:w="2860" w:type="dxa"/>
            <w:tcBorders>
              <w:top w:val="nil"/>
              <w:left w:val="nil"/>
              <w:bottom w:val="nil"/>
              <w:right w:val="nil"/>
            </w:tcBorders>
            <w:shd w:val="clear" w:color="auto" w:fill="auto"/>
            <w:noWrap/>
            <w:vAlign w:val="bottom"/>
            <w:hideMark/>
          </w:tcPr>
          <w:p w:rsidR="009C16D2" w:rsidRPr="002E5B80" w:rsidRDefault="009C16D2" w:rsidP="009C16D2">
            <w:pPr>
              <w:spacing w:after="0" w:line="240" w:lineRule="auto"/>
              <w:rPr>
                <w:rFonts w:ascii="Times New Roman" w:eastAsia="Times New Roman" w:hAnsi="Times New Roman" w:cs="Times New Roman"/>
                <w:b/>
                <w:i/>
                <w:iCs/>
                <w:lang w:eastAsia="nl-NL" w:bidi="ar-SA"/>
              </w:rPr>
            </w:pPr>
            <w:r w:rsidRPr="002E5B80">
              <w:rPr>
                <w:rFonts w:ascii="Times New Roman" w:eastAsia="Times New Roman" w:hAnsi="Times New Roman" w:cs="Times New Roman"/>
                <w:b/>
                <w:i/>
                <w:iCs/>
                <w:lang w:eastAsia="nl-NL" w:bidi="ar-SA"/>
              </w:rPr>
              <w:t>Name</w:t>
            </w:r>
          </w:p>
        </w:tc>
        <w:tc>
          <w:tcPr>
            <w:tcW w:w="960" w:type="dxa"/>
            <w:tcBorders>
              <w:top w:val="nil"/>
              <w:left w:val="nil"/>
              <w:bottom w:val="nil"/>
              <w:right w:val="nil"/>
            </w:tcBorders>
            <w:shd w:val="clear" w:color="auto" w:fill="auto"/>
            <w:noWrap/>
            <w:vAlign w:val="bottom"/>
            <w:hideMark/>
          </w:tcPr>
          <w:p w:rsidR="009C16D2" w:rsidRPr="002E5B80" w:rsidRDefault="009C16D2" w:rsidP="009C16D2">
            <w:pPr>
              <w:spacing w:after="0" w:line="240" w:lineRule="auto"/>
              <w:rPr>
                <w:rFonts w:ascii="Arial" w:eastAsia="Times New Roman" w:hAnsi="Arial" w:cs="Arial"/>
                <w:sz w:val="20"/>
                <w:szCs w:val="20"/>
                <w:lang w:eastAsia="nl-NL" w:bidi="ar-SA"/>
              </w:rPr>
            </w:pPr>
          </w:p>
        </w:tc>
        <w:tc>
          <w:tcPr>
            <w:tcW w:w="960" w:type="dxa"/>
            <w:tcBorders>
              <w:top w:val="nil"/>
              <w:left w:val="nil"/>
              <w:bottom w:val="nil"/>
              <w:right w:val="nil"/>
            </w:tcBorders>
            <w:shd w:val="clear" w:color="auto" w:fill="auto"/>
            <w:noWrap/>
            <w:vAlign w:val="bottom"/>
            <w:hideMark/>
          </w:tcPr>
          <w:p w:rsidR="009C16D2" w:rsidRPr="002E5B80" w:rsidRDefault="009C16D2" w:rsidP="009C16D2">
            <w:pPr>
              <w:spacing w:after="0" w:line="240" w:lineRule="auto"/>
              <w:rPr>
                <w:rFonts w:ascii="Arial" w:eastAsia="Times New Roman" w:hAnsi="Arial" w:cs="Arial"/>
                <w:sz w:val="20"/>
                <w:szCs w:val="20"/>
                <w:lang w:eastAsia="nl-NL" w:bidi="ar-SA"/>
              </w:rPr>
            </w:pPr>
          </w:p>
        </w:tc>
        <w:tc>
          <w:tcPr>
            <w:tcW w:w="960" w:type="dxa"/>
            <w:tcBorders>
              <w:top w:val="nil"/>
              <w:left w:val="nil"/>
              <w:bottom w:val="nil"/>
              <w:right w:val="nil"/>
            </w:tcBorders>
            <w:shd w:val="clear" w:color="auto" w:fill="auto"/>
            <w:noWrap/>
            <w:vAlign w:val="bottom"/>
            <w:hideMark/>
          </w:tcPr>
          <w:p w:rsidR="009C16D2" w:rsidRPr="002E5B80" w:rsidRDefault="009C16D2" w:rsidP="009C16D2">
            <w:pPr>
              <w:spacing w:after="0" w:line="240" w:lineRule="auto"/>
              <w:rPr>
                <w:rFonts w:ascii="Arial" w:eastAsia="Times New Roman" w:hAnsi="Arial" w:cs="Arial"/>
                <w:sz w:val="20"/>
                <w:szCs w:val="20"/>
                <w:lang w:eastAsia="nl-NL" w:bidi="ar-SA"/>
              </w:rPr>
            </w:pPr>
          </w:p>
        </w:tc>
        <w:tc>
          <w:tcPr>
            <w:tcW w:w="960" w:type="dxa"/>
            <w:tcBorders>
              <w:top w:val="nil"/>
              <w:left w:val="nil"/>
              <w:bottom w:val="nil"/>
              <w:right w:val="nil"/>
            </w:tcBorders>
            <w:shd w:val="clear" w:color="auto" w:fill="auto"/>
            <w:noWrap/>
            <w:vAlign w:val="bottom"/>
            <w:hideMark/>
          </w:tcPr>
          <w:p w:rsidR="009C16D2" w:rsidRPr="002E5B80" w:rsidRDefault="009C16D2" w:rsidP="009C16D2">
            <w:pPr>
              <w:spacing w:after="0" w:line="240" w:lineRule="auto"/>
              <w:rPr>
                <w:rFonts w:ascii="Arial" w:eastAsia="Times New Roman" w:hAnsi="Arial" w:cs="Arial"/>
                <w:sz w:val="20"/>
                <w:szCs w:val="20"/>
                <w:lang w:eastAsia="nl-NL" w:bidi="ar-SA"/>
              </w:rPr>
            </w:pPr>
          </w:p>
        </w:tc>
      </w:tr>
      <w:tr w:rsidR="009C16D2" w:rsidRPr="00B23586" w:rsidTr="009C16D2">
        <w:trPr>
          <w:trHeight w:val="285"/>
        </w:trPr>
        <w:tc>
          <w:tcPr>
            <w:tcW w:w="1837" w:type="dxa"/>
            <w:tcBorders>
              <w:top w:val="nil"/>
              <w:left w:val="nil"/>
              <w:bottom w:val="nil"/>
              <w:right w:val="nil"/>
            </w:tcBorders>
            <w:shd w:val="clear" w:color="auto" w:fill="auto"/>
            <w:noWrap/>
            <w:vAlign w:val="bottom"/>
            <w:hideMark/>
          </w:tcPr>
          <w:p w:rsidR="009C16D2" w:rsidRPr="002E5B80" w:rsidRDefault="009C16D2" w:rsidP="009C16D2">
            <w:pPr>
              <w:spacing w:after="0" w:line="240" w:lineRule="auto"/>
              <w:rPr>
                <w:rFonts w:ascii="Times New Roman" w:eastAsia="Times New Roman" w:hAnsi="Times New Roman" w:cs="Times New Roman"/>
                <w:lang w:eastAsia="nl-NL" w:bidi="ar-SA"/>
              </w:rPr>
            </w:pPr>
            <w:r w:rsidRPr="002E5B80">
              <w:rPr>
                <w:rFonts w:ascii="Times New Roman" w:eastAsia="Times New Roman" w:hAnsi="Times New Roman" w:cs="Times New Roman"/>
                <w:lang w:eastAsia="nl-NL" w:bidi="ar-SA"/>
              </w:rPr>
              <w:t>US</w:t>
            </w:r>
          </w:p>
        </w:tc>
        <w:tc>
          <w:tcPr>
            <w:tcW w:w="83" w:type="dxa"/>
            <w:tcBorders>
              <w:top w:val="nil"/>
              <w:left w:val="nil"/>
              <w:bottom w:val="nil"/>
              <w:right w:val="nil"/>
            </w:tcBorders>
            <w:shd w:val="clear" w:color="auto" w:fill="auto"/>
            <w:noWrap/>
            <w:vAlign w:val="bottom"/>
            <w:hideMark/>
          </w:tcPr>
          <w:p w:rsidR="009C16D2" w:rsidRPr="002E5B80" w:rsidRDefault="009C16D2" w:rsidP="009C16D2">
            <w:pPr>
              <w:spacing w:after="0" w:line="240" w:lineRule="auto"/>
              <w:rPr>
                <w:rFonts w:ascii="Times New Roman" w:eastAsia="Times New Roman" w:hAnsi="Times New Roman" w:cs="Times New Roman"/>
                <w:lang w:eastAsia="nl-NL" w:bidi="ar-SA"/>
              </w:rPr>
            </w:pPr>
          </w:p>
        </w:tc>
        <w:tc>
          <w:tcPr>
            <w:tcW w:w="2860"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Times New Roman" w:eastAsia="Times New Roman" w:hAnsi="Times New Roman" w:cs="Times New Roman"/>
                <w:lang w:val="nl-NL" w:eastAsia="nl-NL" w:bidi="ar-SA"/>
              </w:rPr>
            </w:pPr>
            <w:r w:rsidRPr="00B23586">
              <w:rPr>
                <w:rFonts w:ascii="Times New Roman" w:eastAsia="Times New Roman" w:hAnsi="Times New Roman" w:cs="Times New Roman"/>
                <w:lang w:val="nl-NL" w:eastAsia="nl-NL" w:bidi="ar-SA"/>
              </w:rPr>
              <w:t>Standard &amp;</w:t>
            </w:r>
            <w:proofErr w:type="spellStart"/>
            <w:r w:rsidRPr="00B23586">
              <w:rPr>
                <w:rFonts w:ascii="Times New Roman" w:eastAsia="Times New Roman" w:hAnsi="Times New Roman" w:cs="Times New Roman"/>
                <w:lang w:val="nl-NL" w:eastAsia="nl-NL" w:bidi="ar-SA"/>
              </w:rPr>
              <w:t>Poor’s</w:t>
            </w:r>
            <w:proofErr w:type="spellEnd"/>
            <w:r w:rsidRPr="00B23586">
              <w:rPr>
                <w:rFonts w:ascii="Times New Roman" w:eastAsia="Times New Roman" w:hAnsi="Times New Roman" w:cs="Times New Roman"/>
                <w:lang w:val="nl-NL" w:eastAsia="nl-NL" w:bidi="ar-SA"/>
              </w:rPr>
              <w:t xml:space="preserve"> 500</w:t>
            </w:r>
          </w:p>
        </w:tc>
        <w:tc>
          <w:tcPr>
            <w:tcW w:w="960"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Arial" w:eastAsia="Times New Roman" w:hAnsi="Arial" w:cs="Arial"/>
                <w:sz w:val="20"/>
                <w:szCs w:val="20"/>
                <w:lang w:val="nl-NL" w:eastAsia="nl-NL" w:bidi="ar-SA"/>
              </w:rPr>
            </w:pPr>
          </w:p>
        </w:tc>
        <w:tc>
          <w:tcPr>
            <w:tcW w:w="960"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Arial" w:eastAsia="Times New Roman" w:hAnsi="Arial" w:cs="Arial"/>
                <w:sz w:val="20"/>
                <w:szCs w:val="20"/>
                <w:lang w:val="nl-NL" w:eastAsia="nl-NL" w:bidi="ar-SA"/>
              </w:rPr>
            </w:pPr>
          </w:p>
        </w:tc>
        <w:tc>
          <w:tcPr>
            <w:tcW w:w="960"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Arial" w:eastAsia="Times New Roman" w:hAnsi="Arial" w:cs="Arial"/>
                <w:sz w:val="20"/>
                <w:szCs w:val="20"/>
                <w:lang w:val="nl-NL" w:eastAsia="nl-NL" w:bidi="ar-SA"/>
              </w:rPr>
            </w:pPr>
          </w:p>
        </w:tc>
        <w:tc>
          <w:tcPr>
            <w:tcW w:w="960"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Arial" w:eastAsia="Times New Roman" w:hAnsi="Arial" w:cs="Arial"/>
                <w:sz w:val="20"/>
                <w:szCs w:val="20"/>
                <w:lang w:val="nl-NL" w:eastAsia="nl-NL" w:bidi="ar-SA"/>
              </w:rPr>
            </w:pPr>
          </w:p>
        </w:tc>
      </w:tr>
      <w:tr w:rsidR="009C16D2" w:rsidRPr="00B23586" w:rsidTr="009C16D2">
        <w:trPr>
          <w:trHeight w:val="285"/>
        </w:trPr>
        <w:tc>
          <w:tcPr>
            <w:tcW w:w="1837"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Times New Roman" w:eastAsia="Times New Roman" w:hAnsi="Times New Roman" w:cs="Times New Roman"/>
                <w:lang w:val="nl-NL" w:eastAsia="nl-NL" w:bidi="ar-SA"/>
              </w:rPr>
            </w:pPr>
            <w:r w:rsidRPr="00B23586">
              <w:rPr>
                <w:rFonts w:ascii="Times New Roman" w:eastAsia="Times New Roman" w:hAnsi="Times New Roman" w:cs="Times New Roman"/>
                <w:lang w:val="nl-NL" w:eastAsia="nl-NL" w:bidi="ar-SA"/>
              </w:rPr>
              <w:t>USBM</w:t>
            </w:r>
          </w:p>
        </w:tc>
        <w:tc>
          <w:tcPr>
            <w:tcW w:w="83"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Times New Roman" w:eastAsia="Times New Roman" w:hAnsi="Times New Roman" w:cs="Times New Roman"/>
                <w:lang w:val="nl-NL" w:eastAsia="nl-NL" w:bidi="ar-SA"/>
              </w:rPr>
            </w:pPr>
          </w:p>
        </w:tc>
        <w:tc>
          <w:tcPr>
            <w:tcW w:w="3820" w:type="dxa"/>
            <w:gridSpan w:val="2"/>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Times New Roman" w:eastAsia="Times New Roman" w:hAnsi="Times New Roman" w:cs="Times New Roman"/>
                <w:lang w:eastAsia="nl-NL" w:bidi="ar-SA"/>
              </w:rPr>
            </w:pPr>
            <w:r w:rsidRPr="00B23586">
              <w:rPr>
                <w:rFonts w:ascii="Times New Roman" w:eastAsia="Times New Roman" w:hAnsi="Times New Roman" w:cs="Times New Roman"/>
                <w:lang w:eastAsia="nl-NL" w:bidi="ar-SA"/>
              </w:rPr>
              <w:t>Dow Jones U.S. Basic Materials</w:t>
            </w:r>
          </w:p>
        </w:tc>
        <w:tc>
          <w:tcPr>
            <w:tcW w:w="960"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Arial" w:eastAsia="Times New Roman" w:hAnsi="Arial" w:cs="Arial"/>
                <w:sz w:val="20"/>
                <w:szCs w:val="20"/>
                <w:lang w:eastAsia="nl-NL" w:bidi="ar-SA"/>
              </w:rPr>
            </w:pPr>
          </w:p>
        </w:tc>
        <w:tc>
          <w:tcPr>
            <w:tcW w:w="960"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Arial" w:eastAsia="Times New Roman" w:hAnsi="Arial" w:cs="Arial"/>
                <w:sz w:val="20"/>
                <w:szCs w:val="20"/>
                <w:lang w:eastAsia="nl-NL" w:bidi="ar-SA"/>
              </w:rPr>
            </w:pPr>
          </w:p>
        </w:tc>
        <w:tc>
          <w:tcPr>
            <w:tcW w:w="960"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Arial" w:eastAsia="Times New Roman" w:hAnsi="Arial" w:cs="Arial"/>
                <w:sz w:val="20"/>
                <w:szCs w:val="20"/>
                <w:lang w:eastAsia="nl-NL" w:bidi="ar-SA"/>
              </w:rPr>
            </w:pPr>
          </w:p>
        </w:tc>
      </w:tr>
      <w:tr w:rsidR="009C16D2" w:rsidRPr="00B23586" w:rsidTr="009C16D2">
        <w:trPr>
          <w:trHeight w:val="285"/>
        </w:trPr>
        <w:tc>
          <w:tcPr>
            <w:tcW w:w="1837"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Times New Roman" w:eastAsia="Times New Roman" w:hAnsi="Times New Roman" w:cs="Times New Roman"/>
                <w:lang w:val="nl-NL" w:eastAsia="nl-NL" w:bidi="ar-SA"/>
              </w:rPr>
            </w:pPr>
            <w:r w:rsidRPr="00B23586">
              <w:rPr>
                <w:rFonts w:ascii="Times New Roman" w:eastAsia="Times New Roman" w:hAnsi="Times New Roman" w:cs="Times New Roman"/>
                <w:lang w:val="nl-NL" w:eastAsia="nl-NL" w:bidi="ar-SA"/>
              </w:rPr>
              <w:t>USCS</w:t>
            </w:r>
          </w:p>
        </w:tc>
        <w:tc>
          <w:tcPr>
            <w:tcW w:w="83"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Times New Roman" w:eastAsia="Times New Roman" w:hAnsi="Times New Roman" w:cs="Times New Roman"/>
                <w:lang w:val="nl-NL" w:eastAsia="nl-NL" w:bidi="ar-SA"/>
              </w:rPr>
            </w:pPr>
          </w:p>
        </w:tc>
        <w:tc>
          <w:tcPr>
            <w:tcW w:w="3820" w:type="dxa"/>
            <w:gridSpan w:val="2"/>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Times New Roman" w:eastAsia="Times New Roman" w:hAnsi="Times New Roman" w:cs="Times New Roman"/>
                <w:lang w:eastAsia="nl-NL" w:bidi="ar-SA"/>
              </w:rPr>
            </w:pPr>
            <w:r w:rsidRPr="00B23586">
              <w:rPr>
                <w:rFonts w:ascii="Times New Roman" w:eastAsia="Times New Roman" w:hAnsi="Times New Roman" w:cs="Times New Roman"/>
                <w:lang w:eastAsia="nl-NL" w:bidi="ar-SA"/>
              </w:rPr>
              <w:t>Dow Jones U.S. Consumer Services</w:t>
            </w:r>
          </w:p>
        </w:tc>
        <w:tc>
          <w:tcPr>
            <w:tcW w:w="960"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Arial" w:eastAsia="Times New Roman" w:hAnsi="Arial" w:cs="Arial"/>
                <w:sz w:val="20"/>
                <w:szCs w:val="20"/>
                <w:lang w:eastAsia="nl-NL" w:bidi="ar-SA"/>
              </w:rPr>
            </w:pPr>
          </w:p>
        </w:tc>
        <w:tc>
          <w:tcPr>
            <w:tcW w:w="960"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Arial" w:eastAsia="Times New Roman" w:hAnsi="Arial" w:cs="Arial"/>
                <w:sz w:val="20"/>
                <w:szCs w:val="20"/>
                <w:lang w:eastAsia="nl-NL" w:bidi="ar-SA"/>
              </w:rPr>
            </w:pPr>
          </w:p>
        </w:tc>
        <w:tc>
          <w:tcPr>
            <w:tcW w:w="960"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Arial" w:eastAsia="Times New Roman" w:hAnsi="Arial" w:cs="Arial"/>
                <w:sz w:val="20"/>
                <w:szCs w:val="20"/>
                <w:lang w:eastAsia="nl-NL" w:bidi="ar-SA"/>
              </w:rPr>
            </w:pPr>
          </w:p>
        </w:tc>
      </w:tr>
      <w:tr w:rsidR="009C16D2" w:rsidRPr="00B23586" w:rsidTr="009C16D2">
        <w:trPr>
          <w:trHeight w:val="285"/>
        </w:trPr>
        <w:tc>
          <w:tcPr>
            <w:tcW w:w="1837"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Times New Roman" w:eastAsia="Times New Roman" w:hAnsi="Times New Roman" w:cs="Times New Roman"/>
                <w:lang w:val="nl-NL" w:eastAsia="nl-NL" w:bidi="ar-SA"/>
              </w:rPr>
            </w:pPr>
            <w:r w:rsidRPr="00B23586">
              <w:rPr>
                <w:rFonts w:ascii="Times New Roman" w:eastAsia="Times New Roman" w:hAnsi="Times New Roman" w:cs="Times New Roman"/>
                <w:lang w:val="nl-NL" w:eastAsia="nl-NL" w:bidi="ar-SA"/>
              </w:rPr>
              <w:t>USCGDS</w:t>
            </w:r>
          </w:p>
        </w:tc>
        <w:tc>
          <w:tcPr>
            <w:tcW w:w="83"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Times New Roman" w:eastAsia="Times New Roman" w:hAnsi="Times New Roman" w:cs="Times New Roman"/>
                <w:lang w:val="nl-NL" w:eastAsia="nl-NL" w:bidi="ar-SA"/>
              </w:rPr>
            </w:pPr>
          </w:p>
        </w:tc>
        <w:tc>
          <w:tcPr>
            <w:tcW w:w="3820" w:type="dxa"/>
            <w:gridSpan w:val="2"/>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Times New Roman" w:eastAsia="Times New Roman" w:hAnsi="Times New Roman" w:cs="Times New Roman"/>
                <w:lang w:eastAsia="nl-NL" w:bidi="ar-SA"/>
              </w:rPr>
            </w:pPr>
            <w:r w:rsidRPr="00B23586">
              <w:rPr>
                <w:rFonts w:ascii="Times New Roman" w:eastAsia="Times New Roman" w:hAnsi="Times New Roman" w:cs="Times New Roman"/>
                <w:lang w:eastAsia="nl-NL" w:bidi="ar-SA"/>
              </w:rPr>
              <w:t>Dow Jones U.S. Consumer Goods</w:t>
            </w:r>
          </w:p>
        </w:tc>
        <w:tc>
          <w:tcPr>
            <w:tcW w:w="960"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Arial" w:eastAsia="Times New Roman" w:hAnsi="Arial" w:cs="Arial"/>
                <w:sz w:val="20"/>
                <w:szCs w:val="20"/>
                <w:lang w:eastAsia="nl-NL" w:bidi="ar-SA"/>
              </w:rPr>
            </w:pPr>
          </w:p>
        </w:tc>
        <w:tc>
          <w:tcPr>
            <w:tcW w:w="960"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Arial" w:eastAsia="Times New Roman" w:hAnsi="Arial" w:cs="Arial"/>
                <w:sz w:val="20"/>
                <w:szCs w:val="20"/>
                <w:lang w:eastAsia="nl-NL" w:bidi="ar-SA"/>
              </w:rPr>
            </w:pPr>
          </w:p>
        </w:tc>
        <w:tc>
          <w:tcPr>
            <w:tcW w:w="960"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Arial" w:eastAsia="Times New Roman" w:hAnsi="Arial" w:cs="Arial"/>
                <w:sz w:val="20"/>
                <w:szCs w:val="20"/>
                <w:lang w:eastAsia="nl-NL" w:bidi="ar-SA"/>
              </w:rPr>
            </w:pPr>
          </w:p>
        </w:tc>
      </w:tr>
      <w:tr w:rsidR="009C16D2" w:rsidRPr="00B23586" w:rsidTr="009C16D2">
        <w:trPr>
          <w:trHeight w:val="285"/>
        </w:trPr>
        <w:tc>
          <w:tcPr>
            <w:tcW w:w="1837"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Times New Roman" w:eastAsia="Times New Roman" w:hAnsi="Times New Roman" w:cs="Times New Roman"/>
                <w:lang w:val="nl-NL" w:eastAsia="nl-NL" w:bidi="ar-SA"/>
              </w:rPr>
            </w:pPr>
            <w:r w:rsidRPr="00B23586">
              <w:rPr>
                <w:rFonts w:ascii="Times New Roman" w:eastAsia="Times New Roman" w:hAnsi="Times New Roman" w:cs="Times New Roman"/>
                <w:lang w:val="nl-NL" w:eastAsia="nl-NL" w:bidi="ar-SA"/>
              </w:rPr>
              <w:t>USOIG</w:t>
            </w:r>
          </w:p>
        </w:tc>
        <w:tc>
          <w:tcPr>
            <w:tcW w:w="83"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Times New Roman" w:eastAsia="Times New Roman" w:hAnsi="Times New Roman" w:cs="Times New Roman"/>
                <w:lang w:val="nl-NL" w:eastAsia="nl-NL" w:bidi="ar-SA"/>
              </w:rPr>
            </w:pPr>
          </w:p>
        </w:tc>
        <w:tc>
          <w:tcPr>
            <w:tcW w:w="2860"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Times New Roman" w:eastAsia="Times New Roman" w:hAnsi="Times New Roman" w:cs="Times New Roman"/>
                <w:lang w:eastAsia="nl-NL" w:bidi="ar-SA"/>
              </w:rPr>
            </w:pPr>
            <w:r w:rsidRPr="00B23586">
              <w:rPr>
                <w:rFonts w:ascii="Times New Roman" w:eastAsia="Times New Roman" w:hAnsi="Times New Roman" w:cs="Times New Roman"/>
                <w:lang w:eastAsia="nl-NL" w:bidi="ar-SA"/>
              </w:rPr>
              <w:t>Dow Jones U.S. Oil and Gas</w:t>
            </w:r>
          </w:p>
        </w:tc>
        <w:tc>
          <w:tcPr>
            <w:tcW w:w="960"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Arial" w:eastAsia="Times New Roman" w:hAnsi="Arial" w:cs="Arial"/>
                <w:sz w:val="20"/>
                <w:szCs w:val="20"/>
                <w:lang w:eastAsia="nl-NL" w:bidi="ar-SA"/>
              </w:rPr>
            </w:pPr>
          </w:p>
        </w:tc>
        <w:tc>
          <w:tcPr>
            <w:tcW w:w="960"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Arial" w:eastAsia="Times New Roman" w:hAnsi="Arial" w:cs="Arial"/>
                <w:sz w:val="20"/>
                <w:szCs w:val="20"/>
                <w:lang w:eastAsia="nl-NL" w:bidi="ar-SA"/>
              </w:rPr>
            </w:pPr>
          </w:p>
        </w:tc>
        <w:tc>
          <w:tcPr>
            <w:tcW w:w="960"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Arial" w:eastAsia="Times New Roman" w:hAnsi="Arial" w:cs="Arial"/>
                <w:sz w:val="20"/>
                <w:szCs w:val="20"/>
                <w:lang w:eastAsia="nl-NL" w:bidi="ar-SA"/>
              </w:rPr>
            </w:pPr>
          </w:p>
        </w:tc>
        <w:tc>
          <w:tcPr>
            <w:tcW w:w="960"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Arial" w:eastAsia="Times New Roman" w:hAnsi="Arial" w:cs="Arial"/>
                <w:sz w:val="20"/>
                <w:szCs w:val="20"/>
                <w:lang w:eastAsia="nl-NL" w:bidi="ar-SA"/>
              </w:rPr>
            </w:pPr>
          </w:p>
        </w:tc>
      </w:tr>
      <w:tr w:rsidR="009C16D2" w:rsidRPr="00B23586" w:rsidTr="009C16D2">
        <w:trPr>
          <w:trHeight w:val="285"/>
        </w:trPr>
        <w:tc>
          <w:tcPr>
            <w:tcW w:w="1837"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Times New Roman" w:eastAsia="Times New Roman" w:hAnsi="Times New Roman" w:cs="Times New Roman"/>
                <w:lang w:val="nl-NL" w:eastAsia="nl-NL" w:bidi="ar-SA"/>
              </w:rPr>
            </w:pPr>
            <w:r w:rsidRPr="00B23586">
              <w:rPr>
                <w:rFonts w:ascii="Times New Roman" w:eastAsia="Times New Roman" w:hAnsi="Times New Roman" w:cs="Times New Roman"/>
                <w:lang w:val="nl-NL" w:eastAsia="nl-NL" w:bidi="ar-SA"/>
              </w:rPr>
              <w:t>USFSVS</w:t>
            </w:r>
          </w:p>
        </w:tc>
        <w:tc>
          <w:tcPr>
            <w:tcW w:w="83"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Times New Roman" w:eastAsia="Times New Roman" w:hAnsi="Times New Roman" w:cs="Times New Roman"/>
                <w:lang w:val="nl-NL" w:eastAsia="nl-NL" w:bidi="ar-SA"/>
              </w:rPr>
            </w:pPr>
          </w:p>
        </w:tc>
        <w:tc>
          <w:tcPr>
            <w:tcW w:w="3820" w:type="dxa"/>
            <w:gridSpan w:val="2"/>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Times New Roman" w:eastAsia="Times New Roman" w:hAnsi="Times New Roman" w:cs="Times New Roman"/>
                <w:lang w:eastAsia="nl-NL" w:bidi="ar-SA"/>
              </w:rPr>
            </w:pPr>
            <w:r w:rsidRPr="00B23586">
              <w:rPr>
                <w:rFonts w:ascii="Times New Roman" w:eastAsia="Times New Roman" w:hAnsi="Times New Roman" w:cs="Times New Roman"/>
                <w:lang w:eastAsia="nl-NL" w:bidi="ar-SA"/>
              </w:rPr>
              <w:t>Dow Jones U.S. Financial Services</w:t>
            </w:r>
          </w:p>
        </w:tc>
        <w:tc>
          <w:tcPr>
            <w:tcW w:w="960"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Arial" w:eastAsia="Times New Roman" w:hAnsi="Arial" w:cs="Arial"/>
                <w:sz w:val="20"/>
                <w:szCs w:val="20"/>
                <w:lang w:eastAsia="nl-NL" w:bidi="ar-SA"/>
              </w:rPr>
            </w:pPr>
          </w:p>
        </w:tc>
        <w:tc>
          <w:tcPr>
            <w:tcW w:w="960"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Arial" w:eastAsia="Times New Roman" w:hAnsi="Arial" w:cs="Arial"/>
                <w:sz w:val="20"/>
                <w:szCs w:val="20"/>
                <w:lang w:eastAsia="nl-NL" w:bidi="ar-SA"/>
              </w:rPr>
            </w:pPr>
          </w:p>
        </w:tc>
        <w:tc>
          <w:tcPr>
            <w:tcW w:w="960"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Arial" w:eastAsia="Times New Roman" w:hAnsi="Arial" w:cs="Arial"/>
                <w:sz w:val="20"/>
                <w:szCs w:val="20"/>
                <w:lang w:eastAsia="nl-NL" w:bidi="ar-SA"/>
              </w:rPr>
            </w:pPr>
          </w:p>
        </w:tc>
      </w:tr>
      <w:tr w:rsidR="009C16D2" w:rsidRPr="00B23586" w:rsidTr="009C16D2">
        <w:trPr>
          <w:trHeight w:val="285"/>
        </w:trPr>
        <w:tc>
          <w:tcPr>
            <w:tcW w:w="1837"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Times New Roman" w:eastAsia="Times New Roman" w:hAnsi="Times New Roman" w:cs="Times New Roman"/>
                <w:lang w:val="nl-NL" w:eastAsia="nl-NL" w:bidi="ar-SA"/>
              </w:rPr>
            </w:pPr>
            <w:r w:rsidRPr="00B23586">
              <w:rPr>
                <w:rFonts w:ascii="Times New Roman" w:eastAsia="Times New Roman" w:hAnsi="Times New Roman" w:cs="Times New Roman"/>
                <w:lang w:val="nl-NL" w:eastAsia="nl-NL" w:bidi="ar-SA"/>
              </w:rPr>
              <w:t>USHC</w:t>
            </w:r>
          </w:p>
        </w:tc>
        <w:tc>
          <w:tcPr>
            <w:tcW w:w="83"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Times New Roman" w:eastAsia="Times New Roman" w:hAnsi="Times New Roman" w:cs="Times New Roman"/>
                <w:lang w:val="nl-NL" w:eastAsia="nl-NL" w:bidi="ar-SA"/>
              </w:rPr>
            </w:pPr>
          </w:p>
        </w:tc>
        <w:tc>
          <w:tcPr>
            <w:tcW w:w="2860"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Times New Roman" w:eastAsia="Times New Roman" w:hAnsi="Times New Roman" w:cs="Times New Roman"/>
                <w:lang w:eastAsia="nl-NL" w:bidi="ar-SA"/>
              </w:rPr>
            </w:pPr>
            <w:r w:rsidRPr="00B23586">
              <w:rPr>
                <w:rFonts w:ascii="Times New Roman" w:eastAsia="Times New Roman" w:hAnsi="Times New Roman" w:cs="Times New Roman"/>
                <w:lang w:eastAsia="nl-NL" w:bidi="ar-SA"/>
              </w:rPr>
              <w:t>Dow Jones U.S. Health Care</w:t>
            </w:r>
          </w:p>
        </w:tc>
        <w:tc>
          <w:tcPr>
            <w:tcW w:w="960"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Arial" w:eastAsia="Times New Roman" w:hAnsi="Arial" w:cs="Arial"/>
                <w:sz w:val="20"/>
                <w:szCs w:val="20"/>
                <w:lang w:eastAsia="nl-NL" w:bidi="ar-SA"/>
              </w:rPr>
            </w:pPr>
          </w:p>
        </w:tc>
        <w:tc>
          <w:tcPr>
            <w:tcW w:w="960"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Arial" w:eastAsia="Times New Roman" w:hAnsi="Arial" w:cs="Arial"/>
                <w:sz w:val="20"/>
                <w:szCs w:val="20"/>
                <w:lang w:eastAsia="nl-NL" w:bidi="ar-SA"/>
              </w:rPr>
            </w:pPr>
          </w:p>
        </w:tc>
        <w:tc>
          <w:tcPr>
            <w:tcW w:w="960"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Arial" w:eastAsia="Times New Roman" w:hAnsi="Arial" w:cs="Arial"/>
                <w:sz w:val="20"/>
                <w:szCs w:val="20"/>
                <w:lang w:eastAsia="nl-NL" w:bidi="ar-SA"/>
              </w:rPr>
            </w:pPr>
          </w:p>
        </w:tc>
        <w:tc>
          <w:tcPr>
            <w:tcW w:w="960"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Arial" w:eastAsia="Times New Roman" w:hAnsi="Arial" w:cs="Arial"/>
                <w:sz w:val="20"/>
                <w:szCs w:val="20"/>
                <w:lang w:eastAsia="nl-NL" w:bidi="ar-SA"/>
              </w:rPr>
            </w:pPr>
          </w:p>
        </w:tc>
      </w:tr>
      <w:tr w:rsidR="009C16D2" w:rsidRPr="00B23586" w:rsidTr="009C16D2">
        <w:trPr>
          <w:trHeight w:val="285"/>
        </w:trPr>
        <w:tc>
          <w:tcPr>
            <w:tcW w:w="1837"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Times New Roman" w:eastAsia="Times New Roman" w:hAnsi="Times New Roman" w:cs="Times New Roman"/>
                <w:lang w:val="nl-NL" w:eastAsia="nl-NL" w:bidi="ar-SA"/>
              </w:rPr>
            </w:pPr>
            <w:r w:rsidRPr="00B23586">
              <w:rPr>
                <w:rFonts w:ascii="Times New Roman" w:eastAsia="Times New Roman" w:hAnsi="Times New Roman" w:cs="Times New Roman"/>
                <w:lang w:val="nl-NL" w:eastAsia="nl-NL" w:bidi="ar-SA"/>
              </w:rPr>
              <w:t>USIND</w:t>
            </w:r>
          </w:p>
        </w:tc>
        <w:tc>
          <w:tcPr>
            <w:tcW w:w="83"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Times New Roman" w:eastAsia="Times New Roman" w:hAnsi="Times New Roman" w:cs="Times New Roman"/>
                <w:lang w:val="nl-NL" w:eastAsia="nl-NL" w:bidi="ar-SA"/>
              </w:rPr>
            </w:pPr>
          </w:p>
        </w:tc>
        <w:tc>
          <w:tcPr>
            <w:tcW w:w="2860"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Times New Roman" w:eastAsia="Times New Roman" w:hAnsi="Times New Roman" w:cs="Times New Roman"/>
                <w:lang w:eastAsia="nl-NL" w:bidi="ar-SA"/>
              </w:rPr>
            </w:pPr>
            <w:r w:rsidRPr="00B23586">
              <w:rPr>
                <w:rFonts w:ascii="Times New Roman" w:eastAsia="Times New Roman" w:hAnsi="Times New Roman" w:cs="Times New Roman"/>
                <w:lang w:eastAsia="nl-NL" w:bidi="ar-SA"/>
              </w:rPr>
              <w:t>Dow Jones U.S. Industrials</w:t>
            </w:r>
          </w:p>
        </w:tc>
        <w:tc>
          <w:tcPr>
            <w:tcW w:w="960"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Arial" w:eastAsia="Times New Roman" w:hAnsi="Arial" w:cs="Arial"/>
                <w:sz w:val="20"/>
                <w:szCs w:val="20"/>
                <w:lang w:eastAsia="nl-NL" w:bidi="ar-SA"/>
              </w:rPr>
            </w:pPr>
          </w:p>
        </w:tc>
        <w:tc>
          <w:tcPr>
            <w:tcW w:w="960"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Arial" w:eastAsia="Times New Roman" w:hAnsi="Arial" w:cs="Arial"/>
                <w:sz w:val="20"/>
                <w:szCs w:val="20"/>
                <w:lang w:eastAsia="nl-NL" w:bidi="ar-SA"/>
              </w:rPr>
            </w:pPr>
          </w:p>
        </w:tc>
        <w:tc>
          <w:tcPr>
            <w:tcW w:w="960"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Arial" w:eastAsia="Times New Roman" w:hAnsi="Arial" w:cs="Arial"/>
                <w:sz w:val="20"/>
                <w:szCs w:val="20"/>
                <w:lang w:eastAsia="nl-NL" w:bidi="ar-SA"/>
              </w:rPr>
            </w:pPr>
          </w:p>
        </w:tc>
        <w:tc>
          <w:tcPr>
            <w:tcW w:w="960"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Arial" w:eastAsia="Times New Roman" w:hAnsi="Arial" w:cs="Arial"/>
                <w:sz w:val="20"/>
                <w:szCs w:val="20"/>
                <w:lang w:eastAsia="nl-NL" w:bidi="ar-SA"/>
              </w:rPr>
            </w:pPr>
          </w:p>
        </w:tc>
      </w:tr>
      <w:tr w:rsidR="009C16D2" w:rsidRPr="00B23586" w:rsidTr="009C16D2">
        <w:trPr>
          <w:trHeight w:val="285"/>
        </w:trPr>
        <w:tc>
          <w:tcPr>
            <w:tcW w:w="1837"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Times New Roman" w:eastAsia="Times New Roman" w:hAnsi="Times New Roman" w:cs="Times New Roman"/>
                <w:lang w:val="nl-NL" w:eastAsia="nl-NL" w:bidi="ar-SA"/>
              </w:rPr>
            </w:pPr>
            <w:r w:rsidRPr="00B23586">
              <w:rPr>
                <w:rFonts w:ascii="Times New Roman" w:eastAsia="Times New Roman" w:hAnsi="Times New Roman" w:cs="Times New Roman"/>
                <w:lang w:val="nl-NL" w:eastAsia="nl-NL" w:bidi="ar-SA"/>
              </w:rPr>
              <w:t>USTECH</w:t>
            </w:r>
          </w:p>
        </w:tc>
        <w:tc>
          <w:tcPr>
            <w:tcW w:w="83"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Times New Roman" w:eastAsia="Times New Roman" w:hAnsi="Times New Roman" w:cs="Times New Roman"/>
                <w:lang w:val="nl-NL" w:eastAsia="nl-NL" w:bidi="ar-SA"/>
              </w:rPr>
            </w:pPr>
          </w:p>
        </w:tc>
        <w:tc>
          <w:tcPr>
            <w:tcW w:w="2860"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Times New Roman" w:eastAsia="Times New Roman" w:hAnsi="Times New Roman" w:cs="Times New Roman"/>
                <w:lang w:eastAsia="nl-NL" w:bidi="ar-SA"/>
              </w:rPr>
            </w:pPr>
            <w:r w:rsidRPr="00B23586">
              <w:rPr>
                <w:rFonts w:ascii="Times New Roman" w:eastAsia="Times New Roman" w:hAnsi="Times New Roman" w:cs="Times New Roman"/>
                <w:lang w:eastAsia="nl-NL" w:bidi="ar-SA"/>
              </w:rPr>
              <w:t>Dow Jones U.S. Technology</w:t>
            </w:r>
          </w:p>
        </w:tc>
        <w:tc>
          <w:tcPr>
            <w:tcW w:w="960"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Arial" w:eastAsia="Times New Roman" w:hAnsi="Arial" w:cs="Arial"/>
                <w:sz w:val="20"/>
                <w:szCs w:val="20"/>
                <w:lang w:eastAsia="nl-NL" w:bidi="ar-SA"/>
              </w:rPr>
            </w:pPr>
          </w:p>
        </w:tc>
        <w:tc>
          <w:tcPr>
            <w:tcW w:w="960"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Arial" w:eastAsia="Times New Roman" w:hAnsi="Arial" w:cs="Arial"/>
                <w:sz w:val="20"/>
                <w:szCs w:val="20"/>
                <w:lang w:eastAsia="nl-NL" w:bidi="ar-SA"/>
              </w:rPr>
            </w:pPr>
          </w:p>
        </w:tc>
        <w:tc>
          <w:tcPr>
            <w:tcW w:w="960"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Arial" w:eastAsia="Times New Roman" w:hAnsi="Arial" w:cs="Arial"/>
                <w:sz w:val="20"/>
                <w:szCs w:val="20"/>
                <w:lang w:eastAsia="nl-NL" w:bidi="ar-SA"/>
              </w:rPr>
            </w:pPr>
          </w:p>
        </w:tc>
        <w:tc>
          <w:tcPr>
            <w:tcW w:w="960"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Arial" w:eastAsia="Times New Roman" w:hAnsi="Arial" w:cs="Arial"/>
                <w:sz w:val="20"/>
                <w:szCs w:val="20"/>
                <w:lang w:eastAsia="nl-NL" w:bidi="ar-SA"/>
              </w:rPr>
            </w:pPr>
          </w:p>
        </w:tc>
      </w:tr>
      <w:tr w:rsidR="009C16D2" w:rsidRPr="00B23586" w:rsidTr="009C16D2">
        <w:trPr>
          <w:trHeight w:val="285"/>
        </w:trPr>
        <w:tc>
          <w:tcPr>
            <w:tcW w:w="1837"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Times New Roman" w:eastAsia="Times New Roman" w:hAnsi="Times New Roman" w:cs="Times New Roman"/>
                <w:lang w:val="nl-NL" w:eastAsia="nl-NL" w:bidi="ar-SA"/>
              </w:rPr>
            </w:pPr>
            <w:r w:rsidRPr="00B23586">
              <w:rPr>
                <w:rFonts w:ascii="Times New Roman" w:eastAsia="Times New Roman" w:hAnsi="Times New Roman" w:cs="Times New Roman"/>
                <w:lang w:val="nl-NL" w:eastAsia="nl-NL" w:bidi="ar-SA"/>
              </w:rPr>
              <w:t>USTEL</w:t>
            </w:r>
          </w:p>
        </w:tc>
        <w:tc>
          <w:tcPr>
            <w:tcW w:w="83"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Times New Roman" w:eastAsia="Times New Roman" w:hAnsi="Times New Roman" w:cs="Times New Roman"/>
                <w:lang w:val="nl-NL" w:eastAsia="nl-NL" w:bidi="ar-SA"/>
              </w:rPr>
            </w:pPr>
          </w:p>
        </w:tc>
        <w:tc>
          <w:tcPr>
            <w:tcW w:w="3820" w:type="dxa"/>
            <w:gridSpan w:val="2"/>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Times New Roman" w:eastAsia="Times New Roman" w:hAnsi="Times New Roman" w:cs="Times New Roman"/>
                <w:lang w:eastAsia="nl-NL" w:bidi="ar-SA"/>
              </w:rPr>
            </w:pPr>
            <w:r w:rsidRPr="00B23586">
              <w:rPr>
                <w:rFonts w:ascii="Times New Roman" w:eastAsia="Times New Roman" w:hAnsi="Times New Roman" w:cs="Times New Roman"/>
                <w:lang w:eastAsia="nl-NL" w:bidi="ar-SA"/>
              </w:rPr>
              <w:t>Dow Jones U.S. Telecommunications</w:t>
            </w:r>
          </w:p>
        </w:tc>
        <w:tc>
          <w:tcPr>
            <w:tcW w:w="960"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Arial" w:eastAsia="Times New Roman" w:hAnsi="Arial" w:cs="Arial"/>
                <w:sz w:val="20"/>
                <w:szCs w:val="20"/>
                <w:lang w:eastAsia="nl-NL" w:bidi="ar-SA"/>
              </w:rPr>
            </w:pPr>
          </w:p>
        </w:tc>
        <w:tc>
          <w:tcPr>
            <w:tcW w:w="960"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Arial" w:eastAsia="Times New Roman" w:hAnsi="Arial" w:cs="Arial"/>
                <w:sz w:val="20"/>
                <w:szCs w:val="20"/>
                <w:lang w:eastAsia="nl-NL" w:bidi="ar-SA"/>
              </w:rPr>
            </w:pPr>
          </w:p>
        </w:tc>
        <w:tc>
          <w:tcPr>
            <w:tcW w:w="960"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Arial" w:eastAsia="Times New Roman" w:hAnsi="Arial" w:cs="Arial"/>
                <w:sz w:val="20"/>
                <w:szCs w:val="20"/>
                <w:lang w:eastAsia="nl-NL" w:bidi="ar-SA"/>
              </w:rPr>
            </w:pPr>
          </w:p>
        </w:tc>
      </w:tr>
      <w:tr w:rsidR="009C16D2" w:rsidRPr="00B23586" w:rsidTr="009C16D2">
        <w:trPr>
          <w:trHeight w:val="285"/>
        </w:trPr>
        <w:tc>
          <w:tcPr>
            <w:tcW w:w="1837"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Times New Roman" w:eastAsia="Times New Roman" w:hAnsi="Times New Roman" w:cs="Times New Roman"/>
                <w:lang w:val="nl-NL" w:eastAsia="nl-NL" w:bidi="ar-SA"/>
              </w:rPr>
            </w:pPr>
            <w:r w:rsidRPr="00B23586">
              <w:rPr>
                <w:rFonts w:ascii="Times New Roman" w:eastAsia="Times New Roman" w:hAnsi="Times New Roman" w:cs="Times New Roman"/>
                <w:lang w:val="nl-NL" w:eastAsia="nl-NL" w:bidi="ar-SA"/>
              </w:rPr>
              <w:t>USUT</w:t>
            </w:r>
          </w:p>
        </w:tc>
        <w:tc>
          <w:tcPr>
            <w:tcW w:w="83"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Times New Roman" w:eastAsia="Times New Roman" w:hAnsi="Times New Roman" w:cs="Times New Roman"/>
                <w:lang w:val="nl-NL" w:eastAsia="nl-NL" w:bidi="ar-SA"/>
              </w:rPr>
            </w:pPr>
          </w:p>
        </w:tc>
        <w:tc>
          <w:tcPr>
            <w:tcW w:w="2860"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Times New Roman" w:eastAsia="Times New Roman" w:hAnsi="Times New Roman" w:cs="Times New Roman"/>
                <w:lang w:eastAsia="nl-NL" w:bidi="ar-SA"/>
              </w:rPr>
            </w:pPr>
            <w:r w:rsidRPr="00B23586">
              <w:rPr>
                <w:rFonts w:ascii="Times New Roman" w:eastAsia="Times New Roman" w:hAnsi="Times New Roman" w:cs="Times New Roman"/>
                <w:lang w:eastAsia="nl-NL" w:bidi="ar-SA"/>
              </w:rPr>
              <w:t>Dow Jones U.S. Utilities</w:t>
            </w:r>
          </w:p>
        </w:tc>
        <w:tc>
          <w:tcPr>
            <w:tcW w:w="960"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Arial" w:eastAsia="Times New Roman" w:hAnsi="Arial" w:cs="Arial"/>
                <w:sz w:val="20"/>
                <w:szCs w:val="20"/>
                <w:lang w:eastAsia="nl-NL" w:bidi="ar-SA"/>
              </w:rPr>
            </w:pPr>
          </w:p>
        </w:tc>
        <w:tc>
          <w:tcPr>
            <w:tcW w:w="960"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Arial" w:eastAsia="Times New Roman" w:hAnsi="Arial" w:cs="Arial"/>
                <w:sz w:val="20"/>
                <w:szCs w:val="20"/>
                <w:lang w:eastAsia="nl-NL" w:bidi="ar-SA"/>
              </w:rPr>
            </w:pPr>
          </w:p>
        </w:tc>
        <w:tc>
          <w:tcPr>
            <w:tcW w:w="960"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Arial" w:eastAsia="Times New Roman" w:hAnsi="Arial" w:cs="Arial"/>
                <w:sz w:val="20"/>
                <w:szCs w:val="20"/>
                <w:lang w:eastAsia="nl-NL" w:bidi="ar-SA"/>
              </w:rPr>
            </w:pPr>
          </w:p>
        </w:tc>
        <w:tc>
          <w:tcPr>
            <w:tcW w:w="960"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Arial" w:eastAsia="Times New Roman" w:hAnsi="Arial" w:cs="Arial"/>
                <w:sz w:val="20"/>
                <w:szCs w:val="20"/>
                <w:lang w:eastAsia="nl-NL" w:bidi="ar-SA"/>
              </w:rPr>
            </w:pPr>
          </w:p>
        </w:tc>
      </w:tr>
      <w:tr w:rsidR="009C16D2" w:rsidRPr="00B23586" w:rsidTr="009C16D2">
        <w:trPr>
          <w:trHeight w:val="255"/>
        </w:trPr>
        <w:tc>
          <w:tcPr>
            <w:tcW w:w="1837"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Times New Roman" w:eastAsia="Times New Roman" w:hAnsi="Times New Roman" w:cs="Times New Roman"/>
                <w:lang w:eastAsia="nl-NL" w:bidi="ar-SA"/>
              </w:rPr>
            </w:pPr>
          </w:p>
        </w:tc>
        <w:tc>
          <w:tcPr>
            <w:tcW w:w="83"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Times New Roman" w:eastAsia="Times New Roman" w:hAnsi="Times New Roman" w:cs="Times New Roman"/>
                <w:lang w:eastAsia="nl-NL" w:bidi="ar-SA"/>
              </w:rPr>
            </w:pPr>
          </w:p>
        </w:tc>
        <w:tc>
          <w:tcPr>
            <w:tcW w:w="2860"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Times New Roman" w:eastAsia="Times New Roman" w:hAnsi="Times New Roman" w:cs="Times New Roman"/>
                <w:lang w:eastAsia="nl-NL" w:bidi="ar-SA"/>
              </w:rPr>
            </w:pPr>
          </w:p>
        </w:tc>
        <w:tc>
          <w:tcPr>
            <w:tcW w:w="960"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Arial" w:eastAsia="Times New Roman" w:hAnsi="Arial" w:cs="Arial"/>
                <w:sz w:val="20"/>
                <w:szCs w:val="20"/>
                <w:lang w:eastAsia="nl-NL" w:bidi="ar-SA"/>
              </w:rPr>
            </w:pPr>
          </w:p>
        </w:tc>
        <w:tc>
          <w:tcPr>
            <w:tcW w:w="960"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Arial" w:eastAsia="Times New Roman" w:hAnsi="Arial" w:cs="Arial"/>
                <w:sz w:val="20"/>
                <w:szCs w:val="20"/>
                <w:lang w:eastAsia="nl-NL" w:bidi="ar-SA"/>
              </w:rPr>
            </w:pPr>
          </w:p>
        </w:tc>
        <w:tc>
          <w:tcPr>
            <w:tcW w:w="960"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Arial" w:eastAsia="Times New Roman" w:hAnsi="Arial" w:cs="Arial"/>
                <w:sz w:val="20"/>
                <w:szCs w:val="20"/>
                <w:lang w:eastAsia="nl-NL" w:bidi="ar-SA"/>
              </w:rPr>
            </w:pPr>
          </w:p>
        </w:tc>
        <w:tc>
          <w:tcPr>
            <w:tcW w:w="960"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Arial" w:eastAsia="Times New Roman" w:hAnsi="Arial" w:cs="Arial"/>
                <w:sz w:val="20"/>
                <w:szCs w:val="20"/>
                <w:lang w:eastAsia="nl-NL" w:bidi="ar-SA"/>
              </w:rPr>
            </w:pPr>
          </w:p>
        </w:tc>
      </w:tr>
      <w:tr w:rsidR="009C16D2" w:rsidRPr="00B23586" w:rsidTr="009C16D2">
        <w:trPr>
          <w:trHeight w:val="285"/>
        </w:trPr>
        <w:tc>
          <w:tcPr>
            <w:tcW w:w="1837"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Times New Roman" w:eastAsia="Times New Roman" w:hAnsi="Times New Roman" w:cs="Times New Roman"/>
                <w:lang w:val="nl-NL" w:eastAsia="nl-NL" w:bidi="ar-SA"/>
              </w:rPr>
            </w:pPr>
            <w:r w:rsidRPr="00B23586">
              <w:rPr>
                <w:rFonts w:ascii="Times New Roman" w:eastAsia="Times New Roman" w:hAnsi="Times New Roman" w:cs="Times New Roman"/>
                <w:lang w:val="nl-NL" w:eastAsia="nl-NL" w:bidi="ar-SA"/>
              </w:rPr>
              <w:t>EUROPE</w:t>
            </w:r>
          </w:p>
        </w:tc>
        <w:tc>
          <w:tcPr>
            <w:tcW w:w="83"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Times New Roman" w:eastAsia="Times New Roman" w:hAnsi="Times New Roman" w:cs="Times New Roman"/>
                <w:lang w:val="nl-NL" w:eastAsia="nl-NL" w:bidi="ar-SA"/>
              </w:rPr>
            </w:pPr>
          </w:p>
        </w:tc>
        <w:tc>
          <w:tcPr>
            <w:tcW w:w="4780" w:type="dxa"/>
            <w:gridSpan w:val="3"/>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Times New Roman" w:eastAsia="Times New Roman" w:hAnsi="Times New Roman" w:cs="Times New Roman"/>
                <w:lang w:eastAsia="nl-NL" w:bidi="ar-SA"/>
              </w:rPr>
            </w:pPr>
            <w:proofErr w:type="spellStart"/>
            <w:r w:rsidRPr="00B23586">
              <w:rPr>
                <w:rFonts w:ascii="Times New Roman" w:eastAsia="Times New Roman" w:hAnsi="Times New Roman" w:cs="Times New Roman"/>
                <w:lang w:eastAsia="nl-NL" w:bidi="ar-SA"/>
              </w:rPr>
              <w:t>Stoxx</w:t>
            </w:r>
            <w:proofErr w:type="spellEnd"/>
            <w:r w:rsidRPr="00B23586">
              <w:rPr>
                <w:rFonts w:ascii="Times New Roman" w:eastAsia="Times New Roman" w:hAnsi="Times New Roman" w:cs="Times New Roman"/>
                <w:lang w:eastAsia="nl-NL" w:bidi="ar-SA"/>
              </w:rPr>
              <w:t>® Europe ex UK Total Market Index</w:t>
            </w:r>
          </w:p>
        </w:tc>
        <w:tc>
          <w:tcPr>
            <w:tcW w:w="960"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Arial" w:eastAsia="Times New Roman" w:hAnsi="Arial" w:cs="Arial"/>
                <w:sz w:val="20"/>
                <w:szCs w:val="20"/>
                <w:lang w:eastAsia="nl-NL" w:bidi="ar-SA"/>
              </w:rPr>
            </w:pPr>
          </w:p>
        </w:tc>
        <w:tc>
          <w:tcPr>
            <w:tcW w:w="960"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Arial" w:eastAsia="Times New Roman" w:hAnsi="Arial" w:cs="Arial"/>
                <w:sz w:val="20"/>
                <w:szCs w:val="20"/>
                <w:lang w:eastAsia="nl-NL" w:bidi="ar-SA"/>
              </w:rPr>
            </w:pPr>
          </w:p>
        </w:tc>
      </w:tr>
      <w:tr w:rsidR="009C16D2" w:rsidRPr="00B23586" w:rsidTr="009C16D2">
        <w:trPr>
          <w:trHeight w:val="285"/>
        </w:trPr>
        <w:tc>
          <w:tcPr>
            <w:tcW w:w="1920" w:type="dxa"/>
            <w:gridSpan w:val="2"/>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Times New Roman" w:eastAsia="Times New Roman" w:hAnsi="Times New Roman" w:cs="Times New Roman"/>
                <w:lang w:val="nl-NL" w:eastAsia="nl-NL" w:bidi="ar-SA"/>
              </w:rPr>
            </w:pPr>
            <w:r w:rsidRPr="00B23586">
              <w:rPr>
                <w:rFonts w:ascii="Times New Roman" w:eastAsia="Times New Roman" w:hAnsi="Times New Roman" w:cs="Times New Roman"/>
                <w:lang w:val="nl-NL" w:eastAsia="nl-NL" w:bidi="ar-SA"/>
              </w:rPr>
              <w:t>EUBASICR</w:t>
            </w:r>
          </w:p>
        </w:tc>
        <w:tc>
          <w:tcPr>
            <w:tcW w:w="4780" w:type="dxa"/>
            <w:gridSpan w:val="3"/>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Times New Roman" w:eastAsia="Times New Roman" w:hAnsi="Times New Roman" w:cs="Times New Roman"/>
                <w:lang w:eastAsia="nl-NL" w:bidi="ar-SA"/>
              </w:rPr>
            </w:pPr>
            <w:proofErr w:type="spellStart"/>
            <w:r w:rsidRPr="00B23586">
              <w:rPr>
                <w:rFonts w:ascii="Times New Roman" w:eastAsia="Times New Roman" w:hAnsi="Times New Roman" w:cs="Times New Roman"/>
                <w:lang w:eastAsia="nl-NL" w:bidi="ar-SA"/>
              </w:rPr>
              <w:t>Stoxx</w:t>
            </w:r>
            <w:proofErr w:type="spellEnd"/>
            <w:r w:rsidRPr="00B23586">
              <w:rPr>
                <w:rFonts w:ascii="Times New Roman" w:eastAsia="Times New Roman" w:hAnsi="Times New Roman" w:cs="Times New Roman"/>
                <w:lang w:eastAsia="nl-NL" w:bidi="ar-SA"/>
              </w:rPr>
              <w:t>® Europe ex UK TMI Basic Resources</w:t>
            </w:r>
          </w:p>
        </w:tc>
        <w:tc>
          <w:tcPr>
            <w:tcW w:w="960"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Arial" w:eastAsia="Times New Roman" w:hAnsi="Arial" w:cs="Arial"/>
                <w:sz w:val="20"/>
                <w:szCs w:val="20"/>
                <w:lang w:eastAsia="nl-NL" w:bidi="ar-SA"/>
              </w:rPr>
            </w:pPr>
          </w:p>
        </w:tc>
        <w:tc>
          <w:tcPr>
            <w:tcW w:w="960"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Arial" w:eastAsia="Times New Roman" w:hAnsi="Arial" w:cs="Arial"/>
                <w:sz w:val="20"/>
                <w:szCs w:val="20"/>
                <w:lang w:eastAsia="nl-NL" w:bidi="ar-SA"/>
              </w:rPr>
            </w:pPr>
          </w:p>
        </w:tc>
      </w:tr>
      <w:tr w:rsidR="009C16D2" w:rsidRPr="00B23586" w:rsidTr="009C16D2">
        <w:trPr>
          <w:trHeight w:val="285"/>
        </w:trPr>
        <w:tc>
          <w:tcPr>
            <w:tcW w:w="1837"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Times New Roman" w:eastAsia="Times New Roman" w:hAnsi="Times New Roman" w:cs="Times New Roman"/>
                <w:lang w:val="nl-NL" w:eastAsia="nl-NL" w:bidi="ar-SA"/>
              </w:rPr>
            </w:pPr>
            <w:r w:rsidRPr="00B23586">
              <w:rPr>
                <w:rFonts w:ascii="Times New Roman" w:eastAsia="Times New Roman" w:hAnsi="Times New Roman" w:cs="Times New Roman"/>
                <w:lang w:val="nl-NL" w:eastAsia="nl-NL" w:bidi="ar-SA"/>
              </w:rPr>
              <w:t>EUCG</w:t>
            </w:r>
          </w:p>
        </w:tc>
        <w:tc>
          <w:tcPr>
            <w:tcW w:w="83"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Times New Roman" w:eastAsia="Times New Roman" w:hAnsi="Times New Roman" w:cs="Times New Roman"/>
                <w:lang w:val="nl-NL" w:eastAsia="nl-NL" w:bidi="ar-SA"/>
              </w:rPr>
            </w:pPr>
          </w:p>
        </w:tc>
        <w:tc>
          <w:tcPr>
            <w:tcW w:w="3820" w:type="dxa"/>
            <w:gridSpan w:val="2"/>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Times New Roman" w:eastAsia="Times New Roman" w:hAnsi="Times New Roman" w:cs="Times New Roman"/>
                <w:lang w:eastAsia="nl-NL" w:bidi="ar-SA"/>
              </w:rPr>
            </w:pPr>
            <w:proofErr w:type="spellStart"/>
            <w:r w:rsidRPr="00B23586">
              <w:rPr>
                <w:rFonts w:ascii="Times New Roman" w:eastAsia="Times New Roman" w:hAnsi="Times New Roman" w:cs="Times New Roman"/>
                <w:lang w:eastAsia="nl-NL" w:bidi="ar-SA"/>
              </w:rPr>
              <w:t>Stoxx</w:t>
            </w:r>
            <w:proofErr w:type="spellEnd"/>
            <w:r w:rsidRPr="00B23586">
              <w:rPr>
                <w:rFonts w:ascii="Times New Roman" w:eastAsia="Times New Roman" w:hAnsi="Times New Roman" w:cs="Times New Roman"/>
                <w:lang w:eastAsia="nl-NL" w:bidi="ar-SA"/>
              </w:rPr>
              <w:t>® Europe TMI Consumer Goods</w:t>
            </w:r>
          </w:p>
        </w:tc>
        <w:tc>
          <w:tcPr>
            <w:tcW w:w="960"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Arial" w:eastAsia="Times New Roman" w:hAnsi="Arial" w:cs="Arial"/>
                <w:sz w:val="20"/>
                <w:szCs w:val="20"/>
                <w:lang w:eastAsia="nl-NL" w:bidi="ar-SA"/>
              </w:rPr>
            </w:pPr>
          </w:p>
        </w:tc>
        <w:tc>
          <w:tcPr>
            <w:tcW w:w="960"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Arial" w:eastAsia="Times New Roman" w:hAnsi="Arial" w:cs="Arial"/>
                <w:sz w:val="20"/>
                <w:szCs w:val="20"/>
                <w:lang w:eastAsia="nl-NL" w:bidi="ar-SA"/>
              </w:rPr>
            </w:pPr>
          </w:p>
        </w:tc>
        <w:tc>
          <w:tcPr>
            <w:tcW w:w="960"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Arial" w:eastAsia="Times New Roman" w:hAnsi="Arial" w:cs="Arial"/>
                <w:sz w:val="20"/>
                <w:szCs w:val="20"/>
                <w:lang w:eastAsia="nl-NL" w:bidi="ar-SA"/>
              </w:rPr>
            </w:pPr>
          </w:p>
        </w:tc>
      </w:tr>
      <w:tr w:rsidR="009C16D2" w:rsidRPr="00B23586" w:rsidTr="009C16D2">
        <w:trPr>
          <w:trHeight w:val="285"/>
        </w:trPr>
        <w:tc>
          <w:tcPr>
            <w:tcW w:w="1837"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Times New Roman" w:eastAsia="Times New Roman" w:hAnsi="Times New Roman" w:cs="Times New Roman"/>
                <w:lang w:val="nl-NL" w:eastAsia="nl-NL" w:bidi="ar-SA"/>
              </w:rPr>
            </w:pPr>
            <w:r w:rsidRPr="00B23586">
              <w:rPr>
                <w:rFonts w:ascii="Times New Roman" w:eastAsia="Times New Roman" w:hAnsi="Times New Roman" w:cs="Times New Roman"/>
                <w:lang w:val="nl-NL" w:eastAsia="nl-NL" w:bidi="ar-SA"/>
              </w:rPr>
              <w:t>EUCSVS</w:t>
            </w:r>
          </w:p>
        </w:tc>
        <w:tc>
          <w:tcPr>
            <w:tcW w:w="83"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Times New Roman" w:eastAsia="Times New Roman" w:hAnsi="Times New Roman" w:cs="Times New Roman"/>
                <w:lang w:val="nl-NL" w:eastAsia="nl-NL" w:bidi="ar-SA"/>
              </w:rPr>
            </w:pPr>
          </w:p>
        </w:tc>
        <w:tc>
          <w:tcPr>
            <w:tcW w:w="3820" w:type="dxa"/>
            <w:gridSpan w:val="2"/>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Times New Roman" w:eastAsia="Times New Roman" w:hAnsi="Times New Roman" w:cs="Times New Roman"/>
                <w:lang w:eastAsia="nl-NL" w:bidi="ar-SA"/>
              </w:rPr>
            </w:pPr>
            <w:proofErr w:type="spellStart"/>
            <w:r w:rsidRPr="00B23586">
              <w:rPr>
                <w:rFonts w:ascii="Times New Roman" w:eastAsia="Times New Roman" w:hAnsi="Times New Roman" w:cs="Times New Roman"/>
                <w:lang w:eastAsia="nl-NL" w:bidi="ar-SA"/>
              </w:rPr>
              <w:t>Stoxx</w:t>
            </w:r>
            <w:proofErr w:type="spellEnd"/>
            <w:r w:rsidRPr="00B23586">
              <w:rPr>
                <w:rFonts w:ascii="Times New Roman" w:eastAsia="Times New Roman" w:hAnsi="Times New Roman" w:cs="Times New Roman"/>
                <w:lang w:eastAsia="nl-NL" w:bidi="ar-SA"/>
              </w:rPr>
              <w:t>® Europe TMI Consumer Services</w:t>
            </w:r>
          </w:p>
        </w:tc>
        <w:tc>
          <w:tcPr>
            <w:tcW w:w="960"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Arial" w:eastAsia="Times New Roman" w:hAnsi="Arial" w:cs="Arial"/>
                <w:sz w:val="20"/>
                <w:szCs w:val="20"/>
                <w:lang w:eastAsia="nl-NL" w:bidi="ar-SA"/>
              </w:rPr>
            </w:pPr>
          </w:p>
        </w:tc>
        <w:tc>
          <w:tcPr>
            <w:tcW w:w="960"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Arial" w:eastAsia="Times New Roman" w:hAnsi="Arial" w:cs="Arial"/>
                <w:sz w:val="20"/>
                <w:szCs w:val="20"/>
                <w:lang w:eastAsia="nl-NL" w:bidi="ar-SA"/>
              </w:rPr>
            </w:pPr>
          </w:p>
        </w:tc>
        <w:tc>
          <w:tcPr>
            <w:tcW w:w="960"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Arial" w:eastAsia="Times New Roman" w:hAnsi="Arial" w:cs="Arial"/>
                <w:sz w:val="20"/>
                <w:szCs w:val="20"/>
                <w:lang w:eastAsia="nl-NL" w:bidi="ar-SA"/>
              </w:rPr>
            </w:pPr>
          </w:p>
        </w:tc>
      </w:tr>
      <w:tr w:rsidR="009C16D2" w:rsidRPr="00B23586" w:rsidTr="009C16D2">
        <w:trPr>
          <w:trHeight w:val="285"/>
        </w:trPr>
        <w:tc>
          <w:tcPr>
            <w:tcW w:w="1837"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Times New Roman" w:eastAsia="Times New Roman" w:hAnsi="Times New Roman" w:cs="Times New Roman"/>
                <w:lang w:val="nl-NL" w:eastAsia="nl-NL" w:bidi="ar-SA"/>
              </w:rPr>
            </w:pPr>
            <w:r w:rsidRPr="00B23586">
              <w:rPr>
                <w:rFonts w:ascii="Times New Roman" w:eastAsia="Times New Roman" w:hAnsi="Times New Roman" w:cs="Times New Roman"/>
                <w:lang w:val="nl-NL" w:eastAsia="nl-NL" w:bidi="ar-SA"/>
              </w:rPr>
              <w:t>EUIND</w:t>
            </w:r>
          </w:p>
        </w:tc>
        <w:tc>
          <w:tcPr>
            <w:tcW w:w="83"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Times New Roman" w:eastAsia="Times New Roman" w:hAnsi="Times New Roman" w:cs="Times New Roman"/>
                <w:lang w:val="nl-NL" w:eastAsia="nl-NL" w:bidi="ar-SA"/>
              </w:rPr>
            </w:pPr>
          </w:p>
        </w:tc>
        <w:tc>
          <w:tcPr>
            <w:tcW w:w="5740" w:type="dxa"/>
            <w:gridSpan w:val="4"/>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Times New Roman" w:eastAsia="Times New Roman" w:hAnsi="Times New Roman" w:cs="Times New Roman"/>
                <w:lang w:eastAsia="nl-NL" w:bidi="ar-SA"/>
              </w:rPr>
            </w:pPr>
            <w:proofErr w:type="spellStart"/>
            <w:r w:rsidRPr="00B23586">
              <w:rPr>
                <w:rFonts w:ascii="Times New Roman" w:eastAsia="Times New Roman" w:hAnsi="Times New Roman" w:cs="Times New Roman"/>
                <w:lang w:eastAsia="nl-NL" w:bidi="ar-SA"/>
              </w:rPr>
              <w:t>Stoxx</w:t>
            </w:r>
            <w:proofErr w:type="spellEnd"/>
            <w:r w:rsidRPr="00B23586">
              <w:rPr>
                <w:rFonts w:ascii="Times New Roman" w:eastAsia="Times New Roman" w:hAnsi="Times New Roman" w:cs="Times New Roman"/>
                <w:lang w:eastAsia="nl-NL" w:bidi="ar-SA"/>
              </w:rPr>
              <w:t>® Europe ex UK TMI Industrial Goods and Services</w:t>
            </w:r>
          </w:p>
        </w:tc>
        <w:tc>
          <w:tcPr>
            <w:tcW w:w="960"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Arial" w:eastAsia="Times New Roman" w:hAnsi="Arial" w:cs="Arial"/>
                <w:sz w:val="20"/>
                <w:szCs w:val="20"/>
                <w:lang w:eastAsia="nl-NL" w:bidi="ar-SA"/>
              </w:rPr>
            </w:pPr>
          </w:p>
        </w:tc>
      </w:tr>
      <w:tr w:rsidR="009C16D2" w:rsidRPr="00B23586" w:rsidTr="009C16D2">
        <w:trPr>
          <w:trHeight w:val="285"/>
        </w:trPr>
        <w:tc>
          <w:tcPr>
            <w:tcW w:w="1837"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Times New Roman" w:eastAsia="Times New Roman" w:hAnsi="Times New Roman" w:cs="Times New Roman"/>
                <w:lang w:val="nl-NL" w:eastAsia="nl-NL" w:bidi="ar-SA"/>
              </w:rPr>
            </w:pPr>
            <w:r w:rsidRPr="00B23586">
              <w:rPr>
                <w:rFonts w:ascii="Times New Roman" w:eastAsia="Times New Roman" w:hAnsi="Times New Roman" w:cs="Times New Roman"/>
                <w:lang w:val="nl-NL" w:eastAsia="nl-NL" w:bidi="ar-SA"/>
              </w:rPr>
              <w:t>EUUT</w:t>
            </w:r>
          </w:p>
        </w:tc>
        <w:tc>
          <w:tcPr>
            <w:tcW w:w="83"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Times New Roman" w:eastAsia="Times New Roman" w:hAnsi="Times New Roman" w:cs="Times New Roman"/>
                <w:lang w:val="nl-NL" w:eastAsia="nl-NL" w:bidi="ar-SA"/>
              </w:rPr>
            </w:pPr>
          </w:p>
        </w:tc>
        <w:tc>
          <w:tcPr>
            <w:tcW w:w="3820" w:type="dxa"/>
            <w:gridSpan w:val="2"/>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Times New Roman" w:eastAsia="Times New Roman" w:hAnsi="Times New Roman" w:cs="Times New Roman"/>
                <w:lang w:val="nl-NL" w:eastAsia="nl-NL" w:bidi="ar-SA"/>
              </w:rPr>
            </w:pPr>
            <w:proofErr w:type="spellStart"/>
            <w:r w:rsidRPr="00B23586">
              <w:rPr>
                <w:rFonts w:ascii="Times New Roman" w:eastAsia="Times New Roman" w:hAnsi="Times New Roman" w:cs="Times New Roman"/>
                <w:lang w:val="nl-NL" w:eastAsia="nl-NL" w:bidi="ar-SA"/>
              </w:rPr>
              <w:t>Stoxx</w:t>
            </w:r>
            <w:proofErr w:type="spellEnd"/>
            <w:r w:rsidRPr="00B23586">
              <w:rPr>
                <w:rFonts w:ascii="Times New Roman" w:eastAsia="Times New Roman" w:hAnsi="Times New Roman" w:cs="Times New Roman"/>
                <w:lang w:val="nl-NL" w:eastAsia="nl-NL" w:bidi="ar-SA"/>
              </w:rPr>
              <w:t xml:space="preserve">® </w:t>
            </w:r>
            <w:proofErr w:type="spellStart"/>
            <w:r w:rsidRPr="00B23586">
              <w:rPr>
                <w:rFonts w:ascii="Times New Roman" w:eastAsia="Times New Roman" w:hAnsi="Times New Roman" w:cs="Times New Roman"/>
                <w:lang w:val="nl-NL" w:eastAsia="nl-NL" w:bidi="ar-SA"/>
              </w:rPr>
              <w:t>Europe</w:t>
            </w:r>
            <w:proofErr w:type="spellEnd"/>
            <w:r w:rsidRPr="00B23586">
              <w:rPr>
                <w:rFonts w:ascii="Times New Roman" w:eastAsia="Times New Roman" w:hAnsi="Times New Roman" w:cs="Times New Roman"/>
                <w:lang w:val="nl-NL" w:eastAsia="nl-NL" w:bidi="ar-SA"/>
              </w:rPr>
              <w:t xml:space="preserve"> ex UK TMI </w:t>
            </w:r>
            <w:proofErr w:type="spellStart"/>
            <w:r w:rsidRPr="00B23586">
              <w:rPr>
                <w:rFonts w:ascii="Times New Roman" w:eastAsia="Times New Roman" w:hAnsi="Times New Roman" w:cs="Times New Roman"/>
                <w:lang w:val="nl-NL" w:eastAsia="nl-NL" w:bidi="ar-SA"/>
              </w:rPr>
              <w:t>Utilities</w:t>
            </w:r>
            <w:proofErr w:type="spellEnd"/>
          </w:p>
        </w:tc>
        <w:tc>
          <w:tcPr>
            <w:tcW w:w="960"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Arial" w:eastAsia="Times New Roman" w:hAnsi="Arial" w:cs="Arial"/>
                <w:sz w:val="20"/>
                <w:szCs w:val="20"/>
                <w:lang w:val="nl-NL" w:eastAsia="nl-NL" w:bidi="ar-SA"/>
              </w:rPr>
            </w:pPr>
          </w:p>
        </w:tc>
        <w:tc>
          <w:tcPr>
            <w:tcW w:w="960"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Arial" w:eastAsia="Times New Roman" w:hAnsi="Arial" w:cs="Arial"/>
                <w:sz w:val="20"/>
                <w:szCs w:val="20"/>
                <w:lang w:val="nl-NL" w:eastAsia="nl-NL" w:bidi="ar-SA"/>
              </w:rPr>
            </w:pPr>
          </w:p>
        </w:tc>
        <w:tc>
          <w:tcPr>
            <w:tcW w:w="960"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Arial" w:eastAsia="Times New Roman" w:hAnsi="Arial" w:cs="Arial"/>
                <w:sz w:val="20"/>
                <w:szCs w:val="20"/>
                <w:lang w:val="nl-NL" w:eastAsia="nl-NL" w:bidi="ar-SA"/>
              </w:rPr>
            </w:pPr>
          </w:p>
        </w:tc>
      </w:tr>
      <w:tr w:rsidR="009C16D2" w:rsidRPr="00B23586" w:rsidTr="009C16D2">
        <w:trPr>
          <w:trHeight w:val="285"/>
        </w:trPr>
        <w:tc>
          <w:tcPr>
            <w:tcW w:w="1837"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Times New Roman" w:eastAsia="Times New Roman" w:hAnsi="Times New Roman" w:cs="Times New Roman"/>
                <w:lang w:val="nl-NL" w:eastAsia="nl-NL" w:bidi="ar-SA"/>
              </w:rPr>
            </w:pPr>
            <w:r w:rsidRPr="00B23586">
              <w:rPr>
                <w:rFonts w:ascii="Times New Roman" w:eastAsia="Times New Roman" w:hAnsi="Times New Roman" w:cs="Times New Roman"/>
                <w:lang w:val="nl-NL" w:eastAsia="nl-NL" w:bidi="ar-SA"/>
              </w:rPr>
              <w:t>EUFSVS</w:t>
            </w:r>
          </w:p>
        </w:tc>
        <w:tc>
          <w:tcPr>
            <w:tcW w:w="83"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Times New Roman" w:eastAsia="Times New Roman" w:hAnsi="Times New Roman" w:cs="Times New Roman"/>
                <w:lang w:val="nl-NL" w:eastAsia="nl-NL" w:bidi="ar-SA"/>
              </w:rPr>
            </w:pPr>
          </w:p>
        </w:tc>
        <w:tc>
          <w:tcPr>
            <w:tcW w:w="4780" w:type="dxa"/>
            <w:gridSpan w:val="3"/>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Times New Roman" w:eastAsia="Times New Roman" w:hAnsi="Times New Roman" w:cs="Times New Roman"/>
                <w:lang w:eastAsia="nl-NL" w:bidi="ar-SA"/>
              </w:rPr>
            </w:pPr>
            <w:proofErr w:type="spellStart"/>
            <w:r w:rsidRPr="00B23586">
              <w:rPr>
                <w:rFonts w:ascii="Times New Roman" w:eastAsia="Times New Roman" w:hAnsi="Times New Roman" w:cs="Times New Roman"/>
                <w:lang w:eastAsia="nl-NL" w:bidi="ar-SA"/>
              </w:rPr>
              <w:t>Stoxx</w:t>
            </w:r>
            <w:proofErr w:type="spellEnd"/>
            <w:r w:rsidRPr="00B23586">
              <w:rPr>
                <w:rFonts w:ascii="Times New Roman" w:eastAsia="Times New Roman" w:hAnsi="Times New Roman" w:cs="Times New Roman"/>
                <w:lang w:eastAsia="nl-NL" w:bidi="ar-SA"/>
              </w:rPr>
              <w:t>® Europe ex UK TMI Financial Services</w:t>
            </w:r>
          </w:p>
        </w:tc>
        <w:tc>
          <w:tcPr>
            <w:tcW w:w="960"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Arial" w:eastAsia="Times New Roman" w:hAnsi="Arial" w:cs="Arial"/>
                <w:sz w:val="20"/>
                <w:szCs w:val="20"/>
                <w:lang w:eastAsia="nl-NL" w:bidi="ar-SA"/>
              </w:rPr>
            </w:pPr>
          </w:p>
        </w:tc>
        <w:tc>
          <w:tcPr>
            <w:tcW w:w="960"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Arial" w:eastAsia="Times New Roman" w:hAnsi="Arial" w:cs="Arial"/>
                <w:sz w:val="20"/>
                <w:szCs w:val="20"/>
                <w:lang w:eastAsia="nl-NL" w:bidi="ar-SA"/>
              </w:rPr>
            </w:pPr>
          </w:p>
        </w:tc>
      </w:tr>
      <w:tr w:rsidR="009C16D2" w:rsidRPr="00B23586" w:rsidTr="009C16D2">
        <w:trPr>
          <w:trHeight w:val="285"/>
        </w:trPr>
        <w:tc>
          <w:tcPr>
            <w:tcW w:w="1837"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Times New Roman" w:eastAsia="Times New Roman" w:hAnsi="Times New Roman" w:cs="Times New Roman"/>
                <w:lang w:val="nl-NL" w:eastAsia="nl-NL" w:bidi="ar-SA"/>
              </w:rPr>
            </w:pPr>
            <w:r w:rsidRPr="00B23586">
              <w:rPr>
                <w:rFonts w:ascii="Times New Roman" w:eastAsia="Times New Roman" w:hAnsi="Times New Roman" w:cs="Times New Roman"/>
                <w:lang w:val="nl-NL" w:eastAsia="nl-NL" w:bidi="ar-SA"/>
              </w:rPr>
              <w:t>EUHC</w:t>
            </w:r>
          </w:p>
        </w:tc>
        <w:tc>
          <w:tcPr>
            <w:tcW w:w="83"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Times New Roman" w:eastAsia="Times New Roman" w:hAnsi="Times New Roman" w:cs="Times New Roman"/>
                <w:lang w:val="nl-NL" w:eastAsia="nl-NL" w:bidi="ar-SA"/>
              </w:rPr>
            </w:pPr>
          </w:p>
        </w:tc>
        <w:tc>
          <w:tcPr>
            <w:tcW w:w="3820" w:type="dxa"/>
            <w:gridSpan w:val="2"/>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Times New Roman" w:eastAsia="Times New Roman" w:hAnsi="Times New Roman" w:cs="Times New Roman"/>
                <w:lang w:eastAsia="nl-NL" w:bidi="ar-SA"/>
              </w:rPr>
            </w:pPr>
            <w:proofErr w:type="spellStart"/>
            <w:r w:rsidRPr="00B23586">
              <w:rPr>
                <w:rFonts w:ascii="Times New Roman" w:eastAsia="Times New Roman" w:hAnsi="Times New Roman" w:cs="Times New Roman"/>
                <w:lang w:eastAsia="nl-NL" w:bidi="ar-SA"/>
              </w:rPr>
              <w:t>Stoxx</w:t>
            </w:r>
            <w:proofErr w:type="spellEnd"/>
            <w:r w:rsidRPr="00B23586">
              <w:rPr>
                <w:rFonts w:ascii="Times New Roman" w:eastAsia="Times New Roman" w:hAnsi="Times New Roman" w:cs="Times New Roman"/>
                <w:lang w:eastAsia="nl-NL" w:bidi="ar-SA"/>
              </w:rPr>
              <w:t>® Europe ex UK TMI Health Care</w:t>
            </w:r>
          </w:p>
        </w:tc>
        <w:tc>
          <w:tcPr>
            <w:tcW w:w="960"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Arial" w:eastAsia="Times New Roman" w:hAnsi="Arial" w:cs="Arial"/>
                <w:sz w:val="20"/>
                <w:szCs w:val="20"/>
                <w:lang w:eastAsia="nl-NL" w:bidi="ar-SA"/>
              </w:rPr>
            </w:pPr>
          </w:p>
        </w:tc>
        <w:tc>
          <w:tcPr>
            <w:tcW w:w="960"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Arial" w:eastAsia="Times New Roman" w:hAnsi="Arial" w:cs="Arial"/>
                <w:sz w:val="20"/>
                <w:szCs w:val="20"/>
                <w:lang w:eastAsia="nl-NL" w:bidi="ar-SA"/>
              </w:rPr>
            </w:pPr>
          </w:p>
        </w:tc>
        <w:tc>
          <w:tcPr>
            <w:tcW w:w="960"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Arial" w:eastAsia="Times New Roman" w:hAnsi="Arial" w:cs="Arial"/>
                <w:sz w:val="20"/>
                <w:szCs w:val="20"/>
                <w:lang w:eastAsia="nl-NL" w:bidi="ar-SA"/>
              </w:rPr>
            </w:pPr>
          </w:p>
        </w:tc>
      </w:tr>
      <w:tr w:rsidR="009C16D2" w:rsidRPr="00B23586" w:rsidTr="009C16D2">
        <w:trPr>
          <w:trHeight w:val="285"/>
        </w:trPr>
        <w:tc>
          <w:tcPr>
            <w:tcW w:w="1837"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Times New Roman" w:eastAsia="Times New Roman" w:hAnsi="Times New Roman" w:cs="Times New Roman"/>
                <w:lang w:val="nl-NL" w:eastAsia="nl-NL" w:bidi="ar-SA"/>
              </w:rPr>
            </w:pPr>
            <w:r w:rsidRPr="00B23586">
              <w:rPr>
                <w:rFonts w:ascii="Times New Roman" w:eastAsia="Times New Roman" w:hAnsi="Times New Roman" w:cs="Times New Roman"/>
                <w:lang w:val="nl-NL" w:eastAsia="nl-NL" w:bidi="ar-SA"/>
              </w:rPr>
              <w:t>EUOG</w:t>
            </w:r>
          </w:p>
        </w:tc>
        <w:tc>
          <w:tcPr>
            <w:tcW w:w="83"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Times New Roman" w:eastAsia="Times New Roman" w:hAnsi="Times New Roman" w:cs="Times New Roman"/>
                <w:lang w:val="nl-NL" w:eastAsia="nl-NL" w:bidi="ar-SA"/>
              </w:rPr>
            </w:pPr>
          </w:p>
        </w:tc>
        <w:tc>
          <w:tcPr>
            <w:tcW w:w="3820" w:type="dxa"/>
            <w:gridSpan w:val="2"/>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Times New Roman" w:eastAsia="Times New Roman" w:hAnsi="Times New Roman" w:cs="Times New Roman"/>
                <w:lang w:eastAsia="nl-NL" w:bidi="ar-SA"/>
              </w:rPr>
            </w:pPr>
            <w:proofErr w:type="spellStart"/>
            <w:r w:rsidRPr="00B23586">
              <w:rPr>
                <w:rFonts w:ascii="Times New Roman" w:eastAsia="Times New Roman" w:hAnsi="Times New Roman" w:cs="Times New Roman"/>
                <w:lang w:eastAsia="nl-NL" w:bidi="ar-SA"/>
              </w:rPr>
              <w:t>Stoxx</w:t>
            </w:r>
            <w:proofErr w:type="spellEnd"/>
            <w:r w:rsidRPr="00B23586">
              <w:rPr>
                <w:rFonts w:ascii="Times New Roman" w:eastAsia="Times New Roman" w:hAnsi="Times New Roman" w:cs="Times New Roman"/>
                <w:lang w:eastAsia="nl-NL" w:bidi="ar-SA"/>
              </w:rPr>
              <w:t>® Europe ex UK TMI Oil and Gas</w:t>
            </w:r>
          </w:p>
        </w:tc>
        <w:tc>
          <w:tcPr>
            <w:tcW w:w="960"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Arial" w:eastAsia="Times New Roman" w:hAnsi="Arial" w:cs="Arial"/>
                <w:sz w:val="20"/>
                <w:szCs w:val="20"/>
                <w:lang w:eastAsia="nl-NL" w:bidi="ar-SA"/>
              </w:rPr>
            </w:pPr>
          </w:p>
        </w:tc>
        <w:tc>
          <w:tcPr>
            <w:tcW w:w="960"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Arial" w:eastAsia="Times New Roman" w:hAnsi="Arial" w:cs="Arial"/>
                <w:sz w:val="20"/>
                <w:szCs w:val="20"/>
                <w:lang w:eastAsia="nl-NL" w:bidi="ar-SA"/>
              </w:rPr>
            </w:pPr>
          </w:p>
        </w:tc>
        <w:tc>
          <w:tcPr>
            <w:tcW w:w="960"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Arial" w:eastAsia="Times New Roman" w:hAnsi="Arial" w:cs="Arial"/>
                <w:sz w:val="20"/>
                <w:szCs w:val="20"/>
                <w:lang w:eastAsia="nl-NL" w:bidi="ar-SA"/>
              </w:rPr>
            </w:pPr>
          </w:p>
        </w:tc>
      </w:tr>
      <w:tr w:rsidR="009C16D2" w:rsidRPr="00CD606C" w:rsidTr="009C16D2">
        <w:trPr>
          <w:trHeight w:val="285"/>
        </w:trPr>
        <w:tc>
          <w:tcPr>
            <w:tcW w:w="1837"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Times New Roman" w:eastAsia="Times New Roman" w:hAnsi="Times New Roman" w:cs="Times New Roman"/>
                <w:lang w:val="nl-NL" w:eastAsia="nl-NL" w:bidi="ar-SA"/>
              </w:rPr>
            </w:pPr>
            <w:r w:rsidRPr="00B23586">
              <w:rPr>
                <w:rFonts w:ascii="Times New Roman" w:eastAsia="Times New Roman" w:hAnsi="Times New Roman" w:cs="Times New Roman"/>
                <w:lang w:val="nl-NL" w:eastAsia="nl-NL" w:bidi="ar-SA"/>
              </w:rPr>
              <w:t>EUTECH</w:t>
            </w:r>
          </w:p>
        </w:tc>
        <w:tc>
          <w:tcPr>
            <w:tcW w:w="83"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Times New Roman" w:eastAsia="Times New Roman" w:hAnsi="Times New Roman" w:cs="Times New Roman"/>
                <w:lang w:val="nl-NL" w:eastAsia="nl-NL" w:bidi="ar-SA"/>
              </w:rPr>
            </w:pPr>
          </w:p>
        </w:tc>
        <w:tc>
          <w:tcPr>
            <w:tcW w:w="3820" w:type="dxa"/>
            <w:gridSpan w:val="2"/>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Times New Roman" w:eastAsia="Times New Roman" w:hAnsi="Times New Roman" w:cs="Times New Roman"/>
                <w:lang w:val="nl-NL" w:eastAsia="nl-NL" w:bidi="ar-SA"/>
              </w:rPr>
            </w:pPr>
            <w:proofErr w:type="spellStart"/>
            <w:r w:rsidRPr="00B23586">
              <w:rPr>
                <w:rFonts w:ascii="Times New Roman" w:eastAsia="Times New Roman" w:hAnsi="Times New Roman" w:cs="Times New Roman"/>
                <w:lang w:val="nl-NL" w:eastAsia="nl-NL" w:bidi="ar-SA"/>
              </w:rPr>
              <w:t>Stoxx</w:t>
            </w:r>
            <w:proofErr w:type="spellEnd"/>
            <w:r w:rsidRPr="00B23586">
              <w:rPr>
                <w:rFonts w:ascii="Times New Roman" w:eastAsia="Times New Roman" w:hAnsi="Times New Roman" w:cs="Times New Roman"/>
                <w:lang w:val="nl-NL" w:eastAsia="nl-NL" w:bidi="ar-SA"/>
              </w:rPr>
              <w:t xml:space="preserve">® </w:t>
            </w:r>
            <w:proofErr w:type="spellStart"/>
            <w:r w:rsidRPr="00B23586">
              <w:rPr>
                <w:rFonts w:ascii="Times New Roman" w:eastAsia="Times New Roman" w:hAnsi="Times New Roman" w:cs="Times New Roman"/>
                <w:lang w:val="nl-NL" w:eastAsia="nl-NL" w:bidi="ar-SA"/>
              </w:rPr>
              <w:t>Europe</w:t>
            </w:r>
            <w:proofErr w:type="spellEnd"/>
            <w:r w:rsidRPr="00B23586">
              <w:rPr>
                <w:rFonts w:ascii="Times New Roman" w:eastAsia="Times New Roman" w:hAnsi="Times New Roman" w:cs="Times New Roman"/>
                <w:lang w:val="nl-NL" w:eastAsia="nl-NL" w:bidi="ar-SA"/>
              </w:rPr>
              <w:t xml:space="preserve"> ex UK TMI </w:t>
            </w:r>
            <w:proofErr w:type="spellStart"/>
            <w:r w:rsidRPr="00B23586">
              <w:rPr>
                <w:rFonts w:ascii="Times New Roman" w:eastAsia="Times New Roman" w:hAnsi="Times New Roman" w:cs="Times New Roman"/>
                <w:lang w:val="nl-NL" w:eastAsia="nl-NL" w:bidi="ar-SA"/>
              </w:rPr>
              <w:t>Technology</w:t>
            </w:r>
            <w:proofErr w:type="spellEnd"/>
          </w:p>
        </w:tc>
        <w:tc>
          <w:tcPr>
            <w:tcW w:w="960"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Arial" w:eastAsia="Times New Roman" w:hAnsi="Arial" w:cs="Arial"/>
                <w:sz w:val="20"/>
                <w:szCs w:val="20"/>
                <w:lang w:val="nl-NL" w:eastAsia="nl-NL" w:bidi="ar-SA"/>
              </w:rPr>
            </w:pPr>
          </w:p>
        </w:tc>
        <w:tc>
          <w:tcPr>
            <w:tcW w:w="960"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Arial" w:eastAsia="Times New Roman" w:hAnsi="Arial" w:cs="Arial"/>
                <w:sz w:val="20"/>
                <w:szCs w:val="20"/>
                <w:lang w:val="nl-NL" w:eastAsia="nl-NL" w:bidi="ar-SA"/>
              </w:rPr>
            </w:pPr>
          </w:p>
        </w:tc>
        <w:tc>
          <w:tcPr>
            <w:tcW w:w="960"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Arial" w:eastAsia="Times New Roman" w:hAnsi="Arial" w:cs="Arial"/>
                <w:sz w:val="20"/>
                <w:szCs w:val="20"/>
                <w:lang w:val="nl-NL" w:eastAsia="nl-NL" w:bidi="ar-SA"/>
              </w:rPr>
            </w:pPr>
          </w:p>
        </w:tc>
      </w:tr>
      <w:tr w:rsidR="009C16D2" w:rsidRPr="00B23586" w:rsidTr="009C16D2">
        <w:trPr>
          <w:trHeight w:val="285"/>
        </w:trPr>
        <w:tc>
          <w:tcPr>
            <w:tcW w:w="1837"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Times New Roman" w:eastAsia="Times New Roman" w:hAnsi="Times New Roman" w:cs="Times New Roman"/>
                <w:lang w:val="nl-NL" w:eastAsia="nl-NL" w:bidi="ar-SA"/>
              </w:rPr>
            </w:pPr>
            <w:r w:rsidRPr="00B23586">
              <w:rPr>
                <w:rFonts w:ascii="Times New Roman" w:eastAsia="Times New Roman" w:hAnsi="Times New Roman" w:cs="Times New Roman"/>
                <w:lang w:val="nl-NL" w:eastAsia="nl-NL" w:bidi="ar-SA"/>
              </w:rPr>
              <w:t>EUTEL</w:t>
            </w:r>
          </w:p>
        </w:tc>
        <w:tc>
          <w:tcPr>
            <w:tcW w:w="83"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Times New Roman" w:eastAsia="Times New Roman" w:hAnsi="Times New Roman" w:cs="Times New Roman"/>
                <w:lang w:val="nl-NL" w:eastAsia="nl-NL" w:bidi="ar-SA"/>
              </w:rPr>
            </w:pPr>
          </w:p>
        </w:tc>
        <w:tc>
          <w:tcPr>
            <w:tcW w:w="4780" w:type="dxa"/>
            <w:gridSpan w:val="3"/>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Times New Roman" w:eastAsia="Times New Roman" w:hAnsi="Times New Roman" w:cs="Times New Roman"/>
                <w:lang w:val="nl-NL" w:eastAsia="nl-NL" w:bidi="ar-SA"/>
              </w:rPr>
            </w:pPr>
            <w:proofErr w:type="spellStart"/>
            <w:r w:rsidRPr="00B23586">
              <w:rPr>
                <w:rFonts w:ascii="Times New Roman" w:eastAsia="Times New Roman" w:hAnsi="Times New Roman" w:cs="Times New Roman"/>
                <w:lang w:val="nl-NL" w:eastAsia="nl-NL" w:bidi="ar-SA"/>
              </w:rPr>
              <w:t>Stoxx</w:t>
            </w:r>
            <w:proofErr w:type="spellEnd"/>
            <w:r w:rsidRPr="00B23586">
              <w:rPr>
                <w:rFonts w:ascii="Times New Roman" w:eastAsia="Times New Roman" w:hAnsi="Times New Roman" w:cs="Times New Roman"/>
                <w:lang w:val="nl-NL" w:eastAsia="nl-NL" w:bidi="ar-SA"/>
              </w:rPr>
              <w:t xml:space="preserve">® </w:t>
            </w:r>
            <w:proofErr w:type="spellStart"/>
            <w:r w:rsidRPr="00B23586">
              <w:rPr>
                <w:rFonts w:ascii="Times New Roman" w:eastAsia="Times New Roman" w:hAnsi="Times New Roman" w:cs="Times New Roman"/>
                <w:lang w:val="nl-NL" w:eastAsia="nl-NL" w:bidi="ar-SA"/>
              </w:rPr>
              <w:t>Europe</w:t>
            </w:r>
            <w:proofErr w:type="spellEnd"/>
            <w:r w:rsidRPr="00B23586">
              <w:rPr>
                <w:rFonts w:ascii="Times New Roman" w:eastAsia="Times New Roman" w:hAnsi="Times New Roman" w:cs="Times New Roman"/>
                <w:lang w:val="nl-NL" w:eastAsia="nl-NL" w:bidi="ar-SA"/>
              </w:rPr>
              <w:t xml:space="preserve"> ex UK TMI Telecommunications</w:t>
            </w:r>
          </w:p>
        </w:tc>
        <w:tc>
          <w:tcPr>
            <w:tcW w:w="960"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Arial" w:eastAsia="Times New Roman" w:hAnsi="Arial" w:cs="Arial"/>
                <w:sz w:val="20"/>
                <w:szCs w:val="20"/>
                <w:lang w:val="nl-NL" w:eastAsia="nl-NL" w:bidi="ar-SA"/>
              </w:rPr>
            </w:pPr>
          </w:p>
        </w:tc>
        <w:tc>
          <w:tcPr>
            <w:tcW w:w="960"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Arial" w:eastAsia="Times New Roman" w:hAnsi="Arial" w:cs="Arial"/>
                <w:sz w:val="20"/>
                <w:szCs w:val="20"/>
                <w:lang w:val="nl-NL" w:eastAsia="nl-NL" w:bidi="ar-SA"/>
              </w:rPr>
            </w:pPr>
          </w:p>
        </w:tc>
      </w:tr>
      <w:tr w:rsidR="009C16D2" w:rsidRPr="00B23586" w:rsidTr="009C16D2">
        <w:trPr>
          <w:trHeight w:val="255"/>
        </w:trPr>
        <w:tc>
          <w:tcPr>
            <w:tcW w:w="1837"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Times New Roman" w:eastAsia="Times New Roman" w:hAnsi="Times New Roman" w:cs="Times New Roman"/>
                <w:lang w:val="nl-NL" w:eastAsia="nl-NL" w:bidi="ar-SA"/>
              </w:rPr>
            </w:pPr>
          </w:p>
        </w:tc>
        <w:tc>
          <w:tcPr>
            <w:tcW w:w="83"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Times New Roman" w:eastAsia="Times New Roman" w:hAnsi="Times New Roman" w:cs="Times New Roman"/>
                <w:lang w:val="nl-NL" w:eastAsia="nl-NL" w:bidi="ar-SA"/>
              </w:rPr>
            </w:pPr>
          </w:p>
        </w:tc>
        <w:tc>
          <w:tcPr>
            <w:tcW w:w="2860"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Times New Roman" w:eastAsia="Times New Roman" w:hAnsi="Times New Roman" w:cs="Times New Roman"/>
                <w:lang w:val="nl-NL" w:eastAsia="nl-NL" w:bidi="ar-SA"/>
              </w:rPr>
            </w:pPr>
          </w:p>
        </w:tc>
        <w:tc>
          <w:tcPr>
            <w:tcW w:w="960"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Arial" w:eastAsia="Times New Roman" w:hAnsi="Arial" w:cs="Arial"/>
                <w:sz w:val="20"/>
                <w:szCs w:val="20"/>
                <w:lang w:val="nl-NL" w:eastAsia="nl-NL" w:bidi="ar-SA"/>
              </w:rPr>
            </w:pPr>
          </w:p>
        </w:tc>
        <w:tc>
          <w:tcPr>
            <w:tcW w:w="960"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Arial" w:eastAsia="Times New Roman" w:hAnsi="Arial" w:cs="Arial"/>
                <w:sz w:val="20"/>
                <w:szCs w:val="20"/>
                <w:lang w:val="nl-NL" w:eastAsia="nl-NL" w:bidi="ar-SA"/>
              </w:rPr>
            </w:pPr>
          </w:p>
        </w:tc>
        <w:tc>
          <w:tcPr>
            <w:tcW w:w="960"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Arial" w:eastAsia="Times New Roman" w:hAnsi="Arial" w:cs="Arial"/>
                <w:sz w:val="20"/>
                <w:szCs w:val="20"/>
                <w:lang w:val="nl-NL" w:eastAsia="nl-NL" w:bidi="ar-SA"/>
              </w:rPr>
            </w:pPr>
          </w:p>
        </w:tc>
        <w:tc>
          <w:tcPr>
            <w:tcW w:w="960"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Arial" w:eastAsia="Times New Roman" w:hAnsi="Arial" w:cs="Arial"/>
                <w:sz w:val="20"/>
                <w:szCs w:val="20"/>
                <w:lang w:val="nl-NL" w:eastAsia="nl-NL" w:bidi="ar-SA"/>
              </w:rPr>
            </w:pPr>
          </w:p>
        </w:tc>
      </w:tr>
      <w:tr w:rsidR="009C16D2" w:rsidRPr="00B23586" w:rsidTr="009C16D2">
        <w:trPr>
          <w:trHeight w:val="300"/>
        </w:trPr>
        <w:tc>
          <w:tcPr>
            <w:tcW w:w="1920" w:type="dxa"/>
            <w:gridSpan w:val="2"/>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Times New Roman" w:eastAsia="Times New Roman" w:hAnsi="Times New Roman" w:cs="Times New Roman"/>
                <w:lang w:val="nl-NL" w:eastAsia="nl-NL" w:bidi="ar-SA"/>
              </w:rPr>
            </w:pPr>
            <w:r w:rsidRPr="00B23586">
              <w:rPr>
                <w:rFonts w:ascii="Times New Roman" w:eastAsia="Times New Roman" w:hAnsi="Times New Roman" w:cs="Times New Roman"/>
                <w:lang w:eastAsia="nl-NL" w:bidi="ar-SA"/>
              </w:rPr>
              <w:t xml:space="preserve">EURUSD </w:t>
            </w:r>
          </w:p>
        </w:tc>
        <w:tc>
          <w:tcPr>
            <w:tcW w:w="2860"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Times New Roman" w:eastAsia="Times New Roman" w:hAnsi="Times New Roman" w:cs="Times New Roman"/>
                <w:lang w:val="nl-NL" w:eastAsia="nl-NL" w:bidi="ar-SA"/>
              </w:rPr>
            </w:pPr>
            <w:r w:rsidRPr="00B23586">
              <w:rPr>
                <w:rFonts w:ascii="Times New Roman" w:eastAsia="Times New Roman" w:hAnsi="Times New Roman" w:cs="Times New Roman"/>
                <w:lang w:val="nl-NL" w:eastAsia="nl-NL" w:bidi="ar-SA"/>
              </w:rPr>
              <w:t>Euro/Dollar</w:t>
            </w:r>
          </w:p>
        </w:tc>
        <w:tc>
          <w:tcPr>
            <w:tcW w:w="960"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Arial" w:eastAsia="Times New Roman" w:hAnsi="Arial" w:cs="Arial"/>
                <w:sz w:val="20"/>
                <w:szCs w:val="20"/>
                <w:lang w:val="nl-NL" w:eastAsia="nl-NL" w:bidi="ar-SA"/>
              </w:rPr>
            </w:pPr>
          </w:p>
        </w:tc>
        <w:tc>
          <w:tcPr>
            <w:tcW w:w="960"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Arial" w:eastAsia="Times New Roman" w:hAnsi="Arial" w:cs="Arial"/>
                <w:sz w:val="20"/>
                <w:szCs w:val="20"/>
                <w:lang w:val="nl-NL" w:eastAsia="nl-NL" w:bidi="ar-SA"/>
              </w:rPr>
            </w:pPr>
          </w:p>
        </w:tc>
        <w:tc>
          <w:tcPr>
            <w:tcW w:w="960"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Arial" w:eastAsia="Times New Roman" w:hAnsi="Arial" w:cs="Arial"/>
                <w:sz w:val="20"/>
                <w:szCs w:val="20"/>
                <w:lang w:val="nl-NL" w:eastAsia="nl-NL" w:bidi="ar-SA"/>
              </w:rPr>
            </w:pPr>
          </w:p>
        </w:tc>
        <w:tc>
          <w:tcPr>
            <w:tcW w:w="960"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Arial" w:eastAsia="Times New Roman" w:hAnsi="Arial" w:cs="Arial"/>
                <w:sz w:val="20"/>
                <w:szCs w:val="20"/>
                <w:lang w:val="nl-NL" w:eastAsia="nl-NL" w:bidi="ar-SA"/>
              </w:rPr>
            </w:pPr>
          </w:p>
        </w:tc>
      </w:tr>
      <w:tr w:rsidR="009C16D2" w:rsidRPr="00B23586" w:rsidTr="009C16D2">
        <w:trPr>
          <w:trHeight w:val="300"/>
        </w:trPr>
        <w:tc>
          <w:tcPr>
            <w:tcW w:w="1837"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Times New Roman" w:eastAsia="Times New Roman" w:hAnsi="Times New Roman" w:cs="Times New Roman"/>
                <w:lang w:val="nl-NL" w:eastAsia="nl-NL" w:bidi="ar-SA"/>
              </w:rPr>
            </w:pPr>
            <w:r w:rsidRPr="00B23586">
              <w:rPr>
                <w:rFonts w:ascii="Times New Roman" w:eastAsia="Times New Roman" w:hAnsi="Times New Roman" w:cs="Times New Roman"/>
                <w:lang w:eastAsia="nl-NL" w:bidi="ar-SA"/>
              </w:rPr>
              <w:t>JPYUSD</w:t>
            </w:r>
          </w:p>
        </w:tc>
        <w:tc>
          <w:tcPr>
            <w:tcW w:w="83"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Times New Roman" w:eastAsia="Times New Roman" w:hAnsi="Times New Roman" w:cs="Times New Roman"/>
                <w:lang w:val="nl-NL" w:eastAsia="nl-NL" w:bidi="ar-SA"/>
              </w:rPr>
            </w:pPr>
          </w:p>
        </w:tc>
        <w:tc>
          <w:tcPr>
            <w:tcW w:w="2860"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Times New Roman" w:eastAsia="Times New Roman" w:hAnsi="Times New Roman" w:cs="Times New Roman"/>
                <w:lang w:val="nl-NL" w:eastAsia="nl-NL" w:bidi="ar-SA"/>
              </w:rPr>
            </w:pPr>
            <w:r w:rsidRPr="00B23586">
              <w:rPr>
                <w:rFonts w:ascii="Times New Roman" w:eastAsia="Times New Roman" w:hAnsi="Times New Roman" w:cs="Times New Roman"/>
                <w:lang w:val="nl-NL" w:eastAsia="nl-NL" w:bidi="ar-SA"/>
              </w:rPr>
              <w:t>Yen/Dollar</w:t>
            </w:r>
          </w:p>
        </w:tc>
        <w:tc>
          <w:tcPr>
            <w:tcW w:w="960"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Arial" w:eastAsia="Times New Roman" w:hAnsi="Arial" w:cs="Arial"/>
                <w:sz w:val="20"/>
                <w:szCs w:val="20"/>
                <w:lang w:val="nl-NL" w:eastAsia="nl-NL" w:bidi="ar-SA"/>
              </w:rPr>
            </w:pPr>
          </w:p>
        </w:tc>
        <w:tc>
          <w:tcPr>
            <w:tcW w:w="960"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Arial" w:eastAsia="Times New Roman" w:hAnsi="Arial" w:cs="Arial"/>
                <w:sz w:val="20"/>
                <w:szCs w:val="20"/>
                <w:lang w:val="nl-NL" w:eastAsia="nl-NL" w:bidi="ar-SA"/>
              </w:rPr>
            </w:pPr>
          </w:p>
        </w:tc>
        <w:tc>
          <w:tcPr>
            <w:tcW w:w="960"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Arial" w:eastAsia="Times New Roman" w:hAnsi="Arial" w:cs="Arial"/>
                <w:sz w:val="20"/>
                <w:szCs w:val="20"/>
                <w:lang w:val="nl-NL" w:eastAsia="nl-NL" w:bidi="ar-SA"/>
              </w:rPr>
            </w:pPr>
          </w:p>
        </w:tc>
        <w:tc>
          <w:tcPr>
            <w:tcW w:w="960"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Arial" w:eastAsia="Times New Roman" w:hAnsi="Arial" w:cs="Arial"/>
                <w:sz w:val="20"/>
                <w:szCs w:val="20"/>
                <w:lang w:val="nl-NL" w:eastAsia="nl-NL" w:bidi="ar-SA"/>
              </w:rPr>
            </w:pPr>
          </w:p>
        </w:tc>
      </w:tr>
      <w:tr w:rsidR="009C16D2" w:rsidRPr="00B23586" w:rsidTr="009C16D2">
        <w:trPr>
          <w:trHeight w:val="300"/>
        </w:trPr>
        <w:tc>
          <w:tcPr>
            <w:tcW w:w="1920" w:type="dxa"/>
            <w:gridSpan w:val="2"/>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Times New Roman" w:eastAsia="Times New Roman" w:hAnsi="Times New Roman" w:cs="Times New Roman"/>
                <w:lang w:val="nl-NL" w:eastAsia="nl-NL" w:bidi="ar-SA"/>
              </w:rPr>
            </w:pPr>
            <w:r w:rsidRPr="00B23586">
              <w:rPr>
                <w:rFonts w:ascii="Times New Roman" w:eastAsia="Times New Roman" w:hAnsi="Times New Roman" w:cs="Times New Roman"/>
                <w:lang w:eastAsia="nl-NL" w:bidi="ar-SA"/>
              </w:rPr>
              <w:t>USDEUR</w:t>
            </w:r>
          </w:p>
        </w:tc>
        <w:tc>
          <w:tcPr>
            <w:tcW w:w="2860"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Times New Roman" w:eastAsia="Times New Roman" w:hAnsi="Times New Roman" w:cs="Times New Roman"/>
                <w:lang w:val="nl-NL" w:eastAsia="nl-NL" w:bidi="ar-SA"/>
              </w:rPr>
            </w:pPr>
            <w:r w:rsidRPr="00B23586">
              <w:rPr>
                <w:rFonts w:ascii="Times New Roman" w:eastAsia="Times New Roman" w:hAnsi="Times New Roman" w:cs="Times New Roman"/>
                <w:lang w:val="nl-NL" w:eastAsia="nl-NL" w:bidi="ar-SA"/>
              </w:rPr>
              <w:t>Dollar/Euro</w:t>
            </w:r>
          </w:p>
        </w:tc>
        <w:tc>
          <w:tcPr>
            <w:tcW w:w="960"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Arial" w:eastAsia="Times New Roman" w:hAnsi="Arial" w:cs="Arial"/>
                <w:sz w:val="20"/>
                <w:szCs w:val="20"/>
                <w:lang w:val="nl-NL" w:eastAsia="nl-NL" w:bidi="ar-SA"/>
              </w:rPr>
            </w:pPr>
          </w:p>
        </w:tc>
        <w:tc>
          <w:tcPr>
            <w:tcW w:w="960"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Arial" w:eastAsia="Times New Roman" w:hAnsi="Arial" w:cs="Arial"/>
                <w:sz w:val="20"/>
                <w:szCs w:val="20"/>
                <w:lang w:val="nl-NL" w:eastAsia="nl-NL" w:bidi="ar-SA"/>
              </w:rPr>
            </w:pPr>
          </w:p>
        </w:tc>
        <w:tc>
          <w:tcPr>
            <w:tcW w:w="960"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Arial" w:eastAsia="Times New Roman" w:hAnsi="Arial" w:cs="Arial"/>
                <w:sz w:val="20"/>
                <w:szCs w:val="20"/>
                <w:lang w:val="nl-NL" w:eastAsia="nl-NL" w:bidi="ar-SA"/>
              </w:rPr>
            </w:pPr>
          </w:p>
        </w:tc>
        <w:tc>
          <w:tcPr>
            <w:tcW w:w="960"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Arial" w:eastAsia="Times New Roman" w:hAnsi="Arial" w:cs="Arial"/>
                <w:sz w:val="20"/>
                <w:szCs w:val="20"/>
                <w:lang w:val="nl-NL" w:eastAsia="nl-NL" w:bidi="ar-SA"/>
              </w:rPr>
            </w:pPr>
          </w:p>
        </w:tc>
      </w:tr>
      <w:tr w:rsidR="009C16D2" w:rsidRPr="00B23586" w:rsidTr="009C16D2">
        <w:trPr>
          <w:trHeight w:val="174"/>
        </w:trPr>
        <w:tc>
          <w:tcPr>
            <w:tcW w:w="1837"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Times New Roman" w:eastAsia="Times New Roman" w:hAnsi="Times New Roman" w:cs="Times New Roman"/>
                <w:lang w:val="nl-NL" w:eastAsia="nl-NL" w:bidi="ar-SA"/>
              </w:rPr>
            </w:pPr>
            <w:r w:rsidRPr="00B23586">
              <w:rPr>
                <w:rFonts w:ascii="Times New Roman" w:eastAsia="Times New Roman" w:hAnsi="Times New Roman" w:cs="Times New Roman"/>
                <w:lang w:eastAsia="nl-NL" w:bidi="ar-SA"/>
              </w:rPr>
              <w:t>JPYEUR</w:t>
            </w:r>
          </w:p>
        </w:tc>
        <w:tc>
          <w:tcPr>
            <w:tcW w:w="83"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Times New Roman" w:eastAsia="Times New Roman" w:hAnsi="Times New Roman" w:cs="Times New Roman"/>
                <w:lang w:val="nl-NL" w:eastAsia="nl-NL" w:bidi="ar-SA"/>
              </w:rPr>
            </w:pPr>
          </w:p>
        </w:tc>
        <w:tc>
          <w:tcPr>
            <w:tcW w:w="2860"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Times New Roman" w:eastAsia="Times New Roman" w:hAnsi="Times New Roman" w:cs="Times New Roman"/>
                <w:lang w:val="nl-NL" w:eastAsia="nl-NL" w:bidi="ar-SA"/>
              </w:rPr>
            </w:pPr>
            <w:r w:rsidRPr="00B23586">
              <w:rPr>
                <w:rFonts w:ascii="Times New Roman" w:eastAsia="Times New Roman" w:hAnsi="Times New Roman" w:cs="Times New Roman"/>
                <w:lang w:val="nl-NL" w:eastAsia="nl-NL" w:bidi="ar-SA"/>
              </w:rPr>
              <w:t>Yen/Euro</w:t>
            </w:r>
          </w:p>
        </w:tc>
        <w:tc>
          <w:tcPr>
            <w:tcW w:w="960"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Arial" w:eastAsia="Times New Roman" w:hAnsi="Arial" w:cs="Arial"/>
                <w:sz w:val="20"/>
                <w:szCs w:val="20"/>
                <w:lang w:val="nl-NL" w:eastAsia="nl-NL" w:bidi="ar-SA"/>
              </w:rPr>
            </w:pPr>
          </w:p>
        </w:tc>
        <w:tc>
          <w:tcPr>
            <w:tcW w:w="960"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Arial" w:eastAsia="Times New Roman" w:hAnsi="Arial" w:cs="Arial"/>
                <w:sz w:val="20"/>
                <w:szCs w:val="20"/>
                <w:lang w:val="nl-NL" w:eastAsia="nl-NL" w:bidi="ar-SA"/>
              </w:rPr>
            </w:pPr>
          </w:p>
        </w:tc>
        <w:tc>
          <w:tcPr>
            <w:tcW w:w="960"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Arial" w:eastAsia="Times New Roman" w:hAnsi="Arial" w:cs="Arial"/>
                <w:sz w:val="20"/>
                <w:szCs w:val="20"/>
                <w:lang w:val="nl-NL" w:eastAsia="nl-NL" w:bidi="ar-SA"/>
              </w:rPr>
            </w:pPr>
          </w:p>
        </w:tc>
        <w:tc>
          <w:tcPr>
            <w:tcW w:w="960" w:type="dxa"/>
            <w:tcBorders>
              <w:top w:val="nil"/>
              <w:left w:val="nil"/>
              <w:bottom w:val="nil"/>
              <w:right w:val="nil"/>
            </w:tcBorders>
            <w:shd w:val="clear" w:color="auto" w:fill="auto"/>
            <w:noWrap/>
            <w:vAlign w:val="bottom"/>
            <w:hideMark/>
          </w:tcPr>
          <w:p w:rsidR="009C16D2" w:rsidRPr="00B23586" w:rsidRDefault="009C16D2" w:rsidP="009C16D2">
            <w:pPr>
              <w:spacing w:after="0" w:line="240" w:lineRule="auto"/>
              <w:rPr>
                <w:rFonts w:ascii="Arial" w:eastAsia="Times New Roman" w:hAnsi="Arial" w:cs="Arial"/>
                <w:sz w:val="20"/>
                <w:szCs w:val="20"/>
                <w:lang w:val="nl-NL" w:eastAsia="nl-NL" w:bidi="ar-SA"/>
              </w:rPr>
            </w:pPr>
          </w:p>
        </w:tc>
      </w:tr>
    </w:tbl>
    <w:p w:rsidR="009C16D2" w:rsidRDefault="009C16D2" w:rsidP="00960852">
      <w:pPr>
        <w:pStyle w:val="NoSpacing"/>
        <w:jc w:val="both"/>
      </w:pPr>
    </w:p>
    <w:p w:rsidR="009C16D2" w:rsidRDefault="009C16D2" w:rsidP="00960852">
      <w:pPr>
        <w:pStyle w:val="NoSpacing"/>
        <w:jc w:val="both"/>
      </w:pPr>
    </w:p>
    <w:p w:rsidR="009C16D2" w:rsidRDefault="009C16D2" w:rsidP="00960852">
      <w:pPr>
        <w:pStyle w:val="NoSpacing"/>
        <w:jc w:val="both"/>
      </w:pPr>
    </w:p>
    <w:p w:rsidR="009C16D2" w:rsidRDefault="009C16D2" w:rsidP="00960852">
      <w:pPr>
        <w:pStyle w:val="NoSpacing"/>
        <w:jc w:val="both"/>
      </w:pPr>
    </w:p>
    <w:p w:rsidR="009C16D2" w:rsidRDefault="009C16D2" w:rsidP="00960852">
      <w:pPr>
        <w:pStyle w:val="NoSpacing"/>
        <w:jc w:val="both"/>
      </w:pPr>
    </w:p>
    <w:p w:rsidR="009C16D2" w:rsidRDefault="009C16D2" w:rsidP="00960852">
      <w:pPr>
        <w:pStyle w:val="NoSpacing"/>
        <w:jc w:val="both"/>
      </w:pPr>
    </w:p>
    <w:p w:rsidR="009C16D2" w:rsidRDefault="009C16D2" w:rsidP="00960852">
      <w:pPr>
        <w:pStyle w:val="NoSpacing"/>
        <w:jc w:val="both"/>
      </w:pPr>
    </w:p>
    <w:p w:rsidR="009C16D2" w:rsidRDefault="009C16D2" w:rsidP="00960852">
      <w:pPr>
        <w:pStyle w:val="NoSpacing"/>
        <w:jc w:val="both"/>
      </w:pPr>
    </w:p>
    <w:p w:rsidR="009C16D2" w:rsidRDefault="009C16D2" w:rsidP="00960852">
      <w:pPr>
        <w:pStyle w:val="NoSpacing"/>
        <w:jc w:val="both"/>
      </w:pPr>
    </w:p>
    <w:p w:rsidR="009C16D2" w:rsidRDefault="009C16D2" w:rsidP="00960852">
      <w:pPr>
        <w:pStyle w:val="NoSpacing"/>
        <w:jc w:val="both"/>
      </w:pPr>
    </w:p>
    <w:p w:rsidR="009C16D2" w:rsidRDefault="009C16D2" w:rsidP="00960852">
      <w:pPr>
        <w:pStyle w:val="NoSpacing"/>
        <w:jc w:val="both"/>
      </w:pPr>
    </w:p>
    <w:p w:rsidR="009C16D2" w:rsidRDefault="009C16D2" w:rsidP="00960852">
      <w:pPr>
        <w:pStyle w:val="NoSpacing"/>
        <w:jc w:val="both"/>
      </w:pPr>
    </w:p>
    <w:p w:rsidR="009C16D2" w:rsidRDefault="009C16D2" w:rsidP="00960852">
      <w:pPr>
        <w:pStyle w:val="NoSpacing"/>
        <w:jc w:val="both"/>
      </w:pPr>
    </w:p>
    <w:p w:rsidR="009C16D2" w:rsidRDefault="009C16D2" w:rsidP="00960852">
      <w:pPr>
        <w:pStyle w:val="NoSpacing"/>
        <w:jc w:val="both"/>
      </w:pPr>
    </w:p>
    <w:p w:rsidR="009C16D2" w:rsidRDefault="009C16D2" w:rsidP="00960852">
      <w:pPr>
        <w:pStyle w:val="NoSpacing"/>
        <w:jc w:val="both"/>
      </w:pPr>
    </w:p>
    <w:p w:rsidR="009C16D2" w:rsidRDefault="009C16D2" w:rsidP="00960852">
      <w:pPr>
        <w:pStyle w:val="NoSpacing"/>
        <w:jc w:val="both"/>
      </w:pPr>
    </w:p>
    <w:p w:rsidR="009C16D2" w:rsidRDefault="009C16D2" w:rsidP="00960852">
      <w:pPr>
        <w:pStyle w:val="NoSpacing"/>
        <w:jc w:val="both"/>
      </w:pPr>
    </w:p>
    <w:p w:rsidR="00960852" w:rsidRDefault="00D6604F" w:rsidP="00107DB1">
      <w:pPr>
        <w:pStyle w:val="Heading1"/>
      </w:pPr>
      <w:bookmarkStart w:id="16" w:name="_Toc300320242"/>
      <w:r>
        <w:lastRenderedPageBreak/>
        <w:t>A</w:t>
      </w:r>
      <w:r w:rsidR="009C16D2">
        <w:t>ppendix B</w:t>
      </w:r>
      <w:r w:rsidR="00107DB1">
        <w:t xml:space="preserve"> </w:t>
      </w:r>
      <w:r w:rsidR="008D0A55">
        <w:t>US indices, names, graphs, correlations and descriptive statistics</w:t>
      </w:r>
      <w:bookmarkEnd w:id="16"/>
    </w:p>
    <w:p w:rsidR="00960852" w:rsidRDefault="00960852" w:rsidP="00960852">
      <w:pPr>
        <w:pStyle w:val="NoSpacing"/>
        <w:jc w:val="both"/>
      </w:pPr>
    </w:p>
    <w:p w:rsidR="00960852" w:rsidRDefault="00960852" w:rsidP="00960852">
      <w:pPr>
        <w:pStyle w:val="NoSpacing"/>
        <w:jc w:val="both"/>
      </w:pPr>
      <w:r>
        <w:t>US indices</w:t>
      </w:r>
    </w:p>
    <w:p w:rsidR="00960852" w:rsidRDefault="00960852" w:rsidP="00960852">
      <w:pPr>
        <w:pStyle w:val="NoSpacing"/>
        <w:jc w:val="both"/>
      </w:pPr>
    </w:p>
    <w:p w:rsidR="00960852" w:rsidRDefault="00960852" w:rsidP="00960852">
      <w:pPr>
        <w:pStyle w:val="NoSpacing"/>
        <w:jc w:val="both"/>
      </w:pPr>
    </w:p>
    <w:tbl>
      <w:tblPr>
        <w:tblW w:w="5740" w:type="dxa"/>
        <w:tblInd w:w="55" w:type="dxa"/>
        <w:tblCellMar>
          <w:left w:w="70" w:type="dxa"/>
          <w:right w:w="70" w:type="dxa"/>
        </w:tblCellMar>
        <w:tblLook w:val="04A0"/>
      </w:tblPr>
      <w:tblGrid>
        <w:gridCol w:w="2140"/>
        <w:gridCol w:w="3600"/>
      </w:tblGrid>
      <w:tr w:rsidR="00960852" w:rsidRPr="003B20EF" w:rsidTr="00960852">
        <w:trPr>
          <w:trHeight w:val="285"/>
        </w:trPr>
        <w:tc>
          <w:tcPr>
            <w:tcW w:w="2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0852" w:rsidRPr="005A6AC2" w:rsidRDefault="00960852" w:rsidP="00960852">
            <w:pPr>
              <w:spacing w:after="0" w:line="240" w:lineRule="auto"/>
              <w:rPr>
                <w:rFonts w:ascii="Cambria" w:eastAsia="Times New Roman" w:hAnsi="Cambria" w:cs="Arial"/>
                <w:i/>
                <w:iCs/>
                <w:lang w:eastAsia="nl-NL" w:bidi="ar-SA"/>
              </w:rPr>
            </w:pPr>
            <w:r w:rsidRPr="003B20EF">
              <w:rPr>
                <w:rFonts w:ascii="Cambria" w:eastAsia="Times New Roman" w:hAnsi="Cambria" w:cs="Arial"/>
                <w:i/>
                <w:iCs/>
                <w:lang w:eastAsia="nl-NL" w:bidi="ar-SA"/>
              </w:rPr>
              <w:t>Symbol</w:t>
            </w:r>
          </w:p>
        </w:tc>
        <w:tc>
          <w:tcPr>
            <w:tcW w:w="3600" w:type="dxa"/>
            <w:tcBorders>
              <w:top w:val="single" w:sz="4" w:space="0" w:color="auto"/>
              <w:left w:val="nil"/>
              <w:bottom w:val="single" w:sz="4" w:space="0" w:color="auto"/>
              <w:right w:val="single" w:sz="4" w:space="0" w:color="auto"/>
            </w:tcBorders>
            <w:shd w:val="clear" w:color="auto" w:fill="auto"/>
            <w:noWrap/>
            <w:vAlign w:val="bottom"/>
            <w:hideMark/>
          </w:tcPr>
          <w:p w:rsidR="00960852" w:rsidRPr="005A6AC2" w:rsidRDefault="00960852" w:rsidP="00960852">
            <w:pPr>
              <w:spacing w:after="0" w:line="240" w:lineRule="auto"/>
              <w:rPr>
                <w:rFonts w:ascii="Cambria" w:eastAsia="Times New Roman" w:hAnsi="Cambria" w:cs="Arial"/>
                <w:i/>
                <w:iCs/>
                <w:lang w:eastAsia="nl-NL" w:bidi="ar-SA"/>
              </w:rPr>
            </w:pPr>
            <w:r w:rsidRPr="005A6AC2">
              <w:rPr>
                <w:rFonts w:ascii="Cambria" w:eastAsia="Times New Roman" w:hAnsi="Cambria" w:cs="Arial"/>
                <w:i/>
                <w:iCs/>
                <w:lang w:eastAsia="nl-NL" w:bidi="ar-SA"/>
              </w:rPr>
              <w:t>Name</w:t>
            </w:r>
          </w:p>
        </w:tc>
      </w:tr>
      <w:tr w:rsidR="00960852" w:rsidRPr="003B20EF" w:rsidTr="00960852">
        <w:trPr>
          <w:trHeight w:val="285"/>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960852" w:rsidRPr="005A6AC2" w:rsidRDefault="00960852" w:rsidP="00960852">
            <w:pPr>
              <w:spacing w:after="0" w:line="240" w:lineRule="auto"/>
              <w:rPr>
                <w:rFonts w:ascii="Cambria" w:eastAsia="Times New Roman" w:hAnsi="Cambria" w:cs="Arial"/>
                <w:lang w:eastAsia="nl-NL" w:bidi="ar-SA"/>
              </w:rPr>
            </w:pPr>
            <w:r w:rsidRPr="003B20EF">
              <w:rPr>
                <w:rFonts w:ascii="Cambria" w:eastAsia="Times New Roman" w:hAnsi="Cambria" w:cs="Arial"/>
                <w:lang w:eastAsia="nl-NL" w:bidi="ar-SA"/>
              </w:rPr>
              <w:t>INDEXSP:INX</w:t>
            </w:r>
          </w:p>
        </w:tc>
        <w:tc>
          <w:tcPr>
            <w:tcW w:w="3600" w:type="dxa"/>
            <w:tcBorders>
              <w:top w:val="nil"/>
              <w:left w:val="nil"/>
              <w:bottom w:val="single" w:sz="4" w:space="0" w:color="auto"/>
              <w:right w:val="single" w:sz="4" w:space="0" w:color="auto"/>
            </w:tcBorders>
            <w:shd w:val="clear" w:color="auto" w:fill="auto"/>
            <w:noWrap/>
            <w:vAlign w:val="bottom"/>
            <w:hideMark/>
          </w:tcPr>
          <w:p w:rsidR="00960852" w:rsidRPr="005A6AC2" w:rsidRDefault="00960852" w:rsidP="00960852">
            <w:pPr>
              <w:spacing w:after="0" w:line="240" w:lineRule="auto"/>
              <w:rPr>
                <w:rFonts w:ascii="Cambria" w:eastAsia="Times New Roman" w:hAnsi="Cambria" w:cs="Arial"/>
                <w:lang w:eastAsia="nl-NL" w:bidi="ar-SA"/>
              </w:rPr>
            </w:pPr>
            <w:r w:rsidRPr="005A6AC2">
              <w:rPr>
                <w:rFonts w:ascii="Cambria" w:eastAsia="Times New Roman" w:hAnsi="Cambria" w:cs="Arial"/>
                <w:lang w:eastAsia="nl-NL" w:bidi="ar-SA"/>
              </w:rPr>
              <w:t>Standard &amp;Poor’s 500</w:t>
            </w:r>
          </w:p>
        </w:tc>
      </w:tr>
      <w:tr w:rsidR="00960852" w:rsidRPr="003B20EF" w:rsidTr="00960852">
        <w:trPr>
          <w:trHeight w:val="285"/>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960852" w:rsidRPr="005A6AC2" w:rsidRDefault="00960852" w:rsidP="00960852">
            <w:pPr>
              <w:spacing w:after="0" w:line="240" w:lineRule="auto"/>
              <w:rPr>
                <w:rFonts w:ascii="Cambria" w:eastAsia="Times New Roman" w:hAnsi="Cambria" w:cs="Arial"/>
                <w:lang w:eastAsia="nl-NL" w:bidi="ar-SA"/>
              </w:rPr>
            </w:pPr>
            <w:r w:rsidRPr="003B20EF">
              <w:rPr>
                <w:rFonts w:ascii="Cambria" w:eastAsia="Times New Roman" w:hAnsi="Cambria" w:cs="Arial"/>
                <w:lang w:eastAsia="nl-NL" w:bidi="ar-SA"/>
              </w:rPr>
              <w:t>DJUSBM</w:t>
            </w:r>
          </w:p>
        </w:tc>
        <w:tc>
          <w:tcPr>
            <w:tcW w:w="3600" w:type="dxa"/>
            <w:tcBorders>
              <w:top w:val="nil"/>
              <w:left w:val="nil"/>
              <w:bottom w:val="single" w:sz="4" w:space="0" w:color="auto"/>
              <w:right w:val="single" w:sz="4" w:space="0" w:color="auto"/>
            </w:tcBorders>
            <w:shd w:val="clear" w:color="auto" w:fill="auto"/>
            <w:noWrap/>
            <w:vAlign w:val="bottom"/>
            <w:hideMark/>
          </w:tcPr>
          <w:p w:rsidR="00960852" w:rsidRPr="003B20EF" w:rsidRDefault="00960852" w:rsidP="00960852">
            <w:pPr>
              <w:spacing w:after="0" w:line="240" w:lineRule="auto"/>
              <w:rPr>
                <w:rFonts w:ascii="Cambria" w:eastAsia="Times New Roman" w:hAnsi="Cambria" w:cs="Arial"/>
                <w:lang w:eastAsia="nl-NL" w:bidi="ar-SA"/>
              </w:rPr>
            </w:pPr>
            <w:r w:rsidRPr="003B20EF">
              <w:rPr>
                <w:rFonts w:ascii="Cambria" w:eastAsia="Times New Roman" w:hAnsi="Cambria" w:cs="Arial"/>
                <w:lang w:eastAsia="nl-NL" w:bidi="ar-SA"/>
              </w:rPr>
              <w:t>Dow Jones U.S. Basic Materials</w:t>
            </w:r>
          </w:p>
        </w:tc>
      </w:tr>
      <w:tr w:rsidR="00960852" w:rsidRPr="003B20EF" w:rsidTr="00960852">
        <w:trPr>
          <w:trHeight w:val="285"/>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960852" w:rsidRPr="005A6AC2" w:rsidRDefault="00960852" w:rsidP="00960852">
            <w:pPr>
              <w:spacing w:after="0" w:line="240" w:lineRule="auto"/>
              <w:rPr>
                <w:rFonts w:ascii="Cambria" w:eastAsia="Times New Roman" w:hAnsi="Cambria" w:cs="Arial"/>
                <w:lang w:eastAsia="nl-NL" w:bidi="ar-SA"/>
              </w:rPr>
            </w:pPr>
            <w:r w:rsidRPr="003B20EF">
              <w:rPr>
                <w:rFonts w:ascii="Cambria" w:eastAsia="Times New Roman" w:hAnsi="Cambria" w:cs="Arial"/>
                <w:lang w:eastAsia="nl-NL" w:bidi="ar-SA"/>
              </w:rPr>
              <w:t>DJUSCY</w:t>
            </w:r>
          </w:p>
        </w:tc>
        <w:tc>
          <w:tcPr>
            <w:tcW w:w="3600" w:type="dxa"/>
            <w:tcBorders>
              <w:top w:val="nil"/>
              <w:left w:val="nil"/>
              <w:bottom w:val="single" w:sz="4" w:space="0" w:color="auto"/>
              <w:right w:val="single" w:sz="4" w:space="0" w:color="auto"/>
            </w:tcBorders>
            <w:shd w:val="clear" w:color="auto" w:fill="auto"/>
            <w:noWrap/>
            <w:vAlign w:val="bottom"/>
            <w:hideMark/>
          </w:tcPr>
          <w:p w:rsidR="00960852" w:rsidRPr="003B20EF" w:rsidRDefault="00960852" w:rsidP="00960852">
            <w:pPr>
              <w:spacing w:after="0" w:line="240" w:lineRule="auto"/>
              <w:rPr>
                <w:rFonts w:ascii="Cambria" w:eastAsia="Times New Roman" w:hAnsi="Cambria" w:cs="Arial"/>
                <w:lang w:eastAsia="nl-NL" w:bidi="ar-SA"/>
              </w:rPr>
            </w:pPr>
            <w:r w:rsidRPr="003B20EF">
              <w:rPr>
                <w:rFonts w:ascii="Cambria" w:eastAsia="Times New Roman" w:hAnsi="Cambria" w:cs="Arial"/>
                <w:lang w:eastAsia="nl-NL" w:bidi="ar-SA"/>
              </w:rPr>
              <w:t>Dow Jones U.S. Consumer Services</w:t>
            </w:r>
          </w:p>
        </w:tc>
      </w:tr>
      <w:tr w:rsidR="00960852" w:rsidRPr="003B20EF" w:rsidTr="00960852">
        <w:trPr>
          <w:trHeight w:val="285"/>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960852" w:rsidRPr="003B20EF" w:rsidRDefault="00960852" w:rsidP="00960852">
            <w:pPr>
              <w:spacing w:after="0" w:line="240" w:lineRule="auto"/>
              <w:rPr>
                <w:rFonts w:ascii="Cambria" w:eastAsia="Times New Roman" w:hAnsi="Cambria" w:cs="Arial"/>
                <w:lang w:val="nl-NL" w:eastAsia="nl-NL" w:bidi="ar-SA"/>
              </w:rPr>
            </w:pPr>
            <w:r w:rsidRPr="003B20EF">
              <w:rPr>
                <w:rFonts w:ascii="Cambria" w:eastAsia="Times New Roman" w:hAnsi="Cambria" w:cs="Arial"/>
                <w:lang w:eastAsia="nl-NL" w:bidi="ar-SA"/>
              </w:rPr>
              <w:t>DJUSNC</w:t>
            </w:r>
          </w:p>
        </w:tc>
        <w:tc>
          <w:tcPr>
            <w:tcW w:w="3600" w:type="dxa"/>
            <w:tcBorders>
              <w:top w:val="nil"/>
              <w:left w:val="nil"/>
              <w:bottom w:val="single" w:sz="4" w:space="0" w:color="auto"/>
              <w:right w:val="single" w:sz="4" w:space="0" w:color="auto"/>
            </w:tcBorders>
            <w:shd w:val="clear" w:color="auto" w:fill="auto"/>
            <w:noWrap/>
            <w:vAlign w:val="bottom"/>
            <w:hideMark/>
          </w:tcPr>
          <w:p w:rsidR="00960852" w:rsidRPr="003B20EF" w:rsidRDefault="00960852" w:rsidP="00960852">
            <w:pPr>
              <w:spacing w:after="0" w:line="240" w:lineRule="auto"/>
              <w:rPr>
                <w:rFonts w:ascii="Cambria" w:eastAsia="Times New Roman" w:hAnsi="Cambria" w:cs="Arial"/>
                <w:lang w:eastAsia="nl-NL" w:bidi="ar-SA"/>
              </w:rPr>
            </w:pPr>
            <w:r w:rsidRPr="003B20EF">
              <w:rPr>
                <w:rFonts w:ascii="Cambria" w:eastAsia="Times New Roman" w:hAnsi="Cambria" w:cs="Arial"/>
                <w:lang w:eastAsia="nl-NL" w:bidi="ar-SA"/>
              </w:rPr>
              <w:t>Dow Jones U.S. Consumer Goods</w:t>
            </w:r>
          </w:p>
        </w:tc>
      </w:tr>
      <w:tr w:rsidR="00960852" w:rsidRPr="003B20EF" w:rsidTr="00960852">
        <w:trPr>
          <w:trHeight w:val="285"/>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960852" w:rsidRPr="003B20EF" w:rsidRDefault="00960852" w:rsidP="00960852">
            <w:pPr>
              <w:spacing w:after="0" w:line="240" w:lineRule="auto"/>
              <w:rPr>
                <w:rFonts w:ascii="Cambria" w:eastAsia="Times New Roman" w:hAnsi="Cambria" w:cs="Arial"/>
                <w:lang w:val="nl-NL" w:eastAsia="nl-NL" w:bidi="ar-SA"/>
              </w:rPr>
            </w:pPr>
            <w:r w:rsidRPr="003B20EF">
              <w:rPr>
                <w:rFonts w:ascii="Cambria" w:eastAsia="Times New Roman" w:hAnsi="Cambria" w:cs="Arial"/>
                <w:lang w:eastAsia="nl-NL" w:bidi="ar-SA"/>
              </w:rPr>
              <w:t>DJUSEN</w:t>
            </w:r>
          </w:p>
        </w:tc>
        <w:tc>
          <w:tcPr>
            <w:tcW w:w="3600" w:type="dxa"/>
            <w:tcBorders>
              <w:top w:val="nil"/>
              <w:left w:val="nil"/>
              <w:bottom w:val="single" w:sz="4" w:space="0" w:color="auto"/>
              <w:right w:val="single" w:sz="4" w:space="0" w:color="auto"/>
            </w:tcBorders>
            <w:shd w:val="clear" w:color="auto" w:fill="auto"/>
            <w:noWrap/>
            <w:vAlign w:val="bottom"/>
            <w:hideMark/>
          </w:tcPr>
          <w:p w:rsidR="00960852" w:rsidRPr="003B20EF" w:rsidRDefault="00960852" w:rsidP="00960852">
            <w:pPr>
              <w:spacing w:after="0" w:line="240" w:lineRule="auto"/>
              <w:rPr>
                <w:rFonts w:ascii="Cambria" w:eastAsia="Times New Roman" w:hAnsi="Cambria" w:cs="Arial"/>
                <w:lang w:eastAsia="nl-NL" w:bidi="ar-SA"/>
              </w:rPr>
            </w:pPr>
            <w:r w:rsidRPr="003B20EF">
              <w:rPr>
                <w:rFonts w:ascii="Cambria" w:eastAsia="Times New Roman" w:hAnsi="Cambria" w:cs="Arial"/>
                <w:lang w:eastAsia="nl-NL" w:bidi="ar-SA"/>
              </w:rPr>
              <w:t>Dow Jones U.S. Oil and Gas</w:t>
            </w:r>
          </w:p>
        </w:tc>
      </w:tr>
      <w:tr w:rsidR="00960852" w:rsidRPr="003B20EF" w:rsidTr="00960852">
        <w:trPr>
          <w:trHeight w:val="285"/>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960852" w:rsidRPr="003B20EF" w:rsidRDefault="00960852" w:rsidP="00960852">
            <w:pPr>
              <w:spacing w:after="0" w:line="240" w:lineRule="auto"/>
              <w:rPr>
                <w:rFonts w:ascii="Cambria" w:eastAsia="Times New Roman" w:hAnsi="Cambria" w:cs="Arial"/>
                <w:lang w:val="nl-NL" w:eastAsia="nl-NL" w:bidi="ar-SA"/>
              </w:rPr>
            </w:pPr>
            <w:r w:rsidRPr="003B20EF">
              <w:rPr>
                <w:rFonts w:ascii="Cambria" w:eastAsia="Times New Roman" w:hAnsi="Cambria" w:cs="Arial"/>
                <w:lang w:eastAsia="nl-NL" w:bidi="ar-SA"/>
              </w:rPr>
              <w:t>DJUSFN</w:t>
            </w:r>
          </w:p>
        </w:tc>
        <w:tc>
          <w:tcPr>
            <w:tcW w:w="3600" w:type="dxa"/>
            <w:tcBorders>
              <w:top w:val="nil"/>
              <w:left w:val="nil"/>
              <w:bottom w:val="single" w:sz="4" w:space="0" w:color="auto"/>
              <w:right w:val="single" w:sz="4" w:space="0" w:color="auto"/>
            </w:tcBorders>
            <w:shd w:val="clear" w:color="auto" w:fill="auto"/>
            <w:noWrap/>
            <w:vAlign w:val="bottom"/>
            <w:hideMark/>
          </w:tcPr>
          <w:p w:rsidR="00960852" w:rsidRPr="003B20EF" w:rsidRDefault="00960852" w:rsidP="00960852">
            <w:pPr>
              <w:spacing w:after="0" w:line="240" w:lineRule="auto"/>
              <w:rPr>
                <w:rFonts w:ascii="Cambria" w:eastAsia="Times New Roman" w:hAnsi="Cambria" w:cs="Arial"/>
                <w:lang w:eastAsia="nl-NL" w:bidi="ar-SA"/>
              </w:rPr>
            </w:pPr>
            <w:r w:rsidRPr="003B20EF">
              <w:rPr>
                <w:rFonts w:ascii="Cambria" w:eastAsia="Times New Roman" w:hAnsi="Cambria" w:cs="Arial"/>
                <w:lang w:eastAsia="nl-NL" w:bidi="ar-SA"/>
              </w:rPr>
              <w:t>Dow Jones U.S. Financial Services</w:t>
            </w:r>
          </w:p>
        </w:tc>
      </w:tr>
      <w:tr w:rsidR="00960852" w:rsidRPr="003B20EF" w:rsidTr="00960852">
        <w:trPr>
          <w:trHeight w:val="285"/>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960852" w:rsidRPr="003B20EF" w:rsidRDefault="00960852" w:rsidP="00960852">
            <w:pPr>
              <w:spacing w:after="0" w:line="240" w:lineRule="auto"/>
              <w:rPr>
                <w:rFonts w:ascii="Cambria" w:eastAsia="Times New Roman" w:hAnsi="Cambria" w:cs="Arial"/>
                <w:lang w:val="nl-NL" w:eastAsia="nl-NL" w:bidi="ar-SA"/>
              </w:rPr>
            </w:pPr>
            <w:r w:rsidRPr="003B20EF">
              <w:rPr>
                <w:rFonts w:ascii="Cambria" w:eastAsia="Times New Roman" w:hAnsi="Cambria" w:cs="Arial"/>
                <w:lang w:eastAsia="nl-NL" w:bidi="ar-SA"/>
              </w:rPr>
              <w:t>DJUSHC</w:t>
            </w:r>
          </w:p>
        </w:tc>
        <w:tc>
          <w:tcPr>
            <w:tcW w:w="3600" w:type="dxa"/>
            <w:tcBorders>
              <w:top w:val="nil"/>
              <w:left w:val="nil"/>
              <w:bottom w:val="single" w:sz="4" w:space="0" w:color="auto"/>
              <w:right w:val="single" w:sz="4" w:space="0" w:color="auto"/>
            </w:tcBorders>
            <w:shd w:val="clear" w:color="auto" w:fill="auto"/>
            <w:noWrap/>
            <w:vAlign w:val="bottom"/>
            <w:hideMark/>
          </w:tcPr>
          <w:p w:rsidR="00960852" w:rsidRPr="003B20EF" w:rsidRDefault="00960852" w:rsidP="00960852">
            <w:pPr>
              <w:spacing w:after="0" w:line="240" w:lineRule="auto"/>
              <w:rPr>
                <w:rFonts w:ascii="Cambria" w:eastAsia="Times New Roman" w:hAnsi="Cambria" w:cs="Arial"/>
                <w:lang w:eastAsia="nl-NL" w:bidi="ar-SA"/>
              </w:rPr>
            </w:pPr>
            <w:r w:rsidRPr="003B20EF">
              <w:rPr>
                <w:rFonts w:ascii="Cambria" w:eastAsia="Times New Roman" w:hAnsi="Cambria" w:cs="Arial"/>
                <w:lang w:eastAsia="nl-NL" w:bidi="ar-SA"/>
              </w:rPr>
              <w:t>Dow Jones U.S. Health Care</w:t>
            </w:r>
          </w:p>
        </w:tc>
      </w:tr>
      <w:tr w:rsidR="00960852" w:rsidRPr="003B20EF" w:rsidTr="00960852">
        <w:trPr>
          <w:trHeight w:val="285"/>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960852" w:rsidRPr="003B20EF" w:rsidRDefault="00960852" w:rsidP="00960852">
            <w:pPr>
              <w:spacing w:after="0" w:line="240" w:lineRule="auto"/>
              <w:rPr>
                <w:rFonts w:ascii="Cambria" w:eastAsia="Times New Roman" w:hAnsi="Cambria" w:cs="Arial"/>
                <w:lang w:val="nl-NL" w:eastAsia="nl-NL" w:bidi="ar-SA"/>
              </w:rPr>
            </w:pPr>
            <w:r w:rsidRPr="003B20EF">
              <w:rPr>
                <w:rFonts w:ascii="Cambria" w:eastAsia="Times New Roman" w:hAnsi="Cambria" w:cs="Arial"/>
                <w:lang w:eastAsia="nl-NL" w:bidi="ar-SA"/>
              </w:rPr>
              <w:t>DJUSIN</w:t>
            </w:r>
          </w:p>
        </w:tc>
        <w:tc>
          <w:tcPr>
            <w:tcW w:w="3600" w:type="dxa"/>
            <w:tcBorders>
              <w:top w:val="nil"/>
              <w:left w:val="nil"/>
              <w:bottom w:val="single" w:sz="4" w:space="0" w:color="auto"/>
              <w:right w:val="single" w:sz="4" w:space="0" w:color="auto"/>
            </w:tcBorders>
            <w:shd w:val="clear" w:color="auto" w:fill="auto"/>
            <w:noWrap/>
            <w:vAlign w:val="bottom"/>
            <w:hideMark/>
          </w:tcPr>
          <w:p w:rsidR="00960852" w:rsidRPr="003B20EF" w:rsidRDefault="00960852" w:rsidP="00960852">
            <w:pPr>
              <w:spacing w:after="0" w:line="240" w:lineRule="auto"/>
              <w:rPr>
                <w:rFonts w:ascii="Cambria" w:eastAsia="Times New Roman" w:hAnsi="Cambria" w:cs="Arial"/>
                <w:lang w:eastAsia="nl-NL" w:bidi="ar-SA"/>
              </w:rPr>
            </w:pPr>
            <w:r w:rsidRPr="003B20EF">
              <w:rPr>
                <w:rFonts w:ascii="Cambria" w:eastAsia="Times New Roman" w:hAnsi="Cambria" w:cs="Arial"/>
                <w:lang w:eastAsia="nl-NL" w:bidi="ar-SA"/>
              </w:rPr>
              <w:t>Dow Jones U.S. Industrials</w:t>
            </w:r>
          </w:p>
        </w:tc>
      </w:tr>
      <w:tr w:rsidR="00960852" w:rsidRPr="003B20EF" w:rsidTr="00960852">
        <w:trPr>
          <w:trHeight w:val="285"/>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960852" w:rsidRPr="003B20EF" w:rsidRDefault="00960852" w:rsidP="00960852">
            <w:pPr>
              <w:spacing w:after="0" w:line="240" w:lineRule="auto"/>
              <w:rPr>
                <w:rFonts w:ascii="Cambria" w:eastAsia="Times New Roman" w:hAnsi="Cambria" w:cs="Arial"/>
                <w:lang w:val="nl-NL" w:eastAsia="nl-NL" w:bidi="ar-SA"/>
              </w:rPr>
            </w:pPr>
            <w:r w:rsidRPr="003B20EF">
              <w:rPr>
                <w:rFonts w:ascii="Cambria" w:eastAsia="Times New Roman" w:hAnsi="Cambria" w:cs="Arial"/>
                <w:lang w:eastAsia="nl-NL" w:bidi="ar-SA"/>
              </w:rPr>
              <w:t xml:space="preserve">DJUSTC </w:t>
            </w:r>
          </w:p>
        </w:tc>
        <w:tc>
          <w:tcPr>
            <w:tcW w:w="3600" w:type="dxa"/>
            <w:tcBorders>
              <w:top w:val="nil"/>
              <w:left w:val="nil"/>
              <w:bottom w:val="single" w:sz="4" w:space="0" w:color="auto"/>
              <w:right w:val="single" w:sz="4" w:space="0" w:color="auto"/>
            </w:tcBorders>
            <w:shd w:val="clear" w:color="auto" w:fill="auto"/>
            <w:noWrap/>
            <w:vAlign w:val="bottom"/>
            <w:hideMark/>
          </w:tcPr>
          <w:p w:rsidR="00960852" w:rsidRPr="003B20EF" w:rsidRDefault="00960852" w:rsidP="00960852">
            <w:pPr>
              <w:spacing w:after="0" w:line="240" w:lineRule="auto"/>
              <w:rPr>
                <w:rFonts w:ascii="Cambria" w:eastAsia="Times New Roman" w:hAnsi="Cambria" w:cs="Arial"/>
                <w:lang w:eastAsia="nl-NL" w:bidi="ar-SA"/>
              </w:rPr>
            </w:pPr>
            <w:r w:rsidRPr="003B20EF">
              <w:rPr>
                <w:rFonts w:ascii="Cambria" w:eastAsia="Times New Roman" w:hAnsi="Cambria" w:cs="Arial"/>
                <w:lang w:eastAsia="nl-NL" w:bidi="ar-SA"/>
              </w:rPr>
              <w:t>Dow Jones U.S. Technology</w:t>
            </w:r>
          </w:p>
        </w:tc>
      </w:tr>
      <w:tr w:rsidR="00960852" w:rsidRPr="003B20EF" w:rsidTr="00960852">
        <w:trPr>
          <w:trHeight w:val="285"/>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960852" w:rsidRPr="003B20EF" w:rsidRDefault="00960852" w:rsidP="00960852">
            <w:pPr>
              <w:spacing w:after="0" w:line="240" w:lineRule="auto"/>
              <w:rPr>
                <w:rFonts w:ascii="Cambria" w:eastAsia="Times New Roman" w:hAnsi="Cambria" w:cs="Arial"/>
                <w:lang w:val="nl-NL" w:eastAsia="nl-NL" w:bidi="ar-SA"/>
              </w:rPr>
            </w:pPr>
            <w:r w:rsidRPr="003B20EF">
              <w:rPr>
                <w:rFonts w:ascii="Cambria" w:eastAsia="Times New Roman" w:hAnsi="Cambria" w:cs="Arial"/>
                <w:lang w:eastAsia="nl-NL" w:bidi="ar-SA"/>
              </w:rPr>
              <w:t>DJUSTL</w:t>
            </w:r>
          </w:p>
        </w:tc>
        <w:tc>
          <w:tcPr>
            <w:tcW w:w="3600" w:type="dxa"/>
            <w:tcBorders>
              <w:top w:val="nil"/>
              <w:left w:val="nil"/>
              <w:bottom w:val="single" w:sz="4" w:space="0" w:color="auto"/>
              <w:right w:val="single" w:sz="4" w:space="0" w:color="auto"/>
            </w:tcBorders>
            <w:shd w:val="clear" w:color="auto" w:fill="auto"/>
            <w:noWrap/>
            <w:vAlign w:val="bottom"/>
            <w:hideMark/>
          </w:tcPr>
          <w:p w:rsidR="00960852" w:rsidRPr="003B20EF" w:rsidRDefault="00960852" w:rsidP="00960852">
            <w:pPr>
              <w:spacing w:after="0" w:line="240" w:lineRule="auto"/>
              <w:rPr>
                <w:rFonts w:ascii="Cambria" w:eastAsia="Times New Roman" w:hAnsi="Cambria" w:cs="Arial"/>
                <w:lang w:eastAsia="nl-NL" w:bidi="ar-SA"/>
              </w:rPr>
            </w:pPr>
            <w:r w:rsidRPr="003B20EF">
              <w:rPr>
                <w:rFonts w:ascii="Cambria" w:eastAsia="Times New Roman" w:hAnsi="Cambria" w:cs="Arial"/>
                <w:lang w:eastAsia="nl-NL" w:bidi="ar-SA"/>
              </w:rPr>
              <w:t>Dow Jones U.S. Telecommunications</w:t>
            </w:r>
          </w:p>
        </w:tc>
      </w:tr>
      <w:tr w:rsidR="00960852" w:rsidRPr="003B20EF" w:rsidTr="00960852">
        <w:trPr>
          <w:trHeight w:val="285"/>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960852" w:rsidRPr="003B20EF" w:rsidRDefault="00960852" w:rsidP="00960852">
            <w:pPr>
              <w:spacing w:after="0" w:line="240" w:lineRule="auto"/>
              <w:rPr>
                <w:rFonts w:ascii="Cambria" w:eastAsia="Times New Roman" w:hAnsi="Cambria" w:cs="Arial"/>
                <w:lang w:val="nl-NL" w:eastAsia="nl-NL" w:bidi="ar-SA"/>
              </w:rPr>
            </w:pPr>
            <w:r w:rsidRPr="003B20EF">
              <w:rPr>
                <w:rFonts w:ascii="Cambria" w:eastAsia="Times New Roman" w:hAnsi="Cambria" w:cs="Arial"/>
                <w:lang w:eastAsia="nl-NL" w:bidi="ar-SA"/>
              </w:rPr>
              <w:t>DJUSUT</w:t>
            </w:r>
          </w:p>
        </w:tc>
        <w:tc>
          <w:tcPr>
            <w:tcW w:w="3600" w:type="dxa"/>
            <w:tcBorders>
              <w:top w:val="nil"/>
              <w:left w:val="nil"/>
              <w:bottom w:val="single" w:sz="4" w:space="0" w:color="auto"/>
              <w:right w:val="single" w:sz="4" w:space="0" w:color="auto"/>
            </w:tcBorders>
            <w:shd w:val="clear" w:color="auto" w:fill="auto"/>
            <w:noWrap/>
            <w:vAlign w:val="bottom"/>
            <w:hideMark/>
          </w:tcPr>
          <w:p w:rsidR="00960852" w:rsidRPr="003B20EF" w:rsidRDefault="00960852" w:rsidP="00960852">
            <w:pPr>
              <w:spacing w:after="0" w:line="240" w:lineRule="auto"/>
              <w:rPr>
                <w:rFonts w:ascii="Cambria" w:eastAsia="Times New Roman" w:hAnsi="Cambria" w:cs="Arial"/>
                <w:lang w:eastAsia="nl-NL" w:bidi="ar-SA"/>
              </w:rPr>
            </w:pPr>
            <w:r w:rsidRPr="003B20EF">
              <w:rPr>
                <w:rFonts w:ascii="Cambria" w:eastAsia="Times New Roman" w:hAnsi="Cambria" w:cs="Arial"/>
                <w:lang w:eastAsia="nl-NL" w:bidi="ar-SA"/>
              </w:rPr>
              <w:t>Dow Jones U.S. Utilities</w:t>
            </w:r>
          </w:p>
        </w:tc>
      </w:tr>
    </w:tbl>
    <w:p w:rsidR="00960852" w:rsidRPr="00D6780B" w:rsidRDefault="00960852" w:rsidP="00960852">
      <w:pPr>
        <w:pStyle w:val="NoSpacing"/>
        <w:jc w:val="both"/>
        <w:rPr>
          <w:noProof/>
          <w:lang w:eastAsia="nl-NL" w:bidi="ar-SA"/>
        </w:rPr>
      </w:pPr>
    </w:p>
    <w:p w:rsidR="00960852" w:rsidRPr="0078676B" w:rsidRDefault="00960852" w:rsidP="00960852">
      <w:pPr>
        <w:pStyle w:val="NoSpacing"/>
        <w:jc w:val="both"/>
        <w:rPr>
          <w:noProof/>
          <w:lang w:eastAsia="nl-NL" w:bidi="ar-SA"/>
        </w:rPr>
      </w:pPr>
    </w:p>
    <w:p w:rsidR="00960852" w:rsidRPr="0078676B" w:rsidRDefault="008D0A55" w:rsidP="00960852">
      <w:pPr>
        <w:pStyle w:val="NoSpacing"/>
        <w:jc w:val="both"/>
        <w:rPr>
          <w:noProof/>
          <w:lang w:eastAsia="nl-NL" w:bidi="ar-SA"/>
        </w:rPr>
      </w:pPr>
      <w:r>
        <w:rPr>
          <w:noProof/>
          <w:lang w:eastAsia="nl-NL" w:bidi="ar-SA"/>
        </w:rPr>
        <w:t>US graphs</w:t>
      </w:r>
    </w:p>
    <w:p w:rsidR="00960852" w:rsidRPr="0078676B" w:rsidRDefault="00960852" w:rsidP="00960852">
      <w:pPr>
        <w:pStyle w:val="NoSpacing"/>
        <w:jc w:val="both"/>
        <w:rPr>
          <w:noProof/>
          <w:lang w:eastAsia="nl-NL" w:bidi="ar-SA"/>
        </w:rPr>
      </w:pPr>
    </w:p>
    <w:p w:rsidR="00960852" w:rsidRPr="0078676B" w:rsidRDefault="00960852" w:rsidP="00960852">
      <w:pPr>
        <w:pStyle w:val="NoSpacing"/>
        <w:jc w:val="both"/>
        <w:rPr>
          <w:noProof/>
          <w:lang w:eastAsia="nl-NL" w:bidi="ar-SA"/>
        </w:rPr>
      </w:pPr>
    </w:p>
    <w:p w:rsidR="00960852" w:rsidRDefault="00960852" w:rsidP="00960852">
      <w:pPr>
        <w:pStyle w:val="NoSpacing"/>
        <w:keepNext/>
        <w:jc w:val="both"/>
      </w:pPr>
      <w:r w:rsidRPr="003D66A1">
        <w:rPr>
          <w:noProof/>
          <w:lang w:bidi="ar-SA"/>
        </w:rPr>
        <w:drawing>
          <wp:inline distT="0" distB="0" distL="0" distR="0">
            <wp:extent cx="5971846" cy="3289738"/>
            <wp:effectExtent l="19050" t="0" r="0" b="0"/>
            <wp:docPr id="39" name="Afbeelding 5"/>
            <wp:cNvGraphicFramePr/>
            <a:graphic xmlns:a="http://schemas.openxmlformats.org/drawingml/2006/main">
              <a:graphicData uri="http://schemas.openxmlformats.org/drawingml/2006/picture">
                <pic:pic xmlns:pic="http://schemas.openxmlformats.org/drawingml/2006/picture">
                  <pic:nvPicPr>
                    <pic:cNvPr id="1037" name="Picture 1"/>
                    <pic:cNvPicPr>
                      <a:picLocks noChangeAspect="1" noChangeArrowheads="1"/>
                    </pic:cNvPicPr>
                  </pic:nvPicPr>
                  <pic:blipFill>
                    <a:blip r:embed="rId11" cstate="print"/>
                    <a:srcRect/>
                    <a:stretch>
                      <a:fillRect/>
                    </a:stretch>
                  </pic:blipFill>
                  <pic:spPr bwMode="auto">
                    <a:xfrm>
                      <a:off x="0" y="0"/>
                      <a:ext cx="5981418" cy="3295011"/>
                    </a:xfrm>
                    <a:prstGeom prst="rect">
                      <a:avLst/>
                    </a:prstGeom>
                    <a:noFill/>
                    <a:ln w="9525">
                      <a:noFill/>
                      <a:miter lim="800000"/>
                      <a:headEnd/>
                      <a:tailEnd/>
                    </a:ln>
                  </pic:spPr>
                </pic:pic>
              </a:graphicData>
            </a:graphic>
          </wp:inline>
        </w:drawing>
      </w:r>
    </w:p>
    <w:p w:rsidR="00960852" w:rsidRPr="0078676B" w:rsidRDefault="00960852" w:rsidP="00960852">
      <w:pPr>
        <w:pStyle w:val="NoSpacing"/>
        <w:jc w:val="both"/>
        <w:rPr>
          <w:noProof/>
          <w:lang w:eastAsia="nl-NL" w:bidi="ar-SA"/>
        </w:rPr>
      </w:pPr>
    </w:p>
    <w:p w:rsidR="00960852" w:rsidRPr="0078676B" w:rsidRDefault="00960852" w:rsidP="00960852">
      <w:pPr>
        <w:pStyle w:val="NoSpacing"/>
        <w:jc w:val="both"/>
        <w:rPr>
          <w:noProof/>
          <w:lang w:eastAsia="nl-NL" w:bidi="ar-SA"/>
        </w:rPr>
      </w:pPr>
    </w:p>
    <w:p w:rsidR="00960852" w:rsidRPr="0078676B" w:rsidRDefault="00960852" w:rsidP="00960852">
      <w:pPr>
        <w:pStyle w:val="NoSpacing"/>
        <w:jc w:val="both"/>
        <w:rPr>
          <w:noProof/>
          <w:lang w:eastAsia="nl-NL" w:bidi="ar-SA"/>
        </w:rPr>
      </w:pPr>
    </w:p>
    <w:p w:rsidR="00960852" w:rsidRPr="0078676B" w:rsidRDefault="00960852" w:rsidP="00960852">
      <w:pPr>
        <w:pStyle w:val="NoSpacing"/>
        <w:jc w:val="both"/>
        <w:rPr>
          <w:noProof/>
          <w:lang w:eastAsia="nl-NL" w:bidi="ar-SA"/>
        </w:rPr>
      </w:pPr>
    </w:p>
    <w:p w:rsidR="00960852" w:rsidRPr="0078676B" w:rsidRDefault="00960852" w:rsidP="00960852">
      <w:pPr>
        <w:pStyle w:val="NoSpacing"/>
        <w:jc w:val="both"/>
        <w:rPr>
          <w:noProof/>
          <w:lang w:eastAsia="nl-NL" w:bidi="ar-SA"/>
        </w:rPr>
      </w:pPr>
    </w:p>
    <w:p w:rsidR="00960852" w:rsidRPr="0078676B" w:rsidRDefault="00960852" w:rsidP="00960852">
      <w:pPr>
        <w:pStyle w:val="NoSpacing"/>
        <w:jc w:val="both"/>
        <w:rPr>
          <w:noProof/>
          <w:lang w:eastAsia="nl-NL" w:bidi="ar-SA"/>
        </w:rPr>
      </w:pPr>
    </w:p>
    <w:p w:rsidR="00960852" w:rsidRPr="0078676B" w:rsidRDefault="00960852" w:rsidP="00960852">
      <w:pPr>
        <w:pStyle w:val="NoSpacing"/>
        <w:jc w:val="both"/>
        <w:rPr>
          <w:noProof/>
          <w:lang w:eastAsia="nl-NL" w:bidi="ar-SA"/>
        </w:rPr>
      </w:pPr>
    </w:p>
    <w:p w:rsidR="00960852" w:rsidRPr="0078676B" w:rsidRDefault="00960852" w:rsidP="00960852">
      <w:pPr>
        <w:pStyle w:val="NoSpacing"/>
        <w:jc w:val="both"/>
        <w:rPr>
          <w:noProof/>
          <w:lang w:eastAsia="nl-NL" w:bidi="ar-SA"/>
        </w:rPr>
      </w:pPr>
    </w:p>
    <w:p w:rsidR="00960852" w:rsidRPr="0078676B" w:rsidRDefault="00960852" w:rsidP="00960852">
      <w:pPr>
        <w:pStyle w:val="NoSpacing"/>
        <w:jc w:val="both"/>
        <w:rPr>
          <w:noProof/>
          <w:lang w:eastAsia="nl-NL" w:bidi="ar-SA"/>
        </w:rPr>
      </w:pPr>
    </w:p>
    <w:p w:rsidR="00960852" w:rsidRPr="0078676B" w:rsidRDefault="00960852" w:rsidP="00960852">
      <w:pPr>
        <w:pStyle w:val="NoSpacing"/>
        <w:jc w:val="both"/>
        <w:rPr>
          <w:noProof/>
          <w:lang w:eastAsia="nl-NL" w:bidi="ar-SA"/>
        </w:rPr>
      </w:pPr>
    </w:p>
    <w:p w:rsidR="00960852" w:rsidRPr="0078676B" w:rsidRDefault="00960852" w:rsidP="00960852">
      <w:pPr>
        <w:pStyle w:val="NoSpacing"/>
        <w:jc w:val="both"/>
        <w:rPr>
          <w:noProof/>
          <w:lang w:eastAsia="nl-NL" w:bidi="ar-SA"/>
        </w:rPr>
      </w:pPr>
    </w:p>
    <w:p w:rsidR="00960852" w:rsidRPr="0078676B" w:rsidRDefault="00960852" w:rsidP="00960852">
      <w:pPr>
        <w:pStyle w:val="NoSpacing"/>
        <w:jc w:val="both"/>
        <w:rPr>
          <w:noProof/>
          <w:lang w:eastAsia="nl-NL" w:bidi="ar-SA"/>
        </w:rPr>
      </w:pPr>
    </w:p>
    <w:p w:rsidR="00960852" w:rsidRPr="0078676B" w:rsidRDefault="008D0A55" w:rsidP="00960852">
      <w:pPr>
        <w:pStyle w:val="NoSpacing"/>
        <w:jc w:val="both"/>
        <w:rPr>
          <w:noProof/>
          <w:lang w:eastAsia="nl-NL" w:bidi="ar-SA"/>
        </w:rPr>
      </w:pPr>
      <w:r>
        <w:rPr>
          <w:noProof/>
          <w:lang w:eastAsia="nl-NL" w:bidi="ar-SA"/>
        </w:rPr>
        <w:t>US Correlations</w:t>
      </w:r>
    </w:p>
    <w:p w:rsidR="00960852" w:rsidRDefault="00960852" w:rsidP="00960852">
      <w:pPr>
        <w:pStyle w:val="NoSpacing"/>
        <w:jc w:val="both"/>
        <w:rPr>
          <w:noProof/>
          <w:lang w:val="nl-NL" w:eastAsia="nl-NL" w:bidi="ar-SA"/>
        </w:rPr>
      </w:pPr>
      <w:r w:rsidRPr="00961318">
        <w:rPr>
          <w:noProof/>
          <w:lang w:bidi="ar-SA"/>
        </w:rPr>
        <w:drawing>
          <wp:inline distT="0" distB="0" distL="0" distR="0">
            <wp:extent cx="5760720" cy="2383673"/>
            <wp:effectExtent l="19050" t="0" r="0" b="0"/>
            <wp:docPr id="4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5760720" cy="2383673"/>
                    </a:xfrm>
                    <a:prstGeom prst="rect">
                      <a:avLst/>
                    </a:prstGeom>
                    <a:noFill/>
                    <a:ln w="9525">
                      <a:noFill/>
                      <a:miter lim="800000"/>
                      <a:headEnd/>
                      <a:tailEnd/>
                    </a:ln>
                  </pic:spPr>
                </pic:pic>
              </a:graphicData>
            </a:graphic>
          </wp:inline>
        </w:drawing>
      </w:r>
    </w:p>
    <w:p w:rsidR="00960852" w:rsidRDefault="00960852" w:rsidP="00960852">
      <w:pPr>
        <w:pStyle w:val="NoSpacing"/>
        <w:jc w:val="both"/>
        <w:rPr>
          <w:noProof/>
          <w:lang w:val="nl-NL" w:eastAsia="nl-NL" w:bidi="ar-SA"/>
        </w:rPr>
      </w:pPr>
    </w:p>
    <w:p w:rsidR="008D0A55" w:rsidRDefault="008D0A55" w:rsidP="00960852">
      <w:pPr>
        <w:pStyle w:val="NoSpacing"/>
        <w:jc w:val="both"/>
        <w:rPr>
          <w:noProof/>
          <w:lang w:val="nl-NL" w:eastAsia="nl-NL" w:bidi="ar-SA"/>
        </w:rPr>
      </w:pPr>
      <w:r>
        <w:rPr>
          <w:noProof/>
          <w:lang w:val="nl-NL" w:eastAsia="nl-NL" w:bidi="ar-SA"/>
        </w:rPr>
        <w:t>US descriptive statitistics</w:t>
      </w:r>
    </w:p>
    <w:p w:rsidR="00960852" w:rsidRDefault="00960852" w:rsidP="00960852">
      <w:pPr>
        <w:pStyle w:val="NoSpacing"/>
        <w:jc w:val="both"/>
        <w:rPr>
          <w:noProof/>
          <w:lang w:val="nl-NL" w:eastAsia="nl-NL" w:bidi="ar-SA"/>
        </w:rPr>
      </w:pPr>
      <w:r w:rsidRPr="00961318">
        <w:rPr>
          <w:noProof/>
          <w:lang w:bidi="ar-SA"/>
        </w:rPr>
        <w:drawing>
          <wp:inline distT="0" distB="0" distL="0" distR="0">
            <wp:extent cx="5677557" cy="2058571"/>
            <wp:effectExtent l="19050" t="0" r="0" b="0"/>
            <wp:docPr id="4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5686907" cy="2061961"/>
                    </a:xfrm>
                    <a:prstGeom prst="rect">
                      <a:avLst/>
                    </a:prstGeom>
                    <a:noFill/>
                    <a:ln w="9525">
                      <a:noFill/>
                      <a:miter lim="800000"/>
                      <a:headEnd/>
                      <a:tailEnd/>
                    </a:ln>
                  </pic:spPr>
                </pic:pic>
              </a:graphicData>
            </a:graphic>
          </wp:inline>
        </w:drawing>
      </w:r>
    </w:p>
    <w:p w:rsidR="00960852" w:rsidRDefault="00960852" w:rsidP="00960852">
      <w:pPr>
        <w:pStyle w:val="NoSpacing"/>
        <w:jc w:val="both"/>
        <w:rPr>
          <w:noProof/>
          <w:lang w:val="nl-NL" w:eastAsia="nl-NL" w:bidi="ar-SA"/>
        </w:rPr>
      </w:pPr>
    </w:p>
    <w:p w:rsidR="00960852" w:rsidRDefault="00960852" w:rsidP="00960852">
      <w:pPr>
        <w:pStyle w:val="NoSpacing"/>
        <w:jc w:val="both"/>
        <w:rPr>
          <w:noProof/>
          <w:lang w:val="nl-NL" w:eastAsia="nl-NL" w:bidi="ar-SA"/>
        </w:rPr>
      </w:pPr>
    </w:p>
    <w:p w:rsidR="00960852" w:rsidRDefault="00960852" w:rsidP="00960852">
      <w:pPr>
        <w:pStyle w:val="NoSpacing"/>
        <w:jc w:val="both"/>
        <w:rPr>
          <w:noProof/>
          <w:lang w:val="nl-NL" w:eastAsia="nl-NL" w:bidi="ar-SA"/>
        </w:rPr>
      </w:pPr>
    </w:p>
    <w:p w:rsidR="00960852" w:rsidRDefault="00960852" w:rsidP="00960852">
      <w:pPr>
        <w:pStyle w:val="NoSpacing"/>
        <w:jc w:val="both"/>
        <w:rPr>
          <w:noProof/>
          <w:lang w:val="nl-NL" w:eastAsia="nl-NL" w:bidi="ar-SA"/>
        </w:rPr>
      </w:pPr>
    </w:p>
    <w:p w:rsidR="00960852" w:rsidRDefault="00960852" w:rsidP="00960852">
      <w:pPr>
        <w:pStyle w:val="NoSpacing"/>
        <w:jc w:val="both"/>
        <w:rPr>
          <w:noProof/>
          <w:lang w:val="nl-NL" w:eastAsia="nl-NL" w:bidi="ar-SA"/>
        </w:rPr>
      </w:pPr>
    </w:p>
    <w:p w:rsidR="00960852" w:rsidRDefault="00960852" w:rsidP="00960852">
      <w:pPr>
        <w:pStyle w:val="NoSpacing"/>
        <w:jc w:val="both"/>
        <w:rPr>
          <w:noProof/>
          <w:lang w:val="nl-NL" w:eastAsia="nl-NL" w:bidi="ar-SA"/>
        </w:rPr>
      </w:pPr>
    </w:p>
    <w:p w:rsidR="00960852" w:rsidRDefault="00960852" w:rsidP="00960852">
      <w:pPr>
        <w:pStyle w:val="NoSpacing"/>
        <w:jc w:val="both"/>
        <w:rPr>
          <w:noProof/>
          <w:lang w:val="nl-NL" w:eastAsia="nl-NL" w:bidi="ar-SA"/>
        </w:rPr>
      </w:pPr>
    </w:p>
    <w:p w:rsidR="00960852" w:rsidRDefault="00960852" w:rsidP="00960852">
      <w:pPr>
        <w:pStyle w:val="NoSpacing"/>
        <w:jc w:val="both"/>
        <w:rPr>
          <w:noProof/>
          <w:lang w:val="nl-NL" w:eastAsia="nl-NL" w:bidi="ar-SA"/>
        </w:rPr>
      </w:pPr>
    </w:p>
    <w:p w:rsidR="00960852" w:rsidRDefault="00960852" w:rsidP="00960852">
      <w:pPr>
        <w:pStyle w:val="NoSpacing"/>
        <w:jc w:val="both"/>
        <w:rPr>
          <w:noProof/>
          <w:lang w:val="nl-NL" w:eastAsia="nl-NL" w:bidi="ar-SA"/>
        </w:rPr>
      </w:pPr>
    </w:p>
    <w:p w:rsidR="00960852" w:rsidRDefault="00960852" w:rsidP="00960852">
      <w:pPr>
        <w:pStyle w:val="NoSpacing"/>
        <w:jc w:val="both"/>
        <w:rPr>
          <w:noProof/>
          <w:lang w:val="nl-NL" w:eastAsia="nl-NL" w:bidi="ar-SA"/>
        </w:rPr>
      </w:pPr>
    </w:p>
    <w:p w:rsidR="00960852" w:rsidRDefault="00960852" w:rsidP="00960852">
      <w:pPr>
        <w:pStyle w:val="NoSpacing"/>
        <w:jc w:val="both"/>
        <w:rPr>
          <w:noProof/>
          <w:lang w:val="nl-NL" w:eastAsia="nl-NL" w:bidi="ar-SA"/>
        </w:rPr>
      </w:pPr>
    </w:p>
    <w:p w:rsidR="00960852" w:rsidRDefault="00960852" w:rsidP="00960852">
      <w:pPr>
        <w:pStyle w:val="NoSpacing"/>
        <w:jc w:val="both"/>
        <w:rPr>
          <w:noProof/>
          <w:lang w:val="nl-NL" w:eastAsia="nl-NL" w:bidi="ar-SA"/>
        </w:rPr>
      </w:pPr>
    </w:p>
    <w:p w:rsidR="00960852" w:rsidRDefault="00960852" w:rsidP="00960852">
      <w:pPr>
        <w:pStyle w:val="NoSpacing"/>
        <w:jc w:val="both"/>
        <w:rPr>
          <w:noProof/>
          <w:lang w:val="nl-NL" w:eastAsia="nl-NL" w:bidi="ar-SA"/>
        </w:rPr>
      </w:pPr>
    </w:p>
    <w:p w:rsidR="00960852" w:rsidRDefault="00960852" w:rsidP="00960852">
      <w:pPr>
        <w:pStyle w:val="NoSpacing"/>
        <w:jc w:val="both"/>
        <w:rPr>
          <w:noProof/>
          <w:lang w:val="nl-NL" w:eastAsia="nl-NL" w:bidi="ar-SA"/>
        </w:rPr>
      </w:pPr>
    </w:p>
    <w:p w:rsidR="00960852" w:rsidRDefault="00960852" w:rsidP="00960852">
      <w:pPr>
        <w:pStyle w:val="NoSpacing"/>
        <w:jc w:val="both"/>
        <w:rPr>
          <w:noProof/>
          <w:lang w:val="nl-NL" w:eastAsia="nl-NL" w:bidi="ar-SA"/>
        </w:rPr>
      </w:pPr>
    </w:p>
    <w:p w:rsidR="00960852" w:rsidRDefault="00960852" w:rsidP="00960852">
      <w:pPr>
        <w:pStyle w:val="NoSpacing"/>
        <w:jc w:val="both"/>
        <w:rPr>
          <w:noProof/>
          <w:lang w:val="nl-NL" w:eastAsia="nl-NL" w:bidi="ar-SA"/>
        </w:rPr>
      </w:pPr>
    </w:p>
    <w:p w:rsidR="00960852" w:rsidRDefault="00960852" w:rsidP="00960852">
      <w:pPr>
        <w:pStyle w:val="NoSpacing"/>
        <w:jc w:val="both"/>
        <w:rPr>
          <w:noProof/>
          <w:lang w:val="nl-NL" w:eastAsia="nl-NL" w:bidi="ar-SA"/>
        </w:rPr>
      </w:pPr>
    </w:p>
    <w:p w:rsidR="00960852" w:rsidRDefault="00960852" w:rsidP="00960852">
      <w:pPr>
        <w:pStyle w:val="NoSpacing"/>
        <w:jc w:val="both"/>
        <w:rPr>
          <w:noProof/>
          <w:lang w:val="nl-NL" w:eastAsia="nl-NL" w:bidi="ar-SA"/>
        </w:rPr>
      </w:pPr>
    </w:p>
    <w:p w:rsidR="00960852" w:rsidRDefault="00960852" w:rsidP="00960852">
      <w:pPr>
        <w:pStyle w:val="NoSpacing"/>
        <w:jc w:val="both"/>
        <w:rPr>
          <w:noProof/>
          <w:lang w:val="nl-NL" w:eastAsia="nl-NL" w:bidi="ar-SA"/>
        </w:rPr>
      </w:pPr>
    </w:p>
    <w:p w:rsidR="008D0A55" w:rsidRDefault="008D0A55" w:rsidP="00960852">
      <w:pPr>
        <w:pStyle w:val="NoSpacing"/>
        <w:jc w:val="both"/>
        <w:rPr>
          <w:noProof/>
          <w:lang w:val="nl-NL" w:eastAsia="nl-NL" w:bidi="ar-SA"/>
        </w:rPr>
      </w:pPr>
    </w:p>
    <w:p w:rsidR="008D0A55" w:rsidRDefault="008D0A55" w:rsidP="00107DB1">
      <w:pPr>
        <w:pStyle w:val="Heading1"/>
      </w:pPr>
      <w:bookmarkStart w:id="17" w:name="_Toc300320243"/>
      <w:r w:rsidRPr="008D0A55">
        <w:rPr>
          <w:noProof/>
          <w:lang w:eastAsia="nl-NL" w:bidi="ar-SA"/>
        </w:rPr>
        <w:t xml:space="preserve">Appendix </w:t>
      </w:r>
      <w:r w:rsidR="009C16D2">
        <w:rPr>
          <w:noProof/>
          <w:lang w:eastAsia="nl-NL" w:bidi="ar-SA"/>
        </w:rPr>
        <w:t>C</w:t>
      </w:r>
      <w:r w:rsidR="00107DB1">
        <w:rPr>
          <w:noProof/>
          <w:lang w:eastAsia="nl-NL" w:bidi="ar-SA"/>
        </w:rPr>
        <w:t xml:space="preserve"> </w:t>
      </w:r>
      <w:r w:rsidR="00960852" w:rsidRPr="008D0A55">
        <w:rPr>
          <w:noProof/>
          <w:lang w:eastAsia="nl-NL" w:bidi="ar-SA"/>
        </w:rPr>
        <w:t>European indices</w:t>
      </w:r>
      <w:r w:rsidRPr="008D0A55">
        <w:rPr>
          <w:noProof/>
          <w:lang w:eastAsia="nl-NL" w:bidi="ar-SA"/>
        </w:rPr>
        <w:t xml:space="preserve">, </w:t>
      </w:r>
      <w:r>
        <w:t>names, graphs, correlations and descriptive statistics</w:t>
      </w:r>
      <w:bookmarkEnd w:id="17"/>
    </w:p>
    <w:p w:rsidR="00960852" w:rsidRPr="008D0A55" w:rsidRDefault="00960852" w:rsidP="00960852">
      <w:pPr>
        <w:pStyle w:val="NoSpacing"/>
        <w:jc w:val="both"/>
        <w:rPr>
          <w:noProof/>
          <w:lang w:eastAsia="nl-NL" w:bidi="ar-SA"/>
        </w:rPr>
      </w:pPr>
    </w:p>
    <w:p w:rsidR="00960852" w:rsidRPr="008D0A55" w:rsidRDefault="00960852" w:rsidP="00960852">
      <w:pPr>
        <w:pStyle w:val="NoSpacing"/>
        <w:jc w:val="both"/>
        <w:rPr>
          <w:noProof/>
          <w:lang w:eastAsia="nl-NL" w:bidi="ar-SA"/>
        </w:rPr>
      </w:pPr>
    </w:p>
    <w:tbl>
      <w:tblPr>
        <w:tblW w:w="7540" w:type="dxa"/>
        <w:tblInd w:w="55" w:type="dxa"/>
        <w:tblCellMar>
          <w:left w:w="70" w:type="dxa"/>
          <w:right w:w="70" w:type="dxa"/>
        </w:tblCellMar>
        <w:tblLook w:val="04A0"/>
      </w:tblPr>
      <w:tblGrid>
        <w:gridCol w:w="2140"/>
        <w:gridCol w:w="5400"/>
      </w:tblGrid>
      <w:tr w:rsidR="00960852" w:rsidRPr="003B20EF" w:rsidTr="00960852">
        <w:trPr>
          <w:trHeight w:val="285"/>
        </w:trPr>
        <w:tc>
          <w:tcPr>
            <w:tcW w:w="2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0852" w:rsidRPr="003B20EF" w:rsidRDefault="00960852" w:rsidP="00960852">
            <w:pPr>
              <w:spacing w:after="0" w:line="240" w:lineRule="auto"/>
              <w:rPr>
                <w:rFonts w:ascii="Cambria" w:eastAsia="Times New Roman" w:hAnsi="Cambria" w:cs="Arial"/>
                <w:i/>
                <w:iCs/>
                <w:lang w:val="nl-NL" w:eastAsia="nl-NL" w:bidi="ar-SA"/>
              </w:rPr>
            </w:pPr>
            <w:r w:rsidRPr="003B20EF">
              <w:rPr>
                <w:rFonts w:ascii="Cambria" w:eastAsia="Times New Roman" w:hAnsi="Cambria" w:cs="Arial"/>
                <w:i/>
                <w:iCs/>
                <w:lang w:eastAsia="nl-NL" w:bidi="ar-SA"/>
              </w:rPr>
              <w:t>Symbol</w:t>
            </w:r>
          </w:p>
        </w:tc>
        <w:tc>
          <w:tcPr>
            <w:tcW w:w="5400" w:type="dxa"/>
            <w:tcBorders>
              <w:top w:val="single" w:sz="4" w:space="0" w:color="auto"/>
              <w:left w:val="nil"/>
              <w:bottom w:val="single" w:sz="4" w:space="0" w:color="auto"/>
              <w:right w:val="single" w:sz="4" w:space="0" w:color="auto"/>
            </w:tcBorders>
            <w:shd w:val="clear" w:color="auto" w:fill="auto"/>
            <w:noWrap/>
            <w:vAlign w:val="bottom"/>
            <w:hideMark/>
          </w:tcPr>
          <w:p w:rsidR="00960852" w:rsidRPr="003B20EF" w:rsidRDefault="00960852" w:rsidP="00960852">
            <w:pPr>
              <w:spacing w:after="0" w:line="240" w:lineRule="auto"/>
              <w:rPr>
                <w:rFonts w:ascii="Cambria" w:eastAsia="Times New Roman" w:hAnsi="Cambria" w:cs="Arial"/>
                <w:i/>
                <w:iCs/>
                <w:lang w:val="nl-NL" w:eastAsia="nl-NL" w:bidi="ar-SA"/>
              </w:rPr>
            </w:pPr>
            <w:r w:rsidRPr="003B20EF">
              <w:rPr>
                <w:rFonts w:ascii="Cambria" w:eastAsia="Times New Roman" w:hAnsi="Cambria" w:cs="Arial"/>
                <w:i/>
                <w:iCs/>
                <w:lang w:val="nl-NL" w:eastAsia="nl-NL" w:bidi="ar-SA"/>
              </w:rPr>
              <w:t>Name</w:t>
            </w:r>
          </w:p>
        </w:tc>
      </w:tr>
      <w:tr w:rsidR="00960852" w:rsidRPr="003B20EF" w:rsidTr="00960852">
        <w:trPr>
          <w:trHeight w:val="285"/>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960852" w:rsidRPr="003B20EF" w:rsidRDefault="00960852" w:rsidP="00960852">
            <w:pPr>
              <w:spacing w:after="0" w:line="240" w:lineRule="auto"/>
              <w:rPr>
                <w:rFonts w:ascii="Cambria" w:eastAsia="Times New Roman" w:hAnsi="Cambria" w:cs="Arial"/>
                <w:lang w:val="nl-NL" w:eastAsia="nl-NL" w:bidi="ar-SA"/>
              </w:rPr>
            </w:pPr>
            <w:r w:rsidRPr="003B20EF">
              <w:rPr>
                <w:rFonts w:ascii="Cambria" w:eastAsia="Times New Roman" w:hAnsi="Cambria" w:cs="Arial"/>
                <w:lang w:eastAsia="nl-NL" w:bidi="ar-SA"/>
              </w:rPr>
              <w:t>BKXF</w:t>
            </w:r>
          </w:p>
        </w:tc>
        <w:tc>
          <w:tcPr>
            <w:tcW w:w="5400" w:type="dxa"/>
            <w:tcBorders>
              <w:top w:val="nil"/>
              <w:left w:val="nil"/>
              <w:bottom w:val="single" w:sz="4" w:space="0" w:color="auto"/>
              <w:right w:val="single" w:sz="4" w:space="0" w:color="auto"/>
            </w:tcBorders>
            <w:shd w:val="clear" w:color="auto" w:fill="auto"/>
            <w:noWrap/>
            <w:vAlign w:val="bottom"/>
            <w:hideMark/>
          </w:tcPr>
          <w:p w:rsidR="00960852" w:rsidRPr="003B20EF" w:rsidRDefault="00960852" w:rsidP="00960852">
            <w:pPr>
              <w:spacing w:after="0" w:line="240" w:lineRule="auto"/>
              <w:rPr>
                <w:rFonts w:ascii="Cambria" w:eastAsia="Times New Roman" w:hAnsi="Cambria" w:cs="Arial"/>
                <w:lang w:eastAsia="nl-NL" w:bidi="ar-SA"/>
              </w:rPr>
            </w:pPr>
            <w:proofErr w:type="spellStart"/>
            <w:r w:rsidRPr="003B20EF">
              <w:rPr>
                <w:rFonts w:ascii="Cambria" w:eastAsia="Times New Roman" w:hAnsi="Cambria" w:cs="Arial"/>
                <w:lang w:eastAsia="nl-NL" w:bidi="ar-SA"/>
              </w:rPr>
              <w:t>Stoxx</w:t>
            </w:r>
            <w:proofErr w:type="spellEnd"/>
            <w:r w:rsidRPr="003B20EF">
              <w:rPr>
                <w:rFonts w:ascii="Cambria" w:eastAsia="Times New Roman" w:hAnsi="Cambria" w:cs="Arial"/>
                <w:lang w:eastAsia="nl-NL" w:bidi="ar-SA"/>
              </w:rPr>
              <w:t>® Europe ex UK Total Market Index</w:t>
            </w:r>
          </w:p>
        </w:tc>
      </w:tr>
      <w:tr w:rsidR="00960852" w:rsidRPr="003B20EF" w:rsidTr="00960852">
        <w:trPr>
          <w:trHeight w:val="285"/>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960852" w:rsidRPr="003B20EF" w:rsidRDefault="00960852" w:rsidP="00960852">
            <w:pPr>
              <w:spacing w:after="0" w:line="240" w:lineRule="auto"/>
              <w:rPr>
                <w:rFonts w:ascii="Cambria" w:eastAsia="Times New Roman" w:hAnsi="Cambria" w:cs="Arial"/>
                <w:lang w:val="nl-NL" w:eastAsia="nl-NL" w:bidi="ar-SA"/>
              </w:rPr>
            </w:pPr>
            <w:r w:rsidRPr="003B20EF">
              <w:rPr>
                <w:rFonts w:ascii="Cambria" w:eastAsia="Times New Roman" w:hAnsi="Cambria" w:cs="Arial"/>
                <w:lang w:eastAsia="nl-NL" w:bidi="ar-SA"/>
              </w:rPr>
              <w:t>BBSF</w:t>
            </w:r>
          </w:p>
        </w:tc>
        <w:tc>
          <w:tcPr>
            <w:tcW w:w="5400" w:type="dxa"/>
            <w:tcBorders>
              <w:top w:val="nil"/>
              <w:left w:val="nil"/>
              <w:bottom w:val="single" w:sz="4" w:space="0" w:color="auto"/>
              <w:right w:val="single" w:sz="4" w:space="0" w:color="auto"/>
            </w:tcBorders>
            <w:shd w:val="clear" w:color="auto" w:fill="auto"/>
            <w:noWrap/>
            <w:vAlign w:val="bottom"/>
            <w:hideMark/>
          </w:tcPr>
          <w:p w:rsidR="00960852" w:rsidRPr="003B20EF" w:rsidRDefault="00960852" w:rsidP="00960852">
            <w:pPr>
              <w:spacing w:after="0" w:line="240" w:lineRule="auto"/>
              <w:rPr>
                <w:rFonts w:ascii="Cambria" w:eastAsia="Times New Roman" w:hAnsi="Cambria" w:cs="Arial"/>
                <w:lang w:eastAsia="nl-NL" w:bidi="ar-SA"/>
              </w:rPr>
            </w:pPr>
            <w:proofErr w:type="spellStart"/>
            <w:r w:rsidRPr="003B20EF">
              <w:rPr>
                <w:rFonts w:ascii="Cambria" w:eastAsia="Times New Roman" w:hAnsi="Cambria" w:cs="Arial"/>
                <w:lang w:eastAsia="nl-NL" w:bidi="ar-SA"/>
              </w:rPr>
              <w:t>Stoxx</w:t>
            </w:r>
            <w:proofErr w:type="spellEnd"/>
            <w:r w:rsidRPr="003B20EF">
              <w:rPr>
                <w:rFonts w:ascii="Cambria" w:eastAsia="Times New Roman" w:hAnsi="Cambria" w:cs="Arial"/>
                <w:lang w:eastAsia="nl-NL" w:bidi="ar-SA"/>
              </w:rPr>
              <w:t>® Europe ex UK TMI Basic Resources</w:t>
            </w:r>
          </w:p>
        </w:tc>
      </w:tr>
      <w:tr w:rsidR="00960852" w:rsidRPr="003B20EF" w:rsidTr="00960852">
        <w:trPr>
          <w:trHeight w:val="285"/>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960852" w:rsidRPr="003B20EF" w:rsidRDefault="00960852" w:rsidP="00960852">
            <w:pPr>
              <w:spacing w:after="0" w:line="240" w:lineRule="auto"/>
              <w:rPr>
                <w:rFonts w:ascii="Cambria" w:eastAsia="Times New Roman" w:hAnsi="Cambria" w:cs="Arial"/>
                <w:lang w:val="nl-NL" w:eastAsia="nl-NL" w:bidi="ar-SA"/>
              </w:rPr>
            </w:pPr>
            <w:r w:rsidRPr="003B20EF">
              <w:rPr>
                <w:rFonts w:ascii="Cambria" w:eastAsia="Times New Roman" w:hAnsi="Cambria" w:cs="Arial"/>
                <w:lang w:eastAsia="nl-NL" w:bidi="ar-SA"/>
              </w:rPr>
              <w:t>T3000P</w:t>
            </w:r>
          </w:p>
        </w:tc>
        <w:tc>
          <w:tcPr>
            <w:tcW w:w="5400" w:type="dxa"/>
            <w:tcBorders>
              <w:top w:val="nil"/>
              <w:left w:val="nil"/>
              <w:bottom w:val="single" w:sz="4" w:space="0" w:color="auto"/>
              <w:right w:val="single" w:sz="4" w:space="0" w:color="auto"/>
            </w:tcBorders>
            <w:shd w:val="clear" w:color="auto" w:fill="auto"/>
            <w:noWrap/>
            <w:vAlign w:val="bottom"/>
            <w:hideMark/>
          </w:tcPr>
          <w:p w:rsidR="00960852" w:rsidRPr="003B20EF" w:rsidRDefault="00960852" w:rsidP="00960852">
            <w:pPr>
              <w:spacing w:after="0" w:line="240" w:lineRule="auto"/>
              <w:rPr>
                <w:rFonts w:ascii="Cambria" w:eastAsia="Times New Roman" w:hAnsi="Cambria" w:cs="Arial"/>
                <w:lang w:eastAsia="nl-NL" w:bidi="ar-SA"/>
              </w:rPr>
            </w:pPr>
            <w:proofErr w:type="spellStart"/>
            <w:r w:rsidRPr="003B20EF">
              <w:rPr>
                <w:rFonts w:ascii="Cambria" w:eastAsia="Times New Roman" w:hAnsi="Cambria" w:cs="Arial"/>
                <w:lang w:eastAsia="nl-NL" w:bidi="ar-SA"/>
              </w:rPr>
              <w:t>Stoxx</w:t>
            </w:r>
            <w:proofErr w:type="spellEnd"/>
            <w:r w:rsidRPr="003B20EF">
              <w:rPr>
                <w:rFonts w:ascii="Cambria" w:eastAsia="Times New Roman" w:hAnsi="Cambria" w:cs="Arial"/>
                <w:lang w:eastAsia="nl-NL" w:bidi="ar-SA"/>
              </w:rPr>
              <w:t>® Europe TMI Consumer Goods</w:t>
            </w:r>
          </w:p>
        </w:tc>
      </w:tr>
      <w:tr w:rsidR="00960852" w:rsidRPr="003B20EF" w:rsidTr="00960852">
        <w:trPr>
          <w:trHeight w:val="285"/>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960852" w:rsidRPr="003B20EF" w:rsidRDefault="00960852" w:rsidP="00960852">
            <w:pPr>
              <w:spacing w:after="0" w:line="240" w:lineRule="auto"/>
              <w:rPr>
                <w:rFonts w:ascii="Cambria" w:eastAsia="Times New Roman" w:hAnsi="Cambria" w:cs="Arial"/>
                <w:lang w:val="nl-NL" w:eastAsia="nl-NL" w:bidi="ar-SA"/>
              </w:rPr>
            </w:pPr>
            <w:r w:rsidRPr="003B20EF">
              <w:rPr>
                <w:rFonts w:ascii="Cambria" w:eastAsia="Times New Roman" w:hAnsi="Cambria" w:cs="Arial"/>
                <w:lang w:eastAsia="nl-NL" w:bidi="ar-SA"/>
              </w:rPr>
              <w:t>T5000P</w:t>
            </w:r>
          </w:p>
        </w:tc>
        <w:tc>
          <w:tcPr>
            <w:tcW w:w="5400" w:type="dxa"/>
            <w:tcBorders>
              <w:top w:val="nil"/>
              <w:left w:val="nil"/>
              <w:bottom w:val="single" w:sz="4" w:space="0" w:color="auto"/>
              <w:right w:val="single" w:sz="4" w:space="0" w:color="auto"/>
            </w:tcBorders>
            <w:shd w:val="clear" w:color="auto" w:fill="auto"/>
            <w:noWrap/>
            <w:vAlign w:val="bottom"/>
            <w:hideMark/>
          </w:tcPr>
          <w:p w:rsidR="00960852" w:rsidRPr="003B20EF" w:rsidRDefault="00960852" w:rsidP="00960852">
            <w:pPr>
              <w:spacing w:after="0" w:line="240" w:lineRule="auto"/>
              <w:rPr>
                <w:rFonts w:ascii="Cambria" w:eastAsia="Times New Roman" w:hAnsi="Cambria" w:cs="Arial"/>
                <w:lang w:eastAsia="nl-NL" w:bidi="ar-SA"/>
              </w:rPr>
            </w:pPr>
            <w:proofErr w:type="spellStart"/>
            <w:r w:rsidRPr="003B20EF">
              <w:rPr>
                <w:rFonts w:ascii="Cambria" w:eastAsia="Times New Roman" w:hAnsi="Cambria" w:cs="Arial"/>
                <w:lang w:eastAsia="nl-NL" w:bidi="ar-SA"/>
              </w:rPr>
              <w:t>Stoxx</w:t>
            </w:r>
            <w:proofErr w:type="spellEnd"/>
            <w:r w:rsidRPr="003B20EF">
              <w:rPr>
                <w:rFonts w:ascii="Cambria" w:eastAsia="Times New Roman" w:hAnsi="Cambria" w:cs="Arial"/>
                <w:lang w:eastAsia="nl-NL" w:bidi="ar-SA"/>
              </w:rPr>
              <w:t>® Europe TMI Consumer Services</w:t>
            </w:r>
          </w:p>
        </w:tc>
      </w:tr>
      <w:tr w:rsidR="00960852" w:rsidRPr="003B20EF" w:rsidTr="00960852">
        <w:trPr>
          <w:trHeight w:val="285"/>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960852" w:rsidRPr="003B20EF" w:rsidRDefault="00960852" w:rsidP="00960852">
            <w:pPr>
              <w:spacing w:after="0" w:line="240" w:lineRule="auto"/>
              <w:rPr>
                <w:rFonts w:ascii="Cambria" w:eastAsia="Times New Roman" w:hAnsi="Cambria" w:cs="Arial"/>
                <w:lang w:val="nl-NL" w:eastAsia="nl-NL" w:bidi="ar-SA"/>
              </w:rPr>
            </w:pPr>
            <w:r w:rsidRPr="003B20EF">
              <w:rPr>
                <w:rFonts w:ascii="Cambria" w:eastAsia="Times New Roman" w:hAnsi="Cambria" w:cs="Arial"/>
                <w:lang w:eastAsia="nl-NL" w:bidi="ar-SA"/>
              </w:rPr>
              <w:t>BIGF</w:t>
            </w:r>
          </w:p>
        </w:tc>
        <w:tc>
          <w:tcPr>
            <w:tcW w:w="5400" w:type="dxa"/>
            <w:tcBorders>
              <w:top w:val="nil"/>
              <w:left w:val="nil"/>
              <w:bottom w:val="single" w:sz="4" w:space="0" w:color="auto"/>
              <w:right w:val="single" w:sz="4" w:space="0" w:color="auto"/>
            </w:tcBorders>
            <w:shd w:val="clear" w:color="auto" w:fill="auto"/>
            <w:noWrap/>
            <w:vAlign w:val="bottom"/>
            <w:hideMark/>
          </w:tcPr>
          <w:p w:rsidR="00960852" w:rsidRPr="003B20EF" w:rsidRDefault="00960852" w:rsidP="00960852">
            <w:pPr>
              <w:spacing w:after="0" w:line="240" w:lineRule="auto"/>
              <w:rPr>
                <w:rFonts w:ascii="Cambria" w:eastAsia="Times New Roman" w:hAnsi="Cambria" w:cs="Arial"/>
                <w:lang w:eastAsia="nl-NL" w:bidi="ar-SA"/>
              </w:rPr>
            </w:pPr>
            <w:proofErr w:type="spellStart"/>
            <w:r w:rsidRPr="003B20EF">
              <w:rPr>
                <w:rFonts w:ascii="Cambria" w:eastAsia="Times New Roman" w:hAnsi="Cambria" w:cs="Arial"/>
                <w:lang w:eastAsia="nl-NL" w:bidi="ar-SA"/>
              </w:rPr>
              <w:t>Stoxx</w:t>
            </w:r>
            <w:proofErr w:type="spellEnd"/>
            <w:r w:rsidRPr="003B20EF">
              <w:rPr>
                <w:rFonts w:ascii="Cambria" w:eastAsia="Times New Roman" w:hAnsi="Cambria" w:cs="Arial"/>
                <w:lang w:eastAsia="nl-NL" w:bidi="ar-SA"/>
              </w:rPr>
              <w:t>® Europe ex UK TMI Industrial Goods and Services</w:t>
            </w:r>
          </w:p>
        </w:tc>
      </w:tr>
      <w:tr w:rsidR="00960852" w:rsidRPr="003B20EF" w:rsidTr="00960852">
        <w:trPr>
          <w:trHeight w:val="285"/>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960852" w:rsidRPr="003B20EF" w:rsidRDefault="00960852" w:rsidP="00960852">
            <w:pPr>
              <w:spacing w:after="0" w:line="240" w:lineRule="auto"/>
              <w:rPr>
                <w:rFonts w:ascii="Cambria" w:eastAsia="Times New Roman" w:hAnsi="Cambria" w:cs="Arial"/>
                <w:lang w:val="nl-NL" w:eastAsia="nl-NL" w:bidi="ar-SA"/>
              </w:rPr>
            </w:pPr>
            <w:r w:rsidRPr="003B20EF">
              <w:rPr>
                <w:rFonts w:ascii="Cambria" w:eastAsia="Times New Roman" w:hAnsi="Cambria" w:cs="Arial"/>
                <w:lang w:eastAsia="nl-NL" w:bidi="ar-SA"/>
              </w:rPr>
              <w:t>BUTF</w:t>
            </w:r>
          </w:p>
        </w:tc>
        <w:tc>
          <w:tcPr>
            <w:tcW w:w="5400" w:type="dxa"/>
            <w:tcBorders>
              <w:top w:val="nil"/>
              <w:left w:val="nil"/>
              <w:bottom w:val="single" w:sz="4" w:space="0" w:color="auto"/>
              <w:right w:val="single" w:sz="4" w:space="0" w:color="auto"/>
            </w:tcBorders>
            <w:shd w:val="clear" w:color="auto" w:fill="auto"/>
            <w:noWrap/>
            <w:vAlign w:val="bottom"/>
            <w:hideMark/>
          </w:tcPr>
          <w:p w:rsidR="00960852" w:rsidRPr="003B20EF" w:rsidRDefault="00960852" w:rsidP="00960852">
            <w:pPr>
              <w:spacing w:after="0" w:line="240" w:lineRule="auto"/>
              <w:rPr>
                <w:rFonts w:ascii="Cambria" w:eastAsia="Times New Roman" w:hAnsi="Cambria" w:cs="Arial"/>
                <w:lang w:val="nl-NL" w:eastAsia="nl-NL" w:bidi="ar-SA"/>
              </w:rPr>
            </w:pPr>
            <w:proofErr w:type="spellStart"/>
            <w:r w:rsidRPr="003B20EF">
              <w:rPr>
                <w:rFonts w:ascii="Cambria" w:eastAsia="Times New Roman" w:hAnsi="Cambria" w:cs="Arial"/>
                <w:lang w:val="nl-NL" w:eastAsia="nl-NL" w:bidi="ar-SA"/>
              </w:rPr>
              <w:t>Stoxx</w:t>
            </w:r>
            <w:proofErr w:type="spellEnd"/>
            <w:r w:rsidRPr="003B20EF">
              <w:rPr>
                <w:rFonts w:ascii="Cambria" w:eastAsia="Times New Roman" w:hAnsi="Cambria" w:cs="Arial"/>
                <w:lang w:val="nl-NL" w:eastAsia="nl-NL" w:bidi="ar-SA"/>
              </w:rPr>
              <w:t xml:space="preserve">® </w:t>
            </w:r>
            <w:proofErr w:type="spellStart"/>
            <w:r w:rsidRPr="003B20EF">
              <w:rPr>
                <w:rFonts w:ascii="Cambria" w:eastAsia="Times New Roman" w:hAnsi="Cambria" w:cs="Arial"/>
                <w:lang w:val="nl-NL" w:eastAsia="nl-NL" w:bidi="ar-SA"/>
              </w:rPr>
              <w:t>Europe</w:t>
            </w:r>
            <w:proofErr w:type="spellEnd"/>
            <w:r w:rsidRPr="003B20EF">
              <w:rPr>
                <w:rFonts w:ascii="Cambria" w:eastAsia="Times New Roman" w:hAnsi="Cambria" w:cs="Arial"/>
                <w:lang w:val="nl-NL" w:eastAsia="nl-NL" w:bidi="ar-SA"/>
              </w:rPr>
              <w:t xml:space="preserve"> ex UK TMI </w:t>
            </w:r>
            <w:proofErr w:type="spellStart"/>
            <w:r w:rsidRPr="003B20EF">
              <w:rPr>
                <w:rFonts w:ascii="Cambria" w:eastAsia="Times New Roman" w:hAnsi="Cambria" w:cs="Arial"/>
                <w:lang w:val="nl-NL" w:eastAsia="nl-NL" w:bidi="ar-SA"/>
              </w:rPr>
              <w:t>Utilities</w:t>
            </w:r>
            <w:proofErr w:type="spellEnd"/>
          </w:p>
        </w:tc>
      </w:tr>
      <w:tr w:rsidR="00960852" w:rsidRPr="003B20EF" w:rsidTr="00960852">
        <w:trPr>
          <w:trHeight w:val="285"/>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960852" w:rsidRPr="003B20EF" w:rsidRDefault="00960852" w:rsidP="00960852">
            <w:pPr>
              <w:spacing w:after="0" w:line="240" w:lineRule="auto"/>
              <w:rPr>
                <w:rFonts w:ascii="Cambria" w:eastAsia="Times New Roman" w:hAnsi="Cambria" w:cs="Arial"/>
                <w:lang w:val="nl-NL" w:eastAsia="nl-NL" w:bidi="ar-SA"/>
              </w:rPr>
            </w:pPr>
            <w:r w:rsidRPr="003B20EF">
              <w:rPr>
                <w:rFonts w:ascii="Cambria" w:eastAsia="Times New Roman" w:hAnsi="Cambria" w:cs="Arial"/>
                <w:lang w:eastAsia="nl-NL" w:bidi="ar-SA"/>
              </w:rPr>
              <w:t>BSFS</w:t>
            </w:r>
          </w:p>
        </w:tc>
        <w:tc>
          <w:tcPr>
            <w:tcW w:w="5400" w:type="dxa"/>
            <w:tcBorders>
              <w:top w:val="nil"/>
              <w:left w:val="nil"/>
              <w:bottom w:val="single" w:sz="4" w:space="0" w:color="auto"/>
              <w:right w:val="single" w:sz="4" w:space="0" w:color="auto"/>
            </w:tcBorders>
            <w:shd w:val="clear" w:color="auto" w:fill="auto"/>
            <w:noWrap/>
            <w:vAlign w:val="bottom"/>
            <w:hideMark/>
          </w:tcPr>
          <w:p w:rsidR="00960852" w:rsidRPr="003B20EF" w:rsidRDefault="00960852" w:rsidP="00960852">
            <w:pPr>
              <w:spacing w:after="0" w:line="240" w:lineRule="auto"/>
              <w:rPr>
                <w:rFonts w:ascii="Cambria" w:eastAsia="Times New Roman" w:hAnsi="Cambria" w:cs="Arial"/>
                <w:lang w:eastAsia="nl-NL" w:bidi="ar-SA"/>
              </w:rPr>
            </w:pPr>
            <w:proofErr w:type="spellStart"/>
            <w:r w:rsidRPr="003B20EF">
              <w:rPr>
                <w:rFonts w:ascii="Cambria" w:eastAsia="Times New Roman" w:hAnsi="Cambria" w:cs="Arial"/>
                <w:lang w:eastAsia="nl-NL" w:bidi="ar-SA"/>
              </w:rPr>
              <w:t>Stoxx</w:t>
            </w:r>
            <w:proofErr w:type="spellEnd"/>
            <w:r w:rsidRPr="003B20EF">
              <w:rPr>
                <w:rFonts w:ascii="Cambria" w:eastAsia="Times New Roman" w:hAnsi="Cambria" w:cs="Arial"/>
                <w:lang w:eastAsia="nl-NL" w:bidi="ar-SA"/>
              </w:rPr>
              <w:t>® Europe ex UK TMI Financial Services</w:t>
            </w:r>
          </w:p>
        </w:tc>
      </w:tr>
      <w:tr w:rsidR="00960852" w:rsidRPr="003B20EF" w:rsidTr="00960852">
        <w:trPr>
          <w:trHeight w:val="285"/>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960852" w:rsidRPr="003B20EF" w:rsidRDefault="00960852" w:rsidP="00960852">
            <w:pPr>
              <w:spacing w:after="0" w:line="240" w:lineRule="auto"/>
              <w:rPr>
                <w:rFonts w:ascii="Cambria" w:eastAsia="Times New Roman" w:hAnsi="Cambria" w:cs="Arial"/>
                <w:lang w:val="nl-NL" w:eastAsia="nl-NL" w:bidi="ar-SA"/>
              </w:rPr>
            </w:pPr>
            <w:r w:rsidRPr="003B20EF">
              <w:rPr>
                <w:rFonts w:ascii="Cambria" w:eastAsia="Times New Roman" w:hAnsi="Cambria" w:cs="Arial"/>
                <w:lang w:eastAsia="nl-NL" w:bidi="ar-SA"/>
              </w:rPr>
              <w:t>BPHF</w:t>
            </w:r>
          </w:p>
        </w:tc>
        <w:tc>
          <w:tcPr>
            <w:tcW w:w="5400" w:type="dxa"/>
            <w:tcBorders>
              <w:top w:val="nil"/>
              <w:left w:val="nil"/>
              <w:bottom w:val="single" w:sz="4" w:space="0" w:color="auto"/>
              <w:right w:val="single" w:sz="4" w:space="0" w:color="auto"/>
            </w:tcBorders>
            <w:shd w:val="clear" w:color="auto" w:fill="auto"/>
            <w:noWrap/>
            <w:vAlign w:val="bottom"/>
            <w:hideMark/>
          </w:tcPr>
          <w:p w:rsidR="00960852" w:rsidRPr="003B20EF" w:rsidRDefault="00960852" w:rsidP="00960852">
            <w:pPr>
              <w:spacing w:after="0" w:line="240" w:lineRule="auto"/>
              <w:rPr>
                <w:rFonts w:ascii="Cambria" w:eastAsia="Times New Roman" w:hAnsi="Cambria" w:cs="Arial"/>
                <w:lang w:eastAsia="nl-NL" w:bidi="ar-SA"/>
              </w:rPr>
            </w:pPr>
            <w:proofErr w:type="spellStart"/>
            <w:r w:rsidRPr="003B20EF">
              <w:rPr>
                <w:rFonts w:ascii="Cambria" w:eastAsia="Times New Roman" w:hAnsi="Cambria" w:cs="Arial"/>
                <w:lang w:eastAsia="nl-NL" w:bidi="ar-SA"/>
              </w:rPr>
              <w:t>Stoxx</w:t>
            </w:r>
            <w:proofErr w:type="spellEnd"/>
            <w:r w:rsidRPr="003B20EF">
              <w:rPr>
                <w:rFonts w:ascii="Cambria" w:eastAsia="Times New Roman" w:hAnsi="Cambria" w:cs="Arial"/>
                <w:lang w:eastAsia="nl-NL" w:bidi="ar-SA"/>
              </w:rPr>
              <w:t>® Europe ex UK TMI Health Care</w:t>
            </w:r>
          </w:p>
        </w:tc>
      </w:tr>
      <w:tr w:rsidR="00960852" w:rsidRPr="003B20EF" w:rsidTr="00960852">
        <w:trPr>
          <w:trHeight w:val="285"/>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960852" w:rsidRPr="003B20EF" w:rsidRDefault="00960852" w:rsidP="00960852">
            <w:pPr>
              <w:spacing w:after="0" w:line="240" w:lineRule="auto"/>
              <w:rPr>
                <w:rFonts w:ascii="Cambria" w:eastAsia="Times New Roman" w:hAnsi="Cambria" w:cs="Arial"/>
                <w:lang w:val="nl-NL" w:eastAsia="nl-NL" w:bidi="ar-SA"/>
              </w:rPr>
            </w:pPr>
            <w:r w:rsidRPr="003B20EF">
              <w:rPr>
                <w:rFonts w:ascii="Cambria" w:eastAsia="Times New Roman" w:hAnsi="Cambria" w:cs="Arial"/>
                <w:lang w:eastAsia="nl-NL" w:bidi="ar-SA"/>
              </w:rPr>
              <w:t>BENF</w:t>
            </w:r>
          </w:p>
        </w:tc>
        <w:tc>
          <w:tcPr>
            <w:tcW w:w="5400" w:type="dxa"/>
            <w:tcBorders>
              <w:top w:val="nil"/>
              <w:left w:val="nil"/>
              <w:bottom w:val="single" w:sz="4" w:space="0" w:color="auto"/>
              <w:right w:val="single" w:sz="4" w:space="0" w:color="auto"/>
            </w:tcBorders>
            <w:shd w:val="clear" w:color="auto" w:fill="auto"/>
            <w:noWrap/>
            <w:vAlign w:val="bottom"/>
            <w:hideMark/>
          </w:tcPr>
          <w:p w:rsidR="00960852" w:rsidRPr="003B20EF" w:rsidRDefault="00960852" w:rsidP="00960852">
            <w:pPr>
              <w:spacing w:after="0" w:line="240" w:lineRule="auto"/>
              <w:rPr>
                <w:rFonts w:ascii="Cambria" w:eastAsia="Times New Roman" w:hAnsi="Cambria" w:cs="Arial"/>
                <w:lang w:eastAsia="nl-NL" w:bidi="ar-SA"/>
              </w:rPr>
            </w:pPr>
            <w:proofErr w:type="spellStart"/>
            <w:r w:rsidRPr="003B20EF">
              <w:rPr>
                <w:rFonts w:ascii="Cambria" w:eastAsia="Times New Roman" w:hAnsi="Cambria" w:cs="Arial"/>
                <w:lang w:eastAsia="nl-NL" w:bidi="ar-SA"/>
              </w:rPr>
              <w:t>Stoxx</w:t>
            </w:r>
            <w:proofErr w:type="spellEnd"/>
            <w:r w:rsidRPr="003B20EF">
              <w:rPr>
                <w:rFonts w:ascii="Cambria" w:eastAsia="Times New Roman" w:hAnsi="Cambria" w:cs="Arial"/>
                <w:lang w:eastAsia="nl-NL" w:bidi="ar-SA"/>
              </w:rPr>
              <w:t>® Europe ex UK TMI Oil and Gas</w:t>
            </w:r>
          </w:p>
        </w:tc>
      </w:tr>
      <w:tr w:rsidR="00960852" w:rsidRPr="00CD606C" w:rsidTr="00960852">
        <w:trPr>
          <w:trHeight w:val="285"/>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960852" w:rsidRPr="003B20EF" w:rsidRDefault="00960852" w:rsidP="00960852">
            <w:pPr>
              <w:spacing w:after="0" w:line="240" w:lineRule="auto"/>
              <w:rPr>
                <w:rFonts w:ascii="Cambria" w:eastAsia="Times New Roman" w:hAnsi="Cambria" w:cs="Arial"/>
                <w:lang w:val="nl-NL" w:eastAsia="nl-NL" w:bidi="ar-SA"/>
              </w:rPr>
            </w:pPr>
            <w:r w:rsidRPr="003B20EF">
              <w:rPr>
                <w:rFonts w:ascii="Cambria" w:eastAsia="Times New Roman" w:hAnsi="Cambria" w:cs="Arial"/>
                <w:lang w:eastAsia="nl-NL" w:bidi="ar-SA"/>
              </w:rPr>
              <w:t>BTHF</w:t>
            </w:r>
          </w:p>
        </w:tc>
        <w:tc>
          <w:tcPr>
            <w:tcW w:w="5400" w:type="dxa"/>
            <w:tcBorders>
              <w:top w:val="nil"/>
              <w:left w:val="nil"/>
              <w:bottom w:val="single" w:sz="4" w:space="0" w:color="auto"/>
              <w:right w:val="single" w:sz="4" w:space="0" w:color="auto"/>
            </w:tcBorders>
            <w:shd w:val="clear" w:color="auto" w:fill="auto"/>
            <w:noWrap/>
            <w:vAlign w:val="bottom"/>
            <w:hideMark/>
          </w:tcPr>
          <w:p w:rsidR="00960852" w:rsidRPr="003B20EF" w:rsidRDefault="00960852" w:rsidP="00960852">
            <w:pPr>
              <w:spacing w:after="0" w:line="240" w:lineRule="auto"/>
              <w:rPr>
                <w:rFonts w:ascii="Cambria" w:eastAsia="Times New Roman" w:hAnsi="Cambria" w:cs="Arial"/>
                <w:lang w:val="nl-NL" w:eastAsia="nl-NL" w:bidi="ar-SA"/>
              </w:rPr>
            </w:pPr>
            <w:proofErr w:type="spellStart"/>
            <w:r w:rsidRPr="003B20EF">
              <w:rPr>
                <w:rFonts w:ascii="Cambria" w:eastAsia="Times New Roman" w:hAnsi="Cambria" w:cs="Arial"/>
                <w:lang w:val="nl-NL" w:eastAsia="nl-NL" w:bidi="ar-SA"/>
              </w:rPr>
              <w:t>Stoxx</w:t>
            </w:r>
            <w:proofErr w:type="spellEnd"/>
            <w:r w:rsidRPr="003B20EF">
              <w:rPr>
                <w:rFonts w:ascii="Cambria" w:eastAsia="Times New Roman" w:hAnsi="Cambria" w:cs="Arial"/>
                <w:lang w:val="nl-NL" w:eastAsia="nl-NL" w:bidi="ar-SA"/>
              </w:rPr>
              <w:t xml:space="preserve">® </w:t>
            </w:r>
            <w:proofErr w:type="spellStart"/>
            <w:r w:rsidRPr="003B20EF">
              <w:rPr>
                <w:rFonts w:ascii="Cambria" w:eastAsia="Times New Roman" w:hAnsi="Cambria" w:cs="Arial"/>
                <w:lang w:val="nl-NL" w:eastAsia="nl-NL" w:bidi="ar-SA"/>
              </w:rPr>
              <w:t>Europe</w:t>
            </w:r>
            <w:proofErr w:type="spellEnd"/>
            <w:r w:rsidRPr="003B20EF">
              <w:rPr>
                <w:rFonts w:ascii="Cambria" w:eastAsia="Times New Roman" w:hAnsi="Cambria" w:cs="Arial"/>
                <w:lang w:val="nl-NL" w:eastAsia="nl-NL" w:bidi="ar-SA"/>
              </w:rPr>
              <w:t xml:space="preserve"> ex UK TMI </w:t>
            </w:r>
            <w:proofErr w:type="spellStart"/>
            <w:r w:rsidRPr="003B20EF">
              <w:rPr>
                <w:rFonts w:ascii="Cambria" w:eastAsia="Times New Roman" w:hAnsi="Cambria" w:cs="Arial"/>
                <w:lang w:val="nl-NL" w:eastAsia="nl-NL" w:bidi="ar-SA"/>
              </w:rPr>
              <w:t>Technology</w:t>
            </w:r>
            <w:proofErr w:type="spellEnd"/>
          </w:p>
        </w:tc>
      </w:tr>
      <w:tr w:rsidR="00960852" w:rsidRPr="003B20EF" w:rsidTr="00960852">
        <w:trPr>
          <w:trHeight w:val="285"/>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960852" w:rsidRPr="003B20EF" w:rsidRDefault="00960852" w:rsidP="00960852">
            <w:pPr>
              <w:spacing w:after="0" w:line="240" w:lineRule="auto"/>
              <w:rPr>
                <w:rFonts w:ascii="Cambria" w:eastAsia="Times New Roman" w:hAnsi="Cambria" w:cs="Arial"/>
                <w:lang w:val="nl-NL" w:eastAsia="nl-NL" w:bidi="ar-SA"/>
              </w:rPr>
            </w:pPr>
            <w:r w:rsidRPr="003B20EF">
              <w:rPr>
                <w:rFonts w:ascii="Cambria" w:eastAsia="Times New Roman" w:hAnsi="Cambria" w:cs="Arial"/>
                <w:lang w:eastAsia="nl-NL" w:bidi="ar-SA"/>
              </w:rPr>
              <w:t>BTEF</w:t>
            </w:r>
          </w:p>
        </w:tc>
        <w:tc>
          <w:tcPr>
            <w:tcW w:w="5400" w:type="dxa"/>
            <w:tcBorders>
              <w:top w:val="nil"/>
              <w:left w:val="nil"/>
              <w:bottom w:val="single" w:sz="4" w:space="0" w:color="auto"/>
              <w:right w:val="single" w:sz="4" w:space="0" w:color="auto"/>
            </w:tcBorders>
            <w:shd w:val="clear" w:color="auto" w:fill="auto"/>
            <w:noWrap/>
            <w:vAlign w:val="bottom"/>
            <w:hideMark/>
          </w:tcPr>
          <w:p w:rsidR="00960852" w:rsidRPr="003B20EF" w:rsidRDefault="00960852" w:rsidP="00960852">
            <w:pPr>
              <w:spacing w:after="0" w:line="240" w:lineRule="auto"/>
              <w:rPr>
                <w:rFonts w:ascii="Cambria" w:eastAsia="Times New Roman" w:hAnsi="Cambria" w:cs="Arial"/>
                <w:lang w:val="nl-NL" w:eastAsia="nl-NL" w:bidi="ar-SA"/>
              </w:rPr>
            </w:pPr>
            <w:proofErr w:type="spellStart"/>
            <w:r w:rsidRPr="003B20EF">
              <w:rPr>
                <w:rFonts w:ascii="Cambria" w:eastAsia="Times New Roman" w:hAnsi="Cambria" w:cs="Arial"/>
                <w:lang w:val="nl-NL" w:eastAsia="nl-NL" w:bidi="ar-SA"/>
              </w:rPr>
              <w:t>Stoxx</w:t>
            </w:r>
            <w:proofErr w:type="spellEnd"/>
            <w:r w:rsidRPr="003B20EF">
              <w:rPr>
                <w:rFonts w:ascii="Cambria" w:eastAsia="Times New Roman" w:hAnsi="Cambria" w:cs="Arial"/>
                <w:lang w:val="nl-NL" w:eastAsia="nl-NL" w:bidi="ar-SA"/>
              </w:rPr>
              <w:t xml:space="preserve">® </w:t>
            </w:r>
            <w:proofErr w:type="spellStart"/>
            <w:r w:rsidRPr="003B20EF">
              <w:rPr>
                <w:rFonts w:ascii="Cambria" w:eastAsia="Times New Roman" w:hAnsi="Cambria" w:cs="Arial"/>
                <w:lang w:val="nl-NL" w:eastAsia="nl-NL" w:bidi="ar-SA"/>
              </w:rPr>
              <w:t>Europe</w:t>
            </w:r>
            <w:proofErr w:type="spellEnd"/>
            <w:r w:rsidRPr="003B20EF">
              <w:rPr>
                <w:rFonts w:ascii="Cambria" w:eastAsia="Times New Roman" w:hAnsi="Cambria" w:cs="Arial"/>
                <w:lang w:val="nl-NL" w:eastAsia="nl-NL" w:bidi="ar-SA"/>
              </w:rPr>
              <w:t xml:space="preserve"> ex UK TMI Telecommunications</w:t>
            </w:r>
          </w:p>
        </w:tc>
      </w:tr>
    </w:tbl>
    <w:p w:rsidR="00960852" w:rsidRDefault="00960852" w:rsidP="00960852">
      <w:pPr>
        <w:pStyle w:val="NoSpacing"/>
      </w:pPr>
    </w:p>
    <w:p w:rsidR="00960852" w:rsidRDefault="008D0A55" w:rsidP="00960852">
      <w:pPr>
        <w:pStyle w:val="NoSpacing"/>
      </w:pPr>
      <w:r>
        <w:t xml:space="preserve">EU graphs </w:t>
      </w:r>
    </w:p>
    <w:p w:rsidR="00960852" w:rsidRDefault="00960852" w:rsidP="00960852">
      <w:pPr>
        <w:pStyle w:val="NoSpacing"/>
        <w:ind w:left="720"/>
        <w:jc w:val="both"/>
      </w:pPr>
    </w:p>
    <w:p w:rsidR="008D0A55" w:rsidRDefault="008D0A55" w:rsidP="00960852">
      <w:pPr>
        <w:pStyle w:val="NoSpacing"/>
        <w:ind w:left="720"/>
        <w:jc w:val="both"/>
      </w:pPr>
    </w:p>
    <w:p w:rsidR="00960852" w:rsidRDefault="00960852" w:rsidP="00960852">
      <w:pPr>
        <w:pStyle w:val="NoSpacing"/>
        <w:jc w:val="both"/>
      </w:pPr>
      <w:r w:rsidRPr="003D66A1">
        <w:rPr>
          <w:noProof/>
          <w:lang w:bidi="ar-SA"/>
        </w:rPr>
        <w:drawing>
          <wp:inline distT="0" distB="0" distL="0" distR="0">
            <wp:extent cx="6222124" cy="3615558"/>
            <wp:effectExtent l="19050" t="0" r="7226" b="0"/>
            <wp:docPr id="42" name="Afbeelding 4"/>
            <wp:cNvGraphicFramePr/>
            <a:graphic xmlns:a="http://schemas.openxmlformats.org/drawingml/2006/main">
              <a:graphicData uri="http://schemas.openxmlformats.org/drawingml/2006/picture">
                <pic:pic xmlns:pic="http://schemas.openxmlformats.org/drawingml/2006/picture">
                  <pic:nvPicPr>
                    <pic:cNvPr id="1038" name="Picture 2"/>
                    <pic:cNvPicPr>
                      <a:picLocks noChangeAspect="1" noChangeArrowheads="1"/>
                    </pic:cNvPicPr>
                  </pic:nvPicPr>
                  <pic:blipFill>
                    <a:blip r:embed="rId14" cstate="print"/>
                    <a:srcRect/>
                    <a:stretch>
                      <a:fillRect/>
                    </a:stretch>
                  </pic:blipFill>
                  <pic:spPr bwMode="auto">
                    <a:xfrm>
                      <a:off x="0" y="0"/>
                      <a:ext cx="6228230" cy="3619106"/>
                    </a:xfrm>
                    <a:prstGeom prst="rect">
                      <a:avLst/>
                    </a:prstGeom>
                    <a:noFill/>
                    <a:ln w="9525">
                      <a:noFill/>
                      <a:miter lim="800000"/>
                      <a:headEnd/>
                      <a:tailEnd/>
                    </a:ln>
                  </pic:spPr>
                </pic:pic>
              </a:graphicData>
            </a:graphic>
          </wp:inline>
        </w:drawing>
      </w:r>
    </w:p>
    <w:p w:rsidR="00960852" w:rsidRDefault="00960852" w:rsidP="00960852">
      <w:pPr>
        <w:pStyle w:val="NoSpacing"/>
        <w:jc w:val="both"/>
      </w:pPr>
    </w:p>
    <w:p w:rsidR="00960852" w:rsidRDefault="00960852" w:rsidP="00960852">
      <w:pPr>
        <w:pStyle w:val="NoSpacing"/>
        <w:jc w:val="both"/>
      </w:pPr>
    </w:p>
    <w:p w:rsidR="00960852" w:rsidRDefault="00960852" w:rsidP="00960852">
      <w:pPr>
        <w:pStyle w:val="NoSpacing"/>
        <w:jc w:val="both"/>
      </w:pPr>
    </w:p>
    <w:p w:rsidR="00960852" w:rsidRDefault="00960852" w:rsidP="00960852">
      <w:pPr>
        <w:pStyle w:val="NoSpacing"/>
        <w:jc w:val="both"/>
      </w:pPr>
    </w:p>
    <w:p w:rsidR="00960852" w:rsidRDefault="00960852" w:rsidP="00960852">
      <w:pPr>
        <w:pStyle w:val="NoSpacing"/>
        <w:jc w:val="both"/>
      </w:pPr>
    </w:p>
    <w:p w:rsidR="00960852" w:rsidRDefault="00960852" w:rsidP="00960852">
      <w:pPr>
        <w:pStyle w:val="NoSpacing"/>
        <w:jc w:val="both"/>
      </w:pPr>
    </w:p>
    <w:p w:rsidR="00960852" w:rsidRDefault="00960852" w:rsidP="00960852">
      <w:pPr>
        <w:pStyle w:val="NoSpacing"/>
        <w:jc w:val="both"/>
      </w:pPr>
    </w:p>
    <w:p w:rsidR="00960852" w:rsidRDefault="00960852" w:rsidP="00960852">
      <w:pPr>
        <w:pStyle w:val="NoSpacing"/>
        <w:jc w:val="both"/>
      </w:pPr>
    </w:p>
    <w:p w:rsidR="00960852" w:rsidRDefault="00960852" w:rsidP="00960852">
      <w:pPr>
        <w:pStyle w:val="NoSpacing"/>
        <w:jc w:val="both"/>
      </w:pPr>
    </w:p>
    <w:p w:rsidR="00960852" w:rsidRDefault="00960852" w:rsidP="00960852">
      <w:pPr>
        <w:pStyle w:val="NoSpacing"/>
        <w:jc w:val="both"/>
      </w:pPr>
    </w:p>
    <w:p w:rsidR="00960852" w:rsidRDefault="00960852" w:rsidP="00960852">
      <w:pPr>
        <w:pStyle w:val="NoSpacing"/>
        <w:jc w:val="both"/>
      </w:pPr>
    </w:p>
    <w:p w:rsidR="00960852" w:rsidRDefault="00960852" w:rsidP="00960852">
      <w:pPr>
        <w:pStyle w:val="NoSpacing"/>
        <w:jc w:val="both"/>
      </w:pPr>
    </w:p>
    <w:p w:rsidR="00960852" w:rsidRDefault="00960852" w:rsidP="00960852">
      <w:pPr>
        <w:pStyle w:val="NoSpacing"/>
        <w:jc w:val="both"/>
      </w:pPr>
    </w:p>
    <w:p w:rsidR="00960852" w:rsidRDefault="008D0A55" w:rsidP="00960852">
      <w:pPr>
        <w:pStyle w:val="NoSpacing"/>
      </w:pPr>
      <w:r>
        <w:t>EU correlations</w:t>
      </w:r>
    </w:p>
    <w:p w:rsidR="00960852" w:rsidRDefault="00960852" w:rsidP="00960852">
      <w:pPr>
        <w:pStyle w:val="NoSpacing"/>
        <w:jc w:val="both"/>
      </w:pPr>
      <w:r w:rsidRPr="00961318">
        <w:rPr>
          <w:noProof/>
          <w:lang w:bidi="ar-SA"/>
        </w:rPr>
        <w:drawing>
          <wp:inline distT="0" distB="0" distL="0" distR="0">
            <wp:extent cx="5677557" cy="2249214"/>
            <wp:effectExtent l="19050" t="0" r="0" b="0"/>
            <wp:docPr id="4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srcRect/>
                    <a:stretch>
                      <a:fillRect/>
                    </a:stretch>
                  </pic:blipFill>
                  <pic:spPr bwMode="auto">
                    <a:xfrm>
                      <a:off x="0" y="0"/>
                      <a:ext cx="5677446" cy="2249170"/>
                    </a:xfrm>
                    <a:prstGeom prst="rect">
                      <a:avLst/>
                    </a:prstGeom>
                    <a:noFill/>
                    <a:ln w="9525">
                      <a:noFill/>
                      <a:miter lim="800000"/>
                      <a:headEnd/>
                      <a:tailEnd/>
                    </a:ln>
                  </pic:spPr>
                </pic:pic>
              </a:graphicData>
            </a:graphic>
          </wp:inline>
        </w:drawing>
      </w:r>
    </w:p>
    <w:p w:rsidR="00960852" w:rsidRDefault="00960852" w:rsidP="00960852">
      <w:pPr>
        <w:pStyle w:val="NoSpacing"/>
        <w:jc w:val="both"/>
      </w:pPr>
    </w:p>
    <w:p w:rsidR="00960852" w:rsidRDefault="00960852" w:rsidP="00960852">
      <w:pPr>
        <w:pStyle w:val="NoSpacing"/>
        <w:jc w:val="both"/>
      </w:pPr>
    </w:p>
    <w:p w:rsidR="00960852" w:rsidRDefault="00960852" w:rsidP="00960852">
      <w:pPr>
        <w:pStyle w:val="NoSpacing"/>
        <w:jc w:val="both"/>
      </w:pPr>
    </w:p>
    <w:p w:rsidR="00960852" w:rsidRDefault="008D0A55" w:rsidP="00960852">
      <w:pPr>
        <w:pStyle w:val="NoSpacing"/>
      </w:pPr>
      <w:r>
        <w:t xml:space="preserve">EU descriptive statistics </w:t>
      </w:r>
    </w:p>
    <w:p w:rsidR="00960852" w:rsidRDefault="00960852" w:rsidP="00960852">
      <w:pPr>
        <w:pStyle w:val="NoSpacing"/>
        <w:jc w:val="both"/>
      </w:pPr>
      <w:r w:rsidRPr="00961318">
        <w:rPr>
          <w:noProof/>
          <w:lang w:bidi="ar-SA"/>
        </w:rPr>
        <w:drawing>
          <wp:inline distT="0" distB="0" distL="0" distR="0">
            <wp:extent cx="5759450" cy="2028190"/>
            <wp:effectExtent l="19050" t="0" r="0" b="0"/>
            <wp:docPr id="4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srcRect/>
                    <a:stretch>
                      <a:fillRect/>
                    </a:stretch>
                  </pic:blipFill>
                  <pic:spPr bwMode="auto">
                    <a:xfrm>
                      <a:off x="0" y="0"/>
                      <a:ext cx="5759450" cy="2028190"/>
                    </a:xfrm>
                    <a:prstGeom prst="rect">
                      <a:avLst/>
                    </a:prstGeom>
                    <a:noFill/>
                    <a:ln w="9525">
                      <a:noFill/>
                      <a:miter lim="800000"/>
                      <a:headEnd/>
                      <a:tailEnd/>
                    </a:ln>
                  </pic:spPr>
                </pic:pic>
              </a:graphicData>
            </a:graphic>
          </wp:inline>
        </w:drawing>
      </w:r>
    </w:p>
    <w:p w:rsidR="00960852" w:rsidRDefault="00960852" w:rsidP="00960852">
      <w:pPr>
        <w:pStyle w:val="NoSpacing"/>
        <w:jc w:val="both"/>
      </w:pPr>
    </w:p>
    <w:p w:rsidR="00960852" w:rsidRDefault="00960852" w:rsidP="00960852">
      <w:pPr>
        <w:pStyle w:val="NoSpacing"/>
        <w:jc w:val="both"/>
      </w:pPr>
    </w:p>
    <w:p w:rsidR="00960852" w:rsidRDefault="00960852" w:rsidP="00960852">
      <w:pPr>
        <w:pStyle w:val="NoSpacing"/>
        <w:jc w:val="both"/>
      </w:pPr>
    </w:p>
    <w:p w:rsidR="00960852" w:rsidRDefault="00960852" w:rsidP="00960852">
      <w:pPr>
        <w:pStyle w:val="NoSpacing"/>
        <w:jc w:val="both"/>
      </w:pPr>
    </w:p>
    <w:p w:rsidR="00960852" w:rsidRDefault="00960852" w:rsidP="00960852">
      <w:pPr>
        <w:pStyle w:val="NoSpacing"/>
        <w:jc w:val="both"/>
      </w:pPr>
    </w:p>
    <w:p w:rsidR="00960852" w:rsidRDefault="00960852" w:rsidP="00960852">
      <w:pPr>
        <w:pStyle w:val="NoSpacing"/>
        <w:jc w:val="both"/>
      </w:pPr>
    </w:p>
    <w:p w:rsidR="00960852" w:rsidRDefault="00960852" w:rsidP="0040529F">
      <w:pPr>
        <w:pStyle w:val="NoSpacing"/>
      </w:pPr>
    </w:p>
    <w:p w:rsidR="00960852" w:rsidRDefault="00960852" w:rsidP="0040529F">
      <w:pPr>
        <w:pStyle w:val="NoSpacing"/>
      </w:pPr>
    </w:p>
    <w:p w:rsidR="00960852" w:rsidRDefault="00960852" w:rsidP="0040529F">
      <w:pPr>
        <w:pStyle w:val="NoSpacing"/>
      </w:pPr>
    </w:p>
    <w:p w:rsidR="00960852" w:rsidRDefault="00960852" w:rsidP="0040529F">
      <w:pPr>
        <w:pStyle w:val="NoSpacing"/>
      </w:pPr>
    </w:p>
    <w:p w:rsidR="00960852" w:rsidRDefault="00960852" w:rsidP="0040529F">
      <w:pPr>
        <w:pStyle w:val="NoSpacing"/>
      </w:pPr>
    </w:p>
    <w:p w:rsidR="00D6604F" w:rsidRDefault="00D6604F" w:rsidP="0040529F">
      <w:pPr>
        <w:pStyle w:val="NoSpacing"/>
      </w:pPr>
    </w:p>
    <w:p w:rsidR="00D6604F" w:rsidRDefault="00D6604F" w:rsidP="0040529F">
      <w:pPr>
        <w:pStyle w:val="NoSpacing"/>
      </w:pPr>
    </w:p>
    <w:p w:rsidR="009C16D2" w:rsidRDefault="009C16D2" w:rsidP="009C16D2"/>
    <w:p w:rsidR="009C16D2" w:rsidRDefault="009C16D2" w:rsidP="00107DB1">
      <w:pPr>
        <w:pStyle w:val="Heading1"/>
      </w:pPr>
      <w:bookmarkStart w:id="18" w:name="_Toc300320244"/>
      <w:r>
        <w:t>Appendix D</w:t>
      </w:r>
      <w:r w:rsidR="00107DB1">
        <w:t xml:space="preserve"> </w:t>
      </w:r>
      <w:r>
        <w:t xml:space="preserve">Engle and Granger </w:t>
      </w:r>
      <w:proofErr w:type="spellStart"/>
      <w:r>
        <w:t>cointegration</w:t>
      </w:r>
      <w:proofErr w:type="spellEnd"/>
      <w:r>
        <w:t xml:space="preserve"> test results</w:t>
      </w:r>
      <w:bookmarkEnd w:id="18"/>
    </w:p>
    <w:tbl>
      <w:tblPr>
        <w:tblW w:w="9376" w:type="dxa"/>
        <w:tblInd w:w="53" w:type="dxa"/>
        <w:tblCellMar>
          <w:left w:w="70" w:type="dxa"/>
          <w:right w:w="70" w:type="dxa"/>
        </w:tblCellMar>
        <w:tblLook w:val="04A0"/>
      </w:tblPr>
      <w:tblGrid>
        <w:gridCol w:w="2107"/>
        <w:gridCol w:w="1802"/>
        <w:gridCol w:w="1802"/>
        <w:gridCol w:w="1924"/>
        <w:gridCol w:w="1741"/>
      </w:tblGrid>
      <w:tr w:rsidR="009C16D2" w:rsidRPr="002A53B9" w:rsidTr="009C16D2">
        <w:trPr>
          <w:trHeight w:val="268"/>
        </w:trPr>
        <w:tc>
          <w:tcPr>
            <w:tcW w:w="21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16D2" w:rsidRPr="002714DC" w:rsidRDefault="009C16D2" w:rsidP="009C16D2">
            <w:pPr>
              <w:spacing w:after="0" w:line="240" w:lineRule="auto"/>
              <w:rPr>
                <w:rFonts w:ascii="Arial" w:eastAsia="Times New Roman" w:hAnsi="Arial" w:cs="Arial"/>
                <w:sz w:val="20"/>
                <w:szCs w:val="20"/>
                <w:lang w:eastAsia="nl-NL" w:bidi="ar-SA"/>
              </w:rPr>
            </w:pPr>
            <w:r w:rsidRPr="002714DC">
              <w:rPr>
                <w:rFonts w:ascii="Arial" w:eastAsia="Times New Roman" w:hAnsi="Arial" w:cs="Arial"/>
                <w:sz w:val="20"/>
                <w:szCs w:val="20"/>
                <w:lang w:eastAsia="nl-NL" w:bidi="ar-SA"/>
              </w:rPr>
              <w:t>Dependent</w:t>
            </w:r>
          </w:p>
        </w:tc>
        <w:tc>
          <w:tcPr>
            <w:tcW w:w="1802" w:type="dxa"/>
            <w:tcBorders>
              <w:top w:val="single" w:sz="4" w:space="0" w:color="auto"/>
              <w:left w:val="nil"/>
              <w:bottom w:val="single" w:sz="4" w:space="0" w:color="auto"/>
              <w:right w:val="single" w:sz="4" w:space="0" w:color="auto"/>
            </w:tcBorders>
            <w:shd w:val="clear" w:color="auto" w:fill="auto"/>
            <w:noWrap/>
            <w:vAlign w:val="bottom"/>
            <w:hideMark/>
          </w:tcPr>
          <w:p w:rsidR="009C16D2" w:rsidRPr="002714DC" w:rsidRDefault="009C16D2" w:rsidP="009C16D2">
            <w:pPr>
              <w:spacing w:after="0" w:line="240" w:lineRule="auto"/>
              <w:rPr>
                <w:rFonts w:ascii="Arial" w:eastAsia="Times New Roman" w:hAnsi="Arial" w:cs="Arial"/>
                <w:sz w:val="20"/>
                <w:szCs w:val="20"/>
                <w:lang w:eastAsia="nl-NL" w:bidi="ar-SA"/>
              </w:rPr>
            </w:pPr>
            <w:r w:rsidRPr="002714DC">
              <w:rPr>
                <w:rFonts w:ascii="Arial" w:eastAsia="Times New Roman" w:hAnsi="Arial" w:cs="Arial"/>
                <w:sz w:val="20"/>
                <w:szCs w:val="20"/>
                <w:lang w:eastAsia="nl-NL" w:bidi="ar-SA"/>
              </w:rPr>
              <w:t>tau-statistic</w:t>
            </w:r>
          </w:p>
        </w:tc>
        <w:tc>
          <w:tcPr>
            <w:tcW w:w="1802" w:type="dxa"/>
            <w:tcBorders>
              <w:top w:val="single" w:sz="4" w:space="0" w:color="auto"/>
              <w:left w:val="nil"/>
              <w:bottom w:val="single" w:sz="4" w:space="0" w:color="auto"/>
              <w:right w:val="single" w:sz="4" w:space="0" w:color="auto"/>
            </w:tcBorders>
            <w:shd w:val="clear" w:color="auto" w:fill="auto"/>
            <w:noWrap/>
            <w:vAlign w:val="bottom"/>
            <w:hideMark/>
          </w:tcPr>
          <w:p w:rsidR="009C16D2" w:rsidRPr="002714DC" w:rsidRDefault="009C16D2" w:rsidP="009C16D2">
            <w:pPr>
              <w:spacing w:after="0" w:line="240" w:lineRule="auto"/>
              <w:rPr>
                <w:rFonts w:ascii="Arial" w:eastAsia="Times New Roman" w:hAnsi="Arial" w:cs="Arial"/>
                <w:sz w:val="20"/>
                <w:szCs w:val="20"/>
                <w:lang w:eastAsia="nl-NL" w:bidi="ar-SA"/>
              </w:rPr>
            </w:pPr>
            <w:r w:rsidRPr="002714DC">
              <w:rPr>
                <w:rFonts w:ascii="Arial" w:eastAsia="Times New Roman" w:hAnsi="Arial" w:cs="Arial"/>
                <w:sz w:val="20"/>
                <w:szCs w:val="20"/>
                <w:lang w:eastAsia="nl-NL" w:bidi="ar-SA"/>
              </w:rPr>
              <w:t>Prob.*</w:t>
            </w:r>
          </w:p>
        </w:tc>
        <w:tc>
          <w:tcPr>
            <w:tcW w:w="1924" w:type="dxa"/>
            <w:tcBorders>
              <w:top w:val="single" w:sz="4" w:space="0" w:color="auto"/>
              <w:left w:val="nil"/>
              <w:bottom w:val="single" w:sz="4" w:space="0" w:color="auto"/>
              <w:right w:val="single" w:sz="4" w:space="0" w:color="auto"/>
            </w:tcBorders>
            <w:shd w:val="clear" w:color="auto" w:fill="auto"/>
            <w:noWrap/>
            <w:vAlign w:val="bottom"/>
            <w:hideMark/>
          </w:tcPr>
          <w:p w:rsidR="009C16D2" w:rsidRPr="002714DC" w:rsidRDefault="009C16D2" w:rsidP="009C16D2">
            <w:pPr>
              <w:spacing w:after="0" w:line="240" w:lineRule="auto"/>
              <w:rPr>
                <w:rFonts w:ascii="Arial" w:eastAsia="Times New Roman" w:hAnsi="Arial" w:cs="Arial"/>
                <w:sz w:val="20"/>
                <w:szCs w:val="20"/>
                <w:lang w:eastAsia="nl-NL" w:bidi="ar-SA"/>
              </w:rPr>
            </w:pPr>
            <w:r w:rsidRPr="002714DC">
              <w:rPr>
                <w:rFonts w:ascii="Arial" w:eastAsia="Times New Roman" w:hAnsi="Arial" w:cs="Arial"/>
                <w:sz w:val="20"/>
                <w:szCs w:val="20"/>
                <w:lang w:eastAsia="nl-NL" w:bidi="ar-SA"/>
              </w:rPr>
              <w:t>z-statistic</w:t>
            </w:r>
          </w:p>
        </w:tc>
        <w:tc>
          <w:tcPr>
            <w:tcW w:w="1741" w:type="dxa"/>
            <w:tcBorders>
              <w:top w:val="single" w:sz="4" w:space="0" w:color="auto"/>
              <w:left w:val="nil"/>
              <w:bottom w:val="single" w:sz="4" w:space="0" w:color="auto"/>
              <w:right w:val="single" w:sz="4" w:space="0" w:color="auto"/>
            </w:tcBorders>
            <w:shd w:val="clear" w:color="auto" w:fill="auto"/>
            <w:noWrap/>
            <w:vAlign w:val="bottom"/>
            <w:hideMark/>
          </w:tcPr>
          <w:p w:rsidR="009C16D2" w:rsidRPr="002714DC" w:rsidRDefault="009C16D2" w:rsidP="009C16D2">
            <w:pPr>
              <w:spacing w:after="0" w:line="240" w:lineRule="auto"/>
              <w:rPr>
                <w:rFonts w:ascii="Arial" w:eastAsia="Times New Roman" w:hAnsi="Arial" w:cs="Arial"/>
                <w:sz w:val="20"/>
                <w:szCs w:val="20"/>
                <w:lang w:eastAsia="nl-NL" w:bidi="ar-SA"/>
              </w:rPr>
            </w:pPr>
            <w:r w:rsidRPr="002714DC">
              <w:rPr>
                <w:rFonts w:ascii="Arial" w:eastAsia="Times New Roman" w:hAnsi="Arial" w:cs="Arial"/>
                <w:sz w:val="20"/>
                <w:szCs w:val="20"/>
                <w:lang w:eastAsia="nl-NL" w:bidi="ar-SA"/>
              </w:rPr>
              <w:t>Prob.*</w:t>
            </w:r>
          </w:p>
        </w:tc>
      </w:tr>
      <w:tr w:rsidR="009C16D2" w:rsidRPr="002A53B9" w:rsidTr="009C16D2">
        <w:trPr>
          <w:trHeight w:val="268"/>
        </w:trPr>
        <w:tc>
          <w:tcPr>
            <w:tcW w:w="2107" w:type="dxa"/>
            <w:tcBorders>
              <w:top w:val="nil"/>
              <w:left w:val="single" w:sz="4" w:space="0" w:color="auto"/>
              <w:bottom w:val="nil"/>
              <w:right w:val="single" w:sz="4" w:space="0" w:color="auto"/>
            </w:tcBorders>
            <w:shd w:val="clear" w:color="auto" w:fill="auto"/>
            <w:noWrap/>
            <w:vAlign w:val="bottom"/>
            <w:hideMark/>
          </w:tcPr>
          <w:p w:rsidR="009C16D2" w:rsidRPr="002A53B9" w:rsidRDefault="009C16D2" w:rsidP="009C16D2">
            <w:pPr>
              <w:spacing w:after="0" w:line="240" w:lineRule="auto"/>
              <w:rPr>
                <w:rFonts w:ascii="Arial" w:eastAsia="Times New Roman" w:hAnsi="Arial" w:cs="Arial"/>
                <w:sz w:val="20"/>
                <w:szCs w:val="20"/>
                <w:lang w:val="nl-NL" w:eastAsia="nl-NL" w:bidi="ar-SA"/>
              </w:rPr>
            </w:pPr>
            <w:r w:rsidRPr="002714DC">
              <w:rPr>
                <w:rFonts w:ascii="Arial" w:eastAsia="Times New Roman" w:hAnsi="Arial" w:cs="Arial"/>
                <w:sz w:val="20"/>
                <w:szCs w:val="20"/>
                <w:lang w:eastAsia="nl-NL" w:bidi="ar-SA"/>
              </w:rPr>
              <w:t>CHF</w:t>
            </w:r>
            <w:r w:rsidRPr="002A53B9">
              <w:rPr>
                <w:rFonts w:ascii="Arial" w:eastAsia="Times New Roman" w:hAnsi="Arial" w:cs="Arial"/>
                <w:sz w:val="20"/>
                <w:szCs w:val="20"/>
                <w:lang w:val="nl-NL" w:eastAsia="nl-NL" w:bidi="ar-SA"/>
              </w:rPr>
              <w:t>EUR</w:t>
            </w:r>
          </w:p>
        </w:tc>
        <w:tc>
          <w:tcPr>
            <w:tcW w:w="1802" w:type="dxa"/>
            <w:tcBorders>
              <w:top w:val="nil"/>
              <w:left w:val="nil"/>
              <w:bottom w:val="nil"/>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1,362026</w:t>
            </w:r>
          </w:p>
        </w:tc>
        <w:tc>
          <w:tcPr>
            <w:tcW w:w="1802" w:type="dxa"/>
            <w:tcBorders>
              <w:top w:val="nil"/>
              <w:left w:val="nil"/>
              <w:bottom w:val="nil"/>
              <w:right w:val="nil"/>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0,9998</w:t>
            </w:r>
          </w:p>
        </w:tc>
        <w:tc>
          <w:tcPr>
            <w:tcW w:w="1924" w:type="dxa"/>
            <w:tcBorders>
              <w:top w:val="nil"/>
              <w:left w:val="single" w:sz="4" w:space="0" w:color="auto"/>
              <w:bottom w:val="nil"/>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5,386578</w:t>
            </w:r>
          </w:p>
        </w:tc>
        <w:tc>
          <w:tcPr>
            <w:tcW w:w="1741" w:type="dxa"/>
            <w:tcBorders>
              <w:top w:val="nil"/>
              <w:left w:val="nil"/>
              <w:bottom w:val="nil"/>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1</w:t>
            </w:r>
          </w:p>
        </w:tc>
      </w:tr>
      <w:tr w:rsidR="009C16D2" w:rsidRPr="002A53B9" w:rsidTr="009C16D2">
        <w:trPr>
          <w:trHeight w:val="268"/>
        </w:trPr>
        <w:tc>
          <w:tcPr>
            <w:tcW w:w="2107" w:type="dxa"/>
            <w:tcBorders>
              <w:top w:val="nil"/>
              <w:left w:val="single" w:sz="4" w:space="0" w:color="auto"/>
              <w:bottom w:val="single" w:sz="4" w:space="0" w:color="auto"/>
              <w:right w:val="single" w:sz="4" w:space="0" w:color="auto"/>
            </w:tcBorders>
            <w:shd w:val="clear" w:color="auto" w:fill="auto"/>
            <w:noWrap/>
            <w:vAlign w:val="bottom"/>
            <w:hideMark/>
          </w:tcPr>
          <w:p w:rsidR="009C16D2" w:rsidRPr="002A53B9" w:rsidRDefault="009C16D2" w:rsidP="009C16D2">
            <w:pPr>
              <w:spacing w:after="0" w:line="240" w:lineRule="auto"/>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EUBASICR</w:t>
            </w:r>
          </w:p>
        </w:tc>
        <w:tc>
          <w:tcPr>
            <w:tcW w:w="1802" w:type="dxa"/>
            <w:tcBorders>
              <w:top w:val="nil"/>
              <w:left w:val="nil"/>
              <w:bottom w:val="single" w:sz="4" w:space="0" w:color="auto"/>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-0,710049</w:t>
            </w:r>
          </w:p>
        </w:tc>
        <w:tc>
          <w:tcPr>
            <w:tcW w:w="1802" w:type="dxa"/>
            <w:tcBorders>
              <w:top w:val="nil"/>
              <w:left w:val="nil"/>
              <w:bottom w:val="single" w:sz="4" w:space="0" w:color="auto"/>
              <w:right w:val="nil"/>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0,9429</w:t>
            </w:r>
          </w:p>
        </w:tc>
        <w:tc>
          <w:tcPr>
            <w:tcW w:w="1924" w:type="dxa"/>
            <w:tcBorders>
              <w:top w:val="nil"/>
              <w:left w:val="single" w:sz="4" w:space="0" w:color="auto"/>
              <w:bottom w:val="single" w:sz="4" w:space="0" w:color="auto"/>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-2,064346</w:t>
            </w:r>
          </w:p>
        </w:tc>
        <w:tc>
          <w:tcPr>
            <w:tcW w:w="1741" w:type="dxa"/>
            <w:tcBorders>
              <w:top w:val="nil"/>
              <w:left w:val="nil"/>
              <w:bottom w:val="single" w:sz="4" w:space="0" w:color="auto"/>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0,9283</w:t>
            </w:r>
          </w:p>
        </w:tc>
      </w:tr>
      <w:tr w:rsidR="009C16D2" w:rsidRPr="002A53B9" w:rsidTr="009C16D2">
        <w:trPr>
          <w:trHeight w:val="268"/>
        </w:trPr>
        <w:tc>
          <w:tcPr>
            <w:tcW w:w="2107" w:type="dxa"/>
            <w:tcBorders>
              <w:top w:val="nil"/>
              <w:left w:val="single" w:sz="4" w:space="0" w:color="auto"/>
              <w:bottom w:val="nil"/>
              <w:right w:val="single" w:sz="4" w:space="0" w:color="auto"/>
            </w:tcBorders>
            <w:shd w:val="clear" w:color="auto" w:fill="auto"/>
            <w:noWrap/>
            <w:vAlign w:val="bottom"/>
            <w:hideMark/>
          </w:tcPr>
          <w:p w:rsidR="009C16D2" w:rsidRPr="002A53B9" w:rsidRDefault="009C16D2" w:rsidP="009C16D2">
            <w:pPr>
              <w:spacing w:after="0" w:line="240" w:lineRule="auto"/>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CHFEUR</w:t>
            </w:r>
          </w:p>
        </w:tc>
        <w:tc>
          <w:tcPr>
            <w:tcW w:w="1802" w:type="dxa"/>
            <w:tcBorders>
              <w:top w:val="nil"/>
              <w:left w:val="nil"/>
              <w:bottom w:val="nil"/>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1,514722</w:t>
            </w:r>
          </w:p>
        </w:tc>
        <w:tc>
          <w:tcPr>
            <w:tcW w:w="1802" w:type="dxa"/>
            <w:tcBorders>
              <w:top w:val="nil"/>
              <w:left w:val="nil"/>
              <w:bottom w:val="nil"/>
              <w:right w:val="nil"/>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0,9999</w:t>
            </w:r>
          </w:p>
        </w:tc>
        <w:tc>
          <w:tcPr>
            <w:tcW w:w="1924" w:type="dxa"/>
            <w:tcBorders>
              <w:top w:val="nil"/>
              <w:left w:val="single" w:sz="4" w:space="0" w:color="auto"/>
              <w:bottom w:val="nil"/>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5,775211</w:t>
            </w:r>
          </w:p>
        </w:tc>
        <w:tc>
          <w:tcPr>
            <w:tcW w:w="1741" w:type="dxa"/>
            <w:tcBorders>
              <w:top w:val="nil"/>
              <w:left w:val="nil"/>
              <w:bottom w:val="nil"/>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1</w:t>
            </w:r>
          </w:p>
        </w:tc>
      </w:tr>
      <w:tr w:rsidR="009C16D2" w:rsidRPr="002A53B9" w:rsidTr="009C16D2">
        <w:trPr>
          <w:trHeight w:val="268"/>
        </w:trPr>
        <w:tc>
          <w:tcPr>
            <w:tcW w:w="2107" w:type="dxa"/>
            <w:tcBorders>
              <w:top w:val="nil"/>
              <w:left w:val="single" w:sz="4" w:space="0" w:color="auto"/>
              <w:bottom w:val="single" w:sz="4" w:space="0" w:color="auto"/>
              <w:right w:val="single" w:sz="4" w:space="0" w:color="auto"/>
            </w:tcBorders>
            <w:shd w:val="clear" w:color="auto" w:fill="auto"/>
            <w:noWrap/>
            <w:vAlign w:val="bottom"/>
            <w:hideMark/>
          </w:tcPr>
          <w:p w:rsidR="009C16D2" w:rsidRPr="002A53B9" w:rsidRDefault="009C16D2" w:rsidP="009C16D2">
            <w:pPr>
              <w:spacing w:after="0" w:line="240" w:lineRule="auto"/>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EUCGDS</w:t>
            </w:r>
          </w:p>
        </w:tc>
        <w:tc>
          <w:tcPr>
            <w:tcW w:w="1802" w:type="dxa"/>
            <w:tcBorders>
              <w:top w:val="nil"/>
              <w:left w:val="nil"/>
              <w:bottom w:val="single" w:sz="4" w:space="0" w:color="auto"/>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-0,922298</w:t>
            </w:r>
          </w:p>
        </w:tc>
        <w:tc>
          <w:tcPr>
            <w:tcW w:w="1802" w:type="dxa"/>
            <w:tcBorders>
              <w:top w:val="nil"/>
              <w:left w:val="nil"/>
              <w:bottom w:val="single" w:sz="4" w:space="0" w:color="auto"/>
              <w:right w:val="nil"/>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0,9147</w:t>
            </w:r>
          </w:p>
        </w:tc>
        <w:tc>
          <w:tcPr>
            <w:tcW w:w="1924" w:type="dxa"/>
            <w:tcBorders>
              <w:top w:val="nil"/>
              <w:left w:val="single" w:sz="4" w:space="0" w:color="auto"/>
              <w:bottom w:val="single" w:sz="4" w:space="0" w:color="auto"/>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-3,602801</w:t>
            </w:r>
          </w:p>
        </w:tc>
        <w:tc>
          <w:tcPr>
            <w:tcW w:w="1741" w:type="dxa"/>
            <w:tcBorders>
              <w:top w:val="nil"/>
              <w:left w:val="nil"/>
              <w:bottom w:val="single" w:sz="4" w:space="0" w:color="auto"/>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0,8382</w:t>
            </w:r>
          </w:p>
        </w:tc>
      </w:tr>
      <w:tr w:rsidR="009C16D2" w:rsidRPr="002A53B9" w:rsidTr="009C16D2">
        <w:trPr>
          <w:trHeight w:val="268"/>
        </w:trPr>
        <w:tc>
          <w:tcPr>
            <w:tcW w:w="2107" w:type="dxa"/>
            <w:tcBorders>
              <w:top w:val="nil"/>
              <w:left w:val="single" w:sz="4" w:space="0" w:color="auto"/>
              <w:bottom w:val="nil"/>
              <w:right w:val="single" w:sz="4" w:space="0" w:color="auto"/>
            </w:tcBorders>
            <w:shd w:val="clear" w:color="auto" w:fill="auto"/>
            <w:noWrap/>
            <w:vAlign w:val="bottom"/>
            <w:hideMark/>
          </w:tcPr>
          <w:p w:rsidR="009C16D2" w:rsidRPr="002A53B9" w:rsidRDefault="009C16D2" w:rsidP="009C16D2">
            <w:pPr>
              <w:spacing w:after="0" w:line="240" w:lineRule="auto"/>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CHFEUR</w:t>
            </w:r>
          </w:p>
        </w:tc>
        <w:tc>
          <w:tcPr>
            <w:tcW w:w="1802" w:type="dxa"/>
            <w:tcBorders>
              <w:top w:val="nil"/>
              <w:left w:val="nil"/>
              <w:bottom w:val="nil"/>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0,93115</w:t>
            </w:r>
          </w:p>
        </w:tc>
        <w:tc>
          <w:tcPr>
            <w:tcW w:w="1802" w:type="dxa"/>
            <w:tcBorders>
              <w:top w:val="nil"/>
              <w:left w:val="nil"/>
              <w:bottom w:val="nil"/>
              <w:right w:val="nil"/>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0,999</w:t>
            </w:r>
          </w:p>
        </w:tc>
        <w:tc>
          <w:tcPr>
            <w:tcW w:w="1924" w:type="dxa"/>
            <w:tcBorders>
              <w:top w:val="nil"/>
              <w:left w:val="single" w:sz="4" w:space="0" w:color="auto"/>
              <w:bottom w:val="nil"/>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3,724024</w:t>
            </w:r>
          </w:p>
        </w:tc>
        <w:tc>
          <w:tcPr>
            <w:tcW w:w="1741" w:type="dxa"/>
            <w:tcBorders>
              <w:top w:val="nil"/>
              <w:left w:val="nil"/>
              <w:bottom w:val="nil"/>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1</w:t>
            </w:r>
          </w:p>
        </w:tc>
      </w:tr>
      <w:tr w:rsidR="009C16D2" w:rsidRPr="002A53B9" w:rsidTr="009C16D2">
        <w:trPr>
          <w:trHeight w:val="268"/>
        </w:trPr>
        <w:tc>
          <w:tcPr>
            <w:tcW w:w="2107" w:type="dxa"/>
            <w:tcBorders>
              <w:top w:val="nil"/>
              <w:left w:val="single" w:sz="4" w:space="0" w:color="auto"/>
              <w:bottom w:val="single" w:sz="4" w:space="0" w:color="auto"/>
              <w:right w:val="single" w:sz="4" w:space="0" w:color="auto"/>
            </w:tcBorders>
            <w:shd w:val="clear" w:color="auto" w:fill="auto"/>
            <w:noWrap/>
            <w:vAlign w:val="bottom"/>
            <w:hideMark/>
          </w:tcPr>
          <w:p w:rsidR="009C16D2" w:rsidRPr="002A53B9" w:rsidRDefault="009C16D2" w:rsidP="009C16D2">
            <w:pPr>
              <w:spacing w:after="0" w:line="240" w:lineRule="auto"/>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EUCSVS</w:t>
            </w:r>
          </w:p>
        </w:tc>
        <w:tc>
          <w:tcPr>
            <w:tcW w:w="1802" w:type="dxa"/>
            <w:tcBorders>
              <w:top w:val="nil"/>
              <w:left w:val="nil"/>
              <w:bottom w:val="single" w:sz="4" w:space="0" w:color="auto"/>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-1,108604</w:t>
            </w:r>
          </w:p>
        </w:tc>
        <w:tc>
          <w:tcPr>
            <w:tcW w:w="1802" w:type="dxa"/>
            <w:tcBorders>
              <w:top w:val="nil"/>
              <w:left w:val="nil"/>
              <w:bottom w:val="single" w:sz="4" w:space="0" w:color="auto"/>
              <w:right w:val="nil"/>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0,88</w:t>
            </w:r>
          </w:p>
        </w:tc>
        <w:tc>
          <w:tcPr>
            <w:tcW w:w="1924" w:type="dxa"/>
            <w:tcBorders>
              <w:top w:val="nil"/>
              <w:left w:val="single" w:sz="4" w:space="0" w:color="auto"/>
              <w:bottom w:val="single" w:sz="4" w:space="0" w:color="auto"/>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-2,793785</w:t>
            </w:r>
          </w:p>
        </w:tc>
        <w:tc>
          <w:tcPr>
            <w:tcW w:w="1741" w:type="dxa"/>
            <w:tcBorders>
              <w:top w:val="nil"/>
              <w:left w:val="nil"/>
              <w:bottom w:val="single" w:sz="4" w:space="0" w:color="auto"/>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0,8902</w:t>
            </w:r>
          </w:p>
        </w:tc>
      </w:tr>
      <w:tr w:rsidR="009C16D2" w:rsidRPr="002A53B9" w:rsidTr="009C16D2">
        <w:trPr>
          <w:trHeight w:val="268"/>
        </w:trPr>
        <w:tc>
          <w:tcPr>
            <w:tcW w:w="2107" w:type="dxa"/>
            <w:tcBorders>
              <w:top w:val="nil"/>
              <w:left w:val="single" w:sz="4" w:space="0" w:color="auto"/>
              <w:bottom w:val="nil"/>
              <w:right w:val="single" w:sz="4" w:space="0" w:color="auto"/>
            </w:tcBorders>
            <w:shd w:val="clear" w:color="auto" w:fill="auto"/>
            <w:noWrap/>
            <w:vAlign w:val="bottom"/>
            <w:hideMark/>
          </w:tcPr>
          <w:p w:rsidR="009C16D2" w:rsidRPr="002A53B9" w:rsidRDefault="009C16D2" w:rsidP="009C16D2">
            <w:pPr>
              <w:spacing w:after="0" w:line="240" w:lineRule="auto"/>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CHFEUR</w:t>
            </w:r>
          </w:p>
        </w:tc>
        <w:tc>
          <w:tcPr>
            <w:tcW w:w="1802" w:type="dxa"/>
            <w:tcBorders>
              <w:top w:val="nil"/>
              <w:left w:val="nil"/>
              <w:bottom w:val="nil"/>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1,182147</w:t>
            </w:r>
          </w:p>
        </w:tc>
        <w:tc>
          <w:tcPr>
            <w:tcW w:w="1802" w:type="dxa"/>
            <w:tcBorders>
              <w:top w:val="nil"/>
              <w:left w:val="nil"/>
              <w:bottom w:val="nil"/>
              <w:right w:val="nil"/>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0,9996</w:t>
            </w:r>
          </w:p>
        </w:tc>
        <w:tc>
          <w:tcPr>
            <w:tcW w:w="1924" w:type="dxa"/>
            <w:tcBorders>
              <w:top w:val="nil"/>
              <w:left w:val="single" w:sz="4" w:space="0" w:color="auto"/>
              <w:bottom w:val="nil"/>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4,97207</w:t>
            </w:r>
          </w:p>
        </w:tc>
        <w:tc>
          <w:tcPr>
            <w:tcW w:w="1741" w:type="dxa"/>
            <w:tcBorders>
              <w:top w:val="nil"/>
              <w:left w:val="nil"/>
              <w:bottom w:val="nil"/>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1</w:t>
            </w:r>
          </w:p>
        </w:tc>
      </w:tr>
      <w:tr w:rsidR="009C16D2" w:rsidRPr="002A53B9" w:rsidTr="009C16D2">
        <w:trPr>
          <w:trHeight w:val="268"/>
        </w:trPr>
        <w:tc>
          <w:tcPr>
            <w:tcW w:w="2107" w:type="dxa"/>
            <w:tcBorders>
              <w:top w:val="nil"/>
              <w:left w:val="single" w:sz="4" w:space="0" w:color="auto"/>
              <w:bottom w:val="single" w:sz="4" w:space="0" w:color="auto"/>
              <w:right w:val="single" w:sz="4" w:space="0" w:color="auto"/>
            </w:tcBorders>
            <w:shd w:val="clear" w:color="auto" w:fill="auto"/>
            <w:noWrap/>
            <w:vAlign w:val="bottom"/>
            <w:hideMark/>
          </w:tcPr>
          <w:p w:rsidR="009C16D2" w:rsidRPr="002A53B9" w:rsidRDefault="009C16D2" w:rsidP="009C16D2">
            <w:pPr>
              <w:spacing w:after="0" w:line="240" w:lineRule="auto"/>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EUFSVS</w:t>
            </w:r>
          </w:p>
        </w:tc>
        <w:tc>
          <w:tcPr>
            <w:tcW w:w="1802" w:type="dxa"/>
            <w:tcBorders>
              <w:top w:val="nil"/>
              <w:left w:val="nil"/>
              <w:bottom w:val="single" w:sz="4" w:space="0" w:color="auto"/>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-0,633031</w:t>
            </w:r>
          </w:p>
        </w:tc>
        <w:tc>
          <w:tcPr>
            <w:tcW w:w="1802" w:type="dxa"/>
            <w:tcBorders>
              <w:top w:val="nil"/>
              <w:left w:val="nil"/>
              <w:bottom w:val="single" w:sz="4" w:space="0" w:color="auto"/>
              <w:right w:val="nil"/>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0,9509</w:t>
            </w:r>
          </w:p>
        </w:tc>
        <w:tc>
          <w:tcPr>
            <w:tcW w:w="1924" w:type="dxa"/>
            <w:tcBorders>
              <w:top w:val="nil"/>
              <w:left w:val="single" w:sz="4" w:space="0" w:color="auto"/>
              <w:bottom w:val="single" w:sz="4" w:space="0" w:color="auto"/>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-2,001154</w:t>
            </w:r>
          </w:p>
        </w:tc>
        <w:tc>
          <w:tcPr>
            <w:tcW w:w="1741" w:type="dxa"/>
            <w:tcBorders>
              <w:top w:val="nil"/>
              <w:left w:val="nil"/>
              <w:bottom w:val="single" w:sz="4" w:space="0" w:color="auto"/>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0,9311</w:t>
            </w:r>
          </w:p>
        </w:tc>
      </w:tr>
      <w:tr w:rsidR="009C16D2" w:rsidRPr="002A53B9" w:rsidTr="009C16D2">
        <w:trPr>
          <w:trHeight w:val="268"/>
        </w:trPr>
        <w:tc>
          <w:tcPr>
            <w:tcW w:w="2107" w:type="dxa"/>
            <w:tcBorders>
              <w:top w:val="nil"/>
              <w:left w:val="single" w:sz="4" w:space="0" w:color="auto"/>
              <w:bottom w:val="nil"/>
              <w:right w:val="single" w:sz="4" w:space="0" w:color="auto"/>
            </w:tcBorders>
            <w:shd w:val="clear" w:color="auto" w:fill="auto"/>
            <w:noWrap/>
            <w:vAlign w:val="bottom"/>
            <w:hideMark/>
          </w:tcPr>
          <w:p w:rsidR="009C16D2" w:rsidRPr="002A53B9" w:rsidRDefault="009C16D2" w:rsidP="009C16D2">
            <w:pPr>
              <w:spacing w:after="0" w:line="240" w:lineRule="auto"/>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CHFEUR</w:t>
            </w:r>
          </w:p>
        </w:tc>
        <w:tc>
          <w:tcPr>
            <w:tcW w:w="1802" w:type="dxa"/>
            <w:tcBorders>
              <w:top w:val="nil"/>
              <w:left w:val="nil"/>
              <w:bottom w:val="nil"/>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1,015189</w:t>
            </w:r>
          </w:p>
        </w:tc>
        <w:tc>
          <w:tcPr>
            <w:tcW w:w="1802" w:type="dxa"/>
            <w:tcBorders>
              <w:top w:val="nil"/>
              <w:left w:val="nil"/>
              <w:bottom w:val="nil"/>
              <w:right w:val="nil"/>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0,9992</w:t>
            </w:r>
          </w:p>
        </w:tc>
        <w:tc>
          <w:tcPr>
            <w:tcW w:w="1924" w:type="dxa"/>
            <w:tcBorders>
              <w:top w:val="nil"/>
              <w:left w:val="single" w:sz="4" w:space="0" w:color="auto"/>
              <w:bottom w:val="nil"/>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3,983928</w:t>
            </w:r>
          </w:p>
        </w:tc>
        <w:tc>
          <w:tcPr>
            <w:tcW w:w="1741" w:type="dxa"/>
            <w:tcBorders>
              <w:top w:val="nil"/>
              <w:left w:val="nil"/>
              <w:bottom w:val="nil"/>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1</w:t>
            </w:r>
          </w:p>
        </w:tc>
      </w:tr>
      <w:tr w:rsidR="009C16D2" w:rsidRPr="002A53B9" w:rsidTr="009C16D2">
        <w:trPr>
          <w:trHeight w:val="268"/>
        </w:trPr>
        <w:tc>
          <w:tcPr>
            <w:tcW w:w="2107" w:type="dxa"/>
            <w:tcBorders>
              <w:top w:val="nil"/>
              <w:left w:val="single" w:sz="4" w:space="0" w:color="auto"/>
              <w:bottom w:val="single" w:sz="4" w:space="0" w:color="auto"/>
              <w:right w:val="single" w:sz="4" w:space="0" w:color="auto"/>
            </w:tcBorders>
            <w:shd w:val="clear" w:color="auto" w:fill="auto"/>
            <w:noWrap/>
            <w:vAlign w:val="bottom"/>
            <w:hideMark/>
          </w:tcPr>
          <w:p w:rsidR="009C16D2" w:rsidRPr="002A53B9" w:rsidRDefault="009C16D2" w:rsidP="009C16D2">
            <w:pPr>
              <w:spacing w:after="0" w:line="240" w:lineRule="auto"/>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EUHC</w:t>
            </w:r>
          </w:p>
        </w:tc>
        <w:tc>
          <w:tcPr>
            <w:tcW w:w="1802" w:type="dxa"/>
            <w:tcBorders>
              <w:top w:val="nil"/>
              <w:left w:val="nil"/>
              <w:bottom w:val="single" w:sz="4" w:space="0" w:color="auto"/>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-1,709104</w:t>
            </w:r>
          </w:p>
        </w:tc>
        <w:tc>
          <w:tcPr>
            <w:tcW w:w="1802" w:type="dxa"/>
            <w:tcBorders>
              <w:top w:val="nil"/>
              <w:left w:val="nil"/>
              <w:bottom w:val="single" w:sz="4" w:space="0" w:color="auto"/>
              <w:right w:val="nil"/>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0,674</w:t>
            </w:r>
          </w:p>
        </w:tc>
        <w:tc>
          <w:tcPr>
            <w:tcW w:w="1924" w:type="dxa"/>
            <w:tcBorders>
              <w:top w:val="nil"/>
              <w:left w:val="single" w:sz="4" w:space="0" w:color="auto"/>
              <w:bottom w:val="single" w:sz="4" w:space="0" w:color="auto"/>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-6,48738</w:t>
            </w:r>
          </w:p>
        </w:tc>
        <w:tc>
          <w:tcPr>
            <w:tcW w:w="1741" w:type="dxa"/>
            <w:tcBorders>
              <w:top w:val="nil"/>
              <w:left w:val="nil"/>
              <w:bottom w:val="single" w:sz="4" w:space="0" w:color="auto"/>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0,6128</w:t>
            </w:r>
          </w:p>
        </w:tc>
      </w:tr>
      <w:tr w:rsidR="009C16D2" w:rsidRPr="002A53B9" w:rsidTr="009C16D2">
        <w:trPr>
          <w:trHeight w:val="268"/>
        </w:trPr>
        <w:tc>
          <w:tcPr>
            <w:tcW w:w="2107" w:type="dxa"/>
            <w:tcBorders>
              <w:top w:val="nil"/>
              <w:left w:val="single" w:sz="4" w:space="0" w:color="auto"/>
              <w:bottom w:val="nil"/>
              <w:right w:val="single" w:sz="4" w:space="0" w:color="auto"/>
            </w:tcBorders>
            <w:shd w:val="clear" w:color="auto" w:fill="auto"/>
            <w:noWrap/>
            <w:vAlign w:val="bottom"/>
            <w:hideMark/>
          </w:tcPr>
          <w:p w:rsidR="009C16D2" w:rsidRPr="002A53B9" w:rsidRDefault="009C16D2" w:rsidP="009C16D2">
            <w:pPr>
              <w:spacing w:after="0" w:line="240" w:lineRule="auto"/>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CHFEUR</w:t>
            </w:r>
          </w:p>
        </w:tc>
        <w:tc>
          <w:tcPr>
            <w:tcW w:w="1802" w:type="dxa"/>
            <w:tcBorders>
              <w:top w:val="nil"/>
              <w:left w:val="nil"/>
              <w:bottom w:val="nil"/>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1,564604</w:t>
            </w:r>
          </w:p>
        </w:tc>
        <w:tc>
          <w:tcPr>
            <w:tcW w:w="1802" w:type="dxa"/>
            <w:tcBorders>
              <w:top w:val="nil"/>
              <w:left w:val="nil"/>
              <w:bottom w:val="nil"/>
              <w:right w:val="nil"/>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0,9999</w:t>
            </w:r>
          </w:p>
        </w:tc>
        <w:tc>
          <w:tcPr>
            <w:tcW w:w="1924" w:type="dxa"/>
            <w:tcBorders>
              <w:top w:val="nil"/>
              <w:left w:val="single" w:sz="4" w:space="0" w:color="auto"/>
              <w:bottom w:val="nil"/>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5,975854</w:t>
            </w:r>
          </w:p>
        </w:tc>
        <w:tc>
          <w:tcPr>
            <w:tcW w:w="1741" w:type="dxa"/>
            <w:tcBorders>
              <w:top w:val="nil"/>
              <w:left w:val="nil"/>
              <w:bottom w:val="nil"/>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1</w:t>
            </w:r>
          </w:p>
        </w:tc>
      </w:tr>
      <w:tr w:rsidR="009C16D2" w:rsidRPr="002A53B9" w:rsidTr="009C16D2">
        <w:trPr>
          <w:trHeight w:val="268"/>
        </w:trPr>
        <w:tc>
          <w:tcPr>
            <w:tcW w:w="2107" w:type="dxa"/>
            <w:tcBorders>
              <w:top w:val="nil"/>
              <w:left w:val="single" w:sz="4" w:space="0" w:color="auto"/>
              <w:bottom w:val="single" w:sz="4" w:space="0" w:color="auto"/>
              <w:right w:val="single" w:sz="4" w:space="0" w:color="auto"/>
            </w:tcBorders>
            <w:shd w:val="clear" w:color="auto" w:fill="auto"/>
            <w:noWrap/>
            <w:vAlign w:val="bottom"/>
            <w:hideMark/>
          </w:tcPr>
          <w:p w:rsidR="009C16D2" w:rsidRPr="002A53B9" w:rsidRDefault="009C16D2" w:rsidP="009C16D2">
            <w:pPr>
              <w:spacing w:after="0" w:line="240" w:lineRule="auto"/>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EUIND</w:t>
            </w:r>
          </w:p>
        </w:tc>
        <w:tc>
          <w:tcPr>
            <w:tcW w:w="1802" w:type="dxa"/>
            <w:tcBorders>
              <w:top w:val="nil"/>
              <w:left w:val="nil"/>
              <w:bottom w:val="single" w:sz="4" w:space="0" w:color="auto"/>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-0,622124</w:t>
            </w:r>
          </w:p>
        </w:tc>
        <w:tc>
          <w:tcPr>
            <w:tcW w:w="1802" w:type="dxa"/>
            <w:tcBorders>
              <w:top w:val="nil"/>
              <w:left w:val="nil"/>
              <w:bottom w:val="single" w:sz="4" w:space="0" w:color="auto"/>
              <w:right w:val="nil"/>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0,9519</w:t>
            </w:r>
          </w:p>
        </w:tc>
        <w:tc>
          <w:tcPr>
            <w:tcW w:w="1924" w:type="dxa"/>
            <w:tcBorders>
              <w:top w:val="nil"/>
              <w:left w:val="single" w:sz="4" w:space="0" w:color="auto"/>
              <w:bottom w:val="single" w:sz="4" w:space="0" w:color="auto"/>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-1,932589</w:t>
            </w:r>
          </w:p>
        </w:tc>
        <w:tc>
          <w:tcPr>
            <w:tcW w:w="1741" w:type="dxa"/>
            <w:tcBorders>
              <w:top w:val="nil"/>
              <w:left w:val="nil"/>
              <w:bottom w:val="single" w:sz="4" w:space="0" w:color="auto"/>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0,9341</w:t>
            </w:r>
          </w:p>
        </w:tc>
      </w:tr>
      <w:tr w:rsidR="009C16D2" w:rsidRPr="002A53B9" w:rsidTr="009C16D2">
        <w:trPr>
          <w:trHeight w:val="268"/>
        </w:trPr>
        <w:tc>
          <w:tcPr>
            <w:tcW w:w="2107" w:type="dxa"/>
            <w:tcBorders>
              <w:top w:val="nil"/>
              <w:left w:val="single" w:sz="4" w:space="0" w:color="auto"/>
              <w:bottom w:val="nil"/>
              <w:right w:val="single" w:sz="4" w:space="0" w:color="auto"/>
            </w:tcBorders>
            <w:shd w:val="clear" w:color="auto" w:fill="auto"/>
            <w:noWrap/>
            <w:vAlign w:val="bottom"/>
            <w:hideMark/>
          </w:tcPr>
          <w:p w:rsidR="009C16D2" w:rsidRPr="002A53B9" w:rsidRDefault="009C16D2" w:rsidP="009C16D2">
            <w:pPr>
              <w:spacing w:after="0" w:line="240" w:lineRule="auto"/>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CHFEUR</w:t>
            </w:r>
          </w:p>
        </w:tc>
        <w:tc>
          <w:tcPr>
            <w:tcW w:w="1802" w:type="dxa"/>
            <w:tcBorders>
              <w:top w:val="nil"/>
              <w:left w:val="nil"/>
              <w:bottom w:val="nil"/>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0,540519</w:t>
            </w:r>
          </w:p>
        </w:tc>
        <w:tc>
          <w:tcPr>
            <w:tcW w:w="1802" w:type="dxa"/>
            <w:tcBorders>
              <w:top w:val="nil"/>
              <w:left w:val="nil"/>
              <w:bottom w:val="nil"/>
              <w:right w:val="nil"/>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0,9969</w:t>
            </w:r>
          </w:p>
        </w:tc>
        <w:tc>
          <w:tcPr>
            <w:tcW w:w="1924" w:type="dxa"/>
            <w:tcBorders>
              <w:top w:val="nil"/>
              <w:left w:val="single" w:sz="4" w:space="0" w:color="auto"/>
              <w:bottom w:val="nil"/>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2,371205</w:t>
            </w:r>
          </w:p>
        </w:tc>
        <w:tc>
          <w:tcPr>
            <w:tcW w:w="1741" w:type="dxa"/>
            <w:tcBorders>
              <w:top w:val="nil"/>
              <w:left w:val="nil"/>
              <w:bottom w:val="nil"/>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0,9995</w:t>
            </w:r>
          </w:p>
        </w:tc>
      </w:tr>
      <w:tr w:rsidR="009C16D2" w:rsidRPr="002A53B9" w:rsidTr="009C16D2">
        <w:trPr>
          <w:trHeight w:val="268"/>
        </w:trPr>
        <w:tc>
          <w:tcPr>
            <w:tcW w:w="2107" w:type="dxa"/>
            <w:tcBorders>
              <w:top w:val="nil"/>
              <w:left w:val="single" w:sz="4" w:space="0" w:color="auto"/>
              <w:bottom w:val="single" w:sz="4" w:space="0" w:color="auto"/>
              <w:right w:val="single" w:sz="4" w:space="0" w:color="auto"/>
            </w:tcBorders>
            <w:shd w:val="clear" w:color="auto" w:fill="auto"/>
            <w:noWrap/>
            <w:vAlign w:val="bottom"/>
            <w:hideMark/>
          </w:tcPr>
          <w:p w:rsidR="009C16D2" w:rsidRPr="002A53B9" w:rsidRDefault="009C16D2" w:rsidP="009C16D2">
            <w:pPr>
              <w:spacing w:after="0" w:line="240" w:lineRule="auto"/>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EUOG</w:t>
            </w:r>
          </w:p>
        </w:tc>
        <w:tc>
          <w:tcPr>
            <w:tcW w:w="1802" w:type="dxa"/>
            <w:tcBorders>
              <w:top w:val="nil"/>
              <w:left w:val="nil"/>
              <w:bottom w:val="single" w:sz="4" w:space="0" w:color="auto"/>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-2,301246</w:t>
            </w:r>
          </w:p>
        </w:tc>
        <w:tc>
          <w:tcPr>
            <w:tcW w:w="1802" w:type="dxa"/>
            <w:tcBorders>
              <w:top w:val="nil"/>
              <w:left w:val="nil"/>
              <w:bottom w:val="single" w:sz="4" w:space="0" w:color="auto"/>
              <w:right w:val="nil"/>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0,3725</w:t>
            </w:r>
          </w:p>
        </w:tc>
        <w:tc>
          <w:tcPr>
            <w:tcW w:w="1924" w:type="dxa"/>
            <w:tcBorders>
              <w:top w:val="nil"/>
              <w:left w:val="single" w:sz="4" w:space="0" w:color="auto"/>
              <w:bottom w:val="single" w:sz="4" w:space="0" w:color="auto"/>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-10,84532</w:t>
            </w:r>
          </w:p>
        </w:tc>
        <w:tc>
          <w:tcPr>
            <w:tcW w:w="1741" w:type="dxa"/>
            <w:tcBorders>
              <w:top w:val="nil"/>
              <w:left w:val="nil"/>
              <w:bottom w:val="single" w:sz="4" w:space="0" w:color="auto"/>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0,3164</w:t>
            </w:r>
          </w:p>
        </w:tc>
      </w:tr>
      <w:tr w:rsidR="009C16D2" w:rsidRPr="002A53B9" w:rsidTr="009C16D2">
        <w:trPr>
          <w:trHeight w:val="268"/>
        </w:trPr>
        <w:tc>
          <w:tcPr>
            <w:tcW w:w="2107" w:type="dxa"/>
            <w:tcBorders>
              <w:top w:val="nil"/>
              <w:left w:val="single" w:sz="4" w:space="0" w:color="auto"/>
              <w:bottom w:val="nil"/>
              <w:right w:val="single" w:sz="4" w:space="0" w:color="auto"/>
            </w:tcBorders>
            <w:shd w:val="clear" w:color="auto" w:fill="auto"/>
            <w:noWrap/>
            <w:vAlign w:val="bottom"/>
            <w:hideMark/>
          </w:tcPr>
          <w:p w:rsidR="009C16D2" w:rsidRPr="002A53B9" w:rsidRDefault="009C16D2" w:rsidP="009C16D2">
            <w:pPr>
              <w:spacing w:after="0" w:line="240" w:lineRule="auto"/>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CHFEUR</w:t>
            </w:r>
          </w:p>
        </w:tc>
        <w:tc>
          <w:tcPr>
            <w:tcW w:w="1802" w:type="dxa"/>
            <w:tcBorders>
              <w:top w:val="nil"/>
              <w:left w:val="nil"/>
              <w:bottom w:val="nil"/>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1,140064</w:t>
            </w:r>
          </w:p>
        </w:tc>
        <w:tc>
          <w:tcPr>
            <w:tcW w:w="1802" w:type="dxa"/>
            <w:tcBorders>
              <w:top w:val="nil"/>
              <w:left w:val="nil"/>
              <w:bottom w:val="nil"/>
              <w:right w:val="nil"/>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0,9995</w:t>
            </w:r>
          </w:p>
        </w:tc>
        <w:tc>
          <w:tcPr>
            <w:tcW w:w="1924" w:type="dxa"/>
            <w:tcBorders>
              <w:top w:val="nil"/>
              <w:left w:val="single" w:sz="4" w:space="0" w:color="auto"/>
              <w:bottom w:val="nil"/>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4,849672</w:t>
            </w:r>
          </w:p>
        </w:tc>
        <w:tc>
          <w:tcPr>
            <w:tcW w:w="1741" w:type="dxa"/>
            <w:tcBorders>
              <w:top w:val="nil"/>
              <w:left w:val="nil"/>
              <w:bottom w:val="nil"/>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1</w:t>
            </w:r>
          </w:p>
        </w:tc>
      </w:tr>
      <w:tr w:rsidR="009C16D2" w:rsidRPr="002A53B9" w:rsidTr="009C16D2">
        <w:trPr>
          <w:trHeight w:val="268"/>
        </w:trPr>
        <w:tc>
          <w:tcPr>
            <w:tcW w:w="2107" w:type="dxa"/>
            <w:tcBorders>
              <w:top w:val="nil"/>
              <w:left w:val="single" w:sz="4" w:space="0" w:color="auto"/>
              <w:bottom w:val="single" w:sz="4" w:space="0" w:color="auto"/>
              <w:right w:val="single" w:sz="4" w:space="0" w:color="auto"/>
            </w:tcBorders>
            <w:shd w:val="clear" w:color="auto" w:fill="auto"/>
            <w:noWrap/>
            <w:vAlign w:val="bottom"/>
            <w:hideMark/>
          </w:tcPr>
          <w:p w:rsidR="009C16D2" w:rsidRPr="002A53B9" w:rsidRDefault="009C16D2" w:rsidP="009C16D2">
            <w:pPr>
              <w:spacing w:after="0" w:line="240" w:lineRule="auto"/>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EUROPE</w:t>
            </w:r>
          </w:p>
        </w:tc>
        <w:tc>
          <w:tcPr>
            <w:tcW w:w="1802" w:type="dxa"/>
            <w:tcBorders>
              <w:top w:val="nil"/>
              <w:left w:val="nil"/>
              <w:bottom w:val="single" w:sz="4" w:space="0" w:color="auto"/>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-0,971255</w:t>
            </w:r>
          </w:p>
        </w:tc>
        <w:tc>
          <w:tcPr>
            <w:tcW w:w="1802" w:type="dxa"/>
            <w:tcBorders>
              <w:top w:val="nil"/>
              <w:left w:val="nil"/>
              <w:bottom w:val="single" w:sz="4" w:space="0" w:color="auto"/>
              <w:right w:val="nil"/>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0,9067</w:t>
            </w:r>
          </w:p>
        </w:tc>
        <w:tc>
          <w:tcPr>
            <w:tcW w:w="1924" w:type="dxa"/>
            <w:tcBorders>
              <w:top w:val="nil"/>
              <w:left w:val="single" w:sz="4" w:space="0" w:color="auto"/>
              <w:bottom w:val="single" w:sz="4" w:space="0" w:color="auto"/>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-3,555038</w:t>
            </w:r>
          </w:p>
        </w:tc>
        <w:tc>
          <w:tcPr>
            <w:tcW w:w="1741" w:type="dxa"/>
            <w:tcBorders>
              <w:top w:val="nil"/>
              <w:left w:val="nil"/>
              <w:bottom w:val="single" w:sz="4" w:space="0" w:color="auto"/>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0,8415</w:t>
            </w:r>
          </w:p>
        </w:tc>
      </w:tr>
      <w:tr w:rsidR="009C16D2" w:rsidRPr="002A53B9" w:rsidTr="009C16D2">
        <w:trPr>
          <w:trHeight w:val="268"/>
        </w:trPr>
        <w:tc>
          <w:tcPr>
            <w:tcW w:w="2107" w:type="dxa"/>
            <w:tcBorders>
              <w:top w:val="nil"/>
              <w:left w:val="single" w:sz="4" w:space="0" w:color="auto"/>
              <w:bottom w:val="nil"/>
              <w:right w:val="single" w:sz="4" w:space="0" w:color="auto"/>
            </w:tcBorders>
            <w:shd w:val="clear" w:color="auto" w:fill="auto"/>
            <w:noWrap/>
            <w:vAlign w:val="bottom"/>
            <w:hideMark/>
          </w:tcPr>
          <w:p w:rsidR="009C16D2" w:rsidRPr="002A53B9" w:rsidRDefault="009C16D2" w:rsidP="009C16D2">
            <w:pPr>
              <w:spacing w:after="0" w:line="240" w:lineRule="auto"/>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CHFEUR</w:t>
            </w:r>
          </w:p>
        </w:tc>
        <w:tc>
          <w:tcPr>
            <w:tcW w:w="1802" w:type="dxa"/>
            <w:tcBorders>
              <w:top w:val="nil"/>
              <w:left w:val="nil"/>
              <w:bottom w:val="nil"/>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0,768297</w:t>
            </w:r>
          </w:p>
        </w:tc>
        <w:tc>
          <w:tcPr>
            <w:tcW w:w="1802" w:type="dxa"/>
            <w:tcBorders>
              <w:top w:val="nil"/>
              <w:left w:val="nil"/>
              <w:bottom w:val="nil"/>
              <w:right w:val="nil"/>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0,9984</w:t>
            </w:r>
          </w:p>
        </w:tc>
        <w:tc>
          <w:tcPr>
            <w:tcW w:w="1924" w:type="dxa"/>
            <w:tcBorders>
              <w:top w:val="nil"/>
              <w:left w:val="single" w:sz="4" w:space="0" w:color="auto"/>
              <w:bottom w:val="nil"/>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3,071829</w:t>
            </w:r>
          </w:p>
        </w:tc>
        <w:tc>
          <w:tcPr>
            <w:tcW w:w="1741" w:type="dxa"/>
            <w:tcBorders>
              <w:top w:val="nil"/>
              <w:left w:val="nil"/>
              <w:bottom w:val="nil"/>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0,9998</w:t>
            </w:r>
          </w:p>
        </w:tc>
      </w:tr>
      <w:tr w:rsidR="009C16D2" w:rsidRPr="002A53B9" w:rsidTr="009C16D2">
        <w:trPr>
          <w:trHeight w:val="268"/>
        </w:trPr>
        <w:tc>
          <w:tcPr>
            <w:tcW w:w="2107" w:type="dxa"/>
            <w:tcBorders>
              <w:top w:val="nil"/>
              <w:left w:val="single" w:sz="4" w:space="0" w:color="auto"/>
              <w:bottom w:val="single" w:sz="4" w:space="0" w:color="auto"/>
              <w:right w:val="single" w:sz="4" w:space="0" w:color="auto"/>
            </w:tcBorders>
            <w:shd w:val="clear" w:color="auto" w:fill="auto"/>
            <w:noWrap/>
            <w:vAlign w:val="bottom"/>
            <w:hideMark/>
          </w:tcPr>
          <w:p w:rsidR="009C16D2" w:rsidRPr="002A53B9" w:rsidRDefault="009C16D2" w:rsidP="009C16D2">
            <w:pPr>
              <w:spacing w:after="0" w:line="240" w:lineRule="auto"/>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EUTECH</w:t>
            </w:r>
          </w:p>
        </w:tc>
        <w:tc>
          <w:tcPr>
            <w:tcW w:w="1802" w:type="dxa"/>
            <w:tcBorders>
              <w:top w:val="nil"/>
              <w:left w:val="nil"/>
              <w:bottom w:val="single" w:sz="4" w:space="0" w:color="auto"/>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-1,470881</w:t>
            </w:r>
          </w:p>
        </w:tc>
        <w:tc>
          <w:tcPr>
            <w:tcW w:w="1802" w:type="dxa"/>
            <w:tcBorders>
              <w:top w:val="nil"/>
              <w:left w:val="nil"/>
              <w:bottom w:val="single" w:sz="4" w:space="0" w:color="auto"/>
              <w:right w:val="nil"/>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0,7743</w:t>
            </w:r>
          </w:p>
        </w:tc>
        <w:tc>
          <w:tcPr>
            <w:tcW w:w="1924" w:type="dxa"/>
            <w:tcBorders>
              <w:top w:val="nil"/>
              <w:left w:val="single" w:sz="4" w:space="0" w:color="auto"/>
              <w:bottom w:val="single" w:sz="4" w:space="0" w:color="auto"/>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-4,49902</w:t>
            </w:r>
          </w:p>
        </w:tc>
        <w:tc>
          <w:tcPr>
            <w:tcW w:w="1741" w:type="dxa"/>
            <w:tcBorders>
              <w:top w:val="nil"/>
              <w:left w:val="nil"/>
              <w:bottom w:val="single" w:sz="4" w:space="0" w:color="auto"/>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0,772</w:t>
            </w:r>
          </w:p>
        </w:tc>
      </w:tr>
      <w:tr w:rsidR="009C16D2" w:rsidRPr="002A53B9" w:rsidTr="009C16D2">
        <w:trPr>
          <w:trHeight w:val="268"/>
        </w:trPr>
        <w:tc>
          <w:tcPr>
            <w:tcW w:w="2107" w:type="dxa"/>
            <w:tcBorders>
              <w:top w:val="nil"/>
              <w:left w:val="single" w:sz="4" w:space="0" w:color="auto"/>
              <w:bottom w:val="nil"/>
              <w:right w:val="single" w:sz="4" w:space="0" w:color="auto"/>
            </w:tcBorders>
            <w:shd w:val="clear" w:color="auto" w:fill="auto"/>
            <w:noWrap/>
            <w:vAlign w:val="bottom"/>
            <w:hideMark/>
          </w:tcPr>
          <w:p w:rsidR="009C16D2" w:rsidRPr="002A53B9" w:rsidRDefault="009C16D2" w:rsidP="009C16D2">
            <w:pPr>
              <w:spacing w:after="0" w:line="240" w:lineRule="auto"/>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CHFEUR</w:t>
            </w:r>
          </w:p>
        </w:tc>
        <w:tc>
          <w:tcPr>
            <w:tcW w:w="1802" w:type="dxa"/>
            <w:tcBorders>
              <w:top w:val="nil"/>
              <w:left w:val="nil"/>
              <w:bottom w:val="nil"/>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0,812129</w:t>
            </w:r>
          </w:p>
        </w:tc>
        <w:tc>
          <w:tcPr>
            <w:tcW w:w="1802" w:type="dxa"/>
            <w:tcBorders>
              <w:top w:val="nil"/>
              <w:left w:val="nil"/>
              <w:bottom w:val="nil"/>
              <w:right w:val="nil"/>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0,9986</w:t>
            </w:r>
          </w:p>
        </w:tc>
        <w:tc>
          <w:tcPr>
            <w:tcW w:w="1924" w:type="dxa"/>
            <w:tcBorders>
              <w:top w:val="nil"/>
              <w:left w:val="single" w:sz="4" w:space="0" w:color="auto"/>
              <w:bottom w:val="nil"/>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3,284547</w:t>
            </w:r>
          </w:p>
        </w:tc>
        <w:tc>
          <w:tcPr>
            <w:tcW w:w="1741" w:type="dxa"/>
            <w:tcBorders>
              <w:top w:val="nil"/>
              <w:left w:val="nil"/>
              <w:bottom w:val="nil"/>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0,9999</w:t>
            </w:r>
          </w:p>
        </w:tc>
      </w:tr>
      <w:tr w:rsidR="009C16D2" w:rsidRPr="002A53B9" w:rsidTr="009C16D2">
        <w:trPr>
          <w:trHeight w:val="268"/>
        </w:trPr>
        <w:tc>
          <w:tcPr>
            <w:tcW w:w="2107" w:type="dxa"/>
            <w:tcBorders>
              <w:top w:val="nil"/>
              <w:left w:val="single" w:sz="4" w:space="0" w:color="auto"/>
              <w:bottom w:val="single" w:sz="4" w:space="0" w:color="auto"/>
              <w:right w:val="single" w:sz="4" w:space="0" w:color="auto"/>
            </w:tcBorders>
            <w:shd w:val="clear" w:color="auto" w:fill="auto"/>
            <w:noWrap/>
            <w:vAlign w:val="bottom"/>
            <w:hideMark/>
          </w:tcPr>
          <w:p w:rsidR="009C16D2" w:rsidRPr="002A53B9" w:rsidRDefault="009C16D2" w:rsidP="009C16D2">
            <w:pPr>
              <w:spacing w:after="0" w:line="240" w:lineRule="auto"/>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EUTEL</w:t>
            </w:r>
          </w:p>
        </w:tc>
        <w:tc>
          <w:tcPr>
            <w:tcW w:w="1802" w:type="dxa"/>
            <w:tcBorders>
              <w:top w:val="nil"/>
              <w:left w:val="nil"/>
              <w:bottom w:val="single" w:sz="4" w:space="0" w:color="auto"/>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-1,49074</w:t>
            </w:r>
          </w:p>
        </w:tc>
        <w:tc>
          <w:tcPr>
            <w:tcW w:w="1802" w:type="dxa"/>
            <w:tcBorders>
              <w:top w:val="nil"/>
              <w:left w:val="nil"/>
              <w:bottom w:val="single" w:sz="4" w:space="0" w:color="auto"/>
              <w:right w:val="nil"/>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0,7668</w:t>
            </w:r>
          </w:p>
        </w:tc>
        <w:tc>
          <w:tcPr>
            <w:tcW w:w="1924" w:type="dxa"/>
            <w:tcBorders>
              <w:top w:val="nil"/>
              <w:left w:val="single" w:sz="4" w:space="0" w:color="auto"/>
              <w:bottom w:val="single" w:sz="4" w:space="0" w:color="auto"/>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-5,010189</w:t>
            </w:r>
          </w:p>
        </w:tc>
        <w:tc>
          <w:tcPr>
            <w:tcW w:w="1741" w:type="dxa"/>
            <w:tcBorders>
              <w:top w:val="nil"/>
              <w:left w:val="nil"/>
              <w:bottom w:val="single" w:sz="4" w:space="0" w:color="auto"/>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0,7317</w:t>
            </w:r>
          </w:p>
        </w:tc>
      </w:tr>
      <w:tr w:rsidR="009C16D2" w:rsidRPr="002A53B9" w:rsidTr="009C16D2">
        <w:trPr>
          <w:trHeight w:val="268"/>
        </w:trPr>
        <w:tc>
          <w:tcPr>
            <w:tcW w:w="2107" w:type="dxa"/>
            <w:tcBorders>
              <w:top w:val="nil"/>
              <w:left w:val="single" w:sz="4" w:space="0" w:color="auto"/>
              <w:bottom w:val="nil"/>
              <w:right w:val="single" w:sz="4" w:space="0" w:color="auto"/>
            </w:tcBorders>
            <w:shd w:val="clear" w:color="auto" w:fill="auto"/>
            <w:noWrap/>
            <w:vAlign w:val="bottom"/>
            <w:hideMark/>
          </w:tcPr>
          <w:p w:rsidR="009C16D2" w:rsidRPr="002A53B9" w:rsidRDefault="009C16D2" w:rsidP="009C16D2">
            <w:pPr>
              <w:spacing w:after="0" w:line="240" w:lineRule="auto"/>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CHFEUR</w:t>
            </w:r>
          </w:p>
        </w:tc>
        <w:tc>
          <w:tcPr>
            <w:tcW w:w="1802" w:type="dxa"/>
            <w:tcBorders>
              <w:top w:val="nil"/>
              <w:left w:val="nil"/>
              <w:bottom w:val="nil"/>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1,080215</w:t>
            </w:r>
          </w:p>
        </w:tc>
        <w:tc>
          <w:tcPr>
            <w:tcW w:w="1802" w:type="dxa"/>
            <w:tcBorders>
              <w:top w:val="nil"/>
              <w:left w:val="nil"/>
              <w:bottom w:val="nil"/>
              <w:right w:val="nil"/>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0,9994</w:t>
            </w:r>
          </w:p>
        </w:tc>
        <w:tc>
          <w:tcPr>
            <w:tcW w:w="1924" w:type="dxa"/>
            <w:tcBorders>
              <w:top w:val="nil"/>
              <w:left w:val="single" w:sz="4" w:space="0" w:color="auto"/>
              <w:bottom w:val="nil"/>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4,552102</w:t>
            </w:r>
          </w:p>
        </w:tc>
        <w:tc>
          <w:tcPr>
            <w:tcW w:w="1741" w:type="dxa"/>
            <w:tcBorders>
              <w:top w:val="nil"/>
              <w:left w:val="nil"/>
              <w:bottom w:val="nil"/>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1</w:t>
            </w:r>
          </w:p>
        </w:tc>
      </w:tr>
      <w:tr w:rsidR="009C16D2" w:rsidRPr="002A53B9" w:rsidTr="009C16D2">
        <w:trPr>
          <w:trHeight w:val="268"/>
        </w:trPr>
        <w:tc>
          <w:tcPr>
            <w:tcW w:w="2107" w:type="dxa"/>
            <w:tcBorders>
              <w:top w:val="nil"/>
              <w:left w:val="single" w:sz="4" w:space="0" w:color="auto"/>
              <w:bottom w:val="single" w:sz="4" w:space="0" w:color="auto"/>
              <w:right w:val="single" w:sz="4" w:space="0" w:color="auto"/>
            </w:tcBorders>
            <w:shd w:val="clear" w:color="auto" w:fill="auto"/>
            <w:noWrap/>
            <w:vAlign w:val="bottom"/>
            <w:hideMark/>
          </w:tcPr>
          <w:p w:rsidR="009C16D2" w:rsidRPr="002A53B9" w:rsidRDefault="009C16D2" w:rsidP="009C16D2">
            <w:pPr>
              <w:spacing w:after="0" w:line="240" w:lineRule="auto"/>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EUUT</w:t>
            </w:r>
          </w:p>
        </w:tc>
        <w:tc>
          <w:tcPr>
            <w:tcW w:w="1802" w:type="dxa"/>
            <w:tcBorders>
              <w:top w:val="nil"/>
              <w:left w:val="nil"/>
              <w:bottom w:val="single" w:sz="4" w:space="0" w:color="auto"/>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-0,704967</w:t>
            </w:r>
          </w:p>
        </w:tc>
        <w:tc>
          <w:tcPr>
            <w:tcW w:w="1802" w:type="dxa"/>
            <w:tcBorders>
              <w:top w:val="nil"/>
              <w:left w:val="nil"/>
              <w:bottom w:val="single" w:sz="4" w:space="0" w:color="auto"/>
              <w:right w:val="nil"/>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0,9435</w:t>
            </w:r>
          </w:p>
        </w:tc>
        <w:tc>
          <w:tcPr>
            <w:tcW w:w="1924" w:type="dxa"/>
            <w:tcBorders>
              <w:top w:val="nil"/>
              <w:left w:val="single" w:sz="4" w:space="0" w:color="auto"/>
              <w:bottom w:val="single" w:sz="4" w:space="0" w:color="auto"/>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-2,208174</w:t>
            </w:r>
          </w:p>
        </w:tc>
        <w:tc>
          <w:tcPr>
            <w:tcW w:w="1741" w:type="dxa"/>
            <w:tcBorders>
              <w:top w:val="nil"/>
              <w:left w:val="nil"/>
              <w:bottom w:val="single" w:sz="4" w:space="0" w:color="auto"/>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0,9215</w:t>
            </w:r>
          </w:p>
        </w:tc>
      </w:tr>
    </w:tbl>
    <w:p w:rsidR="009C16D2" w:rsidRDefault="009C16D2" w:rsidP="009C16D2"/>
    <w:tbl>
      <w:tblPr>
        <w:tblW w:w="9394" w:type="dxa"/>
        <w:tblInd w:w="53" w:type="dxa"/>
        <w:tblCellMar>
          <w:left w:w="70" w:type="dxa"/>
          <w:right w:w="70" w:type="dxa"/>
        </w:tblCellMar>
        <w:tblLook w:val="04A0"/>
      </w:tblPr>
      <w:tblGrid>
        <w:gridCol w:w="1938"/>
        <w:gridCol w:w="169"/>
        <w:gridCol w:w="1769"/>
        <w:gridCol w:w="33"/>
        <w:gridCol w:w="1802"/>
        <w:gridCol w:w="235"/>
        <w:gridCol w:w="1689"/>
        <w:gridCol w:w="183"/>
        <w:gridCol w:w="1558"/>
        <w:gridCol w:w="18"/>
      </w:tblGrid>
      <w:tr w:rsidR="009C16D2" w:rsidRPr="002A53B9" w:rsidTr="009C16D2">
        <w:trPr>
          <w:gridAfter w:val="1"/>
          <w:wAfter w:w="18" w:type="dxa"/>
          <w:trHeight w:val="268"/>
        </w:trPr>
        <w:tc>
          <w:tcPr>
            <w:tcW w:w="210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16D2" w:rsidRPr="002A53B9" w:rsidRDefault="009C16D2" w:rsidP="009C16D2">
            <w:pPr>
              <w:spacing w:after="0" w:line="240" w:lineRule="auto"/>
              <w:rPr>
                <w:rFonts w:ascii="Arial" w:eastAsia="Times New Roman" w:hAnsi="Arial" w:cs="Arial"/>
                <w:sz w:val="20"/>
                <w:szCs w:val="20"/>
                <w:lang w:val="nl-NL" w:eastAsia="nl-NL" w:bidi="ar-SA"/>
              </w:rPr>
            </w:pPr>
            <w:proofErr w:type="spellStart"/>
            <w:r w:rsidRPr="002A53B9">
              <w:rPr>
                <w:rFonts w:ascii="Arial" w:eastAsia="Times New Roman" w:hAnsi="Arial" w:cs="Arial"/>
                <w:sz w:val="20"/>
                <w:szCs w:val="20"/>
                <w:lang w:val="nl-NL" w:eastAsia="nl-NL" w:bidi="ar-SA"/>
              </w:rPr>
              <w:t>Dependent</w:t>
            </w:r>
            <w:proofErr w:type="spellEnd"/>
          </w:p>
        </w:tc>
        <w:tc>
          <w:tcPr>
            <w:tcW w:w="1802" w:type="dxa"/>
            <w:gridSpan w:val="2"/>
            <w:tcBorders>
              <w:top w:val="single" w:sz="4" w:space="0" w:color="auto"/>
              <w:left w:val="nil"/>
              <w:bottom w:val="single" w:sz="4" w:space="0" w:color="auto"/>
              <w:right w:val="nil"/>
            </w:tcBorders>
            <w:shd w:val="clear" w:color="auto" w:fill="auto"/>
            <w:noWrap/>
            <w:vAlign w:val="bottom"/>
            <w:hideMark/>
          </w:tcPr>
          <w:p w:rsidR="009C16D2" w:rsidRPr="002A53B9" w:rsidRDefault="009C16D2" w:rsidP="009C16D2">
            <w:pPr>
              <w:spacing w:after="0" w:line="240" w:lineRule="auto"/>
              <w:rPr>
                <w:rFonts w:ascii="Arial" w:eastAsia="Times New Roman" w:hAnsi="Arial" w:cs="Arial"/>
                <w:sz w:val="20"/>
                <w:szCs w:val="20"/>
                <w:lang w:val="nl-NL" w:eastAsia="nl-NL" w:bidi="ar-SA"/>
              </w:rPr>
            </w:pPr>
            <w:proofErr w:type="spellStart"/>
            <w:r w:rsidRPr="002A53B9">
              <w:rPr>
                <w:rFonts w:ascii="Arial" w:eastAsia="Times New Roman" w:hAnsi="Arial" w:cs="Arial"/>
                <w:sz w:val="20"/>
                <w:szCs w:val="20"/>
                <w:lang w:val="nl-NL" w:eastAsia="nl-NL" w:bidi="ar-SA"/>
              </w:rPr>
              <w:t>tau-statistic</w:t>
            </w:r>
            <w:proofErr w:type="spellEnd"/>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16D2" w:rsidRPr="002A53B9" w:rsidRDefault="009C16D2" w:rsidP="009C16D2">
            <w:pPr>
              <w:spacing w:after="0" w:line="240" w:lineRule="auto"/>
              <w:rPr>
                <w:rFonts w:ascii="Arial" w:eastAsia="Times New Roman" w:hAnsi="Arial" w:cs="Arial"/>
                <w:sz w:val="20"/>
                <w:szCs w:val="20"/>
                <w:lang w:val="nl-NL" w:eastAsia="nl-NL" w:bidi="ar-SA"/>
              </w:rPr>
            </w:pPr>
            <w:proofErr w:type="spellStart"/>
            <w:r w:rsidRPr="002A53B9">
              <w:rPr>
                <w:rFonts w:ascii="Arial" w:eastAsia="Times New Roman" w:hAnsi="Arial" w:cs="Arial"/>
                <w:sz w:val="20"/>
                <w:szCs w:val="20"/>
                <w:lang w:val="nl-NL" w:eastAsia="nl-NL" w:bidi="ar-SA"/>
              </w:rPr>
              <w:t>Prob</w:t>
            </w:r>
            <w:proofErr w:type="spellEnd"/>
            <w:r w:rsidRPr="002A53B9">
              <w:rPr>
                <w:rFonts w:ascii="Arial" w:eastAsia="Times New Roman" w:hAnsi="Arial" w:cs="Arial"/>
                <w:sz w:val="20"/>
                <w:szCs w:val="20"/>
                <w:lang w:val="nl-NL" w:eastAsia="nl-NL" w:bidi="ar-SA"/>
              </w:rPr>
              <w:t>.*</w:t>
            </w:r>
          </w:p>
        </w:tc>
        <w:tc>
          <w:tcPr>
            <w:tcW w:w="1924" w:type="dxa"/>
            <w:gridSpan w:val="2"/>
            <w:tcBorders>
              <w:top w:val="single" w:sz="4" w:space="0" w:color="auto"/>
              <w:left w:val="nil"/>
              <w:bottom w:val="single" w:sz="4" w:space="0" w:color="auto"/>
              <w:right w:val="nil"/>
            </w:tcBorders>
            <w:shd w:val="clear" w:color="auto" w:fill="auto"/>
            <w:noWrap/>
            <w:vAlign w:val="bottom"/>
            <w:hideMark/>
          </w:tcPr>
          <w:p w:rsidR="009C16D2" w:rsidRPr="002A53B9" w:rsidRDefault="009C16D2" w:rsidP="009C16D2">
            <w:pPr>
              <w:spacing w:after="0" w:line="240" w:lineRule="auto"/>
              <w:rPr>
                <w:rFonts w:ascii="Arial" w:eastAsia="Times New Roman" w:hAnsi="Arial" w:cs="Arial"/>
                <w:sz w:val="20"/>
                <w:szCs w:val="20"/>
                <w:lang w:val="nl-NL" w:eastAsia="nl-NL" w:bidi="ar-SA"/>
              </w:rPr>
            </w:pPr>
            <w:proofErr w:type="spellStart"/>
            <w:r w:rsidRPr="002A53B9">
              <w:rPr>
                <w:rFonts w:ascii="Arial" w:eastAsia="Times New Roman" w:hAnsi="Arial" w:cs="Arial"/>
                <w:sz w:val="20"/>
                <w:szCs w:val="20"/>
                <w:lang w:val="nl-NL" w:eastAsia="nl-NL" w:bidi="ar-SA"/>
              </w:rPr>
              <w:t>z-statistic</w:t>
            </w:r>
            <w:proofErr w:type="spellEnd"/>
          </w:p>
        </w:tc>
        <w:tc>
          <w:tcPr>
            <w:tcW w:w="17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16D2" w:rsidRPr="002A53B9" w:rsidRDefault="009C16D2" w:rsidP="009C16D2">
            <w:pPr>
              <w:spacing w:after="0" w:line="240" w:lineRule="auto"/>
              <w:rPr>
                <w:rFonts w:ascii="Arial" w:eastAsia="Times New Roman" w:hAnsi="Arial" w:cs="Arial"/>
                <w:sz w:val="20"/>
                <w:szCs w:val="20"/>
                <w:lang w:val="nl-NL" w:eastAsia="nl-NL" w:bidi="ar-SA"/>
              </w:rPr>
            </w:pPr>
            <w:proofErr w:type="spellStart"/>
            <w:r w:rsidRPr="002A53B9">
              <w:rPr>
                <w:rFonts w:ascii="Arial" w:eastAsia="Times New Roman" w:hAnsi="Arial" w:cs="Arial"/>
                <w:sz w:val="20"/>
                <w:szCs w:val="20"/>
                <w:lang w:val="nl-NL" w:eastAsia="nl-NL" w:bidi="ar-SA"/>
              </w:rPr>
              <w:t>Prob</w:t>
            </w:r>
            <w:proofErr w:type="spellEnd"/>
            <w:r w:rsidRPr="002A53B9">
              <w:rPr>
                <w:rFonts w:ascii="Arial" w:eastAsia="Times New Roman" w:hAnsi="Arial" w:cs="Arial"/>
                <w:sz w:val="20"/>
                <w:szCs w:val="20"/>
                <w:lang w:val="nl-NL" w:eastAsia="nl-NL" w:bidi="ar-SA"/>
              </w:rPr>
              <w:t>.*</w:t>
            </w:r>
          </w:p>
        </w:tc>
      </w:tr>
      <w:tr w:rsidR="009C16D2" w:rsidRPr="002A53B9" w:rsidTr="009C16D2">
        <w:trPr>
          <w:gridAfter w:val="1"/>
          <w:wAfter w:w="18" w:type="dxa"/>
          <w:trHeight w:val="268"/>
        </w:trPr>
        <w:tc>
          <w:tcPr>
            <w:tcW w:w="2107" w:type="dxa"/>
            <w:gridSpan w:val="2"/>
            <w:tcBorders>
              <w:top w:val="nil"/>
              <w:left w:val="single" w:sz="4" w:space="0" w:color="auto"/>
              <w:bottom w:val="nil"/>
              <w:right w:val="single" w:sz="4" w:space="0" w:color="auto"/>
            </w:tcBorders>
            <w:shd w:val="clear" w:color="auto" w:fill="auto"/>
            <w:noWrap/>
            <w:vAlign w:val="bottom"/>
            <w:hideMark/>
          </w:tcPr>
          <w:p w:rsidR="009C16D2" w:rsidRPr="002A53B9" w:rsidRDefault="009C16D2" w:rsidP="009C16D2">
            <w:pPr>
              <w:spacing w:after="0" w:line="240" w:lineRule="auto"/>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USDEUR</w:t>
            </w:r>
          </w:p>
        </w:tc>
        <w:tc>
          <w:tcPr>
            <w:tcW w:w="1802" w:type="dxa"/>
            <w:gridSpan w:val="2"/>
            <w:tcBorders>
              <w:top w:val="nil"/>
              <w:left w:val="nil"/>
              <w:bottom w:val="nil"/>
              <w:right w:val="nil"/>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-1,661725</w:t>
            </w:r>
          </w:p>
        </w:tc>
        <w:tc>
          <w:tcPr>
            <w:tcW w:w="1802" w:type="dxa"/>
            <w:tcBorders>
              <w:top w:val="nil"/>
              <w:left w:val="single" w:sz="4" w:space="0" w:color="auto"/>
              <w:bottom w:val="nil"/>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0,6957</w:t>
            </w:r>
          </w:p>
        </w:tc>
        <w:tc>
          <w:tcPr>
            <w:tcW w:w="1924" w:type="dxa"/>
            <w:gridSpan w:val="2"/>
            <w:tcBorders>
              <w:top w:val="nil"/>
              <w:left w:val="nil"/>
              <w:bottom w:val="nil"/>
              <w:right w:val="nil"/>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-5,202607</w:t>
            </w:r>
          </w:p>
        </w:tc>
        <w:tc>
          <w:tcPr>
            <w:tcW w:w="1741" w:type="dxa"/>
            <w:gridSpan w:val="2"/>
            <w:tcBorders>
              <w:top w:val="nil"/>
              <w:left w:val="single" w:sz="4" w:space="0" w:color="auto"/>
              <w:bottom w:val="nil"/>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0,7163</w:t>
            </w:r>
          </w:p>
        </w:tc>
      </w:tr>
      <w:tr w:rsidR="009C16D2" w:rsidRPr="002A53B9" w:rsidTr="009C16D2">
        <w:trPr>
          <w:gridAfter w:val="1"/>
          <w:wAfter w:w="18" w:type="dxa"/>
          <w:trHeight w:val="268"/>
        </w:trPr>
        <w:tc>
          <w:tcPr>
            <w:tcW w:w="2107" w:type="dxa"/>
            <w:gridSpan w:val="2"/>
            <w:tcBorders>
              <w:top w:val="nil"/>
              <w:left w:val="single" w:sz="4" w:space="0" w:color="auto"/>
              <w:bottom w:val="single" w:sz="4" w:space="0" w:color="auto"/>
              <w:right w:val="single" w:sz="4" w:space="0" w:color="auto"/>
            </w:tcBorders>
            <w:shd w:val="clear" w:color="auto" w:fill="auto"/>
            <w:noWrap/>
            <w:vAlign w:val="bottom"/>
            <w:hideMark/>
          </w:tcPr>
          <w:p w:rsidR="009C16D2" w:rsidRPr="002A53B9" w:rsidRDefault="009C16D2" w:rsidP="009C16D2">
            <w:pPr>
              <w:spacing w:after="0" w:line="240" w:lineRule="auto"/>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EUBASICR</w:t>
            </w:r>
          </w:p>
        </w:tc>
        <w:tc>
          <w:tcPr>
            <w:tcW w:w="1802" w:type="dxa"/>
            <w:gridSpan w:val="2"/>
            <w:tcBorders>
              <w:top w:val="nil"/>
              <w:left w:val="nil"/>
              <w:bottom w:val="single" w:sz="4" w:space="0" w:color="auto"/>
              <w:right w:val="nil"/>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-2,029889</w:t>
            </w:r>
          </w:p>
        </w:tc>
        <w:tc>
          <w:tcPr>
            <w:tcW w:w="1802" w:type="dxa"/>
            <w:tcBorders>
              <w:top w:val="nil"/>
              <w:left w:val="single" w:sz="4" w:space="0" w:color="auto"/>
              <w:bottom w:val="single" w:sz="4" w:space="0" w:color="auto"/>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0,5124</w:t>
            </w:r>
          </w:p>
        </w:tc>
        <w:tc>
          <w:tcPr>
            <w:tcW w:w="1924" w:type="dxa"/>
            <w:gridSpan w:val="2"/>
            <w:tcBorders>
              <w:top w:val="nil"/>
              <w:left w:val="nil"/>
              <w:bottom w:val="single" w:sz="4" w:space="0" w:color="auto"/>
              <w:right w:val="nil"/>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-7,207412</w:t>
            </w:r>
          </w:p>
        </w:tc>
        <w:tc>
          <w:tcPr>
            <w:tcW w:w="1741" w:type="dxa"/>
            <w:gridSpan w:val="2"/>
            <w:tcBorders>
              <w:top w:val="nil"/>
              <w:left w:val="single" w:sz="4" w:space="0" w:color="auto"/>
              <w:bottom w:val="single" w:sz="4" w:space="0" w:color="auto"/>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0,5563</w:t>
            </w:r>
          </w:p>
        </w:tc>
      </w:tr>
      <w:tr w:rsidR="009C16D2" w:rsidRPr="002A53B9" w:rsidTr="009C16D2">
        <w:trPr>
          <w:gridAfter w:val="1"/>
          <w:wAfter w:w="18" w:type="dxa"/>
          <w:trHeight w:val="268"/>
        </w:trPr>
        <w:tc>
          <w:tcPr>
            <w:tcW w:w="2107" w:type="dxa"/>
            <w:gridSpan w:val="2"/>
            <w:tcBorders>
              <w:top w:val="nil"/>
              <w:left w:val="single" w:sz="4" w:space="0" w:color="auto"/>
              <w:bottom w:val="nil"/>
              <w:right w:val="single" w:sz="4" w:space="0" w:color="auto"/>
            </w:tcBorders>
            <w:shd w:val="clear" w:color="auto" w:fill="auto"/>
            <w:noWrap/>
            <w:vAlign w:val="bottom"/>
            <w:hideMark/>
          </w:tcPr>
          <w:p w:rsidR="009C16D2" w:rsidRPr="002A53B9" w:rsidRDefault="009C16D2" w:rsidP="009C16D2">
            <w:pPr>
              <w:spacing w:after="0" w:line="240" w:lineRule="auto"/>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USDEUR</w:t>
            </w:r>
          </w:p>
        </w:tc>
        <w:tc>
          <w:tcPr>
            <w:tcW w:w="1802" w:type="dxa"/>
            <w:gridSpan w:val="2"/>
            <w:tcBorders>
              <w:top w:val="nil"/>
              <w:left w:val="nil"/>
              <w:bottom w:val="nil"/>
              <w:right w:val="nil"/>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-1,244359</w:t>
            </w:r>
          </w:p>
        </w:tc>
        <w:tc>
          <w:tcPr>
            <w:tcW w:w="1802" w:type="dxa"/>
            <w:tcBorders>
              <w:top w:val="nil"/>
              <w:left w:val="single" w:sz="4" w:space="0" w:color="auto"/>
              <w:bottom w:val="nil"/>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0,847</w:t>
            </w:r>
          </w:p>
        </w:tc>
        <w:tc>
          <w:tcPr>
            <w:tcW w:w="1924" w:type="dxa"/>
            <w:gridSpan w:val="2"/>
            <w:tcBorders>
              <w:top w:val="nil"/>
              <w:left w:val="nil"/>
              <w:bottom w:val="nil"/>
              <w:right w:val="nil"/>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-3,11872</w:t>
            </w:r>
          </w:p>
        </w:tc>
        <w:tc>
          <w:tcPr>
            <w:tcW w:w="1741" w:type="dxa"/>
            <w:gridSpan w:val="2"/>
            <w:tcBorders>
              <w:top w:val="nil"/>
              <w:left w:val="single" w:sz="4" w:space="0" w:color="auto"/>
              <w:bottom w:val="nil"/>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0,8704</w:t>
            </w:r>
          </w:p>
        </w:tc>
      </w:tr>
      <w:tr w:rsidR="009C16D2" w:rsidRPr="002A53B9" w:rsidTr="009C16D2">
        <w:trPr>
          <w:gridAfter w:val="1"/>
          <w:wAfter w:w="18" w:type="dxa"/>
          <w:trHeight w:val="268"/>
        </w:trPr>
        <w:tc>
          <w:tcPr>
            <w:tcW w:w="2107" w:type="dxa"/>
            <w:gridSpan w:val="2"/>
            <w:tcBorders>
              <w:top w:val="nil"/>
              <w:left w:val="single" w:sz="4" w:space="0" w:color="auto"/>
              <w:bottom w:val="single" w:sz="4" w:space="0" w:color="auto"/>
              <w:right w:val="single" w:sz="4" w:space="0" w:color="auto"/>
            </w:tcBorders>
            <w:shd w:val="clear" w:color="auto" w:fill="auto"/>
            <w:noWrap/>
            <w:vAlign w:val="bottom"/>
            <w:hideMark/>
          </w:tcPr>
          <w:p w:rsidR="009C16D2" w:rsidRPr="002A53B9" w:rsidRDefault="009C16D2" w:rsidP="009C16D2">
            <w:pPr>
              <w:spacing w:after="0" w:line="240" w:lineRule="auto"/>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EUCGDS</w:t>
            </w:r>
          </w:p>
        </w:tc>
        <w:tc>
          <w:tcPr>
            <w:tcW w:w="1802" w:type="dxa"/>
            <w:gridSpan w:val="2"/>
            <w:tcBorders>
              <w:top w:val="nil"/>
              <w:left w:val="nil"/>
              <w:bottom w:val="single" w:sz="4" w:space="0" w:color="auto"/>
              <w:right w:val="nil"/>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-1,639514</w:t>
            </w:r>
          </w:p>
        </w:tc>
        <w:tc>
          <w:tcPr>
            <w:tcW w:w="1802" w:type="dxa"/>
            <w:tcBorders>
              <w:top w:val="nil"/>
              <w:left w:val="single" w:sz="4" w:space="0" w:color="auto"/>
              <w:bottom w:val="single" w:sz="4" w:space="0" w:color="auto"/>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0,7056</w:t>
            </w:r>
          </w:p>
        </w:tc>
        <w:tc>
          <w:tcPr>
            <w:tcW w:w="1924" w:type="dxa"/>
            <w:gridSpan w:val="2"/>
            <w:tcBorders>
              <w:top w:val="nil"/>
              <w:left w:val="nil"/>
              <w:bottom w:val="single" w:sz="4" w:space="0" w:color="auto"/>
              <w:right w:val="nil"/>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-6,81204</w:t>
            </w:r>
          </w:p>
        </w:tc>
        <w:tc>
          <w:tcPr>
            <w:tcW w:w="1741" w:type="dxa"/>
            <w:gridSpan w:val="2"/>
            <w:tcBorders>
              <w:top w:val="nil"/>
              <w:left w:val="single" w:sz="4" w:space="0" w:color="auto"/>
              <w:bottom w:val="single" w:sz="4" w:space="0" w:color="auto"/>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0,587</w:t>
            </w:r>
          </w:p>
        </w:tc>
      </w:tr>
      <w:tr w:rsidR="009C16D2" w:rsidRPr="002A53B9" w:rsidTr="009C16D2">
        <w:trPr>
          <w:gridAfter w:val="1"/>
          <w:wAfter w:w="18" w:type="dxa"/>
          <w:trHeight w:val="268"/>
        </w:trPr>
        <w:tc>
          <w:tcPr>
            <w:tcW w:w="2107" w:type="dxa"/>
            <w:gridSpan w:val="2"/>
            <w:tcBorders>
              <w:top w:val="nil"/>
              <w:left w:val="single" w:sz="4" w:space="0" w:color="auto"/>
              <w:bottom w:val="nil"/>
              <w:right w:val="single" w:sz="4" w:space="0" w:color="auto"/>
            </w:tcBorders>
            <w:shd w:val="clear" w:color="auto" w:fill="auto"/>
            <w:noWrap/>
            <w:vAlign w:val="bottom"/>
            <w:hideMark/>
          </w:tcPr>
          <w:p w:rsidR="009C16D2" w:rsidRPr="002A53B9" w:rsidRDefault="009C16D2" w:rsidP="009C16D2">
            <w:pPr>
              <w:spacing w:after="0" w:line="240" w:lineRule="auto"/>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USDEUR</w:t>
            </w:r>
          </w:p>
        </w:tc>
        <w:tc>
          <w:tcPr>
            <w:tcW w:w="1802" w:type="dxa"/>
            <w:gridSpan w:val="2"/>
            <w:tcBorders>
              <w:top w:val="nil"/>
              <w:left w:val="nil"/>
              <w:bottom w:val="nil"/>
              <w:right w:val="nil"/>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-1,553727</w:t>
            </w:r>
          </w:p>
        </w:tc>
        <w:tc>
          <w:tcPr>
            <w:tcW w:w="1802" w:type="dxa"/>
            <w:tcBorders>
              <w:top w:val="nil"/>
              <w:left w:val="single" w:sz="4" w:space="0" w:color="auto"/>
              <w:bottom w:val="nil"/>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0,742</w:t>
            </w:r>
          </w:p>
        </w:tc>
        <w:tc>
          <w:tcPr>
            <w:tcW w:w="1924" w:type="dxa"/>
            <w:gridSpan w:val="2"/>
            <w:tcBorders>
              <w:top w:val="nil"/>
              <w:left w:val="nil"/>
              <w:bottom w:val="nil"/>
              <w:right w:val="nil"/>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-4,434826</w:t>
            </w:r>
          </w:p>
        </w:tc>
        <w:tc>
          <w:tcPr>
            <w:tcW w:w="1741" w:type="dxa"/>
            <w:gridSpan w:val="2"/>
            <w:tcBorders>
              <w:top w:val="nil"/>
              <w:left w:val="single" w:sz="4" w:space="0" w:color="auto"/>
              <w:bottom w:val="nil"/>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0,777</w:t>
            </w:r>
          </w:p>
        </w:tc>
      </w:tr>
      <w:tr w:rsidR="009C16D2" w:rsidRPr="002A53B9" w:rsidTr="009C16D2">
        <w:trPr>
          <w:gridAfter w:val="1"/>
          <w:wAfter w:w="18" w:type="dxa"/>
          <w:trHeight w:val="268"/>
        </w:trPr>
        <w:tc>
          <w:tcPr>
            <w:tcW w:w="2107" w:type="dxa"/>
            <w:gridSpan w:val="2"/>
            <w:tcBorders>
              <w:top w:val="nil"/>
              <w:left w:val="single" w:sz="4" w:space="0" w:color="auto"/>
              <w:bottom w:val="single" w:sz="4" w:space="0" w:color="auto"/>
              <w:right w:val="single" w:sz="4" w:space="0" w:color="auto"/>
            </w:tcBorders>
            <w:shd w:val="clear" w:color="auto" w:fill="auto"/>
            <w:noWrap/>
            <w:vAlign w:val="bottom"/>
            <w:hideMark/>
          </w:tcPr>
          <w:p w:rsidR="009C16D2" w:rsidRPr="002A53B9" w:rsidRDefault="009C16D2" w:rsidP="009C16D2">
            <w:pPr>
              <w:spacing w:after="0" w:line="240" w:lineRule="auto"/>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EUCSVS</w:t>
            </w:r>
          </w:p>
        </w:tc>
        <w:tc>
          <w:tcPr>
            <w:tcW w:w="1802" w:type="dxa"/>
            <w:gridSpan w:val="2"/>
            <w:tcBorders>
              <w:top w:val="nil"/>
              <w:left w:val="nil"/>
              <w:bottom w:val="single" w:sz="4" w:space="0" w:color="auto"/>
              <w:right w:val="nil"/>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-2,009593</w:t>
            </w:r>
          </w:p>
        </w:tc>
        <w:tc>
          <w:tcPr>
            <w:tcW w:w="1802" w:type="dxa"/>
            <w:tcBorders>
              <w:top w:val="nil"/>
              <w:left w:val="single" w:sz="4" w:space="0" w:color="auto"/>
              <w:bottom w:val="single" w:sz="4" w:space="0" w:color="auto"/>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0,5231</w:t>
            </w:r>
          </w:p>
        </w:tc>
        <w:tc>
          <w:tcPr>
            <w:tcW w:w="1924" w:type="dxa"/>
            <w:gridSpan w:val="2"/>
            <w:tcBorders>
              <w:top w:val="nil"/>
              <w:left w:val="nil"/>
              <w:bottom w:val="single" w:sz="4" w:space="0" w:color="auto"/>
              <w:right w:val="nil"/>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-6,433893</w:t>
            </w:r>
          </w:p>
        </w:tc>
        <w:tc>
          <w:tcPr>
            <w:tcW w:w="1741" w:type="dxa"/>
            <w:gridSpan w:val="2"/>
            <w:tcBorders>
              <w:top w:val="nil"/>
              <w:left w:val="single" w:sz="4" w:space="0" w:color="auto"/>
              <w:bottom w:val="single" w:sz="4" w:space="0" w:color="auto"/>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0,6171</w:t>
            </w:r>
          </w:p>
        </w:tc>
      </w:tr>
      <w:tr w:rsidR="009C16D2" w:rsidRPr="002A53B9" w:rsidTr="009C16D2">
        <w:trPr>
          <w:gridAfter w:val="1"/>
          <w:wAfter w:w="18" w:type="dxa"/>
          <w:trHeight w:val="268"/>
        </w:trPr>
        <w:tc>
          <w:tcPr>
            <w:tcW w:w="2107" w:type="dxa"/>
            <w:gridSpan w:val="2"/>
            <w:tcBorders>
              <w:top w:val="nil"/>
              <w:left w:val="single" w:sz="4" w:space="0" w:color="auto"/>
              <w:bottom w:val="nil"/>
              <w:right w:val="single" w:sz="4" w:space="0" w:color="auto"/>
            </w:tcBorders>
            <w:shd w:val="clear" w:color="auto" w:fill="auto"/>
            <w:noWrap/>
            <w:vAlign w:val="bottom"/>
            <w:hideMark/>
          </w:tcPr>
          <w:p w:rsidR="009C16D2" w:rsidRPr="002A53B9" w:rsidRDefault="009C16D2" w:rsidP="009C16D2">
            <w:pPr>
              <w:spacing w:after="0" w:line="240" w:lineRule="auto"/>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USDEUR</w:t>
            </w:r>
          </w:p>
        </w:tc>
        <w:tc>
          <w:tcPr>
            <w:tcW w:w="1802" w:type="dxa"/>
            <w:gridSpan w:val="2"/>
            <w:tcBorders>
              <w:top w:val="nil"/>
              <w:left w:val="nil"/>
              <w:bottom w:val="nil"/>
              <w:right w:val="nil"/>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-0,971021</w:t>
            </w:r>
          </w:p>
        </w:tc>
        <w:tc>
          <w:tcPr>
            <w:tcW w:w="1802" w:type="dxa"/>
            <w:tcBorders>
              <w:top w:val="nil"/>
              <w:left w:val="single" w:sz="4" w:space="0" w:color="auto"/>
              <w:bottom w:val="nil"/>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0,9067</w:t>
            </w:r>
          </w:p>
        </w:tc>
        <w:tc>
          <w:tcPr>
            <w:tcW w:w="1924" w:type="dxa"/>
            <w:gridSpan w:val="2"/>
            <w:tcBorders>
              <w:top w:val="nil"/>
              <w:left w:val="nil"/>
              <w:bottom w:val="nil"/>
              <w:right w:val="nil"/>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-2,148183</w:t>
            </w:r>
          </w:p>
        </w:tc>
        <w:tc>
          <w:tcPr>
            <w:tcW w:w="1741" w:type="dxa"/>
            <w:gridSpan w:val="2"/>
            <w:tcBorders>
              <w:top w:val="nil"/>
              <w:left w:val="single" w:sz="4" w:space="0" w:color="auto"/>
              <w:bottom w:val="nil"/>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0,9243</w:t>
            </w:r>
          </w:p>
        </w:tc>
      </w:tr>
      <w:tr w:rsidR="009C16D2" w:rsidRPr="002A53B9" w:rsidTr="009C16D2">
        <w:trPr>
          <w:gridAfter w:val="1"/>
          <w:wAfter w:w="18" w:type="dxa"/>
          <w:trHeight w:val="268"/>
        </w:trPr>
        <w:tc>
          <w:tcPr>
            <w:tcW w:w="2107" w:type="dxa"/>
            <w:gridSpan w:val="2"/>
            <w:tcBorders>
              <w:top w:val="nil"/>
              <w:left w:val="single" w:sz="4" w:space="0" w:color="auto"/>
              <w:bottom w:val="single" w:sz="4" w:space="0" w:color="auto"/>
              <w:right w:val="single" w:sz="4" w:space="0" w:color="auto"/>
            </w:tcBorders>
            <w:shd w:val="clear" w:color="auto" w:fill="auto"/>
            <w:noWrap/>
            <w:vAlign w:val="bottom"/>
            <w:hideMark/>
          </w:tcPr>
          <w:p w:rsidR="009C16D2" w:rsidRPr="002A53B9" w:rsidRDefault="009C16D2" w:rsidP="009C16D2">
            <w:pPr>
              <w:spacing w:after="0" w:line="240" w:lineRule="auto"/>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EUFSVS</w:t>
            </w:r>
          </w:p>
        </w:tc>
        <w:tc>
          <w:tcPr>
            <w:tcW w:w="1802" w:type="dxa"/>
            <w:gridSpan w:val="2"/>
            <w:tcBorders>
              <w:top w:val="nil"/>
              <w:left w:val="nil"/>
              <w:bottom w:val="single" w:sz="4" w:space="0" w:color="auto"/>
              <w:right w:val="nil"/>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-1,369039</w:t>
            </w:r>
          </w:p>
        </w:tc>
        <w:tc>
          <w:tcPr>
            <w:tcW w:w="1802" w:type="dxa"/>
            <w:tcBorders>
              <w:top w:val="nil"/>
              <w:left w:val="single" w:sz="4" w:space="0" w:color="auto"/>
              <w:bottom w:val="single" w:sz="4" w:space="0" w:color="auto"/>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0,8098</w:t>
            </w:r>
          </w:p>
        </w:tc>
        <w:tc>
          <w:tcPr>
            <w:tcW w:w="1924" w:type="dxa"/>
            <w:gridSpan w:val="2"/>
            <w:tcBorders>
              <w:top w:val="nil"/>
              <w:left w:val="nil"/>
              <w:bottom w:val="single" w:sz="4" w:space="0" w:color="auto"/>
              <w:right w:val="nil"/>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-3,677403</w:t>
            </w:r>
          </w:p>
        </w:tc>
        <w:tc>
          <w:tcPr>
            <w:tcW w:w="1741" w:type="dxa"/>
            <w:gridSpan w:val="2"/>
            <w:tcBorders>
              <w:top w:val="nil"/>
              <w:left w:val="single" w:sz="4" w:space="0" w:color="auto"/>
              <w:bottom w:val="single" w:sz="4" w:space="0" w:color="auto"/>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0,833</w:t>
            </w:r>
          </w:p>
        </w:tc>
      </w:tr>
      <w:tr w:rsidR="009C16D2" w:rsidRPr="002A53B9" w:rsidTr="009C16D2">
        <w:trPr>
          <w:gridAfter w:val="1"/>
          <w:wAfter w:w="18" w:type="dxa"/>
          <w:trHeight w:val="268"/>
        </w:trPr>
        <w:tc>
          <w:tcPr>
            <w:tcW w:w="2107" w:type="dxa"/>
            <w:gridSpan w:val="2"/>
            <w:tcBorders>
              <w:top w:val="nil"/>
              <w:left w:val="single" w:sz="4" w:space="0" w:color="auto"/>
              <w:bottom w:val="nil"/>
              <w:right w:val="single" w:sz="4" w:space="0" w:color="auto"/>
            </w:tcBorders>
            <w:shd w:val="clear" w:color="auto" w:fill="auto"/>
            <w:noWrap/>
            <w:vAlign w:val="bottom"/>
            <w:hideMark/>
          </w:tcPr>
          <w:p w:rsidR="009C16D2" w:rsidRPr="002A53B9" w:rsidRDefault="009C16D2" w:rsidP="009C16D2">
            <w:pPr>
              <w:spacing w:after="0" w:line="240" w:lineRule="auto"/>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USDEUR</w:t>
            </w:r>
          </w:p>
        </w:tc>
        <w:tc>
          <w:tcPr>
            <w:tcW w:w="1802" w:type="dxa"/>
            <w:gridSpan w:val="2"/>
            <w:tcBorders>
              <w:top w:val="nil"/>
              <w:left w:val="nil"/>
              <w:bottom w:val="nil"/>
              <w:right w:val="nil"/>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-1,134764</w:t>
            </w:r>
          </w:p>
        </w:tc>
        <w:tc>
          <w:tcPr>
            <w:tcW w:w="1802" w:type="dxa"/>
            <w:tcBorders>
              <w:top w:val="nil"/>
              <w:left w:val="single" w:sz="4" w:space="0" w:color="auto"/>
              <w:bottom w:val="nil"/>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0,8742</w:t>
            </w:r>
          </w:p>
        </w:tc>
        <w:tc>
          <w:tcPr>
            <w:tcW w:w="1924" w:type="dxa"/>
            <w:gridSpan w:val="2"/>
            <w:tcBorders>
              <w:top w:val="nil"/>
              <w:left w:val="nil"/>
              <w:bottom w:val="nil"/>
              <w:right w:val="nil"/>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-2,700261</w:t>
            </w:r>
          </w:p>
        </w:tc>
        <w:tc>
          <w:tcPr>
            <w:tcW w:w="1741" w:type="dxa"/>
            <w:gridSpan w:val="2"/>
            <w:tcBorders>
              <w:top w:val="nil"/>
              <w:left w:val="single" w:sz="4" w:space="0" w:color="auto"/>
              <w:bottom w:val="nil"/>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0,8956</w:t>
            </w:r>
          </w:p>
        </w:tc>
      </w:tr>
      <w:tr w:rsidR="009C16D2" w:rsidRPr="002A53B9" w:rsidTr="009C16D2">
        <w:trPr>
          <w:gridAfter w:val="1"/>
          <w:wAfter w:w="18" w:type="dxa"/>
          <w:trHeight w:val="268"/>
        </w:trPr>
        <w:tc>
          <w:tcPr>
            <w:tcW w:w="2107" w:type="dxa"/>
            <w:gridSpan w:val="2"/>
            <w:tcBorders>
              <w:top w:val="nil"/>
              <w:left w:val="single" w:sz="4" w:space="0" w:color="auto"/>
              <w:bottom w:val="single" w:sz="4" w:space="0" w:color="auto"/>
              <w:right w:val="single" w:sz="4" w:space="0" w:color="auto"/>
            </w:tcBorders>
            <w:shd w:val="clear" w:color="auto" w:fill="auto"/>
            <w:noWrap/>
            <w:vAlign w:val="bottom"/>
            <w:hideMark/>
          </w:tcPr>
          <w:p w:rsidR="009C16D2" w:rsidRPr="002A53B9" w:rsidRDefault="009C16D2" w:rsidP="009C16D2">
            <w:pPr>
              <w:spacing w:after="0" w:line="240" w:lineRule="auto"/>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EUHC</w:t>
            </w:r>
          </w:p>
        </w:tc>
        <w:tc>
          <w:tcPr>
            <w:tcW w:w="1802" w:type="dxa"/>
            <w:gridSpan w:val="2"/>
            <w:tcBorders>
              <w:top w:val="nil"/>
              <w:left w:val="nil"/>
              <w:bottom w:val="single" w:sz="4" w:space="0" w:color="auto"/>
              <w:right w:val="nil"/>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-1,978349</w:t>
            </w:r>
          </w:p>
        </w:tc>
        <w:tc>
          <w:tcPr>
            <w:tcW w:w="1802" w:type="dxa"/>
            <w:tcBorders>
              <w:top w:val="nil"/>
              <w:left w:val="single" w:sz="4" w:space="0" w:color="auto"/>
              <w:bottom w:val="single" w:sz="4" w:space="0" w:color="auto"/>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0,5394</w:t>
            </w:r>
          </w:p>
        </w:tc>
        <w:tc>
          <w:tcPr>
            <w:tcW w:w="1924" w:type="dxa"/>
            <w:gridSpan w:val="2"/>
            <w:tcBorders>
              <w:top w:val="nil"/>
              <w:left w:val="nil"/>
              <w:bottom w:val="single" w:sz="4" w:space="0" w:color="auto"/>
              <w:right w:val="nil"/>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-7,796907</w:t>
            </w:r>
          </w:p>
        </w:tc>
        <w:tc>
          <w:tcPr>
            <w:tcW w:w="1741" w:type="dxa"/>
            <w:gridSpan w:val="2"/>
            <w:tcBorders>
              <w:top w:val="nil"/>
              <w:left w:val="single" w:sz="4" w:space="0" w:color="auto"/>
              <w:bottom w:val="single" w:sz="4" w:space="0" w:color="auto"/>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0,5117</w:t>
            </w:r>
          </w:p>
        </w:tc>
      </w:tr>
      <w:tr w:rsidR="009C16D2" w:rsidRPr="002A53B9" w:rsidTr="009C16D2">
        <w:trPr>
          <w:gridAfter w:val="1"/>
          <w:wAfter w:w="18" w:type="dxa"/>
          <w:trHeight w:val="268"/>
        </w:trPr>
        <w:tc>
          <w:tcPr>
            <w:tcW w:w="2107" w:type="dxa"/>
            <w:gridSpan w:val="2"/>
            <w:tcBorders>
              <w:top w:val="nil"/>
              <w:left w:val="single" w:sz="4" w:space="0" w:color="auto"/>
              <w:bottom w:val="nil"/>
              <w:right w:val="single" w:sz="4" w:space="0" w:color="auto"/>
            </w:tcBorders>
            <w:shd w:val="clear" w:color="auto" w:fill="auto"/>
            <w:noWrap/>
            <w:vAlign w:val="bottom"/>
            <w:hideMark/>
          </w:tcPr>
          <w:p w:rsidR="009C16D2" w:rsidRPr="002A53B9" w:rsidRDefault="009C16D2" w:rsidP="009C16D2">
            <w:pPr>
              <w:spacing w:after="0" w:line="240" w:lineRule="auto"/>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USDEUR</w:t>
            </w:r>
          </w:p>
        </w:tc>
        <w:tc>
          <w:tcPr>
            <w:tcW w:w="1802" w:type="dxa"/>
            <w:gridSpan w:val="2"/>
            <w:tcBorders>
              <w:top w:val="nil"/>
              <w:left w:val="nil"/>
              <w:bottom w:val="nil"/>
              <w:right w:val="nil"/>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-1,111425</w:t>
            </w:r>
          </w:p>
        </w:tc>
        <w:tc>
          <w:tcPr>
            <w:tcW w:w="1802" w:type="dxa"/>
            <w:tcBorders>
              <w:top w:val="nil"/>
              <w:left w:val="single" w:sz="4" w:space="0" w:color="auto"/>
              <w:bottom w:val="nil"/>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0,8794</w:t>
            </w:r>
          </w:p>
        </w:tc>
        <w:tc>
          <w:tcPr>
            <w:tcW w:w="1924" w:type="dxa"/>
            <w:gridSpan w:val="2"/>
            <w:tcBorders>
              <w:top w:val="nil"/>
              <w:left w:val="nil"/>
              <w:bottom w:val="nil"/>
              <w:right w:val="nil"/>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-2,494373</w:t>
            </w:r>
          </w:p>
        </w:tc>
        <w:tc>
          <w:tcPr>
            <w:tcW w:w="1741" w:type="dxa"/>
            <w:gridSpan w:val="2"/>
            <w:tcBorders>
              <w:top w:val="nil"/>
              <w:left w:val="single" w:sz="4" w:space="0" w:color="auto"/>
              <w:bottom w:val="nil"/>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0,9069</w:t>
            </w:r>
          </w:p>
        </w:tc>
      </w:tr>
      <w:tr w:rsidR="009C16D2" w:rsidRPr="002A53B9" w:rsidTr="009C16D2">
        <w:trPr>
          <w:gridAfter w:val="1"/>
          <w:wAfter w:w="18" w:type="dxa"/>
          <w:trHeight w:val="268"/>
        </w:trPr>
        <w:tc>
          <w:tcPr>
            <w:tcW w:w="2107" w:type="dxa"/>
            <w:gridSpan w:val="2"/>
            <w:tcBorders>
              <w:top w:val="nil"/>
              <w:left w:val="single" w:sz="4" w:space="0" w:color="auto"/>
              <w:bottom w:val="single" w:sz="4" w:space="0" w:color="auto"/>
              <w:right w:val="single" w:sz="4" w:space="0" w:color="auto"/>
            </w:tcBorders>
            <w:shd w:val="clear" w:color="auto" w:fill="auto"/>
            <w:noWrap/>
            <w:vAlign w:val="bottom"/>
            <w:hideMark/>
          </w:tcPr>
          <w:p w:rsidR="009C16D2" w:rsidRPr="002A53B9" w:rsidRDefault="009C16D2" w:rsidP="009C16D2">
            <w:pPr>
              <w:spacing w:after="0" w:line="240" w:lineRule="auto"/>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EUIND</w:t>
            </w:r>
          </w:p>
        </w:tc>
        <w:tc>
          <w:tcPr>
            <w:tcW w:w="1802" w:type="dxa"/>
            <w:gridSpan w:val="2"/>
            <w:tcBorders>
              <w:top w:val="nil"/>
              <w:left w:val="nil"/>
              <w:bottom w:val="single" w:sz="4" w:space="0" w:color="auto"/>
              <w:right w:val="nil"/>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-1,449951</w:t>
            </w:r>
          </w:p>
        </w:tc>
        <w:tc>
          <w:tcPr>
            <w:tcW w:w="1802" w:type="dxa"/>
            <w:tcBorders>
              <w:top w:val="nil"/>
              <w:left w:val="single" w:sz="4" w:space="0" w:color="auto"/>
              <w:bottom w:val="single" w:sz="4" w:space="0" w:color="auto"/>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0,782</w:t>
            </w:r>
          </w:p>
        </w:tc>
        <w:tc>
          <w:tcPr>
            <w:tcW w:w="1924" w:type="dxa"/>
            <w:gridSpan w:val="2"/>
            <w:tcBorders>
              <w:top w:val="nil"/>
              <w:left w:val="nil"/>
              <w:bottom w:val="single" w:sz="4" w:space="0" w:color="auto"/>
              <w:right w:val="nil"/>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-4,644843</w:t>
            </w:r>
          </w:p>
        </w:tc>
        <w:tc>
          <w:tcPr>
            <w:tcW w:w="1741" w:type="dxa"/>
            <w:gridSpan w:val="2"/>
            <w:tcBorders>
              <w:top w:val="nil"/>
              <w:left w:val="single" w:sz="4" w:space="0" w:color="auto"/>
              <w:bottom w:val="single" w:sz="4" w:space="0" w:color="auto"/>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0,7606</w:t>
            </w:r>
          </w:p>
        </w:tc>
      </w:tr>
      <w:tr w:rsidR="009C16D2" w:rsidRPr="002A53B9" w:rsidTr="009C16D2">
        <w:trPr>
          <w:gridAfter w:val="1"/>
          <w:wAfter w:w="18" w:type="dxa"/>
          <w:trHeight w:val="268"/>
        </w:trPr>
        <w:tc>
          <w:tcPr>
            <w:tcW w:w="2107" w:type="dxa"/>
            <w:gridSpan w:val="2"/>
            <w:tcBorders>
              <w:top w:val="nil"/>
              <w:left w:val="single" w:sz="4" w:space="0" w:color="auto"/>
              <w:bottom w:val="nil"/>
              <w:right w:val="single" w:sz="4" w:space="0" w:color="auto"/>
            </w:tcBorders>
            <w:shd w:val="clear" w:color="auto" w:fill="auto"/>
            <w:noWrap/>
            <w:vAlign w:val="bottom"/>
            <w:hideMark/>
          </w:tcPr>
          <w:p w:rsidR="009C16D2" w:rsidRPr="002A53B9" w:rsidRDefault="009C16D2" w:rsidP="009C16D2">
            <w:pPr>
              <w:spacing w:after="0" w:line="240" w:lineRule="auto"/>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USDEUR</w:t>
            </w:r>
          </w:p>
        </w:tc>
        <w:tc>
          <w:tcPr>
            <w:tcW w:w="1802" w:type="dxa"/>
            <w:gridSpan w:val="2"/>
            <w:tcBorders>
              <w:top w:val="nil"/>
              <w:left w:val="nil"/>
              <w:bottom w:val="nil"/>
              <w:right w:val="nil"/>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-1,175553</w:t>
            </w:r>
          </w:p>
        </w:tc>
        <w:tc>
          <w:tcPr>
            <w:tcW w:w="1802" w:type="dxa"/>
            <w:tcBorders>
              <w:top w:val="nil"/>
              <w:left w:val="single" w:sz="4" w:space="0" w:color="auto"/>
              <w:bottom w:val="nil"/>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0,8646</w:t>
            </w:r>
          </w:p>
        </w:tc>
        <w:tc>
          <w:tcPr>
            <w:tcW w:w="1924" w:type="dxa"/>
            <w:gridSpan w:val="2"/>
            <w:tcBorders>
              <w:top w:val="nil"/>
              <w:left w:val="nil"/>
              <w:bottom w:val="nil"/>
              <w:right w:val="nil"/>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-2,977917</w:t>
            </w:r>
          </w:p>
        </w:tc>
        <w:tc>
          <w:tcPr>
            <w:tcW w:w="1741" w:type="dxa"/>
            <w:gridSpan w:val="2"/>
            <w:tcBorders>
              <w:top w:val="nil"/>
              <w:left w:val="single" w:sz="4" w:space="0" w:color="auto"/>
              <w:bottom w:val="nil"/>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0,8792</w:t>
            </w:r>
          </w:p>
        </w:tc>
      </w:tr>
      <w:tr w:rsidR="009C16D2" w:rsidRPr="002A53B9" w:rsidTr="009C16D2">
        <w:trPr>
          <w:gridAfter w:val="1"/>
          <w:wAfter w:w="18" w:type="dxa"/>
          <w:trHeight w:val="268"/>
        </w:trPr>
        <w:tc>
          <w:tcPr>
            <w:tcW w:w="2107" w:type="dxa"/>
            <w:gridSpan w:val="2"/>
            <w:tcBorders>
              <w:top w:val="nil"/>
              <w:left w:val="single" w:sz="4" w:space="0" w:color="auto"/>
              <w:bottom w:val="single" w:sz="4" w:space="0" w:color="auto"/>
              <w:right w:val="single" w:sz="4" w:space="0" w:color="auto"/>
            </w:tcBorders>
            <w:shd w:val="clear" w:color="auto" w:fill="auto"/>
            <w:noWrap/>
            <w:vAlign w:val="bottom"/>
            <w:hideMark/>
          </w:tcPr>
          <w:p w:rsidR="009C16D2" w:rsidRPr="002A53B9" w:rsidRDefault="009C16D2" w:rsidP="009C16D2">
            <w:pPr>
              <w:spacing w:after="0" w:line="240" w:lineRule="auto"/>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EUOG</w:t>
            </w:r>
          </w:p>
        </w:tc>
        <w:tc>
          <w:tcPr>
            <w:tcW w:w="1802" w:type="dxa"/>
            <w:gridSpan w:val="2"/>
            <w:tcBorders>
              <w:top w:val="nil"/>
              <w:left w:val="nil"/>
              <w:bottom w:val="single" w:sz="4" w:space="0" w:color="auto"/>
              <w:right w:val="nil"/>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-2,443569</w:t>
            </w:r>
          </w:p>
        </w:tc>
        <w:tc>
          <w:tcPr>
            <w:tcW w:w="1802" w:type="dxa"/>
            <w:tcBorders>
              <w:top w:val="nil"/>
              <w:left w:val="single" w:sz="4" w:space="0" w:color="auto"/>
              <w:bottom w:val="single" w:sz="4" w:space="0" w:color="auto"/>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0,3047</w:t>
            </w:r>
          </w:p>
        </w:tc>
        <w:tc>
          <w:tcPr>
            <w:tcW w:w="1924" w:type="dxa"/>
            <w:gridSpan w:val="2"/>
            <w:tcBorders>
              <w:top w:val="nil"/>
              <w:left w:val="nil"/>
              <w:bottom w:val="single" w:sz="4" w:space="0" w:color="auto"/>
              <w:right w:val="nil"/>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-10,76305</w:t>
            </w:r>
          </w:p>
        </w:tc>
        <w:tc>
          <w:tcPr>
            <w:tcW w:w="1741" w:type="dxa"/>
            <w:gridSpan w:val="2"/>
            <w:tcBorders>
              <w:top w:val="nil"/>
              <w:left w:val="single" w:sz="4" w:space="0" w:color="auto"/>
              <w:bottom w:val="single" w:sz="4" w:space="0" w:color="auto"/>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0,3208</w:t>
            </w:r>
          </w:p>
        </w:tc>
      </w:tr>
      <w:tr w:rsidR="009C16D2" w:rsidRPr="002A53B9" w:rsidTr="009C16D2">
        <w:trPr>
          <w:gridAfter w:val="1"/>
          <w:wAfter w:w="18" w:type="dxa"/>
          <w:trHeight w:val="268"/>
        </w:trPr>
        <w:tc>
          <w:tcPr>
            <w:tcW w:w="2107" w:type="dxa"/>
            <w:gridSpan w:val="2"/>
            <w:tcBorders>
              <w:top w:val="nil"/>
              <w:left w:val="single" w:sz="4" w:space="0" w:color="auto"/>
              <w:bottom w:val="nil"/>
              <w:right w:val="single" w:sz="4" w:space="0" w:color="auto"/>
            </w:tcBorders>
            <w:shd w:val="clear" w:color="auto" w:fill="auto"/>
            <w:noWrap/>
            <w:vAlign w:val="bottom"/>
            <w:hideMark/>
          </w:tcPr>
          <w:p w:rsidR="009C16D2" w:rsidRPr="002A53B9" w:rsidRDefault="009C16D2" w:rsidP="009C16D2">
            <w:pPr>
              <w:spacing w:after="0" w:line="240" w:lineRule="auto"/>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USDEUR</w:t>
            </w:r>
          </w:p>
        </w:tc>
        <w:tc>
          <w:tcPr>
            <w:tcW w:w="1802" w:type="dxa"/>
            <w:gridSpan w:val="2"/>
            <w:tcBorders>
              <w:top w:val="nil"/>
              <w:left w:val="nil"/>
              <w:bottom w:val="nil"/>
              <w:right w:val="nil"/>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-0,907732</w:t>
            </w:r>
          </w:p>
        </w:tc>
        <w:tc>
          <w:tcPr>
            <w:tcW w:w="1802" w:type="dxa"/>
            <w:tcBorders>
              <w:top w:val="nil"/>
              <w:left w:val="single" w:sz="4" w:space="0" w:color="auto"/>
              <w:bottom w:val="nil"/>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0,917</w:t>
            </w:r>
          </w:p>
        </w:tc>
        <w:tc>
          <w:tcPr>
            <w:tcW w:w="1924" w:type="dxa"/>
            <w:gridSpan w:val="2"/>
            <w:tcBorders>
              <w:top w:val="nil"/>
              <w:left w:val="nil"/>
              <w:bottom w:val="nil"/>
              <w:right w:val="nil"/>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-1,907629</w:t>
            </w:r>
          </w:p>
        </w:tc>
        <w:tc>
          <w:tcPr>
            <w:tcW w:w="1741" w:type="dxa"/>
            <w:gridSpan w:val="2"/>
            <w:tcBorders>
              <w:top w:val="nil"/>
              <w:left w:val="single" w:sz="4" w:space="0" w:color="auto"/>
              <w:bottom w:val="nil"/>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0,9352</w:t>
            </w:r>
          </w:p>
        </w:tc>
      </w:tr>
      <w:tr w:rsidR="009C16D2" w:rsidRPr="002A53B9" w:rsidTr="009C16D2">
        <w:trPr>
          <w:gridAfter w:val="1"/>
          <w:wAfter w:w="18" w:type="dxa"/>
          <w:trHeight w:val="268"/>
        </w:trPr>
        <w:tc>
          <w:tcPr>
            <w:tcW w:w="2107" w:type="dxa"/>
            <w:gridSpan w:val="2"/>
            <w:tcBorders>
              <w:top w:val="nil"/>
              <w:left w:val="single" w:sz="4" w:space="0" w:color="auto"/>
              <w:bottom w:val="single" w:sz="4" w:space="0" w:color="auto"/>
              <w:right w:val="single" w:sz="4" w:space="0" w:color="auto"/>
            </w:tcBorders>
            <w:shd w:val="clear" w:color="auto" w:fill="auto"/>
            <w:noWrap/>
            <w:vAlign w:val="bottom"/>
            <w:hideMark/>
          </w:tcPr>
          <w:p w:rsidR="009C16D2" w:rsidRPr="002A53B9" w:rsidRDefault="009C16D2" w:rsidP="009C16D2">
            <w:pPr>
              <w:spacing w:after="0" w:line="240" w:lineRule="auto"/>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EUROPE</w:t>
            </w:r>
          </w:p>
        </w:tc>
        <w:tc>
          <w:tcPr>
            <w:tcW w:w="1802" w:type="dxa"/>
            <w:gridSpan w:val="2"/>
            <w:tcBorders>
              <w:top w:val="nil"/>
              <w:left w:val="nil"/>
              <w:bottom w:val="single" w:sz="4" w:space="0" w:color="auto"/>
              <w:right w:val="nil"/>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-1,560145</w:t>
            </w:r>
          </w:p>
        </w:tc>
        <w:tc>
          <w:tcPr>
            <w:tcW w:w="1802" w:type="dxa"/>
            <w:tcBorders>
              <w:top w:val="nil"/>
              <w:left w:val="single" w:sz="4" w:space="0" w:color="auto"/>
              <w:bottom w:val="single" w:sz="4" w:space="0" w:color="auto"/>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0,7394</w:t>
            </w:r>
          </w:p>
        </w:tc>
        <w:tc>
          <w:tcPr>
            <w:tcW w:w="1924" w:type="dxa"/>
            <w:gridSpan w:val="2"/>
            <w:tcBorders>
              <w:top w:val="nil"/>
              <w:left w:val="nil"/>
              <w:bottom w:val="single" w:sz="4" w:space="0" w:color="auto"/>
              <w:right w:val="nil"/>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-4,866988</w:t>
            </w:r>
          </w:p>
        </w:tc>
        <w:tc>
          <w:tcPr>
            <w:tcW w:w="1741" w:type="dxa"/>
            <w:gridSpan w:val="2"/>
            <w:tcBorders>
              <w:top w:val="nil"/>
              <w:left w:val="single" w:sz="4" w:space="0" w:color="auto"/>
              <w:bottom w:val="single" w:sz="4" w:space="0" w:color="auto"/>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0,7431</w:t>
            </w:r>
          </w:p>
        </w:tc>
      </w:tr>
      <w:tr w:rsidR="009C16D2" w:rsidRPr="002A53B9" w:rsidTr="009C16D2">
        <w:trPr>
          <w:gridAfter w:val="1"/>
          <w:wAfter w:w="18" w:type="dxa"/>
          <w:trHeight w:val="268"/>
        </w:trPr>
        <w:tc>
          <w:tcPr>
            <w:tcW w:w="2107" w:type="dxa"/>
            <w:gridSpan w:val="2"/>
            <w:tcBorders>
              <w:top w:val="nil"/>
              <w:left w:val="single" w:sz="4" w:space="0" w:color="auto"/>
              <w:bottom w:val="nil"/>
              <w:right w:val="single" w:sz="4" w:space="0" w:color="auto"/>
            </w:tcBorders>
            <w:shd w:val="clear" w:color="auto" w:fill="auto"/>
            <w:noWrap/>
            <w:vAlign w:val="bottom"/>
            <w:hideMark/>
          </w:tcPr>
          <w:p w:rsidR="009C16D2" w:rsidRPr="002A53B9" w:rsidRDefault="009C16D2" w:rsidP="009C16D2">
            <w:pPr>
              <w:spacing w:after="0" w:line="240" w:lineRule="auto"/>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USDEUR</w:t>
            </w:r>
          </w:p>
        </w:tc>
        <w:tc>
          <w:tcPr>
            <w:tcW w:w="1802" w:type="dxa"/>
            <w:gridSpan w:val="2"/>
            <w:tcBorders>
              <w:top w:val="nil"/>
              <w:left w:val="nil"/>
              <w:bottom w:val="nil"/>
              <w:right w:val="nil"/>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-1,569222</w:t>
            </w:r>
          </w:p>
        </w:tc>
        <w:tc>
          <w:tcPr>
            <w:tcW w:w="1802" w:type="dxa"/>
            <w:tcBorders>
              <w:top w:val="nil"/>
              <w:left w:val="single" w:sz="4" w:space="0" w:color="auto"/>
              <w:bottom w:val="nil"/>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0,7357</w:t>
            </w:r>
          </w:p>
        </w:tc>
        <w:tc>
          <w:tcPr>
            <w:tcW w:w="1924" w:type="dxa"/>
            <w:gridSpan w:val="2"/>
            <w:tcBorders>
              <w:top w:val="nil"/>
              <w:left w:val="nil"/>
              <w:bottom w:val="nil"/>
              <w:right w:val="nil"/>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-5,03992</w:t>
            </w:r>
          </w:p>
        </w:tc>
        <w:tc>
          <w:tcPr>
            <w:tcW w:w="1741" w:type="dxa"/>
            <w:gridSpan w:val="2"/>
            <w:tcBorders>
              <w:top w:val="nil"/>
              <w:left w:val="single" w:sz="4" w:space="0" w:color="auto"/>
              <w:bottom w:val="nil"/>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0,7293</w:t>
            </w:r>
          </w:p>
        </w:tc>
      </w:tr>
      <w:tr w:rsidR="009C16D2" w:rsidRPr="002A53B9" w:rsidTr="009C16D2">
        <w:trPr>
          <w:gridAfter w:val="1"/>
          <w:wAfter w:w="18" w:type="dxa"/>
          <w:trHeight w:val="268"/>
        </w:trPr>
        <w:tc>
          <w:tcPr>
            <w:tcW w:w="2107" w:type="dxa"/>
            <w:gridSpan w:val="2"/>
            <w:tcBorders>
              <w:top w:val="nil"/>
              <w:left w:val="single" w:sz="4" w:space="0" w:color="auto"/>
              <w:bottom w:val="single" w:sz="4" w:space="0" w:color="auto"/>
              <w:right w:val="single" w:sz="4" w:space="0" w:color="auto"/>
            </w:tcBorders>
            <w:shd w:val="clear" w:color="auto" w:fill="auto"/>
            <w:noWrap/>
            <w:vAlign w:val="bottom"/>
            <w:hideMark/>
          </w:tcPr>
          <w:p w:rsidR="009C16D2" w:rsidRPr="002A53B9" w:rsidRDefault="009C16D2" w:rsidP="009C16D2">
            <w:pPr>
              <w:spacing w:after="0" w:line="240" w:lineRule="auto"/>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EUTECH</w:t>
            </w:r>
          </w:p>
        </w:tc>
        <w:tc>
          <w:tcPr>
            <w:tcW w:w="1802" w:type="dxa"/>
            <w:gridSpan w:val="2"/>
            <w:tcBorders>
              <w:top w:val="nil"/>
              <w:left w:val="nil"/>
              <w:bottom w:val="single" w:sz="4" w:space="0" w:color="auto"/>
              <w:right w:val="nil"/>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-2,007391</w:t>
            </w:r>
          </w:p>
        </w:tc>
        <w:tc>
          <w:tcPr>
            <w:tcW w:w="1802" w:type="dxa"/>
            <w:tcBorders>
              <w:top w:val="nil"/>
              <w:left w:val="single" w:sz="4" w:space="0" w:color="auto"/>
              <w:bottom w:val="single" w:sz="4" w:space="0" w:color="auto"/>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0,5242</w:t>
            </w:r>
          </w:p>
        </w:tc>
        <w:tc>
          <w:tcPr>
            <w:tcW w:w="1924" w:type="dxa"/>
            <w:gridSpan w:val="2"/>
            <w:tcBorders>
              <w:top w:val="nil"/>
              <w:left w:val="nil"/>
              <w:bottom w:val="single" w:sz="4" w:space="0" w:color="auto"/>
              <w:right w:val="nil"/>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-8,077987</w:t>
            </w:r>
          </w:p>
        </w:tc>
        <w:tc>
          <w:tcPr>
            <w:tcW w:w="1741" w:type="dxa"/>
            <w:gridSpan w:val="2"/>
            <w:tcBorders>
              <w:top w:val="nil"/>
              <w:left w:val="single" w:sz="4" w:space="0" w:color="auto"/>
              <w:bottom w:val="single" w:sz="4" w:space="0" w:color="auto"/>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0,491</w:t>
            </w:r>
          </w:p>
        </w:tc>
      </w:tr>
      <w:tr w:rsidR="009C16D2" w:rsidRPr="002A53B9" w:rsidTr="009C16D2">
        <w:trPr>
          <w:gridAfter w:val="1"/>
          <w:wAfter w:w="18" w:type="dxa"/>
          <w:trHeight w:val="268"/>
        </w:trPr>
        <w:tc>
          <w:tcPr>
            <w:tcW w:w="2107" w:type="dxa"/>
            <w:gridSpan w:val="2"/>
            <w:tcBorders>
              <w:top w:val="nil"/>
              <w:left w:val="single" w:sz="4" w:space="0" w:color="auto"/>
              <w:bottom w:val="nil"/>
              <w:right w:val="single" w:sz="4" w:space="0" w:color="auto"/>
            </w:tcBorders>
            <w:shd w:val="clear" w:color="auto" w:fill="auto"/>
            <w:noWrap/>
            <w:vAlign w:val="bottom"/>
            <w:hideMark/>
          </w:tcPr>
          <w:p w:rsidR="009C16D2" w:rsidRPr="002A53B9" w:rsidRDefault="009C16D2" w:rsidP="009C16D2">
            <w:pPr>
              <w:spacing w:after="0" w:line="240" w:lineRule="auto"/>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USDEUR</w:t>
            </w:r>
          </w:p>
        </w:tc>
        <w:tc>
          <w:tcPr>
            <w:tcW w:w="1802" w:type="dxa"/>
            <w:gridSpan w:val="2"/>
            <w:tcBorders>
              <w:top w:val="nil"/>
              <w:left w:val="nil"/>
              <w:bottom w:val="nil"/>
              <w:right w:val="nil"/>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-1,30132</w:t>
            </w:r>
          </w:p>
        </w:tc>
        <w:tc>
          <w:tcPr>
            <w:tcW w:w="1802" w:type="dxa"/>
            <w:tcBorders>
              <w:top w:val="nil"/>
              <w:left w:val="single" w:sz="4" w:space="0" w:color="auto"/>
              <w:bottom w:val="nil"/>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0,8308</w:t>
            </w:r>
          </w:p>
        </w:tc>
        <w:tc>
          <w:tcPr>
            <w:tcW w:w="1924" w:type="dxa"/>
            <w:gridSpan w:val="2"/>
            <w:tcBorders>
              <w:top w:val="nil"/>
              <w:left w:val="nil"/>
              <w:bottom w:val="nil"/>
              <w:right w:val="nil"/>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-3,520111</w:t>
            </w:r>
          </w:p>
        </w:tc>
        <w:tc>
          <w:tcPr>
            <w:tcW w:w="1741" w:type="dxa"/>
            <w:gridSpan w:val="2"/>
            <w:tcBorders>
              <w:top w:val="nil"/>
              <w:left w:val="single" w:sz="4" w:space="0" w:color="auto"/>
              <w:bottom w:val="nil"/>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0,8439</w:t>
            </w:r>
          </w:p>
        </w:tc>
      </w:tr>
      <w:tr w:rsidR="009C16D2" w:rsidRPr="002A53B9" w:rsidTr="009C16D2">
        <w:trPr>
          <w:gridAfter w:val="1"/>
          <w:wAfter w:w="18" w:type="dxa"/>
          <w:trHeight w:val="268"/>
        </w:trPr>
        <w:tc>
          <w:tcPr>
            <w:tcW w:w="2107" w:type="dxa"/>
            <w:gridSpan w:val="2"/>
            <w:tcBorders>
              <w:top w:val="nil"/>
              <w:left w:val="single" w:sz="4" w:space="0" w:color="auto"/>
              <w:bottom w:val="single" w:sz="4" w:space="0" w:color="auto"/>
              <w:right w:val="single" w:sz="4" w:space="0" w:color="auto"/>
            </w:tcBorders>
            <w:shd w:val="clear" w:color="auto" w:fill="auto"/>
            <w:noWrap/>
            <w:vAlign w:val="bottom"/>
            <w:hideMark/>
          </w:tcPr>
          <w:p w:rsidR="009C16D2" w:rsidRPr="002A53B9" w:rsidRDefault="009C16D2" w:rsidP="009C16D2">
            <w:pPr>
              <w:spacing w:after="0" w:line="240" w:lineRule="auto"/>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EUTEL</w:t>
            </w:r>
          </w:p>
        </w:tc>
        <w:tc>
          <w:tcPr>
            <w:tcW w:w="1802" w:type="dxa"/>
            <w:gridSpan w:val="2"/>
            <w:tcBorders>
              <w:top w:val="nil"/>
              <w:left w:val="nil"/>
              <w:bottom w:val="single" w:sz="4" w:space="0" w:color="auto"/>
              <w:right w:val="nil"/>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-1,803605</w:t>
            </w:r>
          </w:p>
        </w:tc>
        <w:tc>
          <w:tcPr>
            <w:tcW w:w="1802" w:type="dxa"/>
            <w:tcBorders>
              <w:top w:val="nil"/>
              <w:left w:val="single" w:sz="4" w:space="0" w:color="auto"/>
              <w:bottom w:val="single" w:sz="4" w:space="0" w:color="auto"/>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0,6286</w:t>
            </w:r>
          </w:p>
        </w:tc>
        <w:tc>
          <w:tcPr>
            <w:tcW w:w="1924" w:type="dxa"/>
            <w:gridSpan w:val="2"/>
            <w:tcBorders>
              <w:top w:val="nil"/>
              <w:left w:val="nil"/>
              <w:bottom w:val="single" w:sz="4" w:space="0" w:color="auto"/>
              <w:right w:val="nil"/>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-6,18246</w:t>
            </w:r>
          </w:p>
        </w:tc>
        <w:tc>
          <w:tcPr>
            <w:tcW w:w="1741" w:type="dxa"/>
            <w:gridSpan w:val="2"/>
            <w:tcBorders>
              <w:top w:val="nil"/>
              <w:left w:val="single" w:sz="4" w:space="0" w:color="auto"/>
              <w:bottom w:val="single" w:sz="4" w:space="0" w:color="auto"/>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0,6372</w:t>
            </w:r>
          </w:p>
        </w:tc>
      </w:tr>
      <w:tr w:rsidR="009C16D2" w:rsidRPr="002A53B9" w:rsidTr="009C16D2">
        <w:trPr>
          <w:gridAfter w:val="1"/>
          <w:wAfter w:w="18" w:type="dxa"/>
          <w:trHeight w:val="268"/>
        </w:trPr>
        <w:tc>
          <w:tcPr>
            <w:tcW w:w="2107" w:type="dxa"/>
            <w:gridSpan w:val="2"/>
            <w:tcBorders>
              <w:top w:val="nil"/>
              <w:left w:val="single" w:sz="4" w:space="0" w:color="auto"/>
              <w:bottom w:val="nil"/>
              <w:right w:val="single" w:sz="4" w:space="0" w:color="auto"/>
            </w:tcBorders>
            <w:shd w:val="clear" w:color="auto" w:fill="auto"/>
            <w:noWrap/>
            <w:vAlign w:val="bottom"/>
            <w:hideMark/>
          </w:tcPr>
          <w:p w:rsidR="009C16D2" w:rsidRPr="002A53B9" w:rsidRDefault="009C16D2" w:rsidP="009C16D2">
            <w:pPr>
              <w:spacing w:after="0" w:line="240" w:lineRule="auto"/>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USDEUR</w:t>
            </w:r>
          </w:p>
        </w:tc>
        <w:tc>
          <w:tcPr>
            <w:tcW w:w="1802" w:type="dxa"/>
            <w:gridSpan w:val="2"/>
            <w:tcBorders>
              <w:top w:val="nil"/>
              <w:left w:val="nil"/>
              <w:bottom w:val="nil"/>
              <w:right w:val="nil"/>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-1,246477</w:t>
            </w:r>
          </w:p>
        </w:tc>
        <w:tc>
          <w:tcPr>
            <w:tcW w:w="1802" w:type="dxa"/>
            <w:tcBorders>
              <w:top w:val="nil"/>
              <w:left w:val="single" w:sz="4" w:space="0" w:color="auto"/>
              <w:bottom w:val="nil"/>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0,8464</w:t>
            </w:r>
          </w:p>
        </w:tc>
        <w:tc>
          <w:tcPr>
            <w:tcW w:w="1924" w:type="dxa"/>
            <w:gridSpan w:val="2"/>
            <w:tcBorders>
              <w:top w:val="nil"/>
              <w:left w:val="nil"/>
              <w:bottom w:val="nil"/>
              <w:right w:val="nil"/>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-3,548469</w:t>
            </w:r>
          </w:p>
        </w:tc>
        <w:tc>
          <w:tcPr>
            <w:tcW w:w="1741" w:type="dxa"/>
            <w:gridSpan w:val="2"/>
            <w:tcBorders>
              <w:top w:val="nil"/>
              <w:left w:val="single" w:sz="4" w:space="0" w:color="auto"/>
              <w:bottom w:val="nil"/>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0,842</w:t>
            </w:r>
          </w:p>
        </w:tc>
      </w:tr>
      <w:tr w:rsidR="009C16D2" w:rsidRPr="002A53B9" w:rsidTr="009C16D2">
        <w:trPr>
          <w:gridAfter w:val="1"/>
          <w:wAfter w:w="18" w:type="dxa"/>
          <w:trHeight w:val="268"/>
        </w:trPr>
        <w:tc>
          <w:tcPr>
            <w:tcW w:w="2107" w:type="dxa"/>
            <w:gridSpan w:val="2"/>
            <w:tcBorders>
              <w:top w:val="nil"/>
              <w:left w:val="single" w:sz="4" w:space="0" w:color="auto"/>
              <w:bottom w:val="single" w:sz="4" w:space="0" w:color="auto"/>
              <w:right w:val="single" w:sz="4" w:space="0" w:color="auto"/>
            </w:tcBorders>
            <w:shd w:val="clear" w:color="auto" w:fill="auto"/>
            <w:noWrap/>
            <w:vAlign w:val="bottom"/>
            <w:hideMark/>
          </w:tcPr>
          <w:p w:rsidR="009C16D2" w:rsidRPr="002A53B9" w:rsidRDefault="009C16D2" w:rsidP="009C16D2">
            <w:pPr>
              <w:spacing w:after="0" w:line="240" w:lineRule="auto"/>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lastRenderedPageBreak/>
              <w:t>EUUT</w:t>
            </w:r>
          </w:p>
        </w:tc>
        <w:tc>
          <w:tcPr>
            <w:tcW w:w="1802" w:type="dxa"/>
            <w:gridSpan w:val="2"/>
            <w:tcBorders>
              <w:top w:val="nil"/>
              <w:left w:val="nil"/>
              <w:bottom w:val="single" w:sz="4" w:space="0" w:color="auto"/>
              <w:right w:val="nil"/>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-1,527103</w:t>
            </w:r>
          </w:p>
        </w:tc>
        <w:tc>
          <w:tcPr>
            <w:tcW w:w="1802" w:type="dxa"/>
            <w:tcBorders>
              <w:top w:val="nil"/>
              <w:left w:val="single" w:sz="4" w:space="0" w:color="auto"/>
              <w:bottom w:val="single" w:sz="4" w:space="0" w:color="auto"/>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0,7527</w:t>
            </w:r>
          </w:p>
        </w:tc>
        <w:tc>
          <w:tcPr>
            <w:tcW w:w="1924" w:type="dxa"/>
            <w:gridSpan w:val="2"/>
            <w:tcBorders>
              <w:top w:val="nil"/>
              <w:left w:val="nil"/>
              <w:bottom w:val="single" w:sz="4" w:space="0" w:color="auto"/>
              <w:right w:val="nil"/>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-4,870814</w:t>
            </w:r>
          </w:p>
        </w:tc>
        <w:tc>
          <w:tcPr>
            <w:tcW w:w="1741" w:type="dxa"/>
            <w:gridSpan w:val="2"/>
            <w:tcBorders>
              <w:top w:val="nil"/>
              <w:left w:val="single" w:sz="4" w:space="0" w:color="auto"/>
              <w:bottom w:val="single" w:sz="4" w:space="0" w:color="auto"/>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0,7428</w:t>
            </w:r>
          </w:p>
        </w:tc>
      </w:tr>
      <w:tr w:rsidR="009C16D2" w:rsidRPr="002A53B9" w:rsidTr="009C16D2">
        <w:trPr>
          <w:gridAfter w:val="1"/>
          <w:wAfter w:w="18" w:type="dxa"/>
          <w:trHeight w:val="268"/>
        </w:trPr>
        <w:tc>
          <w:tcPr>
            <w:tcW w:w="2107" w:type="dxa"/>
            <w:gridSpan w:val="2"/>
            <w:tcBorders>
              <w:top w:val="nil"/>
              <w:left w:val="single" w:sz="4" w:space="0" w:color="auto"/>
              <w:bottom w:val="single" w:sz="4" w:space="0" w:color="auto"/>
              <w:right w:val="single" w:sz="4" w:space="0" w:color="auto"/>
            </w:tcBorders>
            <w:shd w:val="clear" w:color="auto" w:fill="auto"/>
            <w:noWrap/>
            <w:vAlign w:val="bottom"/>
            <w:hideMark/>
          </w:tcPr>
          <w:p w:rsidR="009C16D2" w:rsidRPr="002A53B9" w:rsidRDefault="009C16D2" w:rsidP="009C16D2">
            <w:pPr>
              <w:spacing w:after="0" w:line="240" w:lineRule="auto"/>
              <w:rPr>
                <w:rFonts w:ascii="Arial" w:eastAsia="Times New Roman" w:hAnsi="Arial" w:cs="Arial"/>
                <w:sz w:val="20"/>
                <w:szCs w:val="20"/>
                <w:lang w:val="nl-NL" w:eastAsia="nl-NL" w:bidi="ar-SA"/>
              </w:rPr>
            </w:pPr>
          </w:p>
        </w:tc>
        <w:tc>
          <w:tcPr>
            <w:tcW w:w="1802" w:type="dxa"/>
            <w:gridSpan w:val="2"/>
            <w:tcBorders>
              <w:top w:val="nil"/>
              <w:left w:val="nil"/>
              <w:bottom w:val="single" w:sz="4" w:space="0" w:color="auto"/>
              <w:right w:val="nil"/>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p>
        </w:tc>
        <w:tc>
          <w:tcPr>
            <w:tcW w:w="1802" w:type="dxa"/>
            <w:tcBorders>
              <w:top w:val="nil"/>
              <w:left w:val="single" w:sz="4" w:space="0" w:color="auto"/>
              <w:bottom w:val="single" w:sz="4" w:space="0" w:color="auto"/>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p>
        </w:tc>
        <w:tc>
          <w:tcPr>
            <w:tcW w:w="1924" w:type="dxa"/>
            <w:gridSpan w:val="2"/>
            <w:tcBorders>
              <w:top w:val="nil"/>
              <w:left w:val="nil"/>
              <w:bottom w:val="single" w:sz="4" w:space="0" w:color="auto"/>
              <w:right w:val="nil"/>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p>
        </w:tc>
        <w:tc>
          <w:tcPr>
            <w:tcW w:w="1741" w:type="dxa"/>
            <w:gridSpan w:val="2"/>
            <w:tcBorders>
              <w:top w:val="nil"/>
              <w:left w:val="single" w:sz="4" w:space="0" w:color="auto"/>
              <w:bottom w:val="single" w:sz="4" w:space="0" w:color="auto"/>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p>
        </w:tc>
      </w:tr>
      <w:tr w:rsidR="009C16D2" w:rsidRPr="002A53B9" w:rsidTr="009C16D2">
        <w:trPr>
          <w:trHeight w:val="268"/>
        </w:trPr>
        <w:tc>
          <w:tcPr>
            <w:tcW w:w="19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16D2" w:rsidRDefault="009C16D2" w:rsidP="009C16D2">
            <w:pPr>
              <w:spacing w:after="0" w:line="240" w:lineRule="auto"/>
              <w:rPr>
                <w:rFonts w:ascii="Arial" w:eastAsia="Times New Roman" w:hAnsi="Arial" w:cs="Arial"/>
                <w:sz w:val="20"/>
                <w:szCs w:val="20"/>
                <w:lang w:val="nl-NL" w:eastAsia="nl-NL" w:bidi="ar-SA"/>
              </w:rPr>
            </w:pPr>
          </w:p>
          <w:p w:rsidR="009C16D2" w:rsidRPr="002A53B9" w:rsidRDefault="009C16D2" w:rsidP="009C16D2">
            <w:pPr>
              <w:spacing w:after="0" w:line="240" w:lineRule="auto"/>
              <w:rPr>
                <w:rFonts w:ascii="Arial" w:eastAsia="Times New Roman" w:hAnsi="Arial" w:cs="Arial"/>
                <w:sz w:val="20"/>
                <w:szCs w:val="20"/>
                <w:lang w:val="nl-NL" w:eastAsia="nl-NL" w:bidi="ar-SA"/>
              </w:rPr>
            </w:pPr>
            <w:proofErr w:type="spellStart"/>
            <w:r w:rsidRPr="002A53B9">
              <w:rPr>
                <w:rFonts w:ascii="Arial" w:eastAsia="Times New Roman" w:hAnsi="Arial" w:cs="Arial"/>
                <w:sz w:val="20"/>
                <w:szCs w:val="20"/>
                <w:lang w:val="nl-NL" w:eastAsia="nl-NL" w:bidi="ar-SA"/>
              </w:rPr>
              <w:t>Dependent</w:t>
            </w:r>
            <w:proofErr w:type="spellEnd"/>
          </w:p>
        </w:tc>
        <w:tc>
          <w:tcPr>
            <w:tcW w:w="1938" w:type="dxa"/>
            <w:gridSpan w:val="2"/>
            <w:tcBorders>
              <w:top w:val="single" w:sz="4" w:space="0" w:color="auto"/>
              <w:left w:val="nil"/>
              <w:bottom w:val="single" w:sz="4" w:space="0" w:color="auto"/>
              <w:right w:val="nil"/>
            </w:tcBorders>
            <w:shd w:val="clear" w:color="auto" w:fill="auto"/>
            <w:noWrap/>
            <w:vAlign w:val="bottom"/>
            <w:hideMark/>
          </w:tcPr>
          <w:p w:rsidR="009C16D2" w:rsidRPr="002A53B9" w:rsidRDefault="009C16D2" w:rsidP="009C16D2">
            <w:pPr>
              <w:spacing w:after="0" w:line="240" w:lineRule="auto"/>
              <w:rPr>
                <w:rFonts w:ascii="Arial" w:eastAsia="Times New Roman" w:hAnsi="Arial" w:cs="Arial"/>
                <w:sz w:val="20"/>
                <w:szCs w:val="20"/>
                <w:lang w:val="nl-NL" w:eastAsia="nl-NL" w:bidi="ar-SA"/>
              </w:rPr>
            </w:pPr>
            <w:proofErr w:type="spellStart"/>
            <w:r w:rsidRPr="002A53B9">
              <w:rPr>
                <w:rFonts w:ascii="Arial" w:eastAsia="Times New Roman" w:hAnsi="Arial" w:cs="Arial"/>
                <w:sz w:val="20"/>
                <w:szCs w:val="20"/>
                <w:lang w:val="nl-NL" w:eastAsia="nl-NL" w:bidi="ar-SA"/>
              </w:rPr>
              <w:t>tau-statistic</w:t>
            </w:r>
            <w:proofErr w:type="spellEnd"/>
          </w:p>
        </w:tc>
        <w:tc>
          <w:tcPr>
            <w:tcW w:w="207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16D2" w:rsidRPr="002A53B9" w:rsidRDefault="009C16D2" w:rsidP="009C16D2">
            <w:pPr>
              <w:spacing w:after="0" w:line="240" w:lineRule="auto"/>
              <w:rPr>
                <w:rFonts w:ascii="Arial" w:eastAsia="Times New Roman" w:hAnsi="Arial" w:cs="Arial"/>
                <w:sz w:val="20"/>
                <w:szCs w:val="20"/>
                <w:lang w:val="nl-NL" w:eastAsia="nl-NL" w:bidi="ar-SA"/>
              </w:rPr>
            </w:pPr>
            <w:proofErr w:type="spellStart"/>
            <w:r w:rsidRPr="002A53B9">
              <w:rPr>
                <w:rFonts w:ascii="Arial" w:eastAsia="Times New Roman" w:hAnsi="Arial" w:cs="Arial"/>
                <w:sz w:val="20"/>
                <w:szCs w:val="20"/>
                <w:lang w:val="nl-NL" w:eastAsia="nl-NL" w:bidi="ar-SA"/>
              </w:rPr>
              <w:t>Prob</w:t>
            </w:r>
            <w:proofErr w:type="spellEnd"/>
            <w:r w:rsidRPr="002A53B9">
              <w:rPr>
                <w:rFonts w:ascii="Arial" w:eastAsia="Times New Roman" w:hAnsi="Arial" w:cs="Arial"/>
                <w:sz w:val="20"/>
                <w:szCs w:val="20"/>
                <w:lang w:val="nl-NL" w:eastAsia="nl-NL" w:bidi="ar-SA"/>
              </w:rPr>
              <w:t>.*</w:t>
            </w:r>
          </w:p>
        </w:tc>
        <w:tc>
          <w:tcPr>
            <w:tcW w:w="1872" w:type="dxa"/>
            <w:gridSpan w:val="2"/>
            <w:tcBorders>
              <w:top w:val="single" w:sz="4" w:space="0" w:color="auto"/>
              <w:left w:val="nil"/>
              <w:bottom w:val="single" w:sz="4" w:space="0" w:color="auto"/>
              <w:right w:val="nil"/>
            </w:tcBorders>
            <w:shd w:val="clear" w:color="auto" w:fill="auto"/>
            <w:noWrap/>
            <w:vAlign w:val="bottom"/>
            <w:hideMark/>
          </w:tcPr>
          <w:p w:rsidR="009C16D2" w:rsidRPr="002A53B9" w:rsidRDefault="009C16D2" w:rsidP="009C16D2">
            <w:pPr>
              <w:spacing w:after="0" w:line="240" w:lineRule="auto"/>
              <w:rPr>
                <w:rFonts w:ascii="Arial" w:eastAsia="Times New Roman" w:hAnsi="Arial" w:cs="Arial"/>
                <w:sz w:val="20"/>
                <w:szCs w:val="20"/>
                <w:lang w:val="nl-NL" w:eastAsia="nl-NL" w:bidi="ar-SA"/>
              </w:rPr>
            </w:pPr>
            <w:proofErr w:type="spellStart"/>
            <w:r w:rsidRPr="002A53B9">
              <w:rPr>
                <w:rFonts w:ascii="Arial" w:eastAsia="Times New Roman" w:hAnsi="Arial" w:cs="Arial"/>
                <w:sz w:val="20"/>
                <w:szCs w:val="20"/>
                <w:lang w:val="nl-NL" w:eastAsia="nl-NL" w:bidi="ar-SA"/>
              </w:rPr>
              <w:t>z-statistic</w:t>
            </w:r>
            <w:proofErr w:type="spellEnd"/>
          </w:p>
        </w:tc>
        <w:tc>
          <w:tcPr>
            <w:tcW w:w="15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16D2" w:rsidRPr="002A53B9" w:rsidRDefault="009C16D2" w:rsidP="009C16D2">
            <w:pPr>
              <w:spacing w:after="0" w:line="240" w:lineRule="auto"/>
              <w:rPr>
                <w:rFonts w:ascii="Arial" w:eastAsia="Times New Roman" w:hAnsi="Arial" w:cs="Arial"/>
                <w:sz w:val="20"/>
                <w:szCs w:val="20"/>
                <w:lang w:val="nl-NL" w:eastAsia="nl-NL" w:bidi="ar-SA"/>
              </w:rPr>
            </w:pPr>
            <w:proofErr w:type="spellStart"/>
            <w:r w:rsidRPr="002A53B9">
              <w:rPr>
                <w:rFonts w:ascii="Arial" w:eastAsia="Times New Roman" w:hAnsi="Arial" w:cs="Arial"/>
                <w:sz w:val="20"/>
                <w:szCs w:val="20"/>
                <w:lang w:val="nl-NL" w:eastAsia="nl-NL" w:bidi="ar-SA"/>
              </w:rPr>
              <w:t>Prob</w:t>
            </w:r>
            <w:proofErr w:type="spellEnd"/>
            <w:r w:rsidRPr="002A53B9">
              <w:rPr>
                <w:rFonts w:ascii="Arial" w:eastAsia="Times New Roman" w:hAnsi="Arial" w:cs="Arial"/>
                <w:sz w:val="20"/>
                <w:szCs w:val="20"/>
                <w:lang w:val="nl-NL" w:eastAsia="nl-NL" w:bidi="ar-SA"/>
              </w:rPr>
              <w:t>.*</w:t>
            </w:r>
          </w:p>
        </w:tc>
      </w:tr>
      <w:tr w:rsidR="009C16D2" w:rsidRPr="002A53B9" w:rsidTr="009C16D2">
        <w:trPr>
          <w:trHeight w:val="268"/>
        </w:trPr>
        <w:tc>
          <w:tcPr>
            <w:tcW w:w="1938" w:type="dxa"/>
            <w:tcBorders>
              <w:top w:val="nil"/>
              <w:left w:val="single" w:sz="4" w:space="0" w:color="auto"/>
              <w:bottom w:val="nil"/>
              <w:right w:val="single" w:sz="4" w:space="0" w:color="auto"/>
            </w:tcBorders>
            <w:shd w:val="clear" w:color="auto" w:fill="auto"/>
            <w:noWrap/>
            <w:vAlign w:val="bottom"/>
            <w:hideMark/>
          </w:tcPr>
          <w:p w:rsidR="009C16D2" w:rsidRPr="002A53B9" w:rsidRDefault="009C16D2" w:rsidP="009C16D2">
            <w:pPr>
              <w:spacing w:after="0" w:line="240" w:lineRule="auto"/>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USA</w:t>
            </w:r>
          </w:p>
        </w:tc>
        <w:tc>
          <w:tcPr>
            <w:tcW w:w="1938" w:type="dxa"/>
            <w:gridSpan w:val="2"/>
            <w:tcBorders>
              <w:top w:val="nil"/>
              <w:left w:val="nil"/>
              <w:bottom w:val="nil"/>
              <w:right w:val="nil"/>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-1,932743</w:t>
            </w:r>
          </w:p>
        </w:tc>
        <w:tc>
          <w:tcPr>
            <w:tcW w:w="2070" w:type="dxa"/>
            <w:gridSpan w:val="3"/>
            <w:tcBorders>
              <w:top w:val="nil"/>
              <w:left w:val="single" w:sz="4" w:space="0" w:color="auto"/>
              <w:bottom w:val="nil"/>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0,5631</w:t>
            </w:r>
          </w:p>
        </w:tc>
        <w:tc>
          <w:tcPr>
            <w:tcW w:w="1872" w:type="dxa"/>
            <w:gridSpan w:val="2"/>
            <w:tcBorders>
              <w:top w:val="nil"/>
              <w:left w:val="nil"/>
              <w:bottom w:val="nil"/>
              <w:right w:val="nil"/>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-7,458973</w:t>
            </w:r>
          </w:p>
        </w:tc>
        <w:tc>
          <w:tcPr>
            <w:tcW w:w="1576" w:type="dxa"/>
            <w:gridSpan w:val="2"/>
            <w:tcBorders>
              <w:top w:val="nil"/>
              <w:left w:val="single" w:sz="4" w:space="0" w:color="auto"/>
              <w:bottom w:val="nil"/>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0,537</w:t>
            </w:r>
          </w:p>
        </w:tc>
      </w:tr>
      <w:tr w:rsidR="009C16D2" w:rsidRPr="002A53B9" w:rsidTr="009C16D2">
        <w:trPr>
          <w:trHeight w:val="268"/>
        </w:trPr>
        <w:tc>
          <w:tcPr>
            <w:tcW w:w="1938" w:type="dxa"/>
            <w:tcBorders>
              <w:top w:val="nil"/>
              <w:left w:val="single" w:sz="4" w:space="0" w:color="auto"/>
              <w:bottom w:val="single" w:sz="4" w:space="0" w:color="auto"/>
              <w:right w:val="single" w:sz="4" w:space="0" w:color="auto"/>
            </w:tcBorders>
            <w:shd w:val="clear" w:color="auto" w:fill="auto"/>
            <w:noWrap/>
            <w:vAlign w:val="bottom"/>
            <w:hideMark/>
          </w:tcPr>
          <w:p w:rsidR="009C16D2" w:rsidRPr="002A53B9" w:rsidRDefault="009C16D2" w:rsidP="009C16D2">
            <w:pPr>
              <w:spacing w:after="0" w:line="240" w:lineRule="auto"/>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EURUSD</w:t>
            </w:r>
          </w:p>
        </w:tc>
        <w:tc>
          <w:tcPr>
            <w:tcW w:w="1938" w:type="dxa"/>
            <w:gridSpan w:val="2"/>
            <w:tcBorders>
              <w:top w:val="nil"/>
              <w:left w:val="nil"/>
              <w:bottom w:val="single" w:sz="4" w:space="0" w:color="auto"/>
              <w:right w:val="nil"/>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-1,061125</w:t>
            </w:r>
          </w:p>
        </w:tc>
        <w:tc>
          <w:tcPr>
            <w:tcW w:w="2070" w:type="dxa"/>
            <w:gridSpan w:val="3"/>
            <w:tcBorders>
              <w:top w:val="nil"/>
              <w:left w:val="single" w:sz="4" w:space="0" w:color="auto"/>
              <w:bottom w:val="single" w:sz="4" w:space="0" w:color="auto"/>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0,8899</w:t>
            </w:r>
          </w:p>
        </w:tc>
        <w:tc>
          <w:tcPr>
            <w:tcW w:w="1872" w:type="dxa"/>
            <w:gridSpan w:val="2"/>
            <w:tcBorders>
              <w:top w:val="nil"/>
              <w:left w:val="nil"/>
              <w:bottom w:val="single" w:sz="4" w:space="0" w:color="auto"/>
              <w:right w:val="nil"/>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-2,465175</w:t>
            </w:r>
          </w:p>
        </w:tc>
        <w:tc>
          <w:tcPr>
            <w:tcW w:w="1576" w:type="dxa"/>
            <w:gridSpan w:val="2"/>
            <w:tcBorders>
              <w:top w:val="nil"/>
              <w:left w:val="single" w:sz="4" w:space="0" w:color="auto"/>
              <w:bottom w:val="single" w:sz="4" w:space="0" w:color="auto"/>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0,9085</w:t>
            </w:r>
          </w:p>
        </w:tc>
      </w:tr>
      <w:tr w:rsidR="009C16D2" w:rsidRPr="002A53B9" w:rsidTr="009C16D2">
        <w:trPr>
          <w:trHeight w:val="268"/>
        </w:trPr>
        <w:tc>
          <w:tcPr>
            <w:tcW w:w="1938" w:type="dxa"/>
            <w:tcBorders>
              <w:top w:val="nil"/>
              <w:left w:val="single" w:sz="4" w:space="0" w:color="auto"/>
              <w:bottom w:val="nil"/>
              <w:right w:val="single" w:sz="4" w:space="0" w:color="auto"/>
            </w:tcBorders>
            <w:shd w:val="clear" w:color="auto" w:fill="auto"/>
            <w:noWrap/>
            <w:vAlign w:val="bottom"/>
            <w:hideMark/>
          </w:tcPr>
          <w:p w:rsidR="009C16D2" w:rsidRPr="002A53B9" w:rsidRDefault="009C16D2" w:rsidP="009C16D2">
            <w:pPr>
              <w:spacing w:after="0" w:line="240" w:lineRule="auto"/>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EURUSD</w:t>
            </w:r>
          </w:p>
        </w:tc>
        <w:tc>
          <w:tcPr>
            <w:tcW w:w="1938" w:type="dxa"/>
            <w:gridSpan w:val="2"/>
            <w:tcBorders>
              <w:top w:val="nil"/>
              <w:left w:val="nil"/>
              <w:bottom w:val="nil"/>
              <w:right w:val="nil"/>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-2,267018</w:t>
            </w:r>
          </w:p>
        </w:tc>
        <w:tc>
          <w:tcPr>
            <w:tcW w:w="2070" w:type="dxa"/>
            <w:gridSpan w:val="3"/>
            <w:tcBorders>
              <w:top w:val="nil"/>
              <w:left w:val="single" w:sz="4" w:space="0" w:color="auto"/>
              <w:bottom w:val="nil"/>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0,3896</w:t>
            </w:r>
          </w:p>
        </w:tc>
        <w:tc>
          <w:tcPr>
            <w:tcW w:w="1872" w:type="dxa"/>
            <w:gridSpan w:val="2"/>
            <w:tcBorders>
              <w:top w:val="nil"/>
              <w:left w:val="nil"/>
              <w:bottom w:val="nil"/>
              <w:right w:val="nil"/>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-11,00123</w:t>
            </w:r>
          </w:p>
        </w:tc>
        <w:tc>
          <w:tcPr>
            <w:tcW w:w="1576" w:type="dxa"/>
            <w:gridSpan w:val="2"/>
            <w:tcBorders>
              <w:top w:val="nil"/>
              <w:left w:val="single" w:sz="4" w:space="0" w:color="auto"/>
              <w:bottom w:val="nil"/>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0,3082</w:t>
            </w:r>
          </w:p>
        </w:tc>
      </w:tr>
      <w:tr w:rsidR="009C16D2" w:rsidRPr="002A53B9" w:rsidTr="009C16D2">
        <w:trPr>
          <w:trHeight w:val="268"/>
        </w:trPr>
        <w:tc>
          <w:tcPr>
            <w:tcW w:w="1938" w:type="dxa"/>
            <w:tcBorders>
              <w:top w:val="nil"/>
              <w:left w:val="single" w:sz="4" w:space="0" w:color="auto"/>
              <w:bottom w:val="single" w:sz="4" w:space="0" w:color="auto"/>
              <w:right w:val="single" w:sz="4" w:space="0" w:color="auto"/>
            </w:tcBorders>
            <w:shd w:val="clear" w:color="auto" w:fill="auto"/>
            <w:noWrap/>
            <w:vAlign w:val="bottom"/>
            <w:hideMark/>
          </w:tcPr>
          <w:p w:rsidR="009C16D2" w:rsidRPr="002A53B9" w:rsidRDefault="009C16D2" w:rsidP="009C16D2">
            <w:pPr>
              <w:spacing w:after="0" w:line="240" w:lineRule="auto"/>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USBM</w:t>
            </w:r>
          </w:p>
        </w:tc>
        <w:tc>
          <w:tcPr>
            <w:tcW w:w="1938" w:type="dxa"/>
            <w:gridSpan w:val="2"/>
            <w:tcBorders>
              <w:top w:val="nil"/>
              <w:left w:val="nil"/>
              <w:bottom w:val="single" w:sz="4" w:space="0" w:color="auto"/>
              <w:right w:val="nil"/>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-2,342136</w:t>
            </w:r>
          </w:p>
        </w:tc>
        <w:tc>
          <w:tcPr>
            <w:tcW w:w="2070" w:type="dxa"/>
            <w:gridSpan w:val="3"/>
            <w:tcBorders>
              <w:top w:val="nil"/>
              <w:left w:val="single" w:sz="4" w:space="0" w:color="auto"/>
              <w:bottom w:val="single" w:sz="4" w:space="0" w:color="auto"/>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0,3524</w:t>
            </w:r>
          </w:p>
        </w:tc>
        <w:tc>
          <w:tcPr>
            <w:tcW w:w="1872" w:type="dxa"/>
            <w:gridSpan w:val="2"/>
            <w:tcBorders>
              <w:top w:val="nil"/>
              <w:left w:val="nil"/>
              <w:bottom w:val="single" w:sz="4" w:space="0" w:color="auto"/>
              <w:right w:val="nil"/>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-13,12711</w:t>
            </w:r>
          </w:p>
        </w:tc>
        <w:tc>
          <w:tcPr>
            <w:tcW w:w="1576" w:type="dxa"/>
            <w:gridSpan w:val="2"/>
            <w:tcBorders>
              <w:top w:val="nil"/>
              <w:left w:val="single" w:sz="4" w:space="0" w:color="auto"/>
              <w:bottom w:val="single" w:sz="4" w:space="0" w:color="auto"/>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0,2121</w:t>
            </w:r>
          </w:p>
        </w:tc>
      </w:tr>
      <w:tr w:rsidR="009C16D2" w:rsidRPr="002A53B9" w:rsidTr="009C16D2">
        <w:trPr>
          <w:trHeight w:val="268"/>
        </w:trPr>
        <w:tc>
          <w:tcPr>
            <w:tcW w:w="1938" w:type="dxa"/>
            <w:tcBorders>
              <w:top w:val="nil"/>
              <w:left w:val="single" w:sz="4" w:space="0" w:color="auto"/>
              <w:bottom w:val="nil"/>
              <w:right w:val="single" w:sz="4" w:space="0" w:color="auto"/>
            </w:tcBorders>
            <w:shd w:val="clear" w:color="auto" w:fill="auto"/>
            <w:noWrap/>
            <w:vAlign w:val="bottom"/>
            <w:hideMark/>
          </w:tcPr>
          <w:p w:rsidR="009C16D2" w:rsidRPr="002A53B9" w:rsidRDefault="009C16D2" w:rsidP="009C16D2">
            <w:pPr>
              <w:spacing w:after="0" w:line="240" w:lineRule="auto"/>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EURUSD</w:t>
            </w:r>
          </w:p>
        </w:tc>
        <w:tc>
          <w:tcPr>
            <w:tcW w:w="1938" w:type="dxa"/>
            <w:gridSpan w:val="2"/>
            <w:tcBorders>
              <w:top w:val="nil"/>
              <w:left w:val="nil"/>
              <w:bottom w:val="nil"/>
              <w:right w:val="nil"/>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-2,239158</w:t>
            </w:r>
          </w:p>
        </w:tc>
        <w:tc>
          <w:tcPr>
            <w:tcW w:w="2070" w:type="dxa"/>
            <w:gridSpan w:val="3"/>
            <w:tcBorders>
              <w:top w:val="nil"/>
              <w:left w:val="single" w:sz="4" w:space="0" w:color="auto"/>
              <w:bottom w:val="nil"/>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0,4037</w:t>
            </w:r>
          </w:p>
        </w:tc>
        <w:tc>
          <w:tcPr>
            <w:tcW w:w="1872" w:type="dxa"/>
            <w:gridSpan w:val="2"/>
            <w:tcBorders>
              <w:top w:val="nil"/>
              <w:left w:val="nil"/>
              <w:bottom w:val="nil"/>
              <w:right w:val="nil"/>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-10,84628</w:t>
            </w:r>
          </w:p>
        </w:tc>
        <w:tc>
          <w:tcPr>
            <w:tcW w:w="1576" w:type="dxa"/>
            <w:gridSpan w:val="2"/>
            <w:tcBorders>
              <w:top w:val="nil"/>
              <w:left w:val="single" w:sz="4" w:space="0" w:color="auto"/>
              <w:bottom w:val="nil"/>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0,3163</w:t>
            </w:r>
          </w:p>
        </w:tc>
      </w:tr>
      <w:tr w:rsidR="009C16D2" w:rsidRPr="002A53B9" w:rsidTr="009C16D2">
        <w:trPr>
          <w:trHeight w:val="268"/>
        </w:trPr>
        <w:tc>
          <w:tcPr>
            <w:tcW w:w="1938" w:type="dxa"/>
            <w:tcBorders>
              <w:top w:val="nil"/>
              <w:left w:val="single" w:sz="4" w:space="0" w:color="auto"/>
              <w:bottom w:val="single" w:sz="4" w:space="0" w:color="auto"/>
              <w:right w:val="single" w:sz="4" w:space="0" w:color="auto"/>
            </w:tcBorders>
            <w:shd w:val="clear" w:color="auto" w:fill="auto"/>
            <w:noWrap/>
            <w:vAlign w:val="bottom"/>
            <w:hideMark/>
          </w:tcPr>
          <w:p w:rsidR="009C16D2" w:rsidRPr="002A53B9" w:rsidRDefault="009C16D2" w:rsidP="009C16D2">
            <w:pPr>
              <w:spacing w:after="0" w:line="240" w:lineRule="auto"/>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USCGDS</w:t>
            </w:r>
          </w:p>
        </w:tc>
        <w:tc>
          <w:tcPr>
            <w:tcW w:w="1938" w:type="dxa"/>
            <w:gridSpan w:val="2"/>
            <w:tcBorders>
              <w:top w:val="nil"/>
              <w:left w:val="nil"/>
              <w:bottom w:val="single" w:sz="4" w:space="0" w:color="auto"/>
              <w:right w:val="nil"/>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-2,164012</w:t>
            </w:r>
          </w:p>
        </w:tc>
        <w:tc>
          <w:tcPr>
            <w:tcW w:w="2070" w:type="dxa"/>
            <w:gridSpan w:val="3"/>
            <w:tcBorders>
              <w:top w:val="nil"/>
              <w:left w:val="single" w:sz="4" w:space="0" w:color="auto"/>
              <w:bottom w:val="single" w:sz="4" w:space="0" w:color="auto"/>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0,4423</w:t>
            </w:r>
          </w:p>
        </w:tc>
        <w:tc>
          <w:tcPr>
            <w:tcW w:w="1872" w:type="dxa"/>
            <w:gridSpan w:val="2"/>
            <w:tcBorders>
              <w:top w:val="nil"/>
              <w:left w:val="nil"/>
              <w:bottom w:val="single" w:sz="4" w:space="0" w:color="auto"/>
              <w:right w:val="nil"/>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-11,46219</w:t>
            </w:r>
          </w:p>
        </w:tc>
        <w:tc>
          <w:tcPr>
            <w:tcW w:w="1576" w:type="dxa"/>
            <w:gridSpan w:val="2"/>
            <w:tcBorders>
              <w:top w:val="nil"/>
              <w:left w:val="single" w:sz="4" w:space="0" w:color="auto"/>
              <w:bottom w:val="single" w:sz="4" w:space="0" w:color="auto"/>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0,2848</w:t>
            </w:r>
          </w:p>
        </w:tc>
      </w:tr>
      <w:tr w:rsidR="009C16D2" w:rsidRPr="002A53B9" w:rsidTr="009C16D2">
        <w:trPr>
          <w:trHeight w:val="268"/>
        </w:trPr>
        <w:tc>
          <w:tcPr>
            <w:tcW w:w="1938" w:type="dxa"/>
            <w:tcBorders>
              <w:top w:val="nil"/>
              <w:left w:val="single" w:sz="4" w:space="0" w:color="auto"/>
              <w:bottom w:val="nil"/>
              <w:right w:val="single" w:sz="4" w:space="0" w:color="auto"/>
            </w:tcBorders>
            <w:shd w:val="clear" w:color="auto" w:fill="auto"/>
            <w:noWrap/>
            <w:vAlign w:val="bottom"/>
            <w:hideMark/>
          </w:tcPr>
          <w:p w:rsidR="009C16D2" w:rsidRPr="002A53B9" w:rsidRDefault="009C16D2" w:rsidP="009C16D2">
            <w:pPr>
              <w:spacing w:after="0" w:line="240" w:lineRule="auto"/>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EURUSD</w:t>
            </w:r>
          </w:p>
        </w:tc>
        <w:tc>
          <w:tcPr>
            <w:tcW w:w="1938" w:type="dxa"/>
            <w:gridSpan w:val="2"/>
            <w:tcBorders>
              <w:top w:val="nil"/>
              <w:left w:val="nil"/>
              <w:bottom w:val="nil"/>
              <w:right w:val="nil"/>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-1,069598</w:t>
            </w:r>
          </w:p>
        </w:tc>
        <w:tc>
          <w:tcPr>
            <w:tcW w:w="2070" w:type="dxa"/>
            <w:gridSpan w:val="3"/>
            <w:tcBorders>
              <w:top w:val="nil"/>
              <w:left w:val="single" w:sz="4" w:space="0" w:color="auto"/>
              <w:bottom w:val="nil"/>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0,8882</w:t>
            </w:r>
          </w:p>
        </w:tc>
        <w:tc>
          <w:tcPr>
            <w:tcW w:w="1872" w:type="dxa"/>
            <w:gridSpan w:val="2"/>
            <w:tcBorders>
              <w:top w:val="nil"/>
              <w:left w:val="nil"/>
              <w:bottom w:val="nil"/>
              <w:right w:val="nil"/>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-2,489269</w:t>
            </w:r>
          </w:p>
        </w:tc>
        <w:tc>
          <w:tcPr>
            <w:tcW w:w="1576" w:type="dxa"/>
            <w:gridSpan w:val="2"/>
            <w:tcBorders>
              <w:top w:val="nil"/>
              <w:left w:val="single" w:sz="4" w:space="0" w:color="auto"/>
              <w:bottom w:val="nil"/>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0,9072</w:t>
            </w:r>
          </w:p>
        </w:tc>
      </w:tr>
      <w:tr w:rsidR="009C16D2" w:rsidRPr="002A53B9" w:rsidTr="009C16D2">
        <w:trPr>
          <w:trHeight w:val="268"/>
        </w:trPr>
        <w:tc>
          <w:tcPr>
            <w:tcW w:w="1938" w:type="dxa"/>
            <w:tcBorders>
              <w:top w:val="nil"/>
              <w:left w:val="single" w:sz="4" w:space="0" w:color="auto"/>
              <w:bottom w:val="single" w:sz="4" w:space="0" w:color="auto"/>
              <w:right w:val="single" w:sz="4" w:space="0" w:color="auto"/>
            </w:tcBorders>
            <w:shd w:val="clear" w:color="auto" w:fill="auto"/>
            <w:noWrap/>
            <w:vAlign w:val="bottom"/>
            <w:hideMark/>
          </w:tcPr>
          <w:p w:rsidR="009C16D2" w:rsidRPr="002A53B9" w:rsidRDefault="009C16D2" w:rsidP="009C16D2">
            <w:pPr>
              <w:spacing w:after="0" w:line="240" w:lineRule="auto"/>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USCS</w:t>
            </w:r>
          </w:p>
        </w:tc>
        <w:tc>
          <w:tcPr>
            <w:tcW w:w="1938" w:type="dxa"/>
            <w:gridSpan w:val="2"/>
            <w:tcBorders>
              <w:top w:val="nil"/>
              <w:left w:val="nil"/>
              <w:bottom w:val="single" w:sz="4" w:space="0" w:color="auto"/>
              <w:right w:val="nil"/>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-2,426358</w:t>
            </w:r>
          </w:p>
        </w:tc>
        <w:tc>
          <w:tcPr>
            <w:tcW w:w="2070" w:type="dxa"/>
            <w:gridSpan w:val="3"/>
            <w:tcBorders>
              <w:top w:val="nil"/>
              <w:left w:val="single" w:sz="4" w:space="0" w:color="auto"/>
              <w:bottom w:val="single" w:sz="4" w:space="0" w:color="auto"/>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0,3125</w:t>
            </w:r>
          </w:p>
        </w:tc>
        <w:tc>
          <w:tcPr>
            <w:tcW w:w="1872" w:type="dxa"/>
            <w:gridSpan w:val="2"/>
            <w:tcBorders>
              <w:top w:val="nil"/>
              <w:left w:val="nil"/>
              <w:bottom w:val="single" w:sz="4" w:space="0" w:color="auto"/>
              <w:right w:val="nil"/>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-12,56769</w:t>
            </w:r>
          </w:p>
        </w:tc>
        <w:tc>
          <w:tcPr>
            <w:tcW w:w="1576" w:type="dxa"/>
            <w:gridSpan w:val="2"/>
            <w:tcBorders>
              <w:top w:val="nil"/>
              <w:left w:val="single" w:sz="4" w:space="0" w:color="auto"/>
              <w:bottom w:val="single" w:sz="4" w:space="0" w:color="auto"/>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0,2345</w:t>
            </w:r>
          </w:p>
        </w:tc>
      </w:tr>
      <w:tr w:rsidR="009C16D2" w:rsidRPr="002A53B9" w:rsidTr="009C16D2">
        <w:trPr>
          <w:trHeight w:val="268"/>
        </w:trPr>
        <w:tc>
          <w:tcPr>
            <w:tcW w:w="1938" w:type="dxa"/>
            <w:tcBorders>
              <w:top w:val="nil"/>
              <w:left w:val="single" w:sz="4" w:space="0" w:color="auto"/>
              <w:bottom w:val="nil"/>
              <w:right w:val="single" w:sz="4" w:space="0" w:color="auto"/>
            </w:tcBorders>
            <w:shd w:val="clear" w:color="auto" w:fill="auto"/>
            <w:noWrap/>
            <w:vAlign w:val="bottom"/>
            <w:hideMark/>
          </w:tcPr>
          <w:p w:rsidR="009C16D2" w:rsidRPr="002A53B9" w:rsidRDefault="009C16D2" w:rsidP="009C16D2">
            <w:pPr>
              <w:spacing w:after="0" w:line="240" w:lineRule="auto"/>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EURUSD</w:t>
            </w:r>
          </w:p>
        </w:tc>
        <w:tc>
          <w:tcPr>
            <w:tcW w:w="1938" w:type="dxa"/>
            <w:gridSpan w:val="2"/>
            <w:tcBorders>
              <w:top w:val="nil"/>
              <w:left w:val="nil"/>
              <w:bottom w:val="nil"/>
              <w:right w:val="nil"/>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-1,060475</w:t>
            </w:r>
          </w:p>
        </w:tc>
        <w:tc>
          <w:tcPr>
            <w:tcW w:w="2070" w:type="dxa"/>
            <w:gridSpan w:val="3"/>
            <w:tcBorders>
              <w:top w:val="nil"/>
              <w:left w:val="single" w:sz="4" w:space="0" w:color="auto"/>
              <w:bottom w:val="nil"/>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0,8901</w:t>
            </w:r>
          </w:p>
        </w:tc>
        <w:tc>
          <w:tcPr>
            <w:tcW w:w="1872" w:type="dxa"/>
            <w:gridSpan w:val="2"/>
            <w:tcBorders>
              <w:top w:val="nil"/>
              <w:left w:val="nil"/>
              <w:bottom w:val="nil"/>
              <w:right w:val="nil"/>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-2,533903</w:t>
            </w:r>
          </w:p>
        </w:tc>
        <w:tc>
          <w:tcPr>
            <w:tcW w:w="1576" w:type="dxa"/>
            <w:gridSpan w:val="2"/>
            <w:tcBorders>
              <w:top w:val="nil"/>
              <w:left w:val="single" w:sz="4" w:space="0" w:color="auto"/>
              <w:bottom w:val="nil"/>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0,9048</w:t>
            </w:r>
          </w:p>
        </w:tc>
      </w:tr>
      <w:tr w:rsidR="009C16D2" w:rsidRPr="002A53B9" w:rsidTr="009C16D2">
        <w:trPr>
          <w:trHeight w:val="268"/>
        </w:trPr>
        <w:tc>
          <w:tcPr>
            <w:tcW w:w="1938" w:type="dxa"/>
            <w:tcBorders>
              <w:top w:val="nil"/>
              <w:left w:val="single" w:sz="4" w:space="0" w:color="auto"/>
              <w:bottom w:val="single" w:sz="4" w:space="0" w:color="auto"/>
              <w:right w:val="single" w:sz="4" w:space="0" w:color="auto"/>
            </w:tcBorders>
            <w:shd w:val="clear" w:color="auto" w:fill="auto"/>
            <w:noWrap/>
            <w:vAlign w:val="bottom"/>
            <w:hideMark/>
          </w:tcPr>
          <w:p w:rsidR="009C16D2" w:rsidRPr="002A53B9" w:rsidRDefault="009C16D2" w:rsidP="009C16D2">
            <w:pPr>
              <w:spacing w:after="0" w:line="240" w:lineRule="auto"/>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USFSVS</w:t>
            </w:r>
          </w:p>
        </w:tc>
        <w:tc>
          <w:tcPr>
            <w:tcW w:w="1938" w:type="dxa"/>
            <w:gridSpan w:val="2"/>
            <w:tcBorders>
              <w:top w:val="nil"/>
              <w:left w:val="nil"/>
              <w:bottom w:val="single" w:sz="4" w:space="0" w:color="auto"/>
              <w:right w:val="nil"/>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-1,617537</w:t>
            </w:r>
          </w:p>
        </w:tc>
        <w:tc>
          <w:tcPr>
            <w:tcW w:w="2070" w:type="dxa"/>
            <w:gridSpan w:val="3"/>
            <w:tcBorders>
              <w:top w:val="nil"/>
              <w:left w:val="single" w:sz="4" w:space="0" w:color="auto"/>
              <w:bottom w:val="single" w:sz="4" w:space="0" w:color="auto"/>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0,7152</w:t>
            </w:r>
          </w:p>
        </w:tc>
        <w:tc>
          <w:tcPr>
            <w:tcW w:w="1872" w:type="dxa"/>
            <w:gridSpan w:val="2"/>
            <w:tcBorders>
              <w:top w:val="nil"/>
              <w:left w:val="nil"/>
              <w:bottom w:val="single" w:sz="4" w:space="0" w:color="auto"/>
              <w:right w:val="nil"/>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-5,302481</w:t>
            </w:r>
          </w:p>
        </w:tc>
        <w:tc>
          <w:tcPr>
            <w:tcW w:w="1576" w:type="dxa"/>
            <w:gridSpan w:val="2"/>
            <w:tcBorders>
              <w:top w:val="nil"/>
              <w:left w:val="single" w:sz="4" w:space="0" w:color="auto"/>
              <w:bottom w:val="single" w:sz="4" w:space="0" w:color="auto"/>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0,7083</w:t>
            </w:r>
          </w:p>
        </w:tc>
      </w:tr>
      <w:tr w:rsidR="009C16D2" w:rsidRPr="002A53B9" w:rsidTr="009C16D2">
        <w:trPr>
          <w:trHeight w:val="268"/>
        </w:trPr>
        <w:tc>
          <w:tcPr>
            <w:tcW w:w="1938" w:type="dxa"/>
            <w:tcBorders>
              <w:top w:val="nil"/>
              <w:left w:val="single" w:sz="4" w:space="0" w:color="auto"/>
              <w:bottom w:val="nil"/>
              <w:right w:val="single" w:sz="4" w:space="0" w:color="auto"/>
            </w:tcBorders>
            <w:shd w:val="clear" w:color="auto" w:fill="auto"/>
            <w:noWrap/>
            <w:vAlign w:val="bottom"/>
            <w:hideMark/>
          </w:tcPr>
          <w:p w:rsidR="009C16D2" w:rsidRPr="002A53B9" w:rsidRDefault="009C16D2" w:rsidP="009C16D2">
            <w:pPr>
              <w:spacing w:after="0" w:line="240" w:lineRule="auto"/>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EURUSD</w:t>
            </w:r>
          </w:p>
        </w:tc>
        <w:tc>
          <w:tcPr>
            <w:tcW w:w="1938" w:type="dxa"/>
            <w:gridSpan w:val="2"/>
            <w:tcBorders>
              <w:top w:val="nil"/>
              <w:left w:val="nil"/>
              <w:bottom w:val="nil"/>
              <w:right w:val="nil"/>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-1,471652</w:t>
            </w:r>
          </w:p>
        </w:tc>
        <w:tc>
          <w:tcPr>
            <w:tcW w:w="2070" w:type="dxa"/>
            <w:gridSpan w:val="3"/>
            <w:tcBorders>
              <w:top w:val="nil"/>
              <w:left w:val="single" w:sz="4" w:space="0" w:color="auto"/>
              <w:bottom w:val="nil"/>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0,774</w:t>
            </w:r>
          </w:p>
        </w:tc>
        <w:tc>
          <w:tcPr>
            <w:tcW w:w="1872" w:type="dxa"/>
            <w:gridSpan w:val="2"/>
            <w:tcBorders>
              <w:top w:val="nil"/>
              <w:left w:val="nil"/>
              <w:bottom w:val="nil"/>
              <w:right w:val="nil"/>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-4,409469</w:t>
            </w:r>
          </w:p>
        </w:tc>
        <w:tc>
          <w:tcPr>
            <w:tcW w:w="1576" w:type="dxa"/>
            <w:gridSpan w:val="2"/>
            <w:tcBorders>
              <w:top w:val="nil"/>
              <w:left w:val="single" w:sz="4" w:space="0" w:color="auto"/>
              <w:bottom w:val="nil"/>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0,7789</w:t>
            </w:r>
          </w:p>
        </w:tc>
      </w:tr>
      <w:tr w:rsidR="009C16D2" w:rsidRPr="002A53B9" w:rsidTr="009C16D2">
        <w:trPr>
          <w:trHeight w:val="268"/>
        </w:trPr>
        <w:tc>
          <w:tcPr>
            <w:tcW w:w="1938" w:type="dxa"/>
            <w:tcBorders>
              <w:top w:val="nil"/>
              <w:left w:val="single" w:sz="4" w:space="0" w:color="auto"/>
              <w:bottom w:val="single" w:sz="4" w:space="0" w:color="auto"/>
              <w:right w:val="single" w:sz="4" w:space="0" w:color="auto"/>
            </w:tcBorders>
            <w:shd w:val="clear" w:color="auto" w:fill="auto"/>
            <w:noWrap/>
            <w:vAlign w:val="bottom"/>
            <w:hideMark/>
          </w:tcPr>
          <w:p w:rsidR="009C16D2" w:rsidRPr="002A53B9" w:rsidRDefault="009C16D2" w:rsidP="009C16D2">
            <w:pPr>
              <w:spacing w:after="0" w:line="240" w:lineRule="auto"/>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USHC</w:t>
            </w:r>
          </w:p>
        </w:tc>
        <w:tc>
          <w:tcPr>
            <w:tcW w:w="1938" w:type="dxa"/>
            <w:gridSpan w:val="2"/>
            <w:tcBorders>
              <w:top w:val="nil"/>
              <w:left w:val="nil"/>
              <w:bottom w:val="single" w:sz="4" w:space="0" w:color="auto"/>
              <w:right w:val="nil"/>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-2,981398</w:t>
            </w:r>
          </w:p>
        </w:tc>
        <w:tc>
          <w:tcPr>
            <w:tcW w:w="2070" w:type="dxa"/>
            <w:gridSpan w:val="3"/>
            <w:tcBorders>
              <w:top w:val="nil"/>
              <w:left w:val="single" w:sz="4" w:space="0" w:color="auto"/>
              <w:bottom w:val="single" w:sz="4" w:space="0" w:color="auto"/>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0,1151</w:t>
            </w:r>
          </w:p>
        </w:tc>
        <w:tc>
          <w:tcPr>
            <w:tcW w:w="1872" w:type="dxa"/>
            <w:gridSpan w:val="2"/>
            <w:tcBorders>
              <w:top w:val="nil"/>
              <w:left w:val="nil"/>
              <w:bottom w:val="single" w:sz="4" w:space="0" w:color="auto"/>
              <w:right w:val="nil"/>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-17,95797</w:t>
            </w:r>
          </w:p>
        </w:tc>
        <w:tc>
          <w:tcPr>
            <w:tcW w:w="1576" w:type="dxa"/>
            <w:gridSpan w:val="2"/>
            <w:tcBorders>
              <w:top w:val="nil"/>
              <w:left w:val="single" w:sz="4" w:space="0" w:color="auto"/>
              <w:bottom w:val="single" w:sz="4" w:space="0" w:color="auto"/>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0,0846</w:t>
            </w:r>
          </w:p>
        </w:tc>
      </w:tr>
      <w:tr w:rsidR="009C16D2" w:rsidRPr="002A53B9" w:rsidTr="009C16D2">
        <w:trPr>
          <w:trHeight w:val="268"/>
        </w:trPr>
        <w:tc>
          <w:tcPr>
            <w:tcW w:w="1938" w:type="dxa"/>
            <w:tcBorders>
              <w:top w:val="nil"/>
              <w:left w:val="single" w:sz="4" w:space="0" w:color="auto"/>
              <w:bottom w:val="nil"/>
              <w:right w:val="single" w:sz="4" w:space="0" w:color="auto"/>
            </w:tcBorders>
            <w:shd w:val="clear" w:color="auto" w:fill="auto"/>
            <w:noWrap/>
            <w:vAlign w:val="bottom"/>
            <w:hideMark/>
          </w:tcPr>
          <w:p w:rsidR="009C16D2" w:rsidRPr="002A53B9" w:rsidRDefault="009C16D2" w:rsidP="009C16D2">
            <w:pPr>
              <w:spacing w:after="0" w:line="240" w:lineRule="auto"/>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EURUSD</w:t>
            </w:r>
          </w:p>
        </w:tc>
        <w:tc>
          <w:tcPr>
            <w:tcW w:w="1938" w:type="dxa"/>
            <w:gridSpan w:val="2"/>
            <w:tcBorders>
              <w:top w:val="nil"/>
              <w:left w:val="nil"/>
              <w:bottom w:val="nil"/>
              <w:right w:val="nil"/>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-1,386838</w:t>
            </w:r>
          </w:p>
        </w:tc>
        <w:tc>
          <w:tcPr>
            <w:tcW w:w="2070" w:type="dxa"/>
            <w:gridSpan w:val="3"/>
            <w:tcBorders>
              <w:top w:val="nil"/>
              <w:left w:val="single" w:sz="4" w:space="0" w:color="auto"/>
              <w:bottom w:val="nil"/>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0,8039</w:t>
            </w:r>
          </w:p>
        </w:tc>
        <w:tc>
          <w:tcPr>
            <w:tcW w:w="1872" w:type="dxa"/>
            <w:gridSpan w:val="2"/>
            <w:tcBorders>
              <w:top w:val="nil"/>
              <w:left w:val="nil"/>
              <w:bottom w:val="nil"/>
              <w:right w:val="nil"/>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-3,901742</w:t>
            </w:r>
          </w:p>
        </w:tc>
        <w:tc>
          <w:tcPr>
            <w:tcW w:w="1576" w:type="dxa"/>
            <w:gridSpan w:val="2"/>
            <w:tcBorders>
              <w:top w:val="nil"/>
              <w:left w:val="single" w:sz="4" w:space="0" w:color="auto"/>
              <w:bottom w:val="nil"/>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0,8169</w:t>
            </w:r>
          </w:p>
        </w:tc>
      </w:tr>
      <w:tr w:rsidR="009C16D2" w:rsidRPr="002A53B9" w:rsidTr="009C16D2">
        <w:trPr>
          <w:trHeight w:val="268"/>
        </w:trPr>
        <w:tc>
          <w:tcPr>
            <w:tcW w:w="1938" w:type="dxa"/>
            <w:tcBorders>
              <w:top w:val="nil"/>
              <w:left w:val="single" w:sz="4" w:space="0" w:color="auto"/>
              <w:bottom w:val="single" w:sz="4" w:space="0" w:color="auto"/>
              <w:right w:val="single" w:sz="4" w:space="0" w:color="auto"/>
            </w:tcBorders>
            <w:shd w:val="clear" w:color="auto" w:fill="auto"/>
            <w:noWrap/>
            <w:vAlign w:val="bottom"/>
            <w:hideMark/>
          </w:tcPr>
          <w:p w:rsidR="009C16D2" w:rsidRPr="002A53B9" w:rsidRDefault="009C16D2" w:rsidP="009C16D2">
            <w:pPr>
              <w:spacing w:after="0" w:line="240" w:lineRule="auto"/>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USIND</w:t>
            </w:r>
          </w:p>
        </w:tc>
        <w:tc>
          <w:tcPr>
            <w:tcW w:w="1938" w:type="dxa"/>
            <w:gridSpan w:val="2"/>
            <w:tcBorders>
              <w:top w:val="nil"/>
              <w:left w:val="nil"/>
              <w:bottom w:val="single" w:sz="4" w:space="0" w:color="auto"/>
              <w:right w:val="nil"/>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-2,184746</w:t>
            </w:r>
          </w:p>
        </w:tc>
        <w:tc>
          <w:tcPr>
            <w:tcW w:w="2070" w:type="dxa"/>
            <w:gridSpan w:val="3"/>
            <w:tcBorders>
              <w:top w:val="nil"/>
              <w:left w:val="single" w:sz="4" w:space="0" w:color="auto"/>
              <w:bottom w:val="single" w:sz="4" w:space="0" w:color="auto"/>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0,4316</w:t>
            </w:r>
          </w:p>
        </w:tc>
        <w:tc>
          <w:tcPr>
            <w:tcW w:w="1872" w:type="dxa"/>
            <w:gridSpan w:val="2"/>
            <w:tcBorders>
              <w:top w:val="nil"/>
              <w:left w:val="nil"/>
              <w:bottom w:val="single" w:sz="4" w:space="0" w:color="auto"/>
              <w:right w:val="nil"/>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-9,895788</w:t>
            </w:r>
          </w:p>
        </w:tc>
        <w:tc>
          <w:tcPr>
            <w:tcW w:w="1576" w:type="dxa"/>
            <w:gridSpan w:val="2"/>
            <w:tcBorders>
              <w:top w:val="nil"/>
              <w:left w:val="single" w:sz="4" w:space="0" w:color="auto"/>
              <w:bottom w:val="single" w:sz="4" w:space="0" w:color="auto"/>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0,3703</w:t>
            </w:r>
          </w:p>
        </w:tc>
      </w:tr>
      <w:tr w:rsidR="009C16D2" w:rsidRPr="002A53B9" w:rsidTr="009C16D2">
        <w:trPr>
          <w:trHeight w:val="268"/>
        </w:trPr>
        <w:tc>
          <w:tcPr>
            <w:tcW w:w="1938" w:type="dxa"/>
            <w:tcBorders>
              <w:top w:val="nil"/>
              <w:left w:val="single" w:sz="4" w:space="0" w:color="auto"/>
              <w:bottom w:val="nil"/>
              <w:right w:val="single" w:sz="4" w:space="0" w:color="auto"/>
            </w:tcBorders>
            <w:shd w:val="clear" w:color="auto" w:fill="auto"/>
            <w:noWrap/>
            <w:vAlign w:val="bottom"/>
            <w:hideMark/>
          </w:tcPr>
          <w:p w:rsidR="009C16D2" w:rsidRPr="002A53B9" w:rsidRDefault="009C16D2" w:rsidP="009C16D2">
            <w:pPr>
              <w:spacing w:after="0" w:line="240" w:lineRule="auto"/>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EURUSD</w:t>
            </w:r>
          </w:p>
        </w:tc>
        <w:tc>
          <w:tcPr>
            <w:tcW w:w="1938" w:type="dxa"/>
            <w:gridSpan w:val="2"/>
            <w:tcBorders>
              <w:top w:val="nil"/>
              <w:left w:val="nil"/>
              <w:bottom w:val="nil"/>
              <w:right w:val="nil"/>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-2,400916</w:t>
            </w:r>
          </w:p>
        </w:tc>
        <w:tc>
          <w:tcPr>
            <w:tcW w:w="2070" w:type="dxa"/>
            <w:gridSpan w:val="3"/>
            <w:tcBorders>
              <w:top w:val="nil"/>
              <w:left w:val="single" w:sz="4" w:space="0" w:color="auto"/>
              <w:bottom w:val="nil"/>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0,3244</w:t>
            </w:r>
          </w:p>
        </w:tc>
        <w:tc>
          <w:tcPr>
            <w:tcW w:w="1872" w:type="dxa"/>
            <w:gridSpan w:val="2"/>
            <w:tcBorders>
              <w:top w:val="nil"/>
              <w:left w:val="nil"/>
              <w:bottom w:val="nil"/>
              <w:right w:val="nil"/>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-10,53128</w:t>
            </w:r>
          </w:p>
        </w:tc>
        <w:tc>
          <w:tcPr>
            <w:tcW w:w="1576" w:type="dxa"/>
            <w:gridSpan w:val="2"/>
            <w:tcBorders>
              <w:top w:val="nil"/>
              <w:left w:val="single" w:sz="4" w:space="0" w:color="auto"/>
              <w:bottom w:val="nil"/>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0,3335</w:t>
            </w:r>
          </w:p>
        </w:tc>
      </w:tr>
      <w:tr w:rsidR="009C16D2" w:rsidRPr="002A53B9" w:rsidTr="009C16D2">
        <w:trPr>
          <w:trHeight w:val="268"/>
        </w:trPr>
        <w:tc>
          <w:tcPr>
            <w:tcW w:w="1938" w:type="dxa"/>
            <w:tcBorders>
              <w:top w:val="nil"/>
              <w:left w:val="single" w:sz="4" w:space="0" w:color="auto"/>
              <w:bottom w:val="single" w:sz="4" w:space="0" w:color="auto"/>
              <w:right w:val="single" w:sz="4" w:space="0" w:color="auto"/>
            </w:tcBorders>
            <w:shd w:val="clear" w:color="auto" w:fill="auto"/>
            <w:noWrap/>
            <w:vAlign w:val="bottom"/>
            <w:hideMark/>
          </w:tcPr>
          <w:p w:rsidR="009C16D2" w:rsidRPr="002A53B9" w:rsidRDefault="009C16D2" w:rsidP="009C16D2">
            <w:pPr>
              <w:spacing w:after="0" w:line="240" w:lineRule="auto"/>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USOIG</w:t>
            </w:r>
          </w:p>
        </w:tc>
        <w:tc>
          <w:tcPr>
            <w:tcW w:w="1938" w:type="dxa"/>
            <w:gridSpan w:val="2"/>
            <w:tcBorders>
              <w:top w:val="nil"/>
              <w:left w:val="nil"/>
              <w:bottom w:val="single" w:sz="4" w:space="0" w:color="auto"/>
              <w:right w:val="nil"/>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-2,403334</w:t>
            </w:r>
          </w:p>
        </w:tc>
        <w:tc>
          <w:tcPr>
            <w:tcW w:w="2070" w:type="dxa"/>
            <w:gridSpan w:val="3"/>
            <w:tcBorders>
              <w:top w:val="nil"/>
              <w:left w:val="single" w:sz="4" w:space="0" w:color="auto"/>
              <w:bottom w:val="single" w:sz="4" w:space="0" w:color="auto"/>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0,3232</w:t>
            </w:r>
          </w:p>
        </w:tc>
        <w:tc>
          <w:tcPr>
            <w:tcW w:w="1872" w:type="dxa"/>
            <w:gridSpan w:val="2"/>
            <w:tcBorders>
              <w:top w:val="nil"/>
              <w:left w:val="nil"/>
              <w:bottom w:val="single" w:sz="4" w:space="0" w:color="auto"/>
              <w:right w:val="nil"/>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-10,6599</w:t>
            </w:r>
          </w:p>
        </w:tc>
        <w:tc>
          <w:tcPr>
            <w:tcW w:w="1576" w:type="dxa"/>
            <w:gridSpan w:val="2"/>
            <w:tcBorders>
              <w:top w:val="nil"/>
              <w:left w:val="single" w:sz="4" w:space="0" w:color="auto"/>
              <w:bottom w:val="single" w:sz="4" w:space="0" w:color="auto"/>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0,3264</w:t>
            </w:r>
          </w:p>
        </w:tc>
      </w:tr>
      <w:tr w:rsidR="009C16D2" w:rsidRPr="002A53B9" w:rsidTr="009C16D2">
        <w:trPr>
          <w:trHeight w:val="268"/>
        </w:trPr>
        <w:tc>
          <w:tcPr>
            <w:tcW w:w="1938" w:type="dxa"/>
            <w:tcBorders>
              <w:top w:val="nil"/>
              <w:left w:val="single" w:sz="4" w:space="0" w:color="auto"/>
              <w:bottom w:val="nil"/>
              <w:right w:val="single" w:sz="4" w:space="0" w:color="auto"/>
            </w:tcBorders>
            <w:shd w:val="clear" w:color="auto" w:fill="auto"/>
            <w:noWrap/>
            <w:vAlign w:val="bottom"/>
            <w:hideMark/>
          </w:tcPr>
          <w:p w:rsidR="009C16D2" w:rsidRPr="002A53B9" w:rsidRDefault="009C16D2" w:rsidP="009C16D2">
            <w:pPr>
              <w:spacing w:after="0" w:line="240" w:lineRule="auto"/>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EURUSD</w:t>
            </w:r>
          </w:p>
        </w:tc>
        <w:tc>
          <w:tcPr>
            <w:tcW w:w="1938" w:type="dxa"/>
            <w:gridSpan w:val="2"/>
            <w:tcBorders>
              <w:top w:val="nil"/>
              <w:left w:val="nil"/>
              <w:bottom w:val="nil"/>
              <w:right w:val="nil"/>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-1,235871</w:t>
            </w:r>
          </w:p>
        </w:tc>
        <w:tc>
          <w:tcPr>
            <w:tcW w:w="2070" w:type="dxa"/>
            <w:gridSpan w:val="3"/>
            <w:tcBorders>
              <w:top w:val="nil"/>
              <w:left w:val="single" w:sz="4" w:space="0" w:color="auto"/>
              <w:bottom w:val="nil"/>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0,8493</w:t>
            </w:r>
          </w:p>
        </w:tc>
        <w:tc>
          <w:tcPr>
            <w:tcW w:w="1872" w:type="dxa"/>
            <w:gridSpan w:val="2"/>
            <w:tcBorders>
              <w:top w:val="nil"/>
              <w:left w:val="nil"/>
              <w:bottom w:val="nil"/>
              <w:right w:val="nil"/>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-3,381146</w:t>
            </w:r>
          </w:p>
        </w:tc>
        <w:tc>
          <w:tcPr>
            <w:tcW w:w="1576" w:type="dxa"/>
            <w:gridSpan w:val="2"/>
            <w:tcBorders>
              <w:top w:val="nil"/>
              <w:left w:val="single" w:sz="4" w:space="0" w:color="auto"/>
              <w:bottom w:val="nil"/>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0,8533</w:t>
            </w:r>
          </w:p>
        </w:tc>
      </w:tr>
      <w:tr w:rsidR="009C16D2" w:rsidRPr="002A53B9" w:rsidTr="009C16D2">
        <w:trPr>
          <w:trHeight w:val="268"/>
        </w:trPr>
        <w:tc>
          <w:tcPr>
            <w:tcW w:w="1938" w:type="dxa"/>
            <w:tcBorders>
              <w:top w:val="nil"/>
              <w:left w:val="single" w:sz="4" w:space="0" w:color="auto"/>
              <w:bottom w:val="single" w:sz="4" w:space="0" w:color="auto"/>
              <w:right w:val="single" w:sz="4" w:space="0" w:color="auto"/>
            </w:tcBorders>
            <w:shd w:val="clear" w:color="auto" w:fill="auto"/>
            <w:noWrap/>
            <w:vAlign w:val="bottom"/>
            <w:hideMark/>
          </w:tcPr>
          <w:p w:rsidR="009C16D2" w:rsidRPr="002A53B9" w:rsidRDefault="009C16D2" w:rsidP="009C16D2">
            <w:pPr>
              <w:spacing w:after="0" w:line="240" w:lineRule="auto"/>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USTECH</w:t>
            </w:r>
          </w:p>
        </w:tc>
        <w:tc>
          <w:tcPr>
            <w:tcW w:w="1938" w:type="dxa"/>
            <w:gridSpan w:val="2"/>
            <w:tcBorders>
              <w:top w:val="nil"/>
              <w:left w:val="nil"/>
              <w:bottom w:val="single" w:sz="4" w:space="0" w:color="auto"/>
              <w:right w:val="nil"/>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-1,892809</w:t>
            </w:r>
          </w:p>
        </w:tc>
        <w:tc>
          <w:tcPr>
            <w:tcW w:w="2070" w:type="dxa"/>
            <w:gridSpan w:val="3"/>
            <w:tcBorders>
              <w:top w:val="nil"/>
              <w:left w:val="single" w:sz="4" w:space="0" w:color="auto"/>
              <w:bottom w:val="single" w:sz="4" w:space="0" w:color="auto"/>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0,5837</w:t>
            </w:r>
          </w:p>
        </w:tc>
        <w:tc>
          <w:tcPr>
            <w:tcW w:w="1872" w:type="dxa"/>
            <w:gridSpan w:val="2"/>
            <w:tcBorders>
              <w:top w:val="nil"/>
              <w:left w:val="nil"/>
              <w:bottom w:val="single" w:sz="4" w:space="0" w:color="auto"/>
              <w:right w:val="nil"/>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-7,289311</w:t>
            </w:r>
          </w:p>
        </w:tc>
        <w:tc>
          <w:tcPr>
            <w:tcW w:w="1576" w:type="dxa"/>
            <w:gridSpan w:val="2"/>
            <w:tcBorders>
              <w:top w:val="nil"/>
              <w:left w:val="single" w:sz="4" w:space="0" w:color="auto"/>
              <w:bottom w:val="single" w:sz="4" w:space="0" w:color="auto"/>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0,55</w:t>
            </w:r>
          </w:p>
        </w:tc>
      </w:tr>
      <w:tr w:rsidR="009C16D2" w:rsidRPr="002A53B9" w:rsidTr="009C16D2">
        <w:trPr>
          <w:trHeight w:val="268"/>
        </w:trPr>
        <w:tc>
          <w:tcPr>
            <w:tcW w:w="1938" w:type="dxa"/>
            <w:tcBorders>
              <w:top w:val="nil"/>
              <w:left w:val="single" w:sz="4" w:space="0" w:color="auto"/>
              <w:bottom w:val="nil"/>
              <w:right w:val="single" w:sz="4" w:space="0" w:color="auto"/>
            </w:tcBorders>
            <w:shd w:val="clear" w:color="auto" w:fill="auto"/>
            <w:noWrap/>
            <w:vAlign w:val="bottom"/>
            <w:hideMark/>
          </w:tcPr>
          <w:p w:rsidR="009C16D2" w:rsidRPr="002A53B9" w:rsidRDefault="009C16D2" w:rsidP="009C16D2">
            <w:pPr>
              <w:spacing w:after="0" w:line="240" w:lineRule="auto"/>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EURUSD</w:t>
            </w:r>
          </w:p>
        </w:tc>
        <w:tc>
          <w:tcPr>
            <w:tcW w:w="1938" w:type="dxa"/>
            <w:gridSpan w:val="2"/>
            <w:tcBorders>
              <w:top w:val="nil"/>
              <w:left w:val="nil"/>
              <w:bottom w:val="nil"/>
              <w:right w:val="nil"/>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-1,507847</w:t>
            </w:r>
          </w:p>
        </w:tc>
        <w:tc>
          <w:tcPr>
            <w:tcW w:w="2070" w:type="dxa"/>
            <w:gridSpan w:val="3"/>
            <w:tcBorders>
              <w:top w:val="nil"/>
              <w:left w:val="single" w:sz="4" w:space="0" w:color="auto"/>
              <w:bottom w:val="nil"/>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0,7602</w:t>
            </w:r>
          </w:p>
        </w:tc>
        <w:tc>
          <w:tcPr>
            <w:tcW w:w="1872" w:type="dxa"/>
            <w:gridSpan w:val="2"/>
            <w:tcBorders>
              <w:top w:val="nil"/>
              <w:left w:val="nil"/>
              <w:bottom w:val="nil"/>
              <w:right w:val="nil"/>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-4,29917</w:t>
            </w:r>
          </w:p>
        </w:tc>
        <w:tc>
          <w:tcPr>
            <w:tcW w:w="1576" w:type="dxa"/>
            <w:gridSpan w:val="2"/>
            <w:tcBorders>
              <w:top w:val="nil"/>
              <w:left w:val="single" w:sz="4" w:space="0" w:color="auto"/>
              <w:bottom w:val="nil"/>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0,7873</w:t>
            </w:r>
          </w:p>
        </w:tc>
      </w:tr>
      <w:tr w:rsidR="009C16D2" w:rsidRPr="002A53B9" w:rsidTr="009C16D2">
        <w:trPr>
          <w:trHeight w:val="268"/>
        </w:trPr>
        <w:tc>
          <w:tcPr>
            <w:tcW w:w="1938" w:type="dxa"/>
            <w:tcBorders>
              <w:top w:val="nil"/>
              <w:left w:val="single" w:sz="4" w:space="0" w:color="auto"/>
              <w:bottom w:val="single" w:sz="4" w:space="0" w:color="auto"/>
              <w:right w:val="single" w:sz="4" w:space="0" w:color="auto"/>
            </w:tcBorders>
            <w:shd w:val="clear" w:color="auto" w:fill="auto"/>
            <w:noWrap/>
            <w:vAlign w:val="bottom"/>
            <w:hideMark/>
          </w:tcPr>
          <w:p w:rsidR="009C16D2" w:rsidRPr="002A53B9" w:rsidRDefault="009C16D2" w:rsidP="009C16D2">
            <w:pPr>
              <w:spacing w:after="0" w:line="240" w:lineRule="auto"/>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USTEL</w:t>
            </w:r>
          </w:p>
        </w:tc>
        <w:tc>
          <w:tcPr>
            <w:tcW w:w="1938" w:type="dxa"/>
            <w:gridSpan w:val="2"/>
            <w:tcBorders>
              <w:top w:val="nil"/>
              <w:left w:val="nil"/>
              <w:bottom w:val="single" w:sz="4" w:space="0" w:color="auto"/>
              <w:right w:val="nil"/>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-2,118274</w:t>
            </w:r>
          </w:p>
        </w:tc>
        <w:tc>
          <w:tcPr>
            <w:tcW w:w="2070" w:type="dxa"/>
            <w:gridSpan w:val="3"/>
            <w:tcBorders>
              <w:top w:val="nil"/>
              <w:left w:val="single" w:sz="4" w:space="0" w:color="auto"/>
              <w:bottom w:val="single" w:sz="4" w:space="0" w:color="auto"/>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0,4661</w:t>
            </w:r>
          </w:p>
        </w:tc>
        <w:tc>
          <w:tcPr>
            <w:tcW w:w="1872" w:type="dxa"/>
            <w:gridSpan w:val="2"/>
            <w:tcBorders>
              <w:top w:val="nil"/>
              <w:left w:val="nil"/>
              <w:bottom w:val="single" w:sz="4" w:space="0" w:color="auto"/>
              <w:right w:val="nil"/>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-5,85769</w:t>
            </w:r>
          </w:p>
        </w:tc>
        <w:tc>
          <w:tcPr>
            <w:tcW w:w="1576" w:type="dxa"/>
            <w:gridSpan w:val="2"/>
            <w:tcBorders>
              <w:top w:val="nil"/>
              <w:left w:val="single" w:sz="4" w:space="0" w:color="auto"/>
              <w:bottom w:val="single" w:sz="4" w:space="0" w:color="auto"/>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0,6635</w:t>
            </w:r>
          </w:p>
        </w:tc>
      </w:tr>
      <w:tr w:rsidR="009C16D2" w:rsidRPr="002A53B9" w:rsidTr="009C16D2">
        <w:trPr>
          <w:trHeight w:val="268"/>
        </w:trPr>
        <w:tc>
          <w:tcPr>
            <w:tcW w:w="1938" w:type="dxa"/>
            <w:tcBorders>
              <w:top w:val="nil"/>
              <w:left w:val="single" w:sz="4" w:space="0" w:color="auto"/>
              <w:bottom w:val="nil"/>
              <w:right w:val="single" w:sz="4" w:space="0" w:color="auto"/>
            </w:tcBorders>
            <w:shd w:val="clear" w:color="auto" w:fill="auto"/>
            <w:noWrap/>
            <w:vAlign w:val="bottom"/>
            <w:hideMark/>
          </w:tcPr>
          <w:p w:rsidR="009C16D2" w:rsidRPr="002A53B9" w:rsidRDefault="009C16D2" w:rsidP="009C16D2">
            <w:pPr>
              <w:spacing w:after="0" w:line="240" w:lineRule="auto"/>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EURUSD</w:t>
            </w:r>
          </w:p>
        </w:tc>
        <w:tc>
          <w:tcPr>
            <w:tcW w:w="1938" w:type="dxa"/>
            <w:gridSpan w:val="2"/>
            <w:tcBorders>
              <w:top w:val="nil"/>
              <w:left w:val="nil"/>
              <w:bottom w:val="nil"/>
              <w:right w:val="nil"/>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-1,43049</w:t>
            </w:r>
          </w:p>
        </w:tc>
        <w:tc>
          <w:tcPr>
            <w:tcW w:w="2070" w:type="dxa"/>
            <w:gridSpan w:val="3"/>
            <w:tcBorders>
              <w:top w:val="nil"/>
              <w:left w:val="single" w:sz="4" w:space="0" w:color="auto"/>
              <w:bottom w:val="nil"/>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0,7889</w:t>
            </w:r>
          </w:p>
        </w:tc>
        <w:tc>
          <w:tcPr>
            <w:tcW w:w="1872" w:type="dxa"/>
            <w:gridSpan w:val="2"/>
            <w:tcBorders>
              <w:top w:val="nil"/>
              <w:left w:val="nil"/>
              <w:bottom w:val="nil"/>
              <w:right w:val="nil"/>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-4,261443</w:t>
            </w:r>
          </w:p>
        </w:tc>
        <w:tc>
          <w:tcPr>
            <w:tcW w:w="1576" w:type="dxa"/>
            <w:gridSpan w:val="2"/>
            <w:tcBorders>
              <w:top w:val="nil"/>
              <w:left w:val="single" w:sz="4" w:space="0" w:color="auto"/>
              <w:bottom w:val="nil"/>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0,7902</w:t>
            </w:r>
          </w:p>
        </w:tc>
      </w:tr>
      <w:tr w:rsidR="009C16D2" w:rsidRPr="002A53B9" w:rsidTr="009C16D2">
        <w:trPr>
          <w:trHeight w:val="268"/>
        </w:trPr>
        <w:tc>
          <w:tcPr>
            <w:tcW w:w="1938" w:type="dxa"/>
            <w:tcBorders>
              <w:top w:val="nil"/>
              <w:left w:val="single" w:sz="4" w:space="0" w:color="auto"/>
              <w:bottom w:val="single" w:sz="4" w:space="0" w:color="auto"/>
              <w:right w:val="single" w:sz="4" w:space="0" w:color="auto"/>
            </w:tcBorders>
            <w:shd w:val="clear" w:color="auto" w:fill="auto"/>
            <w:noWrap/>
            <w:vAlign w:val="bottom"/>
            <w:hideMark/>
          </w:tcPr>
          <w:p w:rsidR="009C16D2" w:rsidRPr="002A53B9" w:rsidRDefault="009C16D2" w:rsidP="009C16D2">
            <w:pPr>
              <w:spacing w:after="0" w:line="240" w:lineRule="auto"/>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USUT</w:t>
            </w:r>
          </w:p>
        </w:tc>
        <w:tc>
          <w:tcPr>
            <w:tcW w:w="1938" w:type="dxa"/>
            <w:gridSpan w:val="2"/>
            <w:tcBorders>
              <w:top w:val="nil"/>
              <w:left w:val="nil"/>
              <w:bottom w:val="single" w:sz="4" w:space="0" w:color="auto"/>
              <w:right w:val="nil"/>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-1,780782</w:t>
            </w:r>
          </w:p>
        </w:tc>
        <w:tc>
          <w:tcPr>
            <w:tcW w:w="2070" w:type="dxa"/>
            <w:gridSpan w:val="3"/>
            <w:tcBorders>
              <w:top w:val="nil"/>
              <w:left w:val="single" w:sz="4" w:space="0" w:color="auto"/>
              <w:bottom w:val="single" w:sz="4" w:space="0" w:color="auto"/>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0,6398</w:t>
            </w:r>
          </w:p>
        </w:tc>
        <w:tc>
          <w:tcPr>
            <w:tcW w:w="1872" w:type="dxa"/>
            <w:gridSpan w:val="2"/>
            <w:tcBorders>
              <w:top w:val="nil"/>
              <w:left w:val="nil"/>
              <w:bottom w:val="single" w:sz="4" w:space="0" w:color="auto"/>
              <w:right w:val="nil"/>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-6,357052</w:t>
            </w:r>
          </w:p>
        </w:tc>
        <w:tc>
          <w:tcPr>
            <w:tcW w:w="1576" w:type="dxa"/>
            <w:gridSpan w:val="2"/>
            <w:tcBorders>
              <w:top w:val="nil"/>
              <w:left w:val="single" w:sz="4" w:space="0" w:color="auto"/>
              <w:bottom w:val="single" w:sz="4" w:space="0" w:color="auto"/>
              <w:right w:val="single" w:sz="4" w:space="0" w:color="auto"/>
            </w:tcBorders>
            <w:shd w:val="clear" w:color="auto" w:fill="auto"/>
            <w:noWrap/>
            <w:vAlign w:val="bottom"/>
            <w:hideMark/>
          </w:tcPr>
          <w:p w:rsidR="009C16D2" w:rsidRPr="002A53B9" w:rsidRDefault="009C16D2" w:rsidP="009C16D2">
            <w:pPr>
              <w:spacing w:after="0" w:line="240" w:lineRule="auto"/>
              <w:jc w:val="right"/>
              <w:rPr>
                <w:rFonts w:ascii="Arial" w:eastAsia="Times New Roman" w:hAnsi="Arial" w:cs="Arial"/>
                <w:sz w:val="20"/>
                <w:szCs w:val="20"/>
                <w:lang w:val="nl-NL" w:eastAsia="nl-NL" w:bidi="ar-SA"/>
              </w:rPr>
            </w:pPr>
            <w:r w:rsidRPr="002A53B9">
              <w:rPr>
                <w:rFonts w:ascii="Arial" w:eastAsia="Times New Roman" w:hAnsi="Arial" w:cs="Arial"/>
                <w:sz w:val="20"/>
                <w:szCs w:val="20"/>
                <w:lang w:val="nl-NL" w:eastAsia="nl-NL" w:bidi="ar-SA"/>
              </w:rPr>
              <w:t>0,6232</w:t>
            </w:r>
          </w:p>
        </w:tc>
      </w:tr>
    </w:tbl>
    <w:p w:rsidR="009C16D2" w:rsidRDefault="009C16D2" w:rsidP="009C16D2"/>
    <w:tbl>
      <w:tblPr>
        <w:tblW w:w="9409" w:type="dxa"/>
        <w:tblInd w:w="53" w:type="dxa"/>
        <w:tblCellMar>
          <w:left w:w="70" w:type="dxa"/>
          <w:right w:w="70" w:type="dxa"/>
        </w:tblCellMar>
        <w:tblLook w:val="04A0"/>
      </w:tblPr>
      <w:tblGrid>
        <w:gridCol w:w="1941"/>
        <w:gridCol w:w="1941"/>
        <w:gridCol w:w="2073"/>
        <w:gridCol w:w="1875"/>
        <w:gridCol w:w="1579"/>
      </w:tblGrid>
      <w:tr w:rsidR="009C16D2" w:rsidRPr="00B01BEC" w:rsidTr="009C16D2">
        <w:trPr>
          <w:trHeight w:val="268"/>
        </w:trPr>
        <w:tc>
          <w:tcPr>
            <w:tcW w:w="19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16D2" w:rsidRPr="00B01BEC" w:rsidRDefault="009C16D2" w:rsidP="009C16D2">
            <w:pPr>
              <w:spacing w:after="0" w:line="240" w:lineRule="auto"/>
              <w:rPr>
                <w:rFonts w:ascii="Arial" w:eastAsia="Times New Roman" w:hAnsi="Arial" w:cs="Arial"/>
                <w:sz w:val="20"/>
                <w:szCs w:val="20"/>
                <w:lang w:val="nl-NL" w:eastAsia="nl-NL" w:bidi="ar-SA"/>
              </w:rPr>
            </w:pPr>
            <w:proofErr w:type="spellStart"/>
            <w:r w:rsidRPr="00B01BEC">
              <w:rPr>
                <w:rFonts w:ascii="Arial" w:eastAsia="Times New Roman" w:hAnsi="Arial" w:cs="Arial"/>
                <w:sz w:val="20"/>
                <w:szCs w:val="20"/>
                <w:lang w:val="nl-NL" w:eastAsia="nl-NL" w:bidi="ar-SA"/>
              </w:rPr>
              <w:t>Dependent</w:t>
            </w:r>
            <w:proofErr w:type="spellEnd"/>
          </w:p>
        </w:tc>
        <w:tc>
          <w:tcPr>
            <w:tcW w:w="1941" w:type="dxa"/>
            <w:tcBorders>
              <w:top w:val="single" w:sz="4" w:space="0" w:color="auto"/>
              <w:left w:val="nil"/>
              <w:bottom w:val="single" w:sz="4" w:space="0" w:color="auto"/>
              <w:right w:val="nil"/>
            </w:tcBorders>
            <w:shd w:val="clear" w:color="auto" w:fill="auto"/>
            <w:noWrap/>
            <w:vAlign w:val="bottom"/>
            <w:hideMark/>
          </w:tcPr>
          <w:p w:rsidR="009C16D2" w:rsidRPr="00B01BEC" w:rsidRDefault="009C16D2" w:rsidP="009C16D2">
            <w:pPr>
              <w:spacing w:after="0" w:line="240" w:lineRule="auto"/>
              <w:rPr>
                <w:rFonts w:ascii="Arial" w:eastAsia="Times New Roman" w:hAnsi="Arial" w:cs="Arial"/>
                <w:sz w:val="20"/>
                <w:szCs w:val="20"/>
                <w:lang w:val="nl-NL" w:eastAsia="nl-NL" w:bidi="ar-SA"/>
              </w:rPr>
            </w:pPr>
            <w:proofErr w:type="spellStart"/>
            <w:r w:rsidRPr="00B01BEC">
              <w:rPr>
                <w:rFonts w:ascii="Arial" w:eastAsia="Times New Roman" w:hAnsi="Arial" w:cs="Arial"/>
                <w:sz w:val="20"/>
                <w:szCs w:val="20"/>
                <w:lang w:val="nl-NL" w:eastAsia="nl-NL" w:bidi="ar-SA"/>
              </w:rPr>
              <w:t>tau-statistic</w:t>
            </w:r>
            <w:proofErr w:type="spellEnd"/>
          </w:p>
        </w:tc>
        <w:tc>
          <w:tcPr>
            <w:tcW w:w="20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16D2" w:rsidRPr="00B01BEC" w:rsidRDefault="009C16D2" w:rsidP="009C16D2">
            <w:pPr>
              <w:spacing w:after="0" w:line="240" w:lineRule="auto"/>
              <w:rPr>
                <w:rFonts w:ascii="Arial" w:eastAsia="Times New Roman" w:hAnsi="Arial" w:cs="Arial"/>
                <w:sz w:val="20"/>
                <w:szCs w:val="20"/>
                <w:lang w:val="nl-NL" w:eastAsia="nl-NL" w:bidi="ar-SA"/>
              </w:rPr>
            </w:pPr>
            <w:proofErr w:type="spellStart"/>
            <w:r w:rsidRPr="00B01BEC">
              <w:rPr>
                <w:rFonts w:ascii="Arial" w:eastAsia="Times New Roman" w:hAnsi="Arial" w:cs="Arial"/>
                <w:sz w:val="20"/>
                <w:szCs w:val="20"/>
                <w:lang w:val="nl-NL" w:eastAsia="nl-NL" w:bidi="ar-SA"/>
              </w:rPr>
              <w:t>Prob</w:t>
            </w:r>
            <w:proofErr w:type="spellEnd"/>
            <w:r w:rsidRPr="00B01BEC">
              <w:rPr>
                <w:rFonts w:ascii="Arial" w:eastAsia="Times New Roman" w:hAnsi="Arial" w:cs="Arial"/>
                <w:sz w:val="20"/>
                <w:szCs w:val="20"/>
                <w:lang w:val="nl-NL" w:eastAsia="nl-NL" w:bidi="ar-SA"/>
              </w:rPr>
              <w:t>.*</w:t>
            </w:r>
          </w:p>
        </w:tc>
        <w:tc>
          <w:tcPr>
            <w:tcW w:w="1875" w:type="dxa"/>
            <w:tcBorders>
              <w:top w:val="single" w:sz="4" w:space="0" w:color="auto"/>
              <w:left w:val="nil"/>
              <w:bottom w:val="single" w:sz="4" w:space="0" w:color="auto"/>
              <w:right w:val="nil"/>
            </w:tcBorders>
            <w:shd w:val="clear" w:color="auto" w:fill="auto"/>
            <w:noWrap/>
            <w:vAlign w:val="bottom"/>
            <w:hideMark/>
          </w:tcPr>
          <w:p w:rsidR="009C16D2" w:rsidRPr="00B01BEC" w:rsidRDefault="009C16D2" w:rsidP="009C16D2">
            <w:pPr>
              <w:spacing w:after="0" w:line="240" w:lineRule="auto"/>
              <w:rPr>
                <w:rFonts w:ascii="Arial" w:eastAsia="Times New Roman" w:hAnsi="Arial" w:cs="Arial"/>
                <w:sz w:val="20"/>
                <w:szCs w:val="20"/>
                <w:lang w:val="nl-NL" w:eastAsia="nl-NL" w:bidi="ar-SA"/>
              </w:rPr>
            </w:pPr>
            <w:proofErr w:type="spellStart"/>
            <w:r w:rsidRPr="00B01BEC">
              <w:rPr>
                <w:rFonts w:ascii="Arial" w:eastAsia="Times New Roman" w:hAnsi="Arial" w:cs="Arial"/>
                <w:sz w:val="20"/>
                <w:szCs w:val="20"/>
                <w:lang w:val="nl-NL" w:eastAsia="nl-NL" w:bidi="ar-SA"/>
              </w:rPr>
              <w:t>z-statistic</w:t>
            </w:r>
            <w:proofErr w:type="spellEnd"/>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16D2" w:rsidRPr="00B01BEC" w:rsidRDefault="009C16D2" w:rsidP="009C16D2">
            <w:pPr>
              <w:spacing w:after="0" w:line="240" w:lineRule="auto"/>
              <w:rPr>
                <w:rFonts w:ascii="Arial" w:eastAsia="Times New Roman" w:hAnsi="Arial" w:cs="Arial"/>
                <w:sz w:val="20"/>
                <w:szCs w:val="20"/>
                <w:lang w:val="nl-NL" w:eastAsia="nl-NL" w:bidi="ar-SA"/>
              </w:rPr>
            </w:pPr>
            <w:proofErr w:type="spellStart"/>
            <w:r w:rsidRPr="00B01BEC">
              <w:rPr>
                <w:rFonts w:ascii="Arial" w:eastAsia="Times New Roman" w:hAnsi="Arial" w:cs="Arial"/>
                <w:sz w:val="20"/>
                <w:szCs w:val="20"/>
                <w:lang w:val="nl-NL" w:eastAsia="nl-NL" w:bidi="ar-SA"/>
              </w:rPr>
              <w:t>Prob</w:t>
            </w:r>
            <w:proofErr w:type="spellEnd"/>
            <w:r w:rsidRPr="00B01BEC">
              <w:rPr>
                <w:rFonts w:ascii="Arial" w:eastAsia="Times New Roman" w:hAnsi="Arial" w:cs="Arial"/>
                <w:sz w:val="20"/>
                <w:szCs w:val="20"/>
                <w:lang w:val="nl-NL" w:eastAsia="nl-NL" w:bidi="ar-SA"/>
              </w:rPr>
              <w:t>.*</w:t>
            </w:r>
          </w:p>
        </w:tc>
      </w:tr>
      <w:tr w:rsidR="009C16D2" w:rsidRPr="00B01BEC" w:rsidTr="009C16D2">
        <w:trPr>
          <w:trHeight w:val="268"/>
        </w:trPr>
        <w:tc>
          <w:tcPr>
            <w:tcW w:w="1941" w:type="dxa"/>
            <w:tcBorders>
              <w:top w:val="nil"/>
              <w:left w:val="single" w:sz="4" w:space="0" w:color="auto"/>
              <w:bottom w:val="nil"/>
              <w:right w:val="single" w:sz="4" w:space="0" w:color="auto"/>
            </w:tcBorders>
            <w:shd w:val="clear" w:color="auto" w:fill="auto"/>
            <w:noWrap/>
            <w:vAlign w:val="bottom"/>
            <w:hideMark/>
          </w:tcPr>
          <w:p w:rsidR="009C16D2" w:rsidRPr="00B01BEC" w:rsidRDefault="009C16D2" w:rsidP="009C16D2">
            <w:pPr>
              <w:spacing w:after="0" w:line="240" w:lineRule="auto"/>
              <w:rPr>
                <w:rFonts w:ascii="Arial" w:eastAsia="Times New Roman" w:hAnsi="Arial" w:cs="Arial"/>
                <w:sz w:val="20"/>
                <w:szCs w:val="20"/>
                <w:lang w:val="nl-NL" w:eastAsia="nl-NL" w:bidi="ar-SA"/>
              </w:rPr>
            </w:pPr>
            <w:r w:rsidRPr="00B01BEC">
              <w:rPr>
                <w:rFonts w:ascii="Arial" w:eastAsia="Times New Roman" w:hAnsi="Arial" w:cs="Arial"/>
                <w:sz w:val="20"/>
                <w:szCs w:val="20"/>
                <w:lang w:val="nl-NL" w:eastAsia="nl-NL" w:bidi="ar-SA"/>
              </w:rPr>
              <w:t>USA</w:t>
            </w:r>
          </w:p>
        </w:tc>
        <w:tc>
          <w:tcPr>
            <w:tcW w:w="1941" w:type="dxa"/>
            <w:tcBorders>
              <w:top w:val="nil"/>
              <w:left w:val="nil"/>
              <w:bottom w:val="nil"/>
              <w:right w:val="nil"/>
            </w:tcBorders>
            <w:shd w:val="clear" w:color="auto" w:fill="auto"/>
            <w:noWrap/>
            <w:vAlign w:val="bottom"/>
            <w:hideMark/>
          </w:tcPr>
          <w:p w:rsidR="009C16D2" w:rsidRPr="00B01BEC" w:rsidRDefault="009C16D2" w:rsidP="009C16D2">
            <w:pPr>
              <w:spacing w:after="0" w:line="240" w:lineRule="auto"/>
              <w:jc w:val="right"/>
              <w:rPr>
                <w:rFonts w:ascii="Arial" w:eastAsia="Times New Roman" w:hAnsi="Arial" w:cs="Arial"/>
                <w:sz w:val="20"/>
                <w:szCs w:val="20"/>
                <w:lang w:val="nl-NL" w:eastAsia="nl-NL" w:bidi="ar-SA"/>
              </w:rPr>
            </w:pPr>
            <w:r w:rsidRPr="00B01BEC">
              <w:rPr>
                <w:rFonts w:ascii="Arial" w:eastAsia="Times New Roman" w:hAnsi="Arial" w:cs="Arial"/>
                <w:sz w:val="20"/>
                <w:szCs w:val="20"/>
                <w:lang w:val="nl-NL" w:eastAsia="nl-NL" w:bidi="ar-SA"/>
              </w:rPr>
              <w:t>-1,903229</w:t>
            </w:r>
          </w:p>
        </w:tc>
        <w:tc>
          <w:tcPr>
            <w:tcW w:w="2073" w:type="dxa"/>
            <w:tcBorders>
              <w:top w:val="nil"/>
              <w:left w:val="single" w:sz="4" w:space="0" w:color="auto"/>
              <w:bottom w:val="nil"/>
              <w:right w:val="single" w:sz="4" w:space="0" w:color="auto"/>
            </w:tcBorders>
            <w:shd w:val="clear" w:color="auto" w:fill="auto"/>
            <w:noWrap/>
            <w:vAlign w:val="bottom"/>
            <w:hideMark/>
          </w:tcPr>
          <w:p w:rsidR="009C16D2" w:rsidRPr="00B01BEC" w:rsidRDefault="009C16D2" w:rsidP="009C16D2">
            <w:pPr>
              <w:spacing w:after="0" w:line="240" w:lineRule="auto"/>
              <w:jc w:val="right"/>
              <w:rPr>
                <w:rFonts w:ascii="Arial" w:eastAsia="Times New Roman" w:hAnsi="Arial" w:cs="Arial"/>
                <w:sz w:val="20"/>
                <w:szCs w:val="20"/>
                <w:lang w:val="nl-NL" w:eastAsia="nl-NL" w:bidi="ar-SA"/>
              </w:rPr>
            </w:pPr>
            <w:r w:rsidRPr="00B01BEC">
              <w:rPr>
                <w:rFonts w:ascii="Arial" w:eastAsia="Times New Roman" w:hAnsi="Arial" w:cs="Arial"/>
                <w:sz w:val="20"/>
                <w:szCs w:val="20"/>
                <w:lang w:val="nl-NL" w:eastAsia="nl-NL" w:bidi="ar-SA"/>
              </w:rPr>
              <w:t>0,5783</w:t>
            </w:r>
          </w:p>
        </w:tc>
        <w:tc>
          <w:tcPr>
            <w:tcW w:w="1875" w:type="dxa"/>
            <w:tcBorders>
              <w:top w:val="nil"/>
              <w:left w:val="nil"/>
              <w:bottom w:val="nil"/>
              <w:right w:val="nil"/>
            </w:tcBorders>
            <w:shd w:val="clear" w:color="auto" w:fill="auto"/>
            <w:noWrap/>
            <w:vAlign w:val="bottom"/>
            <w:hideMark/>
          </w:tcPr>
          <w:p w:rsidR="009C16D2" w:rsidRPr="00B01BEC" w:rsidRDefault="009C16D2" w:rsidP="009C16D2">
            <w:pPr>
              <w:spacing w:after="0" w:line="240" w:lineRule="auto"/>
              <w:jc w:val="right"/>
              <w:rPr>
                <w:rFonts w:ascii="Arial" w:eastAsia="Times New Roman" w:hAnsi="Arial" w:cs="Arial"/>
                <w:sz w:val="20"/>
                <w:szCs w:val="20"/>
                <w:lang w:val="nl-NL" w:eastAsia="nl-NL" w:bidi="ar-SA"/>
              </w:rPr>
            </w:pPr>
            <w:r w:rsidRPr="00B01BEC">
              <w:rPr>
                <w:rFonts w:ascii="Arial" w:eastAsia="Times New Roman" w:hAnsi="Arial" w:cs="Arial"/>
                <w:sz w:val="20"/>
                <w:szCs w:val="20"/>
                <w:lang w:val="nl-NL" w:eastAsia="nl-NL" w:bidi="ar-SA"/>
              </w:rPr>
              <w:t>-7,455223</w:t>
            </w:r>
          </w:p>
        </w:tc>
        <w:tc>
          <w:tcPr>
            <w:tcW w:w="1579" w:type="dxa"/>
            <w:tcBorders>
              <w:top w:val="nil"/>
              <w:left w:val="single" w:sz="4" w:space="0" w:color="auto"/>
              <w:bottom w:val="nil"/>
              <w:right w:val="single" w:sz="4" w:space="0" w:color="auto"/>
            </w:tcBorders>
            <w:shd w:val="clear" w:color="auto" w:fill="auto"/>
            <w:noWrap/>
            <w:vAlign w:val="bottom"/>
            <w:hideMark/>
          </w:tcPr>
          <w:p w:rsidR="009C16D2" w:rsidRPr="00B01BEC" w:rsidRDefault="009C16D2" w:rsidP="009C16D2">
            <w:pPr>
              <w:spacing w:after="0" w:line="240" w:lineRule="auto"/>
              <w:jc w:val="right"/>
              <w:rPr>
                <w:rFonts w:ascii="Arial" w:eastAsia="Times New Roman" w:hAnsi="Arial" w:cs="Arial"/>
                <w:sz w:val="20"/>
                <w:szCs w:val="20"/>
                <w:lang w:val="nl-NL" w:eastAsia="nl-NL" w:bidi="ar-SA"/>
              </w:rPr>
            </w:pPr>
            <w:r w:rsidRPr="00B01BEC">
              <w:rPr>
                <w:rFonts w:ascii="Arial" w:eastAsia="Times New Roman" w:hAnsi="Arial" w:cs="Arial"/>
                <w:sz w:val="20"/>
                <w:szCs w:val="20"/>
                <w:lang w:val="nl-NL" w:eastAsia="nl-NL" w:bidi="ar-SA"/>
              </w:rPr>
              <w:t>0,5373</w:t>
            </w:r>
          </w:p>
        </w:tc>
      </w:tr>
      <w:tr w:rsidR="009C16D2" w:rsidRPr="00B01BEC" w:rsidTr="009C16D2">
        <w:trPr>
          <w:trHeight w:val="268"/>
        </w:trPr>
        <w:tc>
          <w:tcPr>
            <w:tcW w:w="1941" w:type="dxa"/>
            <w:tcBorders>
              <w:top w:val="nil"/>
              <w:left w:val="single" w:sz="4" w:space="0" w:color="auto"/>
              <w:bottom w:val="single" w:sz="4" w:space="0" w:color="auto"/>
              <w:right w:val="single" w:sz="4" w:space="0" w:color="auto"/>
            </w:tcBorders>
            <w:shd w:val="clear" w:color="auto" w:fill="auto"/>
            <w:noWrap/>
            <w:vAlign w:val="bottom"/>
            <w:hideMark/>
          </w:tcPr>
          <w:p w:rsidR="009C16D2" w:rsidRPr="00B01BEC" w:rsidRDefault="009C16D2" w:rsidP="009C16D2">
            <w:pPr>
              <w:spacing w:after="0" w:line="240" w:lineRule="auto"/>
              <w:rPr>
                <w:rFonts w:ascii="Arial" w:eastAsia="Times New Roman" w:hAnsi="Arial" w:cs="Arial"/>
                <w:sz w:val="20"/>
                <w:szCs w:val="20"/>
                <w:lang w:val="nl-NL" w:eastAsia="nl-NL" w:bidi="ar-SA"/>
              </w:rPr>
            </w:pPr>
            <w:r w:rsidRPr="00B01BEC">
              <w:rPr>
                <w:rFonts w:ascii="Arial" w:eastAsia="Times New Roman" w:hAnsi="Arial" w:cs="Arial"/>
                <w:sz w:val="20"/>
                <w:szCs w:val="20"/>
                <w:lang w:val="nl-NL" w:eastAsia="nl-NL" w:bidi="ar-SA"/>
              </w:rPr>
              <w:t>CHFUSD</w:t>
            </w:r>
          </w:p>
        </w:tc>
        <w:tc>
          <w:tcPr>
            <w:tcW w:w="1941" w:type="dxa"/>
            <w:tcBorders>
              <w:top w:val="nil"/>
              <w:left w:val="nil"/>
              <w:bottom w:val="single" w:sz="4" w:space="0" w:color="auto"/>
              <w:right w:val="nil"/>
            </w:tcBorders>
            <w:shd w:val="clear" w:color="auto" w:fill="auto"/>
            <w:noWrap/>
            <w:vAlign w:val="bottom"/>
            <w:hideMark/>
          </w:tcPr>
          <w:p w:rsidR="009C16D2" w:rsidRPr="00B01BEC" w:rsidRDefault="009C16D2" w:rsidP="009C16D2">
            <w:pPr>
              <w:spacing w:after="0" w:line="240" w:lineRule="auto"/>
              <w:jc w:val="right"/>
              <w:rPr>
                <w:rFonts w:ascii="Arial" w:eastAsia="Times New Roman" w:hAnsi="Arial" w:cs="Arial"/>
                <w:sz w:val="20"/>
                <w:szCs w:val="20"/>
                <w:lang w:val="nl-NL" w:eastAsia="nl-NL" w:bidi="ar-SA"/>
              </w:rPr>
            </w:pPr>
            <w:r w:rsidRPr="00B01BEC">
              <w:rPr>
                <w:rFonts w:ascii="Arial" w:eastAsia="Times New Roman" w:hAnsi="Arial" w:cs="Arial"/>
                <w:sz w:val="20"/>
                <w:szCs w:val="20"/>
                <w:lang w:val="nl-NL" w:eastAsia="nl-NL" w:bidi="ar-SA"/>
              </w:rPr>
              <w:t>-0,073668</w:t>
            </w:r>
          </w:p>
        </w:tc>
        <w:tc>
          <w:tcPr>
            <w:tcW w:w="2073" w:type="dxa"/>
            <w:tcBorders>
              <w:top w:val="nil"/>
              <w:left w:val="single" w:sz="4" w:space="0" w:color="auto"/>
              <w:bottom w:val="single" w:sz="4" w:space="0" w:color="auto"/>
              <w:right w:val="single" w:sz="4" w:space="0" w:color="auto"/>
            </w:tcBorders>
            <w:shd w:val="clear" w:color="auto" w:fill="auto"/>
            <w:noWrap/>
            <w:vAlign w:val="bottom"/>
            <w:hideMark/>
          </w:tcPr>
          <w:p w:rsidR="009C16D2" w:rsidRPr="00B01BEC" w:rsidRDefault="009C16D2" w:rsidP="009C16D2">
            <w:pPr>
              <w:spacing w:after="0" w:line="240" w:lineRule="auto"/>
              <w:jc w:val="right"/>
              <w:rPr>
                <w:rFonts w:ascii="Arial" w:eastAsia="Times New Roman" w:hAnsi="Arial" w:cs="Arial"/>
                <w:sz w:val="20"/>
                <w:szCs w:val="20"/>
                <w:lang w:val="nl-NL" w:eastAsia="nl-NL" w:bidi="ar-SA"/>
              </w:rPr>
            </w:pPr>
            <w:r w:rsidRPr="00B01BEC">
              <w:rPr>
                <w:rFonts w:ascii="Arial" w:eastAsia="Times New Roman" w:hAnsi="Arial" w:cs="Arial"/>
                <w:sz w:val="20"/>
                <w:szCs w:val="20"/>
                <w:lang w:val="nl-NL" w:eastAsia="nl-NL" w:bidi="ar-SA"/>
              </w:rPr>
              <w:t>0,9852</w:t>
            </w:r>
          </w:p>
        </w:tc>
        <w:tc>
          <w:tcPr>
            <w:tcW w:w="1875" w:type="dxa"/>
            <w:tcBorders>
              <w:top w:val="nil"/>
              <w:left w:val="nil"/>
              <w:bottom w:val="single" w:sz="4" w:space="0" w:color="auto"/>
              <w:right w:val="nil"/>
            </w:tcBorders>
            <w:shd w:val="clear" w:color="auto" w:fill="auto"/>
            <w:noWrap/>
            <w:vAlign w:val="bottom"/>
            <w:hideMark/>
          </w:tcPr>
          <w:p w:rsidR="009C16D2" w:rsidRPr="00B01BEC" w:rsidRDefault="009C16D2" w:rsidP="009C16D2">
            <w:pPr>
              <w:spacing w:after="0" w:line="240" w:lineRule="auto"/>
              <w:jc w:val="right"/>
              <w:rPr>
                <w:rFonts w:ascii="Arial" w:eastAsia="Times New Roman" w:hAnsi="Arial" w:cs="Arial"/>
                <w:sz w:val="20"/>
                <w:szCs w:val="20"/>
                <w:lang w:val="nl-NL" w:eastAsia="nl-NL" w:bidi="ar-SA"/>
              </w:rPr>
            </w:pPr>
            <w:r w:rsidRPr="00B01BEC">
              <w:rPr>
                <w:rFonts w:ascii="Arial" w:eastAsia="Times New Roman" w:hAnsi="Arial" w:cs="Arial"/>
                <w:sz w:val="20"/>
                <w:szCs w:val="20"/>
                <w:lang w:val="nl-NL" w:eastAsia="nl-NL" w:bidi="ar-SA"/>
              </w:rPr>
              <w:t>-0,179776</w:t>
            </w:r>
          </w:p>
        </w:tc>
        <w:tc>
          <w:tcPr>
            <w:tcW w:w="1579" w:type="dxa"/>
            <w:tcBorders>
              <w:top w:val="nil"/>
              <w:left w:val="single" w:sz="4" w:space="0" w:color="auto"/>
              <w:bottom w:val="single" w:sz="4" w:space="0" w:color="auto"/>
              <w:right w:val="single" w:sz="4" w:space="0" w:color="auto"/>
            </w:tcBorders>
            <w:shd w:val="clear" w:color="auto" w:fill="auto"/>
            <w:noWrap/>
            <w:vAlign w:val="bottom"/>
            <w:hideMark/>
          </w:tcPr>
          <w:p w:rsidR="009C16D2" w:rsidRPr="00B01BEC" w:rsidRDefault="009C16D2" w:rsidP="009C16D2">
            <w:pPr>
              <w:spacing w:after="0" w:line="240" w:lineRule="auto"/>
              <w:jc w:val="right"/>
              <w:rPr>
                <w:rFonts w:ascii="Arial" w:eastAsia="Times New Roman" w:hAnsi="Arial" w:cs="Arial"/>
                <w:sz w:val="20"/>
                <w:szCs w:val="20"/>
                <w:lang w:val="nl-NL" w:eastAsia="nl-NL" w:bidi="ar-SA"/>
              </w:rPr>
            </w:pPr>
            <w:r w:rsidRPr="00B01BEC">
              <w:rPr>
                <w:rFonts w:ascii="Arial" w:eastAsia="Times New Roman" w:hAnsi="Arial" w:cs="Arial"/>
                <w:sz w:val="20"/>
                <w:szCs w:val="20"/>
                <w:lang w:val="nl-NL" w:eastAsia="nl-NL" w:bidi="ar-SA"/>
              </w:rPr>
              <w:t>0,9848</w:t>
            </w:r>
          </w:p>
        </w:tc>
      </w:tr>
      <w:tr w:rsidR="009C16D2" w:rsidRPr="00B01BEC" w:rsidTr="009C16D2">
        <w:trPr>
          <w:trHeight w:val="268"/>
        </w:trPr>
        <w:tc>
          <w:tcPr>
            <w:tcW w:w="1941" w:type="dxa"/>
            <w:tcBorders>
              <w:top w:val="nil"/>
              <w:left w:val="single" w:sz="4" w:space="0" w:color="auto"/>
              <w:bottom w:val="nil"/>
              <w:right w:val="single" w:sz="4" w:space="0" w:color="auto"/>
            </w:tcBorders>
            <w:shd w:val="clear" w:color="auto" w:fill="auto"/>
            <w:noWrap/>
            <w:vAlign w:val="bottom"/>
            <w:hideMark/>
          </w:tcPr>
          <w:p w:rsidR="009C16D2" w:rsidRPr="00B01BEC" w:rsidRDefault="009C16D2" w:rsidP="009C16D2">
            <w:pPr>
              <w:spacing w:after="0" w:line="240" w:lineRule="auto"/>
              <w:rPr>
                <w:rFonts w:ascii="Arial" w:eastAsia="Times New Roman" w:hAnsi="Arial" w:cs="Arial"/>
                <w:sz w:val="20"/>
                <w:szCs w:val="20"/>
                <w:lang w:val="nl-NL" w:eastAsia="nl-NL" w:bidi="ar-SA"/>
              </w:rPr>
            </w:pPr>
            <w:r w:rsidRPr="00B01BEC">
              <w:rPr>
                <w:rFonts w:ascii="Arial" w:eastAsia="Times New Roman" w:hAnsi="Arial" w:cs="Arial"/>
                <w:sz w:val="20"/>
                <w:szCs w:val="20"/>
                <w:lang w:val="nl-NL" w:eastAsia="nl-NL" w:bidi="ar-SA"/>
              </w:rPr>
              <w:t>CHFUSD</w:t>
            </w:r>
          </w:p>
        </w:tc>
        <w:tc>
          <w:tcPr>
            <w:tcW w:w="1941" w:type="dxa"/>
            <w:tcBorders>
              <w:top w:val="nil"/>
              <w:left w:val="nil"/>
              <w:bottom w:val="nil"/>
              <w:right w:val="nil"/>
            </w:tcBorders>
            <w:shd w:val="clear" w:color="auto" w:fill="auto"/>
            <w:noWrap/>
            <w:vAlign w:val="bottom"/>
            <w:hideMark/>
          </w:tcPr>
          <w:p w:rsidR="009C16D2" w:rsidRPr="00B01BEC" w:rsidRDefault="009C16D2" w:rsidP="009C16D2">
            <w:pPr>
              <w:spacing w:after="0" w:line="240" w:lineRule="auto"/>
              <w:jc w:val="right"/>
              <w:rPr>
                <w:rFonts w:ascii="Arial" w:eastAsia="Times New Roman" w:hAnsi="Arial" w:cs="Arial"/>
                <w:sz w:val="20"/>
                <w:szCs w:val="20"/>
                <w:lang w:val="nl-NL" w:eastAsia="nl-NL" w:bidi="ar-SA"/>
              </w:rPr>
            </w:pPr>
            <w:r w:rsidRPr="00B01BEC">
              <w:rPr>
                <w:rFonts w:ascii="Arial" w:eastAsia="Times New Roman" w:hAnsi="Arial" w:cs="Arial"/>
                <w:sz w:val="20"/>
                <w:szCs w:val="20"/>
                <w:lang w:val="nl-NL" w:eastAsia="nl-NL" w:bidi="ar-SA"/>
              </w:rPr>
              <w:t>-2,123109</w:t>
            </w:r>
          </w:p>
        </w:tc>
        <w:tc>
          <w:tcPr>
            <w:tcW w:w="2073" w:type="dxa"/>
            <w:tcBorders>
              <w:top w:val="nil"/>
              <w:left w:val="single" w:sz="4" w:space="0" w:color="auto"/>
              <w:bottom w:val="nil"/>
              <w:right w:val="single" w:sz="4" w:space="0" w:color="auto"/>
            </w:tcBorders>
            <w:shd w:val="clear" w:color="auto" w:fill="auto"/>
            <w:noWrap/>
            <w:vAlign w:val="bottom"/>
            <w:hideMark/>
          </w:tcPr>
          <w:p w:rsidR="009C16D2" w:rsidRPr="00B01BEC" w:rsidRDefault="009C16D2" w:rsidP="009C16D2">
            <w:pPr>
              <w:spacing w:after="0" w:line="240" w:lineRule="auto"/>
              <w:jc w:val="right"/>
              <w:rPr>
                <w:rFonts w:ascii="Arial" w:eastAsia="Times New Roman" w:hAnsi="Arial" w:cs="Arial"/>
                <w:sz w:val="20"/>
                <w:szCs w:val="20"/>
                <w:lang w:val="nl-NL" w:eastAsia="nl-NL" w:bidi="ar-SA"/>
              </w:rPr>
            </w:pPr>
            <w:r w:rsidRPr="00B01BEC">
              <w:rPr>
                <w:rFonts w:ascii="Arial" w:eastAsia="Times New Roman" w:hAnsi="Arial" w:cs="Arial"/>
                <w:sz w:val="20"/>
                <w:szCs w:val="20"/>
                <w:lang w:val="nl-NL" w:eastAsia="nl-NL" w:bidi="ar-SA"/>
              </w:rPr>
              <w:t>0,4636</w:t>
            </w:r>
          </w:p>
        </w:tc>
        <w:tc>
          <w:tcPr>
            <w:tcW w:w="1875" w:type="dxa"/>
            <w:tcBorders>
              <w:top w:val="nil"/>
              <w:left w:val="nil"/>
              <w:bottom w:val="nil"/>
              <w:right w:val="nil"/>
            </w:tcBorders>
            <w:shd w:val="clear" w:color="auto" w:fill="auto"/>
            <w:noWrap/>
            <w:vAlign w:val="bottom"/>
            <w:hideMark/>
          </w:tcPr>
          <w:p w:rsidR="009C16D2" w:rsidRPr="00B01BEC" w:rsidRDefault="009C16D2" w:rsidP="009C16D2">
            <w:pPr>
              <w:spacing w:after="0" w:line="240" w:lineRule="auto"/>
              <w:jc w:val="right"/>
              <w:rPr>
                <w:rFonts w:ascii="Arial" w:eastAsia="Times New Roman" w:hAnsi="Arial" w:cs="Arial"/>
                <w:sz w:val="20"/>
                <w:szCs w:val="20"/>
                <w:lang w:val="nl-NL" w:eastAsia="nl-NL" w:bidi="ar-SA"/>
              </w:rPr>
            </w:pPr>
            <w:r w:rsidRPr="00B01BEC">
              <w:rPr>
                <w:rFonts w:ascii="Arial" w:eastAsia="Times New Roman" w:hAnsi="Arial" w:cs="Arial"/>
                <w:sz w:val="20"/>
                <w:szCs w:val="20"/>
                <w:lang w:val="nl-NL" w:eastAsia="nl-NL" w:bidi="ar-SA"/>
              </w:rPr>
              <w:t>-9,553644</w:t>
            </w:r>
          </w:p>
        </w:tc>
        <w:tc>
          <w:tcPr>
            <w:tcW w:w="1579" w:type="dxa"/>
            <w:tcBorders>
              <w:top w:val="nil"/>
              <w:left w:val="single" w:sz="4" w:space="0" w:color="auto"/>
              <w:bottom w:val="nil"/>
              <w:right w:val="single" w:sz="4" w:space="0" w:color="auto"/>
            </w:tcBorders>
            <w:shd w:val="clear" w:color="auto" w:fill="auto"/>
            <w:noWrap/>
            <w:vAlign w:val="bottom"/>
            <w:hideMark/>
          </w:tcPr>
          <w:p w:rsidR="009C16D2" w:rsidRPr="00B01BEC" w:rsidRDefault="009C16D2" w:rsidP="009C16D2">
            <w:pPr>
              <w:spacing w:after="0" w:line="240" w:lineRule="auto"/>
              <w:jc w:val="right"/>
              <w:rPr>
                <w:rFonts w:ascii="Arial" w:eastAsia="Times New Roman" w:hAnsi="Arial" w:cs="Arial"/>
                <w:sz w:val="20"/>
                <w:szCs w:val="20"/>
                <w:lang w:val="nl-NL" w:eastAsia="nl-NL" w:bidi="ar-SA"/>
              </w:rPr>
            </w:pPr>
            <w:r w:rsidRPr="00B01BEC">
              <w:rPr>
                <w:rFonts w:ascii="Arial" w:eastAsia="Times New Roman" w:hAnsi="Arial" w:cs="Arial"/>
                <w:sz w:val="20"/>
                <w:szCs w:val="20"/>
                <w:lang w:val="nl-NL" w:eastAsia="nl-NL" w:bidi="ar-SA"/>
              </w:rPr>
              <w:t>0,3913</w:t>
            </w:r>
          </w:p>
        </w:tc>
      </w:tr>
      <w:tr w:rsidR="009C16D2" w:rsidRPr="00B01BEC" w:rsidTr="009C16D2">
        <w:trPr>
          <w:trHeight w:val="268"/>
        </w:trPr>
        <w:tc>
          <w:tcPr>
            <w:tcW w:w="1941" w:type="dxa"/>
            <w:tcBorders>
              <w:top w:val="nil"/>
              <w:left w:val="single" w:sz="4" w:space="0" w:color="auto"/>
              <w:bottom w:val="single" w:sz="4" w:space="0" w:color="auto"/>
              <w:right w:val="single" w:sz="4" w:space="0" w:color="auto"/>
            </w:tcBorders>
            <w:shd w:val="clear" w:color="auto" w:fill="auto"/>
            <w:noWrap/>
            <w:vAlign w:val="bottom"/>
            <w:hideMark/>
          </w:tcPr>
          <w:p w:rsidR="009C16D2" w:rsidRPr="00B01BEC" w:rsidRDefault="009C16D2" w:rsidP="009C16D2">
            <w:pPr>
              <w:spacing w:after="0" w:line="240" w:lineRule="auto"/>
              <w:rPr>
                <w:rFonts w:ascii="Arial" w:eastAsia="Times New Roman" w:hAnsi="Arial" w:cs="Arial"/>
                <w:sz w:val="20"/>
                <w:szCs w:val="20"/>
                <w:lang w:val="nl-NL" w:eastAsia="nl-NL" w:bidi="ar-SA"/>
              </w:rPr>
            </w:pPr>
            <w:r w:rsidRPr="00B01BEC">
              <w:rPr>
                <w:rFonts w:ascii="Arial" w:eastAsia="Times New Roman" w:hAnsi="Arial" w:cs="Arial"/>
                <w:sz w:val="20"/>
                <w:szCs w:val="20"/>
                <w:lang w:val="nl-NL" w:eastAsia="nl-NL" w:bidi="ar-SA"/>
              </w:rPr>
              <w:t>USBM</w:t>
            </w:r>
          </w:p>
        </w:tc>
        <w:tc>
          <w:tcPr>
            <w:tcW w:w="1941" w:type="dxa"/>
            <w:tcBorders>
              <w:top w:val="nil"/>
              <w:left w:val="nil"/>
              <w:bottom w:val="single" w:sz="4" w:space="0" w:color="auto"/>
              <w:right w:val="nil"/>
            </w:tcBorders>
            <w:shd w:val="clear" w:color="auto" w:fill="auto"/>
            <w:noWrap/>
            <w:vAlign w:val="bottom"/>
            <w:hideMark/>
          </w:tcPr>
          <w:p w:rsidR="009C16D2" w:rsidRPr="00B01BEC" w:rsidRDefault="009C16D2" w:rsidP="009C16D2">
            <w:pPr>
              <w:spacing w:after="0" w:line="240" w:lineRule="auto"/>
              <w:jc w:val="right"/>
              <w:rPr>
                <w:rFonts w:ascii="Arial" w:eastAsia="Times New Roman" w:hAnsi="Arial" w:cs="Arial"/>
                <w:sz w:val="20"/>
                <w:szCs w:val="20"/>
                <w:lang w:val="nl-NL" w:eastAsia="nl-NL" w:bidi="ar-SA"/>
              </w:rPr>
            </w:pPr>
            <w:r w:rsidRPr="00B01BEC">
              <w:rPr>
                <w:rFonts w:ascii="Arial" w:eastAsia="Times New Roman" w:hAnsi="Arial" w:cs="Arial"/>
                <w:sz w:val="20"/>
                <w:szCs w:val="20"/>
                <w:lang w:val="nl-NL" w:eastAsia="nl-NL" w:bidi="ar-SA"/>
              </w:rPr>
              <w:t>-2,665684</w:t>
            </w:r>
          </w:p>
        </w:tc>
        <w:tc>
          <w:tcPr>
            <w:tcW w:w="2073" w:type="dxa"/>
            <w:tcBorders>
              <w:top w:val="nil"/>
              <w:left w:val="single" w:sz="4" w:space="0" w:color="auto"/>
              <w:bottom w:val="single" w:sz="4" w:space="0" w:color="auto"/>
              <w:right w:val="single" w:sz="4" w:space="0" w:color="auto"/>
            </w:tcBorders>
            <w:shd w:val="clear" w:color="auto" w:fill="auto"/>
            <w:noWrap/>
            <w:vAlign w:val="bottom"/>
            <w:hideMark/>
          </w:tcPr>
          <w:p w:rsidR="009C16D2" w:rsidRPr="00B01BEC" w:rsidRDefault="009C16D2" w:rsidP="009C16D2">
            <w:pPr>
              <w:spacing w:after="0" w:line="240" w:lineRule="auto"/>
              <w:jc w:val="right"/>
              <w:rPr>
                <w:rFonts w:ascii="Arial" w:eastAsia="Times New Roman" w:hAnsi="Arial" w:cs="Arial"/>
                <w:sz w:val="20"/>
                <w:szCs w:val="20"/>
                <w:lang w:val="nl-NL" w:eastAsia="nl-NL" w:bidi="ar-SA"/>
              </w:rPr>
            </w:pPr>
            <w:r w:rsidRPr="00B01BEC">
              <w:rPr>
                <w:rFonts w:ascii="Arial" w:eastAsia="Times New Roman" w:hAnsi="Arial" w:cs="Arial"/>
                <w:sz w:val="20"/>
                <w:szCs w:val="20"/>
                <w:lang w:val="nl-NL" w:eastAsia="nl-NL" w:bidi="ar-SA"/>
              </w:rPr>
              <w:t>0,2124</w:t>
            </w:r>
          </w:p>
        </w:tc>
        <w:tc>
          <w:tcPr>
            <w:tcW w:w="1875" w:type="dxa"/>
            <w:tcBorders>
              <w:top w:val="nil"/>
              <w:left w:val="nil"/>
              <w:bottom w:val="single" w:sz="4" w:space="0" w:color="auto"/>
              <w:right w:val="nil"/>
            </w:tcBorders>
            <w:shd w:val="clear" w:color="auto" w:fill="auto"/>
            <w:noWrap/>
            <w:vAlign w:val="bottom"/>
            <w:hideMark/>
          </w:tcPr>
          <w:p w:rsidR="009C16D2" w:rsidRPr="00B01BEC" w:rsidRDefault="009C16D2" w:rsidP="009C16D2">
            <w:pPr>
              <w:spacing w:after="0" w:line="240" w:lineRule="auto"/>
              <w:jc w:val="right"/>
              <w:rPr>
                <w:rFonts w:ascii="Arial" w:eastAsia="Times New Roman" w:hAnsi="Arial" w:cs="Arial"/>
                <w:sz w:val="20"/>
                <w:szCs w:val="20"/>
                <w:lang w:val="nl-NL" w:eastAsia="nl-NL" w:bidi="ar-SA"/>
              </w:rPr>
            </w:pPr>
            <w:r w:rsidRPr="00B01BEC">
              <w:rPr>
                <w:rFonts w:ascii="Arial" w:eastAsia="Times New Roman" w:hAnsi="Arial" w:cs="Arial"/>
                <w:sz w:val="20"/>
                <w:szCs w:val="20"/>
                <w:lang w:val="nl-NL" w:eastAsia="nl-NL" w:bidi="ar-SA"/>
              </w:rPr>
              <w:t>-14,13693</w:t>
            </w:r>
          </w:p>
        </w:tc>
        <w:tc>
          <w:tcPr>
            <w:tcW w:w="1579" w:type="dxa"/>
            <w:tcBorders>
              <w:top w:val="nil"/>
              <w:left w:val="single" w:sz="4" w:space="0" w:color="auto"/>
              <w:bottom w:val="single" w:sz="4" w:space="0" w:color="auto"/>
              <w:right w:val="single" w:sz="4" w:space="0" w:color="auto"/>
            </w:tcBorders>
            <w:shd w:val="clear" w:color="auto" w:fill="auto"/>
            <w:noWrap/>
            <w:vAlign w:val="bottom"/>
            <w:hideMark/>
          </w:tcPr>
          <w:p w:rsidR="009C16D2" w:rsidRPr="00B01BEC" w:rsidRDefault="009C16D2" w:rsidP="009C16D2">
            <w:pPr>
              <w:spacing w:after="0" w:line="240" w:lineRule="auto"/>
              <w:jc w:val="right"/>
              <w:rPr>
                <w:rFonts w:ascii="Arial" w:eastAsia="Times New Roman" w:hAnsi="Arial" w:cs="Arial"/>
                <w:sz w:val="20"/>
                <w:szCs w:val="20"/>
                <w:lang w:val="nl-NL" w:eastAsia="nl-NL" w:bidi="ar-SA"/>
              </w:rPr>
            </w:pPr>
            <w:r w:rsidRPr="00B01BEC">
              <w:rPr>
                <w:rFonts w:ascii="Arial" w:eastAsia="Times New Roman" w:hAnsi="Arial" w:cs="Arial"/>
                <w:sz w:val="20"/>
                <w:szCs w:val="20"/>
                <w:lang w:val="nl-NL" w:eastAsia="nl-NL" w:bidi="ar-SA"/>
              </w:rPr>
              <w:t>0,1763</w:t>
            </w:r>
          </w:p>
        </w:tc>
      </w:tr>
      <w:tr w:rsidR="009C16D2" w:rsidRPr="00B01BEC" w:rsidTr="009C16D2">
        <w:trPr>
          <w:trHeight w:val="268"/>
        </w:trPr>
        <w:tc>
          <w:tcPr>
            <w:tcW w:w="1941" w:type="dxa"/>
            <w:tcBorders>
              <w:top w:val="nil"/>
              <w:left w:val="single" w:sz="4" w:space="0" w:color="auto"/>
              <w:bottom w:val="nil"/>
              <w:right w:val="single" w:sz="4" w:space="0" w:color="auto"/>
            </w:tcBorders>
            <w:shd w:val="clear" w:color="auto" w:fill="auto"/>
            <w:noWrap/>
            <w:vAlign w:val="bottom"/>
            <w:hideMark/>
          </w:tcPr>
          <w:p w:rsidR="009C16D2" w:rsidRPr="00B01BEC" w:rsidRDefault="009C16D2" w:rsidP="009C16D2">
            <w:pPr>
              <w:spacing w:after="0" w:line="240" w:lineRule="auto"/>
              <w:rPr>
                <w:rFonts w:ascii="Arial" w:eastAsia="Times New Roman" w:hAnsi="Arial" w:cs="Arial"/>
                <w:sz w:val="20"/>
                <w:szCs w:val="20"/>
                <w:lang w:val="nl-NL" w:eastAsia="nl-NL" w:bidi="ar-SA"/>
              </w:rPr>
            </w:pPr>
            <w:r w:rsidRPr="00B01BEC">
              <w:rPr>
                <w:rFonts w:ascii="Arial" w:eastAsia="Times New Roman" w:hAnsi="Arial" w:cs="Arial"/>
                <w:sz w:val="20"/>
                <w:szCs w:val="20"/>
                <w:lang w:val="nl-NL" w:eastAsia="nl-NL" w:bidi="ar-SA"/>
              </w:rPr>
              <w:t>CHFUSD</w:t>
            </w:r>
          </w:p>
        </w:tc>
        <w:tc>
          <w:tcPr>
            <w:tcW w:w="1941" w:type="dxa"/>
            <w:tcBorders>
              <w:top w:val="nil"/>
              <w:left w:val="nil"/>
              <w:bottom w:val="nil"/>
              <w:right w:val="nil"/>
            </w:tcBorders>
            <w:shd w:val="clear" w:color="auto" w:fill="auto"/>
            <w:noWrap/>
            <w:vAlign w:val="bottom"/>
            <w:hideMark/>
          </w:tcPr>
          <w:p w:rsidR="009C16D2" w:rsidRPr="00B01BEC" w:rsidRDefault="009C16D2" w:rsidP="009C16D2">
            <w:pPr>
              <w:spacing w:after="0" w:line="240" w:lineRule="auto"/>
              <w:jc w:val="right"/>
              <w:rPr>
                <w:rFonts w:ascii="Arial" w:eastAsia="Times New Roman" w:hAnsi="Arial" w:cs="Arial"/>
                <w:sz w:val="20"/>
                <w:szCs w:val="20"/>
                <w:lang w:val="nl-NL" w:eastAsia="nl-NL" w:bidi="ar-SA"/>
              </w:rPr>
            </w:pPr>
            <w:r w:rsidRPr="00B01BEC">
              <w:rPr>
                <w:rFonts w:ascii="Arial" w:eastAsia="Times New Roman" w:hAnsi="Arial" w:cs="Arial"/>
                <w:sz w:val="20"/>
                <w:szCs w:val="20"/>
                <w:lang w:val="nl-NL" w:eastAsia="nl-NL" w:bidi="ar-SA"/>
              </w:rPr>
              <w:t>-2,170195</w:t>
            </w:r>
          </w:p>
        </w:tc>
        <w:tc>
          <w:tcPr>
            <w:tcW w:w="2073" w:type="dxa"/>
            <w:tcBorders>
              <w:top w:val="nil"/>
              <w:left w:val="single" w:sz="4" w:space="0" w:color="auto"/>
              <w:bottom w:val="nil"/>
              <w:right w:val="single" w:sz="4" w:space="0" w:color="auto"/>
            </w:tcBorders>
            <w:shd w:val="clear" w:color="auto" w:fill="auto"/>
            <w:noWrap/>
            <w:vAlign w:val="bottom"/>
            <w:hideMark/>
          </w:tcPr>
          <w:p w:rsidR="009C16D2" w:rsidRPr="00B01BEC" w:rsidRDefault="009C16D2" w:rsidP="009C16D2">
            <w:pPr>
              <w:spacing w:after="0" w:line="240" w:lineRule="auto"/>
              <w:jc w:val="right"/>
              <w:rPr>
                <w:rFonts w:ascii="Arial" w:eastAsia="Times New Roman" w:hAnsi="Arial" w:cs="Arial"/>
                <w:sz w:val="20"/>
                <w:szCs w:val="20"/>
                <w:lang w:val="nl-NL" w:eastAsia="nl-NL" w:bidi="ar-SA"/>
              </w:rPr>
            </w:pPr>
            <w:r w:rsidRPr="00B01BEC">
              <w:rPr>
                <w:rFonts w:ascii="Arial" w:eastAsia="Times New Roman" w:hAnsi="Arial" w:cs="Arial"/>
                <w:sz w:val="20"/>
                <w:szCs w:val="20"/>
                <w:lang w:val="nl-NL" w:eastAsia="nl-NL" w:bidi="ar-SA"/>
              </w:rPr>
              <w:t>0,4391</w:t>
            </w:r>
          </w:p>
        </w:tc>
        <w:tc>
          <w:tcPr>
            <w:tcW w:w="1875" w:type="dxa"/>
            <w:tcBorders>
              <w:top w:val="nil"/>
              <w:left w:val="nil"/>
              <w:bottom w:val="nil"/>
              <w:right w:val="nil"/>
            </w:tcBorders>
            <w:shd w:val="clear" w:color="auto" w:fill="auto"/>
            <w:noWrap/>
            <w:vAlign w:val="bottom"/>
            <w:hideMark/>
          </w:tcPr>
          <w:p w:rsidR="009C16D2" w:rsidRPr="00B01BEC" w:rsidRDefault="009C16D2" w:rsidP="009C16D2">
            <w:pPr>
              <w:spacing w:after="0" w:line="240" w:lineRule="auto"/>
              <w:jc w:val="right"/>
              <w:rPr>
                <w:rFonts w:ascii="Arial" w:eastAsia="Times New Roman" w:hAnsi="Arial" w:cs="Arial"/>
                <w:sz w:val="20"/>
                <w:szCs w:val="20"/>
                <w:lang w:val="nl-NL" w:eastAsia="nl-NL" w:bidi="ar-SA"/>
              </w:rPr>
            </w:pPr>
            <w:r w:rsidRPr="00B01BEC">
              <w:rPr>
                <w:rFonts w:ascii="Arial" w:eastAsia="Times New Roman" w:hAnsi="Arial" w:cs="Arial"/>
                <w:sz w:val="20"/>
                <w:szCs w:val="20"/>
                <w:lang w:val="nl-NL" w:eastAsia="nl-NL" w:bidi="ar-SA"/>
              </w:rPr>
              <w:t>-10,17338</w:t>
            </w:r>
          </w:p>
        </w:tc>
        <w:tc>
          <w:tcPr>
            <w:tcW w:w="1579" w:type="dxa"/>
            <w:tcBorders>
              <w:top w:val="nil"/>
              <w:left w:val="single" w:sz="4" w:space="0" w:color="auto"/>
              <w:bottom w:val="nil"/>
              <w:right w:val="single" w:sz="4" w:space="0" w:color="auto"/>
            </w:tcBorders>
            <w:shd w:val="clear" w:color="auto" w:fill="auto"/>
            <w:noWrap/>
            <w:vAlign w:val="bottom"/>
            <w:hideMark/>
          </w:tcPr>
          <w:p w:rsidR="009C16D2" w:rsidRPr="00B01BEC" w:rsidRDefault="009C16D2" w:rsidP="009C16D2">
            <w:pPr>
              <w:spacing w:after="0" w:line="240" w:lineRule="auto"/>
              <w:jc w:val="right"/>
              <w:rPr>
                <w:rFonts w:ascii="Arial" w:eastAsia="Times New Roman" w:hAnsi="Arial" w:cs="Arial"/>
                <w:sz w:val="20"/>
                <w:szCs w:val="20"/>
                <w:lang w:val="nl-NL" w:eastAsia="nl-NL" w:bidi="ar-SA"/>
              </w:rPr>
            </w:pPr>
            <w:r w:rsidRPr="00B01BEC">
              <w:rPr>
                <w:rFonts w:ascii="Arial" w:eastAsia="Times New Roman" w:hAnsi="Arial" w:cs="Arial"/>
                <w:sz w:val="20"/>
                <w:szCs w:val="20"/>
                <w:lang w:val="nl-NL" w:eastAsia="nl-NL" w:bidi="ar-SA"/>
              </w:rPr>
              <w:t>0,3539</w:t>
            </w:r>
          </w:p>
        </w:tc>
      </w:tr>
      <w:tr w:rsidR="009C16D2" w:rsidRPr="00B01BEC" w:rsidTr="009C16D2">
        <w:trPr>
          <w:trHeight w:val="268"/>
        </w:trPr>
        <w:tc>
          <w:tcPr>
            <w:tcW w:w="1941" w:type="dxa"/>
            <w:tcBorders>
              <w:top w:val="nil"/>
              <w:left w:val="single" w:sz="4" w:space="0" w:color="auto"/>
              <w:bottom w:val="single" w:sz="4" w:space="0" w:color="auto"/>
              <w:right w:val="single" w:sz="4" w:space="0" w:color="auto"/>
            </w:tcBorders>
            <w:shd w:val="clear" w:color="auto" w:fill="auto"/>
            <w:noWrap/>
            <w:vAlign w:val="bottom"/>
            <w:hideMark/>
          </w:tcPr>
          <w:p w:rsidR="009C16D2" w:rsidRPr="00B01BEC" w:rsidRDefault="009C16D2" w:rsidP="009C16D2">
            <w:pPr>
              <w:spacing w:after="0" w:line="240" w:lineRule="auto"/>
              <w:rPr>
                <w:rFonts w:ascii="Arial" w:eastAsia="Times New Roman" w:hAnsi="Arial" w:cs="Arial"/>
                <w:sz w:val="20"/>
                <w:szCs w:val="20"/>
                <w:lang w:val="nl-NL" w:eastAsia="nl-NL" w:bidi="ar-SA"/>
              </w:rPr>
            </w:pPr>
            <w:r w:rsidRPr="00B01BEC">
              <w:rPr>
                <w:rFonts w:ascii="Arial" w:eastAsia="Times New Roman" w:hAnsi="Arial" w:cs="Arial"/>
                <w:sz w:val="20"/>
                <w:szCs w:val="20"/>
                <w:lang w:val="nl-NL" w:eastAsia="nl-NL" w:bidi="ar-SA"/>
              </w:rPr>
              <w:t>USCGDS</w:t>
            </w:r>
          </w:p>
        </w:tc>
        <w:tc>
          <w:tcPr>
            <w:tcW w:w="1941" w:type="dxa"/>
            <w:tcBorders>
              <w:top w:val="nil"/>
              <w:left w:val="nil"/>
              <w:bottom w:val="single" w:sz="4" w:space="0" w:color="auto"/>
              <w:right w:val="nil"/>
            </w:tcBorders>
            <w:shd w:val="clear" w:color="auto" w:fill="auto"/>
            <w:noWrap/>
            <w:vAlign w:val="bottom"/>
            <w:hideMark/>
          </w:tcPr>
          <w:p w:rsidR="009C16D2" w:rsidRPr="00B01BEC" w:rsidRDefault="009C16D2" w:rsidP="009C16D2">
            <w:pPr>
              <w:spacing w:after="0" w:line="240" w:lineRule="auto"/>
              <w:jc w:val="right"/>
              <w:rPr>
                <w:rFonts w:ascii="Arial" w:eastAsia="Times New Roman" w:hAnsi="Arial" w:cs="Arial"/>
                <w:sz w:val="20"/>
                <w:szCs w:val="20"/>
                <w:lang w:val="nl-NL" w:eastAsia="nl-NL" w:bidi="ar-SA"/>
              </w:rPr>
            </w:pPr>
            <w:r w:rsidRPr="00B01BEC">
              <w:rPr>
                <w:rFonts w:ascii="Arial" w:eastAsia="Times New Roman" w:hAnsi="Arial" w:cs="Arial"/>
                <w:sz w:val="20"/>
                <w:szCs w:val="20"/>
                <w:lang w:val="nl-NL" w:eastAsia="nl-NL" w:bidi="ar-SA"/>
              </w:rPr>
              <w:t>-2,560607</w:t>
            </w:r>
          </w:p>
        </w:tc>
        <w:tc>
          <w:tcPr>
            <w:tcW w:w="2073" w:type="dxa"/>
            <w:tcBorders>
              <w:top w:val="nil"/>
              <w:left w:val="single" w:sz="4" w:space="0" w:color="auto"/>
              <w:bottom w:val="single" w:sz="4" w:space="0" w:color="auto"/>
              <w:right w:val="single" w:sz="4" w:space="0" w:color="auto"/>
            </w:tcBorders>
            <w:shd w:val="clear" w:color="auto" w:fill="auto"/>
            <w:noWrap/>
            <w:vAlign w:val="bottom"/>
            <w:hideMark/>
          </w:tcPr>
          <w:p w:rsidR="009C16D2" w:rsidRPr="00B01BEC" w:rsidRDefault="009C16D2" w:rsidP="009C16D2">
            <w:pPr>
              <w:spacing w:after="0" w:line="240" w:lineRule="auto"/>
              <w:jc w:val="right"/>
              <w:rPr>
                <w:rFonts w:ascii="Arial" w:eastAsia="Times New Roman" w:hAnsi="Arial" w:cs="Arial"/>
                <w:sz w:val="20"/>
                <w:szCs w:val="20"/>
                <w:lang w:val="nl-NL" w:eastAsia="nl-NL" w:bidi="ar-SA"/>
              </w:rPr>
            </w:pPr>
            <w:r w:rsidRPr="00B01BEC">
              <w:rPr>
                <w:rFonts w:ascii="Arial" w:eastAsia="Times New Roman" w:hAnsi="Arial" w:cs="Arial"/>
                <w:sz w:val="20"/>
                <w:szCs w:val="20"/>
                <w:lang w:val="nl-NL" w:eastAsia="nl-NL" w:bidi="ar-SA"/>
              </w:rPr>
              <w:t>0,2537</w:t>
            </w:r>
          </w:p>
        </w:tc>
        <w:tc>
          <w:tcPr>
            <w:tcW w:w="1875" w:type="dxa"/>
            <w:tcBorders>
              <w:top w:val="nil"/>
              <w:left w:val="nil"/>
              <w:bottom w:val="single" w:sz="4" w:space="0" w:color="auto"/>
              <w:right w:val="nil"/>
            </w:tcBorders>
            <w:shd w:val="clear" w:color="auto" w:fill="auto"/>
            <w:noWrap/>
            <w:vAlign w:val="bottom"/>
            <w:hideMark/>
          </w:tcPr>
          <w:p w:rsidR="009C16D2" w:rsidRPr="00B01BEC" w:rsidRDefault="009C16D2" w:rsidP="009C16D2">
            <w:pPr>
              <w:spacing w:after="0" w:line="240" w:lineRule="auto"/>
              <w:jc w:val="right"/>
              <w:rPr>
                <w:rFonts w:ascii="Arial" w:eastAsia="Times New Roman" w:hAnsi="Arial" w:cs="Arial"/>
                <w:sz w:val="20"/>
                <w:szCs w:val="20"/>
                <w:lang w:val="nl-NL" w:eastAsia="nl-NL" w:bidi="ar-SA"/>
              </w:rPr>
            </w:pPr>
            <w:r w:rsidRPr="00B01BEC">
              <w:rPr>
                <w:rFonts w:ascii="Arial" w:eastAsia="Times New Roman" w:hAnsi="Arial" w:cs="Arial"/>
                <w:sz w:val="20"/>
                <w:szCs w:val="20"/>
                <w:lang w:val="nl-NL" w:eastAsia="nl-NL" w:bidi="ar-SA"/>
              </w:rPr>
              <w:t>-13,19611</w:t>
            </w:r>
          </w:p>
        </w:tc>
        <w:tc>
          <w:tcPr>
            <w:tcW w:w="1579" w:type="dxa"/>
            <w:tcBorders>
              <w:top w:val="nil"/>
              <w:left w:val="single" w:sz="4" w:space="0" w:color="auto"/>
              <w:bottom w:val="single" w:sz="4" w:space="0" w:color="auto"/>
              <w:right w:val="single" w:sz="4" w:space="0" w:color="auto"/>
            </w:tcBorders>
            <w:shd w:val="clear" w:color="auto" w:fill="auto"/>
            <w:noWrap/>
            <w:vAlign w:val="bottom"/>
            <w:hideMark/>
          </w:tcPr>
          <w:p w:rsidR="009C16D2" w:rsidRPr="00B01BEC" w:rsidRDefault="009C16D2" w:rsidP="009C16D2">
            <w:pPr>
              <w:spacing w:after="0" w:line="240" w:lineRule="auto"/>
              <w:jc w:val="right"/>
              <w:rPr>
                <w:rFonts w:ascii="Arial" w:eastAsia="Times New Roman" w:hAnsi="Arial" w:cs="Arial"/>
                <w:sz w:val="20"/>
                <w:szCs w:val="20"/>
                <w:lang w:val="nl-NL" w:eastAsia="nl-NL" w:bidi="ar-SA"/>
              </w:rPr>
            </w:pPr>
            <w:r w:rsidRPr="00B01BEC">
              <w:rPr>
                <w:rFonts w:ascii="Arial" w:eastAsia="Times New Roman" w:hAnsi="Arial" w:cs="Arial"/>
                <w:sz w:val="20"/>
                <w:szCs w:val="20"/>
                <w:lang w:val="nl-NL" w:eastAsia="nl-NL" w:bidi="ar-SA"/>
              </w:rPr>
              <w:t>0,2094</w:t>
            </w:r>
          </w:p>
        </w:tc>
      </w:tr>
      <w:tr w:rsidR="009C16D2" w:rsidRPr="00B01BEC" w:rsidTr="009C16D2">
        <w:trPr>
          <w:trHeight w:val="268"/>
        </w:trPr>
        <w:tc>
          <w:tcPr>
            <w:tcW w:w="1941" w:type="dxa"/>
            <w:tcBorders>
              <w:top w:val="nil"/>
              <w:left w:val="single" w:sz="4" w:space="0" w:color="auto"/>
              <w:bottom w:val="nil"/>
              <w:right w:val="single" w:sz="4" w:space="0" w:color="auto"/>
            </w:tcBorders>
            <w:shd w:val="clear" w:color="auto" w:fill="auto"/>
            <w:noWrap/>
            <w:vAlign w:val="bottom"/>
            <w:hideMark/>
          </w:tcPr>
          <w:p w:rsidR="009C16D2" w:rsidRPr="00B01BEC" w:rsidRDefault="009C16D2" w:rsidP="009C16D2">
            <w:pPr>
              <w:spacing w:after="0" w:line="240" w:lineRule="auto"/>
              <w:rPr>
                <w:rFonts w:ascii="Arial" w:eastAsia="Times New Roman" w:hAnsi="Arial" w:cs="Arial"/>
                <w:sz w:val="20"/>
                <w:szCs w:val="20"/>
                <w:lang w:val="nl-NL" w:eastAsia="nl-NL" w:bidi="ar-SA"/>
              </w:rPr>
            </w:pPr>
            <w:r w:rsidRPr="00B01BEC">
              <w:rPr>
                <w:rFonts w:ascii="Arial" w:eastAsia="Times New Roman" w:hAnsi="Arial" w:cs="Arial"/>
                <w:sz w:val="20"/>
                <w:szCs w:val="20"/>
                <w:lang w:val="nl-NL" w:eastAsia="nl-NL" w:bidi="ar-SA"/>
              </w:rPr>
              <w:t>CHFUSD</w:t>
            </w:r>
          </w:p>
        </w:tc>
        <w:tc>
          <w:tcPr>
            <w:tcW w:w="1941" w:type="dxa"/>
            <w:tcBorders>
              <w:top w:val="nil"/>
              <w:left w:val="nil"/>
              <w:bottom w:val="nil"/>
              <w:right w:val="nil"/>
            </w:tcBorders>
            <w:shd w:val="clear" w:color="auto" w:fill="auto"/>
            <w:noWrap/>
            <w:vAlign w:val="bottom"/>
            <w:hideMark/>
          </w:tcPr>
          <w:p w:rsidR="009C16D2" w:rsidRPr="00B01BEC" w:rsidRDefault="009C16D2" w:rsidP="009C16D2">
            <w:pPr>
              <w:spacing w:after="0" w:line="240" w:lineRule="auto"/>
              <w:jc w:val="right"/>
              <w:rPr>
                <w:rFonts w:ascii="Arial" w:eastAsia="Times New Roman" w:hAnsi="Arial" w:cs="Arial"/>
                <w:sz w:val="20"/>
                <w:szCs w:val="20"/>
                <w:lang w:val="nl-NL" w:eastAsia="nl-NL" w:bidi="ar-SA"/>
              </w:rPr>
            </w:pPr>
            <w:r w:rsidRPr="00B01BEC">
              <w:rPr>
                <w:rFonts w:ascii="Arial" w:eastAsia="Times New Roman" w:hAnsi="Arial" w:cs="Arial"/>
                <w:sz w:val="20"/>
                <w:szCs w:val="20"/>
                <w:lang w:val="nl-NL" w:eastAsia="nl-NL" w:bidi="ar-SA"/>
              </w:rPr>
              <w:t>0,022459</w:t>
            </w:r>
          </w:p>
        </w:tc>
        <w:tc>
          <w:tcPr>
            <w:tcW w:w="2073" w:type="dxa"/>
            <w:tcBorders>
              <w:top w:val="nil"/>
              <w:left w:val="single" w:sz="4" w:space="0" w:color="auto"/>
              <w:bottom w:val="nil"/>
              <w:right w:val="single" w:sz="4" w:space="0" w:color="auto"/>
            </w:tcBorders>
            <w:shd w:val="clear" w:color="auto" w:fill="auto"/>
            <w:noWrap/>
            <w:vAlign w:val="bottom"/>
            <w:hideMark/>
          </w:tcPr>
          <w:p w:rsidR="009C16D2" w:rsidRPr="00B01BEC" w:rsidRDefault="009C16D2" w:rsidP="009C16D2">
            <w:pPr>
              <w:spacing w:after="0" w:line="240" w:lineRule="auto"/>
              <w:jc w:val="right"/>
              <w:rPr>
                <w:rFonts w:ascii="Arial" w:eastAsia="Times New Roman" w:hAnsi="Arial" w:cs="Arial"/>
                <w:sz w:val="20"/>
                <w:szCs w:val="20"/>
                <w:lang w:val="nl-NL" w:eastAsia="nl-NL" w:bidi="ar-SA"/>
              </w:rPr>
            </w:pPr>
            <w:r w:rsidRPr="00B01BEC">
              <w:rPr>
                <w:rFonts w:ascii="Arial" w:eastAsia="Times New Roman" w:hAnsi="Arial" w:cs="Arial"/>
                <w:sz w:val="20"/>
                <w:szCs w:val="20"/>
                <w:lang w:val="nl-NL" w:eastAsia="nl-NL" w:bidi="ar-SA"/>
              </w:rPr>
              <w:t>0,9882</w:t>
            </w:r>
          </w:p>
        </w:tc>
        <w:tc>
          <w:tcPr>
            <w:tcW w:w="1875" w:type="dxa"/>
            <w:tcBorders>
              <w:top w:val="nil"/>
              <w:left w:val="nil"/>
              <w:bottom w:val="nil"/>
              <w:right w:val="nil"/>
            </w:tcBorders>
            <w:shd w:val="clear" w:color="auto" w:fill="auto"/>
            <w:noWrap/>
            <w:vAlign w:val="bottom"/>
            <w:hideMark/>
          </w:tcPr>
          <w:p w:rsidR="009C16D2" w:rsidRPr="00B01BEC" w:rsidRDefault="009C16D2" w:rsidP="009C16D2">
            <w:pPr>
              <w:spacing w:after="0" w:line="240" w:lineRule="auto"/>
              <w:jc w:val="right"/>
              <w:rPr>
                <w:rFonts w:ascii="Arial" w:eastAsia="Times New Roman" w:hAnsi="Arial" w:cs="Arial"/>
                <w:sz w:val="20"/>
                <w:szCs w:val="20"/>
                <w:lang w:val="nl-NL" w:eastAsia="nl-NL" w:bidi="ar-SA"/>
              </w:rPr>
            </w:pPr>
            <w:r w:rsidRPr="00B01BEC">
              <w:rPr>
                <w:rFonts w:ascii="Arial" w:eastAsia="Times New Roman" w:hAnsi="Arial" w:cs="Arial"/>
                <w:sz w:val="20"/>
                <w:szCs w:val="20"/>
                <w:lang w:val="nl-NL" w:eastAsia="nl-NL" w:bidi="ar-SA"/>
              </w:rPr>
              <w:t>0,053765</w:t>
            </w:r>
          </w:p>
        </w:tc>
        <w:tc>
          <w:tcPr>
            <w:tcW w:w="1579" w:type="dxa"/>
            <w:tcBorders>
              <w:top w:val="nil"/>
              <w:left w:val="single" w:sz="4" w:space="0" w:color="auto"/>
              <w:bottom w:val="nil"/>
              <w:right w:val="single" w:sz="4" w:space="0" w:color="auto"/>
            </w:tcBorders>
            <w:shd w:val="clear" w:color="auto" w:fill="auto"/>
            <w:noWrap/>
            <w:vAlign w:val="bottom"/>
            <w:hideMark/>
          </w:tcPr>
          <w:p w:rsidR="009C16D2" w:rsidRPr="00B01BEC" w:rsidRDefault="009C16D2" w:rsidP="009C16D2">
            <w:pPr>
              <w:spacing w:after="0" w:line="240" w:lineRule="auto"/>
              <w:jc w:val="right"/>
              <w:rPr>
                <w:rFonts w:ascii="Arial" w:eastAsia="Times New Roman" w:hAnsi="Arial" w:cs="Arial"/>
                <w:sz w:val="20"/>
                <w:szCs w:val="20"/>
                <w:lang w:val="nl-NL" w:eastAsia="nl-NL" w:bidi="ar-SA"/>
              </w:rPr>
            </w:pPr>
            <w:r w:rsidRPr="00B01BEC">
              <w:rPr>
                <w:rFonts w:ascii="Arial" w:eastAsia="Times New Roman" w:hAnsi="Arial" w:cs="Arial"/>
                <w:sz w:val="20"/>
                <w:szCs w:val="20"/>
                <w:lang w:val="nl-NL" w:eastAsia="nl-NL" w:bidi="ar-SA"/>
              </w:rPr>
              <w:t>0,9882</w:t>
            </w:r>
          </w:p>
        </w:tc>
      </w:tr>
      <w:tr w:rsidR="009C16D2" w:rsidRPr="00B01BEC" w:rsidTr="009C16D2">
        <w:trPr>
          <w:trHeight w:val="268"/>
        </w:trPr>
        <w:tc>
          <w:tcPr>
            <w:tcW w:w="1941" w:type="dxa"/>
            <w:tcBorders>
              <w:top w:val="nil"/>
              <w:left w:val="single" w:sz="4" w:space="0" w:color="auto"/>
              <w:bottom w:val="single" w:sz="4" w:space="0" w:color="auto"/>
              <w:right w:val="single" w:sz="4" w:space="0" w:color="auto"/>
            </w:tcBorders>
            <w:shd w:val="clear" w:color="auto" w:fill="auto"/>
            <w:noWrap/>
            <w:vAlign w:val="bottom"/>
            <w:hideMark/>
          </w:tcPr>
          <w:p w:rsidR="009C16D2" w:rsidRPr="00B01BEC" w:rsidRDefault="009C16D2" w:rsidP="009C16D2">
            <w:pPr>
              <w:spacing w:after="0" w:line="240" w:lineRule="auto"/>
              <w:rPr>
                <w:rFonts w:ascii="Arial" w:eastAsia="Times New Roman" w:hAnsi="Arial" w:cs="Arial"/>
                <w:sz w:val="20"/>
                <w:szCs w:val="20"/>
                <w:lang w:val="nl-NL" w:eastAsia="nl-NL" w:bidi="ar-SA"/>
              </w:rPr>
            </w:pPr>
            <w:r w:rsidRPr="00B01BEC">
              <w:rPr>
                <w:rFonts w:ascii="Arial" w:eastAsia="Times New Roman" w:hAnsi="Arial" w:cs="Arial"/>
                <w:sz w:val="20"/>
                <w:szCs w:val="20"/>
                <w:lang w:val="nl-NL" w:eastAsia="nl-NL" w:bidi="ar-SA"/>
              </w:rPr>
              <w:t>USCS</w:t>
            </w:r>
          </w:p>
        </w:tc>
        <w:tc>
          <w:tcPr>
            <w:tcW w:w="1941" w:type="dxa"/>
            <w:tcBorders>
              <w:top w:val="nil"/>
              <w:left w:val="nil"/>
              <w:bottom w:val="single" w:sz="4" w:space="0" w:color="auto"/>
              <w:right w:val="nil"/>
            </w:tcBorders>
            <w:shd w:val="clear" w:color="auto" w:fill="auto"/>
            <w:noWrap/>
            <w:vAlign w:val="bottom"/>
            <w:hideMark/>
          </w:tcPr>
          <w:p w:rsidR="009C16D2" w:rsidRPr="00B01BEC" w:rsidRDefault="009C16D2" w:rsidP="009C16D2">
            <w:pPr>
              <w:spacing w:after="0" w:line="240" w:lineRule="auto"/>
              <w:jc w:val="right"/>
              <w:rPr>
                <w:rFonts w:ascii="Arial" w:eastAsia="Times New Roman" w:hAnsi="Arial" w:cs="Arial"/>
                <w:sz w:val="20"/>
                <w:szCs w:val="20"/>
                <w:lang w:val="nl-NL" w:eastAsia="nl-NL" w:bidi="ar-SA"/>
              </w:rPr>
            </w:pPr>
            <w:r w:rsidRPr="00B01BEC">
              <w:rPr>
                <w:rFonts w:ascii="Arial" w:eastAsia="Times New Roman" w:hAnsi="Arial" w:cs="Arial"/>
                <w:sz w:val="20"/>
                <w:szCs w:val="20"/>
                <w:lang w:val="nl-NL" w:eastAsia="nl-NL" w:bidi="ar-SA"/>
              </w:rPr>
              <w:t>-2,363365</w:t>
            </w:r>
          </w:p>
        </w:tc>
        <w:tc>
          <w:tcPr>
            <w:tcW w:w="2073" w:type="dxa"/>
            <w:tcBorders>
              <w:top w:val="nil"/>
              <w:left w:val="single" w:sz="4" w:space="0" w:color="auto"/>
              <w:bottom w:val="single" w:sz="4" w:space="0" w:color="auto"/>
              <w:right w:val="single" w:sz="4" w:space="0" w:color="auto"/>
            </w:tcBorders>
            <w:shd w:val="clear" w:color="auto" w:fill="auto"/>
            <w:noWrap/>
            <w:vAlign w:val="bottom"/>
            <w:hideMark/>
          </w:tcPr>
          <w:p w:rsidR="009C16D2" w:rsidRPr="00B01BEC" w:rsidRDefault="009C16D2" w:rsidP="009C16D2">
            <w:pPr>
              <w:spacing w:after="0" w:line="240" w:lineRule="auto"/>
              <w:jc w:val="right"/>
              <w:rPr>
                <w:rFonts w:ascii="Arial" w:eastAsia="Times New Roman" w:hAnsi="Arial" w:cs="Arial"/>
                <w:sz w:val="20"/>
                <w:szCs w:val="20"/>
                <w:lang w:val="nl-NL" w:eastAsia="nl-NL" w:bidi="ar-SA"/>
              </w:rPr>
            </w:pPr>
            <w:r w:rsidRPr="00B01BEC">
              <w:rPr>
                <w:rFonts w:ascii="Arial" w:eastAsia="Times New Roman" w:hAnsi="Arial" w:cs="Arial"/>
                <w:sz w:val="20"/>
                <w:szCs w:val="20"/>
                <w:lang w:val="nl-NL" w:eastAsia="nl-NL" w:bidi="ar-SA"/>
              </w:rPr>
              <w:t>0,3422</w:t>
            </w:r>
          </w:p>
        </w:tc>
        <w:tc>
          <w:tcPr>
            <w:tcW w:w="1875" w:type="dxa"/>
            <w:tcBorders>
              <w:top w:val="nil"/>
              <w:left w:val="nil"/>
              <w:bottom w:val="single" w:sz="4" w:space="0" w:color="auto"/>
              <w:right w:val="nil"/>
            </w:tcBorders>
            <w:shd w:val="clear" w:color="auto" w:fill="auto"/>
            <w:noWrap/>
            <w:vAlign w:val="bottom"/>
            <w:hideMark/>
          </w:tcPr>
          <w:p w:rsidR="009C16D2" w:rsidRPr="00B01BEC" w:rsidRDefault="009C16D2" w:rsidP="009C16D2">
            <w:pPr>
              <w:spacing w:after="0" w:line="240" w:lineRule="auto"/>
              <w:jc w:val="right"/>
              <w:rPr>
                <w:rFonts w:ascii="Arial" w:eastAsia="Times New Roman" w:hAnsi="Arial" w:cs="Arial"/>
                <w:sz w:val="20"/>
                <w:szCs w:val="20"/>
                <w:lang w:val="nl-NL" w:eastAsia="nl-NL" w:bidi="ar-SA"/>
              </w:rPr>
            </w:pPr>
            <w:r w:rsidRPr="00B01BEC">
              <w:rPr>
                <w:rFonts w:ascii="Arial" w:eastAsia="Times New Roman" w:hAnsi="Arial" w:cs="Arial"/>
                <w:sz w:val="20"/>
                <w:szCs w:val="20"/>
                <w:lang w:val="nl-NL" w:eastAsia="nl-NL" w:bidi="ar-SA"/>
              </w:rPr>
              <w:t>-12,2716</w:t>
            </w:r>
          </w:p>
        </w:tc>
        <w:tc>
          <w:tcPr>
            <w:tcW w:w="1579" w:type="dxa"/>
            <w:tcBorders>
              <w:top w:val="nil"/>
              <w:left w:val="single" w:sz="4" w:space="0" w:color="auto"/>
              <w:bottom w:val="single" w:sz="4" w:space="0" w:color="auto"/>
              <w:right w:val="single" w:sz="4" w:space="0" w:color="auto"/>
            </w:tcBorders>
            <w:shd w:val="clear" w:color="auto" w:fill="auto"/>
            <w:noWrap/>
            <w:vAlign w:val="bottom"/>
            <w:hideMark/>
          </w:tcPr>
          <w:p w:rsidR="009C16D2" w:rsidRPr="00B01BEC" w:rsidRDefault="009C16D2" w:rsidP="009C16D2">
            <w:pPr>
              <w:spacing w:after="0" w:line="240" w:lineRule="auto"/>
              <w:jc w:val="right"/>
              <w:rPr>
                <w:rFonts w:ascii="Arial" w:eastAsia="Times New Roman" w:hAnsi="Arial" w:cs="Arial"/>
                <w:sz w:val="20"/>
                <w:szCs w:val="20"/>
                <w:lang w:val="nl-NL" w:eastAsia="nl-NL" w:bidi="ar-SA"/>
              </w:rPr>
            </w:pPr>
            <w:r w:rsidRPr="00B01BEC">
              <w:rPr>
                <w:rFonts w:ascii="Arial" w:eastAsia="Times New Roman" w:hAnsi="Arial" w:cs="Arial"/>
                <w:sz w:val="20"/>
                <w:szCs w:val="20"/>
                <w:lang w:val="nl-NL" w:eastAsia="nl-NL" w:bidi="ar-SA"/>
              </w:rPr>
              <w:t>0,2472</w:t>
            </w:r>
          </w:p>
        </w:tc>
      </w:tr>
      <w:tr w:rsidR="009C16D2" w:rsidRPr="00B01BEC" w:rsidTr="009C16D2">
        <w:trPr>
          <w:trHeight w:val="268"/>
        </w:trPr>
        <w:tc>
          <w:tcPr>
            <w:tcW w:w="1941" w:type="dxa"/>
            <w:tcBorders>
              <w:top w:val="nil"/>
              <w:left w:val="single" w:sz="4" w:space="0" w:color="auto"/>
              <w:bottom w:val="nil"/>
              <w:right w:val="single" w:sz="4" w:space="0" w:color="auto"/>
            </w:tcBorders>
            <w:shd w:val="clear" w:color="auto" w:fill="auto"/>
            <w:noWrap/>
            <w:vAlign w:val="bottom"/>
            <w:hideMark/>
          </w:tcPr>
          <w:p w:rsidR="009C16D2" w:rsidRPr="00B01BEC" w:rsidRDefault="009C16D2" w:rsidP="009C16D2">
            <w:pPr>
              <w:spacing w:after="0" w:line="240" w:lineRule="auto"/>
              <w:rPr>
                <w:rFonts w:ascii="Arial" w:eastAsia="Times New Roman" w:hAnsi="Arial" w:cs="Arial"/>
                <w:sz w:val="20"/>
                <w:szCs w:val="20"/>
                <w:lang w:val="nl-NL" w:eastAsia="nl-NL" w:bidi="ar-SA"/>
              </w:rPr>
            </w:pPr>
            <w:r w:rsidRPr="00B01BEC">
              <w:rPr>
                <w:rFonts w:ascii="Arial" w:eastAsia="Times New Roman" w:hAnsi="Arial" w:cs="Arial"/>
                <w:sz w:val="20"/>
                <w:szCs w:val="20"/>
                <w:lang w:val="nl-NL" w:eastAsia="nl-NL" w:bidi="ar-SA"/>
              </w:rPr>
              <w:t>CHFUSD</w:t>
            </w:r>
          </w:p>
        </w:tc>
        <w:tc>
          <w:tcPr>
            <w:tcW w:w="1941" w:type="dxa"/>
            <w:tcBorders>
              <w:top w:val="nil"/>
              <w:left w:val="nil"/>
              <w:bottom w:val="nil"/>
              <w:right w:val="nil"/>
            </w:tcBorders>
            <w:shd w:val="clear" w:color="auto" w:fill="auto"/>
            <w:noWrap/>
            <w:vAlign w:val="bottom"/>
            <w:hideMark/>
          </w:tcPr>
          <w:p w:rsidR="009C16D2" w:rsidRPr="00B01BEC" w:rsidRDefault="009C16D2" w:rsidP="009C16D2">
            <w:pPr>
              <w:spacing w:after="0" w:line="240" w:lineRule="auto"/>
              <w:jc w:val="right"/>
              <w:rPr>
                <w:rFonts w:ascii="Arial" w:eastAsia="Times New Roman" w:hAnsi="Arial" w:cs="Arial"/>
                <w:sz w:val="20"/>
                <w:szCs w:val="20"/>
                <w:lang w:val="nl-NL" w:eastAsia="nl-NL" w:bidi="ar-SA"/>
              </w:rPr>
            </w:pPr>
            <w:r w:rsidRPr="00B01BEC">
              <w:rPr>
                <w:rFonts w:ascii="Arial" w:eastAsia="Times New Roman" w:hAnsi="Arial" w:cs="Arial"/>
                <w:sz w:val="20"/>
                <w:szCs w:val="20"/>
                <w:lang w:val="nl-NL" w:eastAsia="nl-NL" w:bidi="ar-SA"/>
              </w:rPr>
              <w:t>-0,13789</w:t>
            </w:r>
          </w:p>
        </w:tc>
        <w:tc>
          <w:tcPr>
            <w:tcW w:w="2073" w:type="dxa"/>
            <w:tcBorders>
              <w:top w:val="nil"/>
              <w:left w:val="single" w:sz="4" w:space="0" w:color="auto"/>
              <w:bottom w:val="nil"/>
              <w:right w:val="single" w:sz="4" w:space="0" w:color="auto"/>
            </w:tcBorders>
            <w:shd w:val="clear" w:color="auto" w:fill="auto"/>
            <w:noWrap/>
            <w:vAlign w:val="bottom"/>
            <w:hideMark/>
          </w:tcPr>
          <w:p w:rsidR="009C16D2" w:rsidRPr="00B01BEC" w:rsidRDefault="009C16D2" w:rsidP="009C16D2">
            <w:pPr>
              <w:spacing w:after="0" w:line="240" w:lineRule="auto"/>
              <w:jc w:val="right"/>
              <w:rPr>
                <w:rFonts w:ascii="Arial" w:eastAsia="Times New Roman" w:hAnsi="Arial" w:cs="Arial"/>
                <w:sz w:val="20"/>
                <w:szCs w:val="20"/>
                <w:lang w:val="nl-NL" w:eastAsia="nl-NL" w:bidi="ar-SA"/>
              </w:rPr>
            </w:pPr>
            <w:r w:rsidRPr="00B01BEC">
              <w:rPr>
                <w:rFonts w:ascii="Arial" w:eastAsia="Times New Roman" w:hAnsi="Arial" w:cs="Arial"/>
                <w:sz w:val="20"/>
                <w:szCs w:val="20"/>
                <w:lang w:val="nl-NL" w:eastAsia="nl-NL" w:bidi="ar-SA"/>
              </w:rPr>
              <w:t>0,9828</w:t>
            </w:r>
          </w:p>
        </w:tc>
        <w:tc>
          <w:tcPr>
            <w:tcW w:w="1875" w:type="dxa"/>
            <w:tcBorders>
              <w:top w:val="nil"/>
              <w:left w:val="nil"/>
              <w:bottom w:val="nil"/>
              <w:right w:val="nil"/>
            </w:tcBorders>
            <w:shd w:val="clear" w:color="auto" w:fill="auto"/>
            <w:noWrap/>
            <w:vAlign w:val="bottom"/>
            <w:hideMark/>
          </w:tcPr>
          <w:p w:rsidR="009C16D2" w:rsidRPr="00B01BEC" w:rsidRDefault="009C16D2" w:rsidP="009C16D2">
            <w:pPr>
              <w:spacing w:after="0" w:line="240" w:lineRule="auto"/>
              <w:jc w:val="right"/>
              <w:rPr>
                <w:rFonts w:ascii="Arial" w:eastAsia="Times New Roman" w:hAnsi="Arial" w:cs="Arial"/>
                <w:sz w:val="20"/>
                <w:szCs w:val="20"/>
                <w:lang w:val="nl-NL" w:eastAsia="nl-NL" w:bidi="ar-SA"/>
              </w:rPr>
            </w:pPr>
            <w:r w:rsidRPr="00B01BEC">
              <w:rPr>
                <w:rFonts w:ascii="Arial" w:eastAsia="Times New Roman" w:hAnsi="Arial" w:cs="Arial"/>
                <w:sz w:val="20"/>
                <w:szCs w:val="20"/>
                <w:lang w:val="nl-NL" w:eastAsia="nl-NL" w:bidi="ar-SA"/>
              </w:rPr>
              <w:t>-0,32881</w:t>
            </w:r>
          </w:p>
        </w:tc>
        <w:tc>
          <w:tcPr>
            <w:tcW w:w="1579" w:type="dxa"/>
            <w:tcBorders>
              <w:top w:val="nil"/>
              <w:left w:val="single" w:sz="4" w:space="0" w:color="auto"/>
              <w:bottom w:val="nil"/>
              <w:right w:val="single" w:sz="4" w:space="0" w:color="auto"/>
            </w:tcBorders>
            <w:shd w:val="clear" w:color="auto" w:fill="auto"/>
            <w:noWrap/>
            <w:vAlign w:val="bottom"/>
            <w:hideMark/>
          </w:tcPr>
          <w:p w:rsidR="009C16D2" w:rsidRPr="00B01BEC" w:rsidRDefault="009C16D2" w:rsidP="009C16D2">
            <w:pPr>
              <w:spacing w:after="0" w:line="240" w:lineRule="auto"/>
              <w:jc w:val="right"/>
              <w:rPr>
                <w:rFonts w:ascii="Arial" w:eastAsia="Times New Roman" w:hAnsi="Arial" w:cs="Arial"/>
                <w:sz w:val="20"/>
                <w:szCs w:val="20"/>
                <w:lang w:val="nl-NL" w:eastAsia="nl-NL" w:bidi="ar-SA"/>
              </w:rPr>
            </w:pPr>
            <w:r w:rsidRPr="00B01BEC">
              <w:rPr>
                <w:rFonts w:ascii="Arial" w:eastAsia="Times New Roman" w:hAnsi="Arial" w:cs="Arial"/>
                <w:sz w:val="20"/>
                <w:szCs w:val="20"/>
                <w:lang w:val="nl-NL" w:eastAsia="nl-NL" w:bidi="ar-SA"/>
              </w:rPr>
              <w:t>0,9823</w:t>
            </w:r>
          </w:p>
        </w:tc>
      </w:tr>
      <w:tr w:rsidR="009C16D2" w:rsidRPr="00B01BEC" w:rsidTr="009C16D2">
        <w:trPr>
          <w:trHeight w:val="268"/>
        </w:trPr>
        <w:tc>
          <w:tcPr>
            <w:tcW w:w="1941" w:type="dxa"/>
            <w:tcBorders>
              <w:top w:val="nil"/>
              <w:left w:val="single" w:sz="4" w:space="0" w:color="auto"/>
              <w:bottom w:val="single" w:sz="4" w:space="0" w:color="auto"/>
              <w:right w:val="single" w:sz="4" w:space="0" w:color="auto"/>
            </w:tcBorders>
            <w:shd w:val="clear" w:color="auto" w:fill="auto"/>
            <w:noWrap/>
            <w:vAlign w:val="bottom"/>
            <w:hideMark/>
          </w:tcPr>
          <w:p w:rsidR="009C16D2" w:rsidRPr="00B01BEC" w:rsidRDefault="009C16D2" w:rsidP="009C16D2">
            <w:pPr>
              <w:spacing w:after="0" w:line="240" w:lineRule="auto"/>
              <w:rPr>
                <w:rFonts w:ascii="Arial" w:eastAsia="Times New Roman" w:hAnsi="Arial" w:cs="Arial"/>
                <w:sz w:val="20"/>
                <w:szCs w:val="20"/>
                <w:lang w:val="nl-NL" w:eastAsia="nl-NL" w:bidi="ar-SA"/>
              </w:rPr>
            </w:pPr>
            <w:r w:rsidRPr="00B01BEC">
              <w:rPr>
                <w:rFonts w:ascii="Arial" w:eastAsia="Times New Roman" w:hAnsi="Arial" w:cs="Arial"/>
                <w:sz w:val="20"/>
                <w:szCs w:val="20"/>
                <w:lang w:val="nl-NL" w:eastAsia="nl-NL" w:bidi="ar-SA"/>
              </w:rPr>
              <w:t>USFSVS</w:t>
            </w:r>
          </w:p>
        </w:tc>
        <w:tc>
          <w:tcPr>
            <w:tcW w:w="1941" w:type="dxa"/>
            <w:tcBorders>
              <w:top w:val="nil"/>
              <w:left w:val="nil"/>
              <w:bottom w:val="single" w:sz="4" w:space="0" w:color="auto"/>
              <w:right w:val="nil"/>
            </w:tcBorders>
            <w:shd w:val="clear" w:color="auto" w:fill="auto"/>
            <w:noWrap/>
            <w:vAlign w:val="bottom"/>
            <w:hideMark/>
          </w:tcPr>
          <w:p w:rsidR="009C16D2" w:rsidRPr="00B01BEC" w:rsidRDefault="009C16D2" w:rsidP="009C16D2">
            <w:pPr>
              <w:spacing w:after="0" w:line="240" w:lineRule="auto"/>
              <w:jc w:val="right"/>
              <w:rPr>
                <w:rFonts w:ascii="Arial" w:eastAsia="Times New Roman" w:hAnsi="Arial" w:cs="Arial"/>
                <w:sz w:val="20"/>
                <w:szCs w:val="20"/>
                <w:lang w:val="nl-NL" w:eastAsia="nl-NL" w:bidi="ar-SA"/>
              </w:rPr>
            </w:pPr>
            <w:r w:rsidRPr="00B01BEC">
              <w:rPr>
                <w:rFonts w:ascii="Arial" w:eastAsia="Times New Roman" w:hAnsi="Arial" w:cs="Arial"/>
                <w:sz w:val="20"/>
                <w:szCs w:val="20"/>
                <w:lang w:val="nl-NL" w:eastAsia="nl-NL" w:bidi="ar-SA"/>
              </w:rPr>
              <w:t>-1,780583</w:t>
            </w:r>
          </w:p>
        </w:tc>
        <w:tc>
          <w:tcPr>
            <w:tcW w:w="2073" w:type="dxa"/>
            <w:tcBorders>
              <w:top w:val="nil"/>
              <w:left w:val="single" w:sz="4" w:space="0" w:color="auto"/>
              <w:bottom w:val="single" w:sz="4" w:space="0" w:color="auto"/>
              <w:right w:val="single" w:sz="4" w:space="0" w:color="auto"/>
            </w:tcBorders>
            <w:shd w:val="clear" w:color="auto" w:fill="auto"/>
            <w:noWrap/>
            <w:vAlign w:val="bottom"/>
            <w:hideMark/>
          </w:tcPr>
          <w:p w:rsidR="009C16D2" w:rsidRPr="00B01BEC" w:rsidRDefault="009C16D2" w:rsidP="009C16D2">
            <w:pPr>
              <w:spacing w:after="0" w:line="240" w:lineRule="auto"/>
              <w:jc w:val="right"/>
              <w:rPr>
                <w:rFonts w:ascii="Arial" w:eastAsia="Times New Roman" w:hAnsi="Arial" w:cs="Arial"/>
                <w:sz w:val="20"/>
                <w:szCs w:val="20"/>
                <w:lang w:val="nl-NL" w:eastAsia="nl-NL" w:bidi="ar-SA"/>
              </w:rPr>
            </w:pPr>
            <w:r w:rsidRPr="00B01BEC">
              <w:rPr>
                <w:rFonts w:ascii="Arial" w:eastAsia="Times New Roman" w:hAnsi="Arial" w:cs="Arial"/>
                <w:sz w:val="20"/>
                <w:szCs w:val="20"/>
                <w:lang w:val="nl-NL" w:eastAsia="nl-NL" w:bidi="ar-SA"/>
              </w:rPr>
              <w:t>0,6399</w:t>
            </w:r>
          </w:p>
        </w:tc>
        <w:tc>
          <w:tcPr>
            <w:tcW w:w="1875" w:type="dxa"/>
            <w:tcBorders>
              <w:top w:val="nil"/>
              <w:left w:val="nil"/>
              <w:bottom w:val="single" w:sz="4" w:space="0" w:color="auto"/>
              <w:right w:val="nil"/>
            </w:tcBorders>
            <w:shd w:val="clear" w:color="auto" w:fill="auto"/>
            <w:noWrap/>
            <w:vAlign w:val="bottom"/>
            <w:hideMark/>
          </w:tcPr>
          <w:p w:rsidR="009C16D2" w:rsidRPr="00B01BEC" w:rsidRDefault="009C16D2" w:rsidP="009C16D2">
            <w:pPr>
              <w:spacing w:after="0" w:line="240" w:lineRule="auto"/>
              <w:jc w:val="right"/>
              <w:rPr>
                <w:rFonts w:ascii="Arial" w:eastAsia="Times New Roman" w:hAnsi="Arial" w:cs="Arial"/>
                <w:sz w:val="20"/>
                <w:szCs w:val="20"/>
                <w:lang w:val="nl-NL" w:eastAsia="nl-NL" w:bidi="ar-SA"/>
              </w:rPr>
            </w:pPr>
            <w:r w:rsidRPr="00B01BEC">
              <w:rPr>
                <w:rFonts w:ascii="Arial" w:eastAsia="Times New Roman" w:hAnsi="Arial" w:cs="Arial"/>
                <w:sz w:val="20"/>
                <w:szCs w:val="20"/>
                <w:lang w:val="nl-NL" w:eastAsia="nl-NL" w:bidi="ar-SA"/>
              </w:rPr>
              <w:t>-6,098396</w:t>
            </w:r>
          </w:p>
        </w:tc>
        <w:tc>
          <w:tcPr>
            <w:tcW w:w="1579" w:type="dxa"/>
            <w:tcBorders>
              <w:top w:val="nil"/>
              <w:left w:val="single" w:sz="4" w:space="0" w:color="auto"/>
              <w:bottom w:val="single" w:sz="4" w:space="0" w:color="auto"/>
              <w:right w:val="single" w:sz="4" w:space="0" w:color="auto"/>
            </w:tcBorders>
            <w:shd w:val="clear" w:color="auto" w:fill="auto"/>
            <w:noWrap/>
            <w:vAlign w:val="bottom"/>
            <w:hideMark/>
          </w:tcPr>
          <w:p w:rsidR="009C16D2" w:rsidRPr="00B01BEC" w:rsidRDefault="009C16D2" w:rsidP="009C16D2">
            <w:pPr>
              <w:spacing w:after="0" w:line="240" w:lineRule="auto"/>
              <w:jc w:val="right"/>
              <w:rPr>
                <w:rFonts w:ascii="Arial" w:eastAsia="Times New Roman" w:hAnsi="Arial" w:cs="Arial"/>
                <w:sz w:val="20"/>
                <w:szCs w:val="20"/>
                <w:lang w:val="nl-NL" w:eastAsia="nl-NL" w:bidi="ar-SA"/>
              </w:rPr>
            </w:pPr>
            <w:r w:rsidRPr="00B01BEC">
              <w:rPr>
                <w:rFonts w:ascii="Arial" w:eastAsia="Times New Roman" w:hAnsi="Arial" w:cs="Arial"/>
                <w:sz w:val="20"/>
                <w:szCs w:val="20"/>
                <w:lang w:val="nl-NL" w:eastAsia="nl-NL" w:bidi="ar-SA"/>
              </w:rPr>
              <w:t>0,644</w:t>
            </w:r>
          </w:p>
        </w:tc>
      </w:tr>
      <w:tr w:rsidR="009C16D2" w:rsidRPr="00B01BEC" w:rsidTr="009C16D2">
        <w:trPr>
          <w:trHeight w:val="268"/>
        </w:trPr>
        <w:tc>
          <w:tcPr>
            <w:tcW w:w="1941" w:type="dxa"/>
            <w:tcBorders>
              <w:top w:val="nil"/>
              <w:left w:val="single" w:sz="4" w:space="0" w:color="auto"/>
              <w:bottom w:val="nil"/>
              <w:right w:val="single" w:sz="4" w:space="0" w:color="auto"/>
            </w:tcBorders>
            <w:shd w:val="clear" w:color="auto" w:fill="auto"/>
            <w:noWrap/>
            <w:vAlign w:val="bottom"/>
            <w:hideMark/>
          </w:tcPr>
          <w:p w:rsidR="009C16D2" w:rsidRPr="00B01BEC" w:rsidRDefault="009C16D2" w:rsidP="009C16D2">
            <w:pPr>
              <w:spacing w:after="0" w:line="240" w:lineRule="auto"/>
              <w:rPr>
                <w:rFonts w:ascii="Arial" w:eastAsia="Times New Roman" w:hAnsi="Arial" w:cs="Arial"/>
                <w:sz w:val="20"/>
                <w:szCs w:val="20"/>
                <w:lang w:val="nl-NL" w:eastAsia="nl-NL" w:bidi="ar-SA"/>
              </w:rPr>
            </w:pPr>
            <w:r w:rsidRPr="00B01BEC">
              <w:rPr>
                <w:rFonts w:ascii="Arial" w:eastAsia="Times New Roman" w:hAnsi="Arial" w:cs="Arial"/>
                <w:sz w:val="20"/>
                <w:szCs w:val="20"/>
                <w:lang w:val="nl-NL" w:eastAsia="nl-NL" w:bidi="ar-SA"/>
              </w:rPr>
              <w:t>CHFUSD</w:t>
            </w:r>
          </w:p>
        </w:tc>
        <w:tc>
          <w:tcPr>
            <w:tcW w:w="1941" w:type="dxa"/>
            <w:tcBorders>
              <w:top w:val="nil"/>
              <w:left w:val="nil"/>
              <w:bottom w:val="nil"/>
              <w:right w:val="nil"/>
            </w:tcBorders>
            <w:shd w:val="clear" w:color="auto" w:fill="auto"/>
            <w:noWrap/>
            <w:vAlign w:val="bottom"/>
            <w:hideMark/>
          </w:tcPr>
          <w:p w:rsidR="009C16D2" w:rsidRPr="00B01BEC" w:rsidRDefault="009C16D2" w:rsidP="009C16D2">
            <w:pPr>
              <w:spacing w:after="0" w:line="240" w:lineRule="auto"/>
              <w:jc w:val="right"/>
              <w:rPr>
                <w:rFonts w:ascii="Arial" w:eastAsia="Times New Roman" w:hAnsi="Arial" w:cs="Arial"/>
                <w:sz w:val="20"/>
                <w:szCs w:val="20"/>
                <w:lang w:val="nl-NL" w:eastAsia="nl-NL" w:bidi="ar-SA"/>
              </w:rPr>
            </w:pPr>
            <w:r w:rsidRPr="00B01BEC">
              <w:rPr>
                <w:rFonts w:ascii="Arial" w:eastAsia="Times New Roman" w:hAnsi="Arial" w:cs="Arial"/>
                <w:sz w:val="20"/>
                <w:szCs w:val="20"/>
                <w:lang w:val="nl-NL" w:eastAsia="nl-NL" w:bidi="ar-SA"/>
              </w:rPr>
              <w:t>-0,513331</w:t>
            </w:r>
          </w:p>
        </w:tc>
        <w:tc>
          <w:tcPr>
            <w:tcW w:w="2073" w:type="dxa"/>
            <w:tcBorders>
              <w:top w:val="nil"/>
              <w:left w:val="single" w:sz="4" w:space="0" w:color="auto"/>
              <w:bottom w:val="nil"/>
              <w:right w:val="single" w:sz="4" w:space="0" w:color="auto"/>
            </w:tcBorders>
            <w:shd w:val="clear" w:color="auto" w:fill="auto"/>
            <w:noWrap/>
            <w:vAlign w:val="bottom"/>
            <w:hideMark/>
          </w:tcPr>
          <w:p w:rsidR="009C16D2" w:rsidRPr="00B01BEC" w:rsidRDefault="009C16D2" w:rsidP="009C16D2">
            <w:pPr>
              <w:spacing w:after="0" w:line="240" w:lineRule="auto"/>
              <w:jc w:val="right"/>
              <w:rPr>
                <w:rFonts w:ascii="Arial" w:eastAsia="Times New Roman" w:hAnsi="Arial" w:cs="Arial"/>
                <w:sz w:val="20"/>
                <w:szCs w:val="20"/>
                <w:lang w:val="nl-NL" w:eastAsia="nl-NL" w:bidi="ar-SA"/>
              </w:rPr>
            </w:pPr>
            <w:r w:rsidRPr="00B01BEC">
              <w:rPr>
                <w:rFonts w:ascii="Arial" w:eastAsia="Times New Roman" w:hAnsi="Arial" w:cs="Arial"/>
                <w:sz w:val="20"/>
                <w:szCs w:val="20"/>
                <w:lang w:val="nl-NL" w:eastAsia="nl-NL" w:bidi="ar-SA"/>
              </w:rPr>
              <w:t>0,9614</w:t>
            </w:r>
          </w:p>
        </w:tc>
        <w:tc>
          <w:tcPr>
            <w:tcW w:w="1875" w:type="dxa"/>
            <w:tcBorders>
              <w:top w:val="nil"/>
              <w:left w:val="nil"/>
              <w:bottom w:val="nil"/>
              <w:right w:val="nil"/>
            </w:tcBorders>
            <w:shd w:val="clear" w:color="auto" w:fill="auto"/>
            <w:noWrap/>
            <w:vAlign w:val="bottom"/>
            <w:hideMark/>
          </w:tcPr>
          <w:p w:rsidR="009C16D2" w:rsidRPr="00B01BEC" w:rsidRDefault="009C16D2" w:rsidP="009C16D2">
            <w:pPr>
              <w:spacing w:after="0" w:line="240" w:lineRule="auto"/>
              <w:jc w:val="right"/>
              <w:rPr>
                <w:rFonts w:ascii="Arial" w:eastAsia="Times New Roman" w:hAnsi="Arial" w:cs="Arial"/>
                <w:sz w:val="20"/>
                <w:szCs w:val="20"/>
                <w:lang w:val="nl-NL" w:eastAsia="nl-NL" w:bidi="ar-SA"/>
              </w:rPr>
            </w:pPr>
            <w:r w:rsidRPr="00B01BEC">
              <w:rPr>
                <w:rFonts w:ascii="Arial" w:eastAsia="Times New Roman" w:hAnsi="Arial" w:cs="Arial"/>
                <w:sz w:val="20"/>
                <w:szCs w:val="20"/>
                <w:lang w:val="nl-NL" w:eastAsia="nl-NL" w:bidi="ar-SA"/>
              </w:rPr>
              <w:t>-1,404388</w:t>
            </w:r>
          </w:p>
        </w:tc>
        <w:tc>
          <w:tcPr>
            <w:tcW w:w="1579" w:type="dxa"/>
            <w:tcBorders>
              <w:top w:val="nil"/>
              <w:left w:val="single" w:sz="4" w:space="0" w:color="auto"/>
              <w:bottom w:val="nil"/>
              <w:right w:val="single" w:sz="4" w:space="0" w:color="auto"/>
            </w:tcBorders>
            <w:shd w:val="clear" w:color="auto" w:fill="auto"/>
            <w:noWrap/>
            <w:vAlign w:val="bottom"/>
            <w:hideMark/>
          </w:tcPr>
          <w:p w:rsidR="009C16D2" w:rsidRPr="00B01BEC" w:rsidRDefault="009C16D2" w:rsidP="009C16D2">
            <w:pPr>
              <w:spacing w:after="0" w:line="240" w:lineRule="auto"/>
              <w:jc w:val="right"/>
              <w:rPr>
                <w:rFonts w:ascii="Arial" w:eastAsia="Times New Roman" w:hAnsi="Arial" w:cs="Arial"/>
                <w:sz w:val="20"/>
                <w:szCs w:val="20"/>
                <w:lang w:val="nl-NL" w:eastAsia="nl-NL" w:bidi="ar-SA"/>
              </w:rPr>
            </w:pPr>
            <w:r w:rsidRPr="00B01BEC">
              <w:rPr>
                <w:rFonts w:ascii="Arial" w:eastAsia="Times New Roman" w:hAnsi="Arial" w:cs="Arial"/>
                <w:sz w:val="20"/>
                <w:szCs w:val="20"/>
                <w:lang w:val="nl-NL" w:eastAsia="nl-NL" w:bidi="ar-SA"/>
              </w:rPr>
              <w:t>0,9546</w:t>
            </w:r>
          </w:p>
        </w:tc>
      </w:tr>
      <w:tr w:rsidR="009C16D2" w:rsidRPr="00B01BEC" w:rsidTr="009C16D2">
        <w:trPr>
          <w:trHeight w:val="268"/>
        </w:trPr>
        <w:tc>
          <w:tcPr>
            <w:tcW w:w="1941" w:type="dxa"/>
            <w:tcBorders>
              <w:top w:val="nil"/>
              <w:left w:val="single" w:sz="4" w:space="0" w:color="auto"/>
              <w:bottom w:val="single" w:sz="4" w:space="0" w:color="auto"/>
              <w:right w:val="single" w:sz="4" w:space="0" w:color="auto"/>
            </w:tcBorders>
            <w:shd w:val="clear" w:color="auto" w:fill="auto"/>
            <w:noWrap/>
            <w:vAlign w:val="bottom"/>
            <w:hideMark/>
          </w:tcPr>
          <w:p w:rsidR="009C16D2" w:rsidRPr="00B01BEC" w:rsidRDefault="009C16D2" w:rsidP="009C16D2">
            <w:pPr>
              <w:spacing w:after="0" w:line="240" w:lineRule="auto"/>
              <w:rPr>
                <w:rFonts w:ascii="Arial" w:eastAsia="Times New Roman" w:hAnsi="Arial" w:cs="Arial"/>
                <w:sz w:val="20"/>
                <w:szCs w:val="20"/>
                <w:lang w:val="nl-NL" w:eastAsia="nl-NL" w:bidi="ar-SA"/>
              </w:rPr>
            </w:pPr>
            <w:r w:rsidRPr="00B01BEC">
              <w:rPr>
                <w:rFonts w:ascii="Arial" w:eastAsia="Times New Roman" w:hAnsi="Arial" w:cs="Arial"/>
                <w:sz w:val="20"/>
                <w:szCs w:val="20"/>
                <w:lang w:val="nl-NL" w:eastAsia="nl-NL" w:bidi="ar-SA"/>
              </w:rPr>
              <w:t>USHC</w:t>
            </w:r>
          </w:p>
        </w:tc>
        <w:tc>
          <w:tcPr>
            <w:tcW w:w="1941" w:type="dxa"/>
            <w:tcBorders>
              <w:top w:val="nil"/>
              <w:left w:val="nil"/>
              <w:bottom w:val="single" w:sz="4" w:space="0" w:color="auto"/>
              <w:right w:val="nil"/>
            </w:tcBorders>
            <w:shd w:val="clear" w:color="auto" w:fill="auto"/>
            <w:noWrap/>
            <w:vAlign w:val="bottom"/>
            <w:hideMark/>
          </w:tcPr>
          <w:p w:rsidR="009C16D2" w:rsidRPr="00B01BEC" w:rsidRDefault="009C16D2" w:rsidP="009C16D2">
            <w:pPr>
              <w:spacing w:after="0" w:line="240" w:lineRule="auto"/>
              <w:jc w:val="right"/>
              <w:rPr>
                <w:rFonts w:ascii="Arial" w:eastAsia="Times New Roman" w:hAnsi="Arial" w:cs="Arial"/>
                <w:sz w:val="20"/>
                <w:szCs w:val="20"/>
                <w:lang w:val="nl-NL" w:eastAsia="nl-NL" w:bidi="ar-SA"/>
              </w:rPr>
            </w:pPr>
            <w:r w:rsidRPr="00B01BEC">
              <w:rPr>
                <w:rFonts w:ascii="Arial" w:eastAsia="Times New Roman" w:hAnsi="Arial" w:cs="Arial"/>
                <w:sz w:val="20"/>
                <w:szCs w:val="20"/>
                <w:lang w:val="nl-NL" w:eastAsia="nl-NL" w:bidi="ar-SA"/>
              </w:rPr>
              <w:t>-2,979315</w:t>
            </w:r>
          </w:p>
        </w:tc>
        <w:tc>
          <w:tcPr>
            <w:tcW w:w="2073" w:type="dxa"/>
            <w:tcBorders>
              <w:top w:val="nil"/>
              <w:left w:val="single" w:sz="4" w:space="0" w:color="auto"/>
              <w:bottom w:val="single" w:sz="4" w:space="0" w:color="auto"/>
              <w:right w:val="single" w:sz="4" w:space="0" w:color="auto"/>
            </w:tcBorders>
            <w:shd w:val="clear" w:color="auto" w:fill="auto"/>
            <w:noWrap/>
            <w:vAlign w:val="bottom"/>
            <w:hideMark/>
          </w:tcPr>
          <w:p w:rsidR="009C16D2" w:rsidRPr="00B01BEC" w:rsidRDefault="009C16D2" w:rsidP="009C16D2">
            <w:pPr>
              <w:spacing w:after="0" w:line="240" w:lineRule="auto"/>
              <w:jc w:val="right"/>
              <w:rPr>
                <w:rFonts w:ascii="Arial" w:eastAsia="Times New Roman" w:hAnsi="Arial" w:cs="Arial"/>
                <w:sz w:val="20"/>
                <w:szCs w:val="20"/>
                <w:lang w:val="nl-NL" w:eastAsia="nl-NL" w:bidi="ar-SA"/>
              </w:rPr>
            </w:pPr>
            <w:r w:rsidRPr="00B01BEC">
              <w:rPr>
                <w:rFonts w:ascii="Arial" w:eastAsia="Times New Roman" w:hAnsi="Arial" w:cs="Arial"/>
                <w:sz w:val="20"/>
                <w:szCs w:val="20"/>
                <w:lang w:val="nl-NL" w:eastAsia="nl-NL" w:bidi="ar-SA"/>
              </w:rPr>
              <w:t>0,1156</w:t>
            </w:r>
          </w:p>
        </w:tc>
        <w:tc>
          <w:tcPr>
            <w:tcW w:w="1875" w:type="dxa"/>
            <w:tcBorders>
              <w:top w:val="nil"/>
              <w:left w:val="nil"/>
              <w:bottom w:val="single" w:sz="4" w:space="0" w:color="auto"/>
              <w:right w:val="nil"/>
            </w:tcBorders>
            <w:shd w:val="clear" w:color="auto" w:fill="auto"/>
            <w:noWrap/>
            <w:vAlign w:val="bottom"/>
            <w:hideMark/>
          </w:tcPr>
          <w:p w:rsidR="009C16D2" w:rsidRPr="00B01BEC" w:rsidRDefault="009C16D2" w:rsidP="009C16D2">
            <w:pPr>
              <w:spacing w:after="0" w:line="240" w:lineRule="auto"/>
              <w:jc w:val="right"/>
              <w:rPr>
                <w:rFonts w:ascii="Arial" w:eastAsia="Times New Roman" w:hAnsi="Arial" w:cs="Arial"/>
                <w:sz w:val="20"/>
                <w:szCs w:val="20"/>
                <w:lang w:val="nl-NL" w:eastAsia="nl-NL" w:bidi="ar-SA"/>
              </w:rPr>
            </w:pPr>
            <w:r w:rsidRPr="00B01BEC">
              <w:rPr>
                <w:rFonts w:ascii="Arial" w:eastAsia="Times New Roman" w:hAnsi="Arial" w:cs="Arial"/>
                <w:sz w:val="20"/>
                <w:szCs w:val="20"/>
                <w:lang w:val="nl-NL" w:eastAsia="nl-NL" w:bidi="ar-SA"/>
              </w:rPr>
              <w:t>-17,72957</w:t>
            </w:r>
          </w:p>
        </w:tc>
        <w:tc>
          <w:tcPr>
            <w:tcW w:w="1579" w:type="dxa"/>
            <w:tcBorders>
              <w:top w:val="nil"/>
              <w:left w:val="single" w:sz="4" w:space="0" w:color="auto"/>
              <w:bottom w:val="single" w:sz="4" w:space="0" w:color="auto"/>
              <w:right w:val="single" w:sz="4" w:space="0" w:color="auto"/>
            </w:tcBorders>
            <w:shd w:val="clear" w:color="auto" w:fill="auto"/>
            <w:noWrap/>
            <w:vAlign w:val="bottom"/>
            <w:hideMark/>
          </w:tcPr>
          <w:p w:rsidR="009C16D2" w:rsidRPr="00B01BEC" w:rsidRDefault="009C16D2" w:rsidP="009C16D2">
            <w:pPr>
              <w:spacing w:after="0" w:line="240" w:lineRule="auto"/>
              <w:jc w:val="right"/>
              <w:rPr>
                <w:rFonts w:ascii="Arial" w:eastAsia="Times New Roman" w:hAnsi="Arial" w:cs="Arial"/>
                <w:sz w:val="20"/>
                <w:szCs w:val="20"/>
                <w:lang w:val="nl-NL" w:eastAsia="nl-NL" w:bidi="ar-SA"/>
              </w:rPr>
            </w:pPr>
            <w:r w:rsidRPr="00B01BEC">
              <w:rPr>
                <w:rFonts w:ascii="Arial" w:eastAsia="Times New Roman" w:hAnsi="Arial" w:cs="Arial"/>
                <w:sz w:val="20"/>
                <w:szCs w:val="20"/>
                <w:lang w:val="nl-NL" w:eastAsia="nl-NL" w:bidi="ar-SA"/>
              </w:rPr>
              <w:t>0,0885</w:t>
            </w:r>
          </w:p>
        </w:tc>
      </w:tr>
      <w:tr w:rsidR="009C16D2" w:rsidRPr="00B01BEC" w:rsidTr="009C16D2">
        <w:trPr>
          <w:trHeight w:val="268"/>
        </w:trPr>
        <w:tc>
          <w:tcPr>
            <w:tcW w:w="1941" w:type="dxa"/>
            <w:tcBorders>
              <w:top w:val="nil"/>
              <w:left w:val="single" w:sz="4" w:space="0" w:color="auto"/>
              <w:bottom w:val="nil"/>
              <w:right w:val="single" w:sz="4" w:space="0" w:color="auto"/>
            </w:tcBorders>
            <w:shd w:val="clear" w:color="auto" w:fill="auto"/>
            <w:noWrap/>
            <w:vAlign w:val="bottom"/>
            <w:hideMark/>
          </w:tcPr>
          <w:p w:rsidR="009C16D2" w:rsidRPr="00B01BEC" w:rsidRDefault="009C16D2" w:rsidP="009C16D2">
            <w:pPr>
              <w:spacing w:after="0" w:line="240" w:lineRule="auto"/>
              <w:rPr>
                <w:rFonts w:ascii="Arial" w:eastAsia="Times New Roman" w:hAnsi="Arial" w:cs="Arial"/>
                <w:sz w:val="20"/>
                <w:szCs w:val="20"/>
                <w:lang w:val="nl-NL" w:eastAsia="nl-NL" w:bidi="ar-SA"/>
              </w:rPr>
            </w:pPr>
            <w:r w:rsidRPr="00B01BEC">
              <w:rPr>
                <w:rFonts w:ascii="Arial" w:eastAsia="Times New Roman" w:hAnsi="Arial" w:cs="Arial"/>
                <w:sz w:val="20"/>
                <w:szCs w:val="20"/>
                <w:lang w:val="nl-NL" w:eastAsia="nl-NL" w:bidi="ar-SA"/>
              </w:rPr>
              <w:t>CHFUSD</w:t>
            </w:r>
          </w:p>
        </w:tc>
        <w:tc>
          <w:tcPr>
            <w:tcW w:w="1941" w:type="dxa"/>
            <w:tcBorders>
              <w:top w:val="nil"/>
              <w:left w:val="nil"/>
              <w:bottom w:val="nil"/>
              <w:right w:val="nil"/>
            </w:tcBorders>
            <w:shd w:val="clear" w:color="auto" w:fill="auto"/>
            <w:noWrap/>
            <w:vAlign w:val="bottom"/>
            <w:hideMark/>
          </w:tcPr>
          <w:p w:rsidR="009C16D2" w:rsidRPr="00B01BEC" w:rsidRDefault="009C16D2" w:rsidP="009C16D2">
            <w:pPr>
              <w:spacing w:after="0" w:line="240" w:lineRule="auto"/>
              <w:jc w:val="right"/>
              <w:rPr>
                <w:rFonts w:ascii="Arial" w:eastAsia="Times New Roman" w:hAnsi="Arial" w:cs="Arial"/>
                <w:sz w:val="20"/>
                <w:szCs w:val="20"/>
                <w:lang w:val="nl-NL" w:eastAsia="nl-NL" w:bidi="ar-SA"/>
              </w:rPr>
            </w:pPr>
            <w:r w:rsidRPr="00B01BEC">
              <w:rPr>
                <w:rFonts w:ascii="Arial" w:eastAsia="Times New Roman" w:hAnsi="Arial" w:cs="Arial"/>
                <w:sz w:val="20"/>
                <w:szCs w:val="20"/>
                <w:lang w:val="nl-NL" w:eastAsia="nl-NL" w:bidi="ar-SA"/>
              </w:rPr>
              <w:t>-0,307498</w:t>
            </w:r>
          </w:p>
        </w:tc>
        <w:tc>
          <w:tcPr>
            <w:tcW w:w="2073" w:type="dxa"/>
            <w:tcBorders>
              <w:top w:val="nil"/>
              <w:left w:val="single" w:sz="4" w:space="0" w:color="auto"/>
              <w:bottom w:val="nil"/>
              <w:right w:val="single" w:sz="4" w:space="0" w:color="auto"/>
            </w:tcBorders>
            <w:shd w:val="clear" w:color="auto" w:fill="auto"/>
            <w:noWrap/>
            <w:vAlign w:val="bottom"/>
            <w:hideMark/>
          </w:tcPr>
          <w:p w:rsidR="009C16D2" w:rsidRPr="00B01BEC" w:rsidRDefault="009C16D2" w:rsidP="009C16D2">
            <w:pPr>
              <w:spacing w:after="0" w:line="240" w:lineRule="auto"/>
              <w:jc w:val="right"/>
              <w:rPr>
                <w:rFonts w:ascii="Arial" w:eastAsia="Times New Roman" w:hAnsi="Arial" w:cs="Arial"/>
                <w:sz w:val="20"/>
                <w:szCs w:val="20"/>
                <w:lang w:val="nl-NL" w:eastAsia="nl-NL" w:bidi="ar-SA"/>
              </w:rPr>
            </w:pPr>
            <w:r w:rsidRPr="00B01BEC">
              <w:rPr>
                <w:rFonts w:ascii="Arial" w:eastAsia="Times New Roman" w:hAnsi="Arial" w:cs="Arial"/>
                <w:sz w:val="20"/>
                <w:szCs w:val="20"/>
                <w:lang w:val="nl-NL" w:eastAsia="nl-NL" w:bidi="ar-SA"/>
              </w:rPr>
              <w:t>0,9749</w:t>
            </w:r>
          </w:p>
        </w:tc>
        <w:tc>
          <w:tcPr>
            <w:tcW w:w="1875" w:type="dxa"/>
            <w:tcBorders>
              <w:top w:val="nil"/>
              <w:left w:val="nil"/>
              <w:bottom w:val="nil"/>
              <w:right w:val="nil"/>
            </w:tcBorders>
            <w:shd w:val="clear" w:color="auto" w:fill="auto"/>
            <w:noWrap/>
            <w:vAlign w:val="bottom"/>
            <w:hideMark/>
          </w:tcPr>
          <w:p w:rsidR="009C16D2" w:rsidRPr="00B01BEC" w:rsidRDefault="009C16D2" w:rsidP="009C16D2">
            <w:pPr>
              <w:spacing w:after="0" w:line="240" w:lineRule="auto"/>
              <w:jc w:val="right"/>
              <w:rPr>
                <w:rFonts w:ascii="Arial" w:eastAsia="Times New Roman" w:hAnsi="Arial" w:cs="Arial"/>
                <w:sz w:val="20"/>
                <w:szCs w:val="20"/>
                <w:lang w:val="nl-NL" w:eastAsia="nl-NL" w:bidi="ar-SA"/>
              </w:rPr>
            </w:pPr>
            <w:r w:rsidRPr="00B01BEC">
              <w:rPr>
                <w:rFonts w:ascii="Arial" w:eastAsia="Times New Roman" w:hAnsi="Arial" w:cs="Arial"/>
                <w:sz w:val="20"/>
                <w:szCs w:val="20"/>
                <w:lang w:val="nl-NL" w:eastAsia="nl-NL" w:bidi="ar-SA"/>
              </w:rPr>
              <w:t>-0,757235</w:t>
            </w:r>
          </w:p>
        </w:tc>
        <w:tc>
          <w:tcPr>
            <w:tcW w:w="1579" w:type="dxa"/>
            <w:tcBorders>
              <w:top w:val="nil"/>
              <w:left w:val="single" w:sz="4" w:space="0" w:color="auto"/>
              <w:bottom w:val="nil"/>
              <w:right w:val="single" w:sz="4" w:space="0" w:color="auto"/>
            </w:tcBorders>
            <w:shd w:val="clear" w:color="auto" w:fill="auto"/>
            <w:noWrap/>
            <w:vAlign w:val="bottom"/>
            <w:hideMark/>
          </w:tcPr>
          <w:p w:rsidR="009C16D2" w:rsidRPr="00B01BEC" w:rsidRDefault="009C16D2" w:rsidP="009C16D2">
            <w:pPr>
              <w:spacing w:after="0" w:line="240" w:lineRule="auto"/>
              <w:jc w:val="right"/>
              <w:rPr>
                <w:rFonts w:ascii="Arial" w:eastAsia="Times New Roman" w:hAnsi="Arial" w:cs="Arial"/>
                <w:sz w:val="20"/>
                <w:szCs w:val="20"/>
                <w:lang w:val="nl-NL" w:eastAsia="nl-NL" w:bidi="ar-SA"/>
              </w:rPr>
            </w:pPr>
            <w:r w:rsidRPr="00B01BEC">
              <w:rPr>
                <w:rFonts w:ascii="Arial" w:eastAsia="Times New Roman" w:hAnsi="Arial" w:cs="Arial"/>
                <w:sz w:val="20"/>
                <w:szCs w:val="20"/>
                <w:lang w:val="nl-NL" w:eastAsia="nl-NL" w:bidi="ar-SA"/>
              </w:rPr>
              <w:t>0,9734</w:t>
            </w:r>
          </w:p>
        </w:tc>
      </w:tr>
      <w:tr w:rsidR="009C16D2" w:rsidRPr="00B01BEC" w:rsidTr="009C16D2">
        <w:trPr>
          <w:trHeight w:val="268"/>
        </w:trPr>
        <w:tc>
          <w:tcPr>
            <w:tcW w:w="1941" w:type="dxa"/>
            <w:tcBorders>
              <w:top w:val="nil"/>
              <w:left w:val="single" w:sz="4" w:space="0" w:color="auto"/>
              <w:bottom w:val="single" w:sz="4" w:space="0" w:color="auto"/>
              <w:right w:val="single" w:sz="4" w:space="0" w:color="auto"/>
            </w:tcBorders>
            <w:shd w:val="clear" w:color="auto" w:fill="auto"/>
            <w:noWrap/>
            <w:vAlign w:val="bottom"/>
            <w:hideMark/>
          </w:tcPr>
          <w:p w:rsidR="009C16D2" w:rsidRPr="00B01BEC" w:rsidRDefault="009C16D2" w:rsidP="009C16D2">
            <w:pPr>
              <w:spacing w:after="0" w:line="240" w:lineRule="auto"/>
              <w:rPr>
                <w:rFonts w:ascii="Arial" w:eastAsia="Times New Roman" w:hAnsi="Arial" w:cs="Arial"/>
                <w:sz w:val="20"/>
                <w:szCs w:val="20"/>
                <w:lang w:val="nl-NL" w:eastAsia="nl-NL" w:bidi="ar-SA"/>
              </w:rPr>
            </w:pPr>
            <w:r w:rsidRPr="00B01BEC">
              <w:rPr>
                <w:rFonts w:ascii="Arial" w:eastAsia="Times New Roman" w:hAnsi="Arial" w:cs="Arial"/>
                <w:sz w:val="20"/>
                <w:szCs w:val="20"/>
                <w:lang w:val="nl-NL" w:eastAsia="nl-NL" w:bidi="ar-SA"/>
              </w:rPr>
              <w:t>USIND</w:t>
            </w:r>
          </w:p>
        </w:tc>
        <w:tc>
          <w:tcPr>
            <w:tcW w:w="1941" w:type="dxa"/>
            <w:tcBorders>
              <w:top w:val="nil"/>
              <w:left w:val="nil"/>
              <w:bottom w:val="single" w:sz="4" w:space="0" w:color="auto"/>
              <w:right w:val="nil"/>
            </w:tcBorders>
            <w:shd w:val="clear" w:color="auto" w:fill="auto"/>
            <w:noWrap/>
            <w:vAlign w:val="bottom"/>
            <w:hideMark/>
          </w:tcPr>
          <w:p w:rsidR="009C16D2" w:rsidRPr="00B01BEC" w:rsidRDefault="009C16D2" w:rsidP="009C16D2">
            <w:pPr>
              <w:spacing w:after="0" w:line="240" w:lineRule="auto"/>
              <w:jc w:val="right"/>
              <w:rPr>
                <w:rFonts w:ascii="Arial" w:eastAsia="Times New Roman" w:hAnsi="Arial" w:cs="Arial"/>
                <w:sz w:val="20"/>
                <w:szCs w:val="20"/>
                <w:lang w:val="nl-NL" w:eastAsia="nl-NL" w:bidi="ar-SA"/>
              </w:rPr>
            </w:pPr>
            <w:r w:rsidRPr="00B01BEC">
              <w:rPr>
                <w:rFonts w:ascii="Arial" w:eastAsia="Times New Roman" w:hAnsi="Arial" w:cs="Arial"/>
                <w:sz w:val="20"/>
                <w:szCs w:val="20"/>
                <w:lang w:val="nl-NL" w:eastAsia="nl-NL" w:bidi="ar-SA"/>
              </w:rPr>
              <w:t>-2,14545</w:t>
            </w:r>
          </w:p>
        </w:tc>
        <w:tc>
          <w:tcPr>
            <w:tcW w:w="2073" w:type="dxa"/>
            <w:tcBorders>
              <w:top w:val="nil"/>
              <w:left w:val="single" w:sz="4" w:space="0" w:color="auto"/>
              <w:bottom w:val="single" w:sz="4" w:space="0" w:color="auto"/>
              <w:right w:val="single" w:sz="4" w:space="0" w:color="auto"/>
            </w:tcBorders>
            <w:shd w:val="clear" w:color="auto" w:fill="auto"/>
            <w:noWrap/>
            <w:vAlign w:val="bottom"/>
            <w:hideMark/>
          </w:tcPr>
          <w:p w:rsidR="009C16D2" w:rsidRPr="00B01BEC" w:rsidRDefault="009C16D2" w:rsidP="009C16D2">
            <w:pPr>
              <w:spacing w:after="0" w:line="240" w:lineRule="auto"/>
              <w:jc w:val="right"/>
              <w:rPr>
                <w:rFonts w:ascii="Arial" w:eastAsia="Times New Roman" w:hAnsi="Arial" w:cs="Arial"/>
                <w:sz w:val="20"/>
                <w:szCs w:val="20"/>
                <w:lang w:val="nl-NL" w:eastAsia="nl-NL" w:bidi="ar-SA"/>
              </w:rPr>
            </w:pPr>
            <w:r w:rsidRPr="00B01BEC">
              <w:rPr>
                <w:rFonts w:ascii="Arial" w:eastAsia="Times New Roman" w:hAnsi="Arial" w:cs="Arial"/>
                <w:sz w:val="20"/>
                <w:szCs w:val="20"/>
                <w:lang w:val="nl-NL" w:eastAsia="nl-NL" w:bidi="ar-SA"/>
              </w:rPr>
              <w:t>0,4519</w:t>
            </w:r>
          </w:p>
        </w:tc>
        <w:tc>
          <w:tcPr>
            <w:tcW w:w="1875" w:type="dxa"/>
            <w:tcBorders>
              <w:top w:val="nil"/>
              <w:left w:val="nil"/>
              <w:bottom w:val="single" w:sz="4" w:space="0" w:color="auto"/>
              <w:right w:val="nil"/>
            </w:tcBorders>
            <w:shd w:val="clear" w:color="auto" w:fill="auto"/>
            <w:noWrap/>
            <w:vAlign w:val="bottom"/>
            <w:hideMark/>
          </w:tcPr>
          <w:p w:rsidR="009C16D2" w:rsidRPr="00B01BEC" w:rsidRDefault="009C16D2" w:rsidP="009C16D2">
            <w:pPr>
              <w:spacing w:after="0" w:line="240" w:lineRule="auto"/>
              <w:jc w:val="right"/>
              <w:rPr>
                <w:rFonts w:ascii="Arial" w:eastAsia="Times New Roman" w:hAnsi="Arial" w:cs="Arial"/>
                <w:sz w:val="20"/>
                <w:szCs w:val="20"/>
                <w:lang w:val="nl-NL" w:eastAsia="nl-NL" w:bidi="ar-SA"/>
              </w:rPr>
            </w:pPr>
            <w:r w:rsidRPr="00B01BEC">
              <w:rPr>
                <w:rFonts w:ascii="Arial" w:eastAsia="Times New Roman" w:hAnsi="Arial" w:cs="Arial"/>
                <w:sz w:val="20"/>
                <w:szCs w:val="20"/>
                <w:lang w:val="nl-NL" w:eastAsia="nl-NL" w:bidi="ar-SA"/>
              </w:rPr>
              <w:t>-9,397526</w:t>
            </w:r>
          </w:p>
        </w:tc>
        <w:tc>
          <w:tcPr>
            <w:tcW w:w="1579" w:type="dxa"/>
            <w:tcBorders>
              <w:top w:val="nil"/>
              <w:left w:val="single" w:sz="4" w:space="0" w:color="auto"/>
              <w:bottom w:val="single" w:sz="4" w:space="0" w:color="auto"/>
              <w:right w:val="single" w:sz="4" w:space="0" w:color="auto"/>
            </w:tcBorders>
            <w:shd w:val="clear" w:color="auto" w:fill="auto"/>
            <w:noWrap/>
            <w:vAlign w:val="bottom"/>
            <w:hideMark/>
          </w:tcPr>
          <w:p w:rsidR="009C16D2" w:rsidRPr="00B01BEC" w:rsidRDefault="009C16D2" w:rsidP="009C16D2">
            <w:pPr>
              <w:spacing w:after="0" w:line="240" w:lineRule="auto"/>
              <w:jc w:val="right"/>
              <w:rPr>
                <w:rFonts w:ascii="Arial" w:eastAsia="Times New Roman" w:hAnsi="Arial" w:cs="Arial"/>
                <w:sz w:val="20"/>
                <w:szCs w:val="20"/>
                <w:lang w:val="nl-NL" w:eastAsia="nl-NL" w:bidi="ar-SA"/>
              </w:rPr>
            </w:pPr>
            <w:r w:rsidRPr="00B01BEC">
              <w:rPr>
                <w:rFonts w:ascii="Arial" w:eastAsia="Times New Roman" w:hAnsi="Arial" w:cs="Arial"/>
                <w:sz w:val="20"/>
                <w:szCs w:val="20"/>
                <w:lang w:val="nl-NL" w:eastAsia="nl-NL" w:bidi="ar-SA"/>
              </w:rPr>
              <w:t>0,4011</w:t>
            </w:r>
          </w:p>
        </w:tc>
      </w:tr>
      <w:tr w:rsidR="009C16D2" w:rsidRPr="00B01BEC" w:rsidTr="009C16D2">
        <w:trPr>
          <w:trHeight w:val="268"/>
        </w:trPr>
        <w:tc>
          <w:tcPr>
            <w:tcW w:w="1941" w:type="dxa"/>
            <w:tcBorders>
              <w:top w:val="nil"/>
              <w:left w:val="single" w:sz="4" w:space="0" w:color="auto"/>
              <w:bottom w:val="nil"/>
              <w:right w:val="single" w:sz="4" w:space="0" w:color="auto"/>
            </w:tcBorders>
            <w:shd w:val="clear" w:color="auto" w:fill="auto"/>
            <w:noWrap/>
            <w:vAlign w:val="bottom"/>
            <w:hideMark/>
          </w:tcPr>
          <w:p w:rsidR="009C16D2" w:rsidRPr="00B01BEC" w:rsidRDefault="009C16D2" w:rsidP="009C16D2">
            <w:pPr>
              <w:spacing w:after="0" w:line="240" w:lineRule="auto"/>
              <w:rPr>
                <w:rFonts w:ascii="Arial" w:eastAsia="Times New Roman" w:hAnsi="Arial" w:cs="Arial"/>
                <w:sz w:val="20"/>
                <w:szCs w:val="20"/>
                <w:lang w:val="nl-NL" w:eastAsia="nl-NL" w:bidi="ar-SA"/>
              </w:rPr>
            </w:pPr>
            <w:r w:rsidRPr="00B01BEC">
              <w:rPr>
                <w:rFonts w:ascii="Arial" w:eastAsia="Times New Roman" w:hAnsi="Arial" w:cs="Arial"/>
                <w:sz w:val="20"/>
                <w:szCs w:val="20"/>
                <w:lang w:val="nl-NL" w:eastAsia="nl-NL" w:bidi="ar-SA"/>
              </w:rPr>
              <w:t>CHFUSD</w:t>
            </w:r>
          </w:p>
        </w:tc>
        <w:tc>
          <w:tcPr>
            <w:tcW w:w="1941" w:type="dxa"/>
            <w:tcBorders>
              <w:top w:val="nil"/>
              <w:left w:val="nil"/>
              <w:bottom w:val="nil"/>
              <w:right w:val="nil"/>
            </w:tcBorders>
            <w:shd w:val="clear" w:color="auto" w:fill="auto"/>
            <w:noWrap/>
            <w:vAlign w:val="bottom"/>
            <w:hideMark/>
          </w:tcPr>
          <w:p w:rsidR="009C16D2" w:rsidRPr="00B01BEC" w:rsidRDefault="009C16D2" w:rsidP="009C16D2">
            <w:pPr>
              <w:spacing w:after="0" w:line="240" w:lineRule="auto"/>
              <w:jc w:val="right"/>
              <w:rPr>
                <w:rFonts w:ascii="Arial" w:eastAsia="Times New Roman" w:hAnsi="Arial" w:cs="Arial"/>
                <w:sz w:val="20"/>
                <w:szCs w:val="20"/>
                <w:lang w:val="nl-NL" w:eastAsia="nl-NL" w:bidi="ar-SA"/>
              </w:rPr>
            </w:pPr>
            <w:r w:rsidRPr="00B01BEC">
              <w:rPr>
                <w:rFonts w:ascii="Arial" w:eastAsia="Times New Roman" w:hAnsi="Arial" w:cs="Arial"/>
                <w:sz w:val="20"/>
                <w:szCs w:val="20"/>
                <w:lang w:val="nl-NL" w:eastAsia="nl-NL" w:bidi="ar-SA"/>
              </w:rPr>
              <w:t>-1,67374</w:t>
            </w:r>
          </w:p>
        </w:tc>
        <w:tc>
          <w:tcPr>
            <w:tcW w:w="2073" w:type="dxa"/>
            <w:tcBorders>
              <w:top w:val="nil"/>
              <w:left w:val="single" w:sz="4" w:space="0" w:color="auto"/>
              <w:bottom w:val="nil"/>
              <w:right w:val="single" w:sz="4" w:space="0" w:color="auto"/>
            </w:tcBorders>
            <w:shd w:val="clear" w:color="auto" w:fill="auto"/>
            <w:noWrap/>
            <w:vAlign w:val="bottom"/>
            <w:hideMark/>
          </w:tcPr>
          <w:p w:rsidR="009C16D2" w:rsidRPr="00B01BEC" w:rsidRDefault="009C16D2" w:rsidP="009C16D2">
            <w:pPr>
              <w:spacing w:after="0" w:line="240" w:lineRule="auto"/>
              <w:jc w:val="right"/>
              <w:rPr>
                <w:rFonts w:ascii="Arial" w:eastAsia="Times New Roman" w:hAnsi="Arial" w:cs="Arial"/>
                <w:sz w:val="20"/>
                <w:szCs w:val="20"/>
                <w:lang w:val="nl-NL" w:eastAsia="nl-NL" w:bidi="ar-SA"/>
              </w:rPr>
            </w:pPr>
            <w:r w:rsidRPr="00B01BEC">
              <w:rPr>
                <w:rFonts w:ascii="Arial" w:eastAsia="Times New Roman" w:hAnsi="Arial" w:cs="Arial"/>
                <w:sz w:val="20"/>
                <w:szCs w:val="20"/>
                <w:lang w:val="nl-NL" w:eastAsia="nl-NL" w:bidi="ar-SA"/>
              </w:rPr>
              <w:t>0,6903</w:t>
            </w:r>
          </w:p>
        </w:tc>
        <w:tc>
          <w:tcPr>
            <w:tcW w:w="1875" w:type="dxa"/>
            <w:tcBorders>
              <w:top w:val="nil"/>
              <w:left w:val="nil"/>
              <w:bottom w:val="nil"/>
              <w:right w:val="nil"/>
            </w:tcBorders>
            <w:shd w:val="clear" w:color="auto" w:fill="auto"/>
            <w:noWrap/>
            <w:vAlign w:val="bottom"/>
            <w:hideMark/>
          </w:tcPr>
          <w:p w:rsidR="009C16D2" w:rsidRPr="00B01BEC" w:rsidRDefault="009C16D2" w:rsidP="009C16D2">
            <w:pPr>
              <w:spacing w:after="0" w:line="240" w:lineRule="auto"/>
              <w:jc w:val="right"/>
              <w:rPr>
                <w:rFonts w:ascii="Arial" w:eastAsia="Times New Roman" w:hAnsi="Arial" w:cs="Arial"/>
                <w:sz w:val="20"/>
                <w:szCs w:val="20"/>
                <w:lang w:val="nl-NL" w:eastAsia="nl-NL" w:bidi="ar-SA"/>
              </w:rPr>
            </w:pPr>
            <w:r w:rsidRPr="00B01BEC">
              <w:rPr>
                <w:rFonts w:ascii="Arial" w:eastAsia="Times New Roman" w:hAnsi="Arial" w:cs="Arial"/>
                <w:sz w:val="20"/>
                <w:szCs w:val="20"/>
                <w:lang w:val="nl-NL" w:eastAsia="nl-NL" w:bidi="ar-SA"/>
              </w:rPr>
              <w:t>-6,74458</w:t>
            </w:r>
          </w:p>
        </w:tc>
        <w:tc>
          <w:tcPr>
            <w:tcW w:w="1579" w:type="dxa"/>
            <w:tcBorders>
              <w:top w:val="nil"/>
              <w:left w:val="single" w:sz="4" w:space="0" w:color="auto"/>
              <w:bottom w:val="nil"/>
              <w:right w:val="single" w:sz="4" w:space="0" w:color="auto"/>
            </w:tcBorders>
            <w:shd w:val="clear" w:color="auto" w:fill="auto"/>
            <w:noWrap/>
            <w:vAlign w:val="bottom"/>
            <w:hideMark/>
          </w:tcPr>
          <w:p w:rsidR="009C16D2" w:rsidRPr="00B01BEC" w:rsidRDefault="009C16D2" w:rsidP="009C16D2">
            <w:pPr>
              <w:spacing w:after="0" w:line="240" w:lineRule="auto"/>
              <w:jc w:val="right"/>
              <w:rPr>
                <w:rFonts w:ascii="Arial" w:eastAsia="Times New Roman" w:hAnsi="Arial" w:cs="Arial"/>
                <w:sz w:val="20"/>
                <w:szCs w:val="20"/>
                <w:lang w:val="nl-NL" w:eastAsia="nl-NL" w:bidi="ar-SA"/>
              </w:rPr>
            </w:pPr>
            <w:r w:rsidRPr="00B01BEC">
              <w:rPr>
                <w:rFonts w:ascii="Arial" w:eastAsia="Times New Roman" w:hAnsi="Arial" w:cs="Arial"/>
                <w:sz w:val="20"/>
                <w:szCs w:val="20"/>
                <w:lang w:val="nl-NL" w:eastAsia="nl-NL" w:bidi="ar-SA"/>
              </w:rPr>
              <w:t>0,5924</w:t>
            </w:r>
          </w:p>
        </w:tc>
      </w:tr>
      <w:tr w:rsidR="009C16D2" w:rsidRPr="00B01BEC" w:rsidTr="009C16D2">
        <w:trPr>
          <w:trHeight w:val="268"/>
        </w:trPr>
        <w:tc>
          <w:tcPr>
            <w:tcW w:w="1941" w:type="dxa"/>
            <w:tcBorders>
              <w:top w:val="nil"/>
              <w:left w:val="single" w:sz="4" w:space="0" w:color="auto"/>
              <w:bottom w:val="single" w:sz="4" w:space="0" w:color="auto"/>
              <w:right w:val="single" w:sz="4" w:space="0" w:color="auto"/>
            </w:tcBorders>
            <w:shd w:val="clear" w:color="auto" w:fill="auto"/>
            <w:noWrap/>
            <w:vAlign w:val="bottom"/>
            <w:hideMark/>
          </w:tcPr>
          <w:p w:rsidR="009C16D2" w:rsidRPr="00B01BEC" w:rsidRDefault="009C16D2" w:rsidP="009C16D2">
            <w:pPr>
              <w:spacing w:after="0" w:line="240" w:lineRule="auto"/>
              <w:rPr>
                <w:rFonts w:ascii="Arial" w:eastAsia="Times New Roman" w:hAnsi="Arial" w:cs="Arial"/>
                <w:sz w:val="20"/>
                <w:szCs w:val="20"/>
                <w:lang w:val="nl-NL" w:eastAsia="nl-NL" w:bidi="ar-SA"/>
              </w:rPr>
            </w:pPr>
            <w:r w:rsidRPr="00B01BEC">
              <w:rPr>
                <w:rFonts w:ascii="Arial" w:eastAsia="Times New Roman" w:hAnsi="Arial" w:cs="Arial"/>
                <w:sz w:val="20"/>
                <w:szCs w:val="20"/>
                <w:lang w:val="nl-NL" w:eastAsia="nl-NL" w:bidi="ar-SA"/>
              </w:rPr>
              <w:t>USOIG</w:t>
            </w:r>
          </w:p>
        </w:tc>
        <w:tc>
          <w:tcPr>
            <w:tcW w:w="1941" w:type="dxa"/>
            <w:tcBorders>
              <w:top w:val="nil"/>
              <w:left w:val="nil"/>
              <w:bottom w:val="single" w:sz="4" w:space="0" w:color="auto"/>
              <w:right w:val="nil"/>
            </w:tcBorders>
            <w:shd w:val="clear" w:color="auto" w:fill="auto"/>
            <w:noWrap/>
            <w:vAlign w:val="bottom"/>
            <w:hideMark/>
          </w:tcPr>
          <w:p w:rsidR="009C16D2" w:rsidRPr="00B01BEC" w:rsidRDefault="009C16D2" w:rsidP="009C16D2">
            <w:pPr>
              <w:spacing w:after="0" w:line="240" w:lineRule="auto"/>
              <w:jc w:val="right"/>
              <w:rPr>
                <w:rFonts w:ascii="Arial" w:eastAsia="Times New Roman" w:hAnsi="Arial" w:cs="Arial"/>
                <w:sz w:val="20"/>
                <w:szCs w:val="20"/>
                <w:lang w:val="nl-NL" w:eastAsia="nl-NL" w:bidi="ar-SA"/>
              </w:rPr>
            </w:pPr>
            <w:r w:rsidRPr="00B01BEC">
              <w:rPr>
                <w:rFonts w:ascii="Arial" w:eastAsia="Times New Roman" w:hAnsi="Arial" w:cs="Arial"/>
                <w:sz w:val="20"/>
                <w:szCs w:val="20"/>
                <w:lang w:val="nl-NL" w:eastAsia="nl-NL" w:bidi="ar-SA"/>
              </w:rPr>
              <w:t>-2,277339</w:t>
            </w:r>
          </w:p>
        </w:tc>
        <w:tc>
          <w:tcPr>
            <w:tcW w:w="2073" w:type="dxa"/>
            <w:tcBorders>
              <w:top w:val="nil"/>
              <w:left w:val="single" w:sz="4" w:space="0" w:color="auto"/>
              <w:bottom w:val="single" w:sz="4" w:space="0" w:color="auto"/>
              <w:right w:val="single" w:sz="4" w:space="0" w:color="auto"/>
            </w:tcBorders>
            <w:shd w:val="clear" w:color="auto" w:fill="auto"/>
            <w:noWrap/>
            <w:vAlign w:val="bottom"/>
            <w:hideMark/>
          </w:tcPr>
          <w:p w:rsidR="009C16D2" w:rsidRPr="00B01BEC" w:rsidRDefault="009C16D2" w:rsidP="009C16D2">
            <w:pPr>
              <w:spacing w:after="0" w:line="240" w:lineRule="auto"/>
              <w:jc w:val="right"/>
              <w:rPr>
                <w:rFonts w:ascii="Arial" w:eastAsia="Times New Roman" w:hAnsi="Arial" w:cs="Arial"/>
                <w:sz w:val="20"/>
                <w:szCs w:val="20"/>
                <w:lang w:val="nl-NL" w:eastAsia="nl-NL" w:bidi="ar-SA"/>
              </w:rPr>
            </w:pPr>
            <w:r w:rsidRPr="00B01BEC">
              <w:rPr>
                <w:rFonts w:ascii="Arial" w:eastAsia="Times New Roman" w:hAnsi="Arial" w:cs="Arial"/>
                <w:sz w:val="20"/>
                <w:szCs w:val="20"/>
                <w:lang w:val="nl-NL" w:eastAsia="nl-NL" w:bidi="ar-SA"/>
              </w:rPr>
              <w:t>0,3844</w:t>
            </w:r>
          </w:p>
        </w:tc>
        <w:tc>
          <w:tcPr>
            <w:tcW w:w="1875" w:type="dxa"/>
            <w:tcBorders>
              <w:top w:val="nil"/>
              <w:left w:val="nil"/>
              <w:bottom w:val="single" w:sz="4" w:space="0" w:color="auto"/>
              <w:right w:val="nil"/>
            </w:tcBorders>
            <w:shd w:val="clear" w:color="auto" w:fill="auto"/>
            <w:noWrap/>
            <w:vAlign w:val="bottom"/>
            <w:hideMark/>
          </w:tcPr>
          <w:p w:rsidR="009C16D2" w:rsidRPr="00B01BEC" w:rsidRDefault="009C16D2" w:rsidP="009C16D2">
            <w:pPr>
              <w:spacing w:after="0" w:line="240" w:lineRule="auto"/>
              <w:jc w:val="right"/>
              <w:rPr>
                <w:rFonts w:ascii="Arial" w:eastAsia="Times New Roman" w:hAnsi="Arial" w:cs="Arial"/>
                <w:sz w:val="20"/>
                <w:szCs w:val="20"/>
                <w:lang w:val="nl-NL" w:eastAsia="nl-NL" w:bidi="ar-SA"/>
              </w:rPr>
            </w:pPr>
            <w:r w:rsidRPr="00B01BEC">
              <w:rPr>
                <w:rFonts w:ascii="Arial" w:eastAsia="Times New Roman" w:hAnsi="Arial" w:cs="Arial"/>
                <w:sz w:val="20"/>
                <w:szCs w:val="20"/>
                <w:lang w:val="nl-NL" w:eastAsia="nl-NL" w:bidi="ar-SA"/>
              </w:rPr>
              <w:t>-9,293035</w:t>
            </w:r>
          </w:p>
        </w:tc>
        <w:tc>
          <w:tcPr>
            <w:tcW w:w="1579" w:type="dxa"/>
            <w:tcBorders>
              <w:top w:val="nil"/>
              <w:left w:val="single" w:sz="4" w:space="0" w:color="auto"/>
              <w:bottom w:val="single" w:sz="4" w:space="0" w:color="auto"/>
              <w:right w:val="single" w:sz="4" w:space="0" w:color="auto"/>
            </w:tcBorders>
            <w:shd w:val="clear" w:color="auto" w:fill="auto"/>
            <w:noWrap/>
            <w:vAlign w:val="bottom"/>
            <w:hideMark/>
          </w:tcPr>
          <w:p w:rsidR="009C16D2" w:rsidRPr="00B01BEC" w:rsidRDefault="009C16D2" w:rsidP="009C16D2">
            <w:pPr>
              <w:spacing w:after="0" w:line="240" w:lineRule="auto"/>
              <w:jc w:val="right"/>
              <w:rPr>
                <w:rFonts w:ascii="Arial" w:eastAsia="Times New Roman" w:hAnsi="Arial" w:cs="Arial"/>
                <w:sz w:val="20"/>
                <w:szCs w:val="20"/>
                <w:lang w:val="nl-NL" w:eastAsia="nl-NL" w:bidi="ar-SA"/>
              </w:rPr>
            </w:pPr>
            <w:r w:rsidRPr="00B01BEC">
              <w:rPr>
                <w:rFonts w:ascii="Arial" w:eastAsia="Times New Roman" w:hAnsi="Arial" w:cs="Arial"/>
                <w:sz w:val="20"/>
                <w:szCs w:val="20"/>
                <w:lang w:val="nl-NL" w:eastAsia="nl-NL" w:bidi="ar-SA"/>
              </w:rPr>
              <w:t>0,4078</w:t>
            </w:r>
          </w:p>
        </w:tc>
      </w:tr>
      <w:tr w:rsidR="009C16D2" w:rsidRPr="00B01BEC" w:rsidTr="009C16D2">
        <w:trPr>
          <w:trHeight w:val="268"/>
        </w:trPr>
        <w:tc>
          <w:tcPr>
            <w:tcW w:w="1941" w:type="dxa"/>
            <w:tcBorders>
              <w:top w:val="nil"/>
              <w:left w:val="single" w:sz="4" w:space="0" w:color="auto"/>
              <w:bottom w:val="nil"/>
              <w:right w:val="single" w:sz="4" w:space="0" w:color="auto"/>
            </w:tcBorders>
            <w:shd w:val="clear" w:color="auto" w:fill="auto"/>
            <w:noWrap/>
            <w:vAlign w:val="bottom"/>
            <w:hideMark/>
          </w:tcPr>
          <w:p w:rsidR="009C16D2" w:rsidRPr="00B01BEC" w:rsidRDefault="009C16D2" w:rsidP="009C16D2">
            <w:pPr>
              <w:spacing w:after="0" w:line="240" w:lineRule="auto"/>
              <w:rPr>
                <w:rFonts w:ascii="Arial" w:eastAsia="Times New Roman" w:hAnsi="Arial" w:cs="Arial"/>
                <w:sz w:val="20"/>
                <w:szCs w:val="20"/>
                <w:lang w:val="nl-NL" w:eastAsia="nl-NL" w:bidi="ar-SA"/>
              </w:rPr>
            </w:pPr>
            <w:r w:rsidRPr="00B01BEC">
              <w:rPr>
                <w:rFonts w:ascii="Arial" w:eastAsia="Times New Roman" w:hAnsi="Arial" w:cs="Arial"/>
                <w:sz w:val="20"/>
                <w:szCs w:val="20"/>
                <w:lang w:val="nl-NL" w:eastAsia="nl-NL" w:bidi="ar-SA"/>
              </w:rPr>
              <w:t>CHFUSD</w:t>
            </w:r>
          </w:p>
        </w:tc>
        <w:tc>
          <w:tcPr>
            <w:tcW w:w="1941" w:type="dxa"/>
            <w:tcBorders>
              <w:top w:val="nil"/>
              <w:left w:val="nil"/>
              <w:bottom w:val="nil"/>
              <w:right w:val="nil"/>
            </w:tcBorders>
            <w:shd w:val="clear" w:color="auto" w:fill="auto"/>
            <w:noWrap/>
            <w:vAlign w:val="bottom"/>
            <w:hideMark/>
          </w:tcPr>
          <w:p w:rsidR="009C16D2" w:rsidRPr="00B01BEC" w:rsidRDefault="009C16D2" w:rsidP="009C16D2">
            <w:pPr>
              <w:spacing w:after="0" w:line="240" w:lineRule="auto"/>
              <w:jc w:val="right"/>
              <w:rPr>
                <w:rFonts w:ascii="Arial" w:eastAsia="Times New Roman" w:hAnsi="Arial" w:cs="Arial"/>
                <w:sz w:val="20"/>
                <w:szCs w:val="20"/>
                <w:lang w:val="nl-NL" w:eastAsia="nl-NL" w:bidi="ar-SA"/>
              </w:rPr>
            </w:pPr>
            <w:r w:rsidRPr="00B01BEC">
              <w:rPr>
                <w:rFonts w:ascii="Arial" w:eastAsia="Times New Roman" w:hAnsi="Arial" w:cs="Arial"/>
                <w:sz w:val="20"/>
                <w:szCs w:val="20"/>
                <w:lang w:val="nl-NL" w:eastAsia="nl-NL" w:bidi="ar-SA"/>
              </w:rPr>
              <w:t>-0,249956</w:t>
            </w:r>
          </w:p>
        </w:tc>
        <w:tc>
          <w:tcPr>
            <w:tcW w:w="2073" w:type="dxa"/>
            <w:tcBorders>
              <w:top w:val="nil"/>
              <w:left w:val="single" w:sz="4" w:space="0" w:color="auto"/>
              <w:bottom w:val="nil"/>
              <w:right w:val="single" w:sz="4" w:space="0" w:color="auto"/>
            </w:tcBorders>
            <w:shd w:val="clear" w:color="auto" w:fill="auto"/>
            <w:noWrap/>
            <w:vAlign w:val="bottom"/>
            <w:hideMark/>
          </w:tcPr>
          <w:p w:rsidR="009C16D2" w:rsidRPr="00B01BEC" w:rsidRDefault="009C16D2" w:rsidP="009C16D2">
            <w:pPr>
              <w:spacing w:after="0" w:line="240" w:lineRule="auto"/>
              <w:jc w:val="right"/>
              <w:rPr>
                <w:rFonts w:ascii="Arial" w:eastAsia="Times New Roman" w:hAnsi="Arial" w:cs="Arial"/>
                <w:sz w:val="20"/>
                <w:szCs w:val="20"/>
                <w:lang w:val="nl-NL" w:eastAsia="nl-NL" w:bidi="ar-SA"/>
              </w:rPr>
            </w:pPr>
            <w:r w:rsidRPr="00B01BEC">
              <w:rPr>
                <w:rFonts w:ascii="Arial" w:eastAsia="Times New Roman" w:hAnsi="Arial" w:cs="Arial"/>
                <w:sz w:val="20"/>
                <w:szCs w:val="20"/>
                <w:lang w:val="nl-NL" w:eastAsia="nl-NL" w:bidi="ar-SA"/>
              </w:rPr>
              <w:t>0,9779</w:t>
            </w:r>
          </w:p>
        </w:tc>
        <w:tc>
          <w:tcPr>
            <w:tcW w:w="1875" w:type="dxa"/>
            <w:tcBorders>
              <w:top w:val="nil"/>
              <w:left w:val="nil"/>
              <w:bottom w:val="nil"/>
              <w:right w:val="nil"/>
            </w:tcBorders>
            <w:shd w:val="clear" w:color="auto" w:fill="auto"/>
            <w:noWrap/>
            <w:vAlign w:val="bottom"/>
            <w:hideMark/>
          </w:tcPr>
          <w:p w:rsidR="009C16D2" w:rsidRPr="00B01BEC" w:rsidRDefault="009C16D2" w:rsidP="009C16D2">
            <w:pPr>
              <w:spacing w:after="0" w:line="240" w:lineRule="auto"/>
              <w:jc w:val="right"/>
              <w:rPr>
                <w:rFonts w:ascii="Arial" w:eastAsia="Times New Roman" w:hAnsi="Arial" w:cs="Arial"/>
                <w:sz w:val="20"/>
                <w:szCs w:val="20"/>
                <w:lang w:val="nl-NL" w:eastAsia="nl-NL" w:bidi="ar-SA"/>
              </w:rPr>
            </w:pPr>
            <w:r w:rsidRPr="00B01BEC">
              <w:rPr>
                <w:rFonts w:ascii="Arial" w:eastAsia="Times New Roman" w:hAnsi="Arial" w:cs="Arial"/>
                <w:sz w:val="20"/>
                <w:szCs w:val="20"/>
                <w:lang w:val="nl-NL" w:eastAsia="nl-NL" w:bidi="ar-SA"/>
              </w:rPr>
              <w:t>-0,726528</w:t>
            </w:r>
          </w:p>
        </w:tc>
        <w:tc>
          <w:tcPr>
            <w:tcW w:w="1579" w:type="dxa"/>
            <w:tcBorders>
              <w:top w:val="nil"/>
              <w:left w:val="single" w:sz="4" w:space="0" w:color="auto"/>
              <w:bottom w:val="nil"/>
              <w:right w:val="single" w:sz="4" w:space="0" w:color="auto"/>
            </w:tcBorders>
            <w:shd w:val="clear" w:color="auto" w:fill="auto"/>
            <w:noWrap/>
            <w:vAlign w:val="bottom"/>
            <w:hideMark/>
          </w:tcPr>
          <w:p w:rsidR="009C16D2" w:rsidRPr="00B01BEC" w:rsidRDefault="009C16D2" w:rsidP="009C16D2">
            <w:pPr>
              <w:spacing w:after="0" w:line="240" w:lineRule="auto"/>
              <w:jc w:val="right"/>
              <w:rPr>
                <w:rFonts w:ascii="Arial" w:eastAsia="Times New Roman" w:hAnsi="Arial" w:cs="Arial"/>
                <w:sz w:val="20"/>
                <w:szCs w:val="20"/>
                <w:lang w:val="nl-NL" w:eastAsia="nl-NL" w:bidi="ar-SA"/>
              </w:rPr>
            </w:pPr>
            <w:r w:rsidRPr="00B01BEC">
              <w:rPr>
                <w:rFonts w:ascii="Arial" w:eastAsia="Times New Roman" w:hAnsi="Arial" w:cs="Arial"/>
                <w:sz w:val="20"/>
                <w:szCs w:val="20"/>
                <w:lang w:val="nl-NL" w:eastAsia="nl-NL" w:bidi="ar-SA"/>
              </w:rPr>
              <w:t>0,9741</w:t>
            </w:r>
          </w:p>
        </w:tc>
      </w:tr>
      <w:tr w:rsidR="009C16D2" w:rsidRPr="00B01BEC" w:rsidTr="009C16D2">
        <w:trPr>
          <w:trHeight w:val="268"/>
        </w:trPr>
        <w:tc>
          <w:tcPr>
            <w:tcW w:w="1941" w:type="dxa"/>
            <w:tcBorders>
              <w:top w:val="nil"/>
              <w:left w:val="single" w:sz="4" w:space="0" w:color="auto"/>
              <w:bottom w:val="single" w:sz="4" w:space="0" w:color="auto"/>
              <w:right w:val="single" w:sz="4" w:space="0" w:color="auto"/>
            </w:tcBorders>
            <w:shd w:val="clear" w:color="auto" w:fill="auto"/>
            <w:noWrap/>
            <w:vAlign w:val="bottom"/>
            <w:hideMark/>
          </w:tcPr>
          <w:p w:rsidR="009C16D2" w:rsidRPr="00B01BEC" w:rsidRDefault="009C16D2" w:rsidP="009C16D2">
            <w:pPr>
              <w:spacing w:after="0" w:line="240" w:lineRule="auto"/>
              <w:rPr>
                <w:rFonts w:ascii="Arial" w:eastAsia="Times New Roman" w:hAnsi="Arial" w:cs="Arial"/>
                <w:sz w:val="20"/>
                <w:szCs w:val="20"/>
                <w:lang w:val="nl-NL" w:eastAsia="nl-NL" w:bidi="ar-SA"/>
              </w:rPr>
            </w:pPr>
            <w:r w:rsidRPr="00B01BEC">
              <w:rPr>
                <w:rFonts w:ascii="Arial" w:eastAsia="Times New Roman" w:hAnsi="Arial" w:cs="Arial"/>
                <w:sz w:val="20"/>
                <w:szCs w:val="20"/>
                <w:lang w:val="nl-NL" w:eastAsia="nl-NL" w:bidi="ar-SA"/>
              </w:rPr>
              <w:t>USTECH</w:t>
            </w:r>
          </w:p>
        </w:tc>
        <w:tc>
          <w:tcPr>
            <w:tcW w:w="1941" w:type="dxa"/>
            <w:tcBorders>
              <w:top w:val="nil"/>
              <w:left w:val="nil"/>
              <w:bottom w:val="single" w:sz="4" w:space="0" w:color="auto"/>
              <w:right w:val="nil"/>
            </w:tcBorders>
            <w:shd w:val="clear" w:color="auto" w:fill="auto"/>
            <w:noWrap/>
            <w:vAlign w:val="bottom"/>
            <w:hideMark/>
          </w:tcPr>
          <w:p w:rsidR="009C16D2" w:rsidRPr="00B01BEC" w:rsidRDefault="009C16D2" w:rsidP="009C16D2">
            <w:pPr>
              <w:spacing w:after="0" w:line="240" w:lineRule="auto"/>
              <w:jc w:val="right"/>
              <w:rPr>
                <w:rFonts w:ascii="Arial" w:eastAsia="Times New Roman" w:hAnsi="Arial" w:cs="Arial"/>
                <w:sz w:val="20"/>
                <w:szCs w:val="20"/>
                <w:lang w:val="nl-NL" w:eastAsia="nl-NL" w:bidi="ar-SA"/>
              </w:rPr>
            </w:pPr>
            <w:r w:rsidRPr="00B01BEC">
              <w:rPr>
                <w:rFonts w:ascii="Arial" w:eastAsia="Times New Roman" w:hAnsi="Arial" w:cs="Arial"/>
                <w:sz w:val="20"/>
                <w:szCs w:val="20"/>
                <w:lang w:val="nl-NL" w:eastAsia="nl-NL" w:bidi="ar-SA"/>
              </w:rPr>
              <w:t>-1,739256</w:t>
            </w:r>
          </w:p>
        </w:tc>
        <w:tc>
          <w:tcPr>
            <w:tcW w:w="2073" w:type="dxa"/>
            <w:tcBorders>
              <w:top w:val="nil"/>
              <w:left w:val="single" w:sz="4" w:space="0" w:color="auto"/>
              <w:bottom w:val="single" w:sz="4" w:space="0" w:color="auto"/>
              <w:right w:val="single" w:sz="4" w:space="0" w:color="auto"/>
            </w:tcBorders>
            <w:shd w:val="clear" w:color="auto" w:fill="auto"/>
            <w:noWrap/>
            <w:vAlign w:val="bottom"/>
            <w:hideMark/>
          </w:tcPr>
          <w:p w:rsidR="009C16D2" w:rsidRPr="00B01BEC" w:rsidRDefault="009C16D2" w:rsidP="009C16D2">
            <w:pPr>
              <w:spacing w:after="0" w:line="240" w:lineRule="auto"/>
              <w:jc w:val="right"/>
              <w:rPr>
                <w:rFonts w:ascii="Arial" w:eastAsia="Times New Roman" w:hAnsi="Arial" w:cs="Arial"/>
                <w:sz w:val="20"/>
                <w:szCs w:val="20"/>
                <w:lang w:val="nl-NL" w:eastAsia="nl-NL" w:bidi="ar-SA"/>
              </w:rPr>
            </w:pPr>
            <w:r w:rsidRPr="00B01BEC">
              <w:rPr>
                <w:rFonts w:ascii="Arial" w:eastAsia="Times New Roman" w:hAnsi="Arial" w:cs="Arial"/>
                <w:sz w:val="20"/>
                <w:szCs w:val="20"/>
                <w:lang w:val="nl-NL" w:eastAsia="nl-NL" w:bidi="ar-SA"/>
              </w:rPr>
              <w:t>0,6598</w:t>
            </w:r>
          </w:p>
        </w:tc>
        <w:tc>
          <w:tcPr>
            <w:tcW w:w="1875" w:type="dxa"/>
            <w:tcBorders>
              <w:top w:val="nil"/>
              <w:left w:val="nil"/>
              <w:bottom w:val="single" w:sz="4" w:space="0" w:color="auto"/>
              <w:right w:val="nil"/>
            </w:tcBorders>
            <w:shd w:val="clear" w:color="auto" w:fill="auto"/>
            <w:noWrap/>
            <w:vAlign w:val="bottom"/>
            <w:hideMark/>
          </w:tcPr>
          <w:p w:rsidR="009C16D2" w:rsidRPr="00B01BEC" w:rsidRDefault="009C16D2" w:rsidP="009C16D2">
            <w:pPr>
              <w:spacing w:after="0" w:line="240" w:lineRule="auto"/>
              <w:jc w:val="right"/>
              <w:rPr>
                <w:rFonts w:ascii="Arial" w:eastAsia="Times New Roman" w:hAnsi="Arial" w:cs="Arial"/>
                <w:sz w:val="20"/>
                <w:szCs w:val="20"/>
                <w:lang w:val="nl-NL" w:eastAsia="nl-NL" w:bidi="ar-SA"/>
              </w:rPr>
            </w:pPr>
            <w:r w:rsidRPr="00B01BEC">
              <w:rPr>
                <w:rFonts w:ascii="Arial" w:eastAsia="Times New Roman" w:hAnsi="Arial" w:cs="Arial"/>
                <w:sz w:val="20"/>
                <w:szCs w:val="20"/>
                <w:lang w:val="nl-NL" w:eastAsia="nl-NL" w:bidi="ar-SA"/>
              </w:rPr>
              <w:t>-6,835159</w:t>
            </w:r>
          </w:p>
        </w:tc>
        <w:tc>
          <w:tcPr>
            <w:tcW w:w="1579" w:type="dxa"/>
            <w:tcBorders>
              <w:top w:val="nil"/>
              <w:left w:val="single" w:sz="4" w:space="0" w:color="auto"/>
              <w:bottom w:val="single" w:sz="4" w:space="0" w:color="auto"/>
              <w:right w:val="single" w:sz="4" w:space="0" w:color="auto"/>
            </w:tcBorders>
            <w:shd w:val="clear" w:color="auto" w:fill="auto"/>
            <w:noWrap/>
            <w:vAlign w:val="bottom"/>
            <w:hideMark/>
          </w:tcPr>
          <w:p w:rsidR="009C16D2" w:rsidRPr="00B01BEC" w:rsidRDefault="009C16D2" w:rsidP="009C16D2">
            <w:pPr>
              <w:spacing w:after="0" w:line="240" w:lineRule="auto"/>
              <w:jc w:val="right"/>
              <w:rPr>
                <w:rFonts w:ascii="Arial" w:eastAsia="Times New Roman" w:hAnsi="Arial" w:cs="Arial"/>
                <w:sz w:val="20"/>
                <w:szCs w:val="20"/>
                <w:lang w:val="nl-NL" w:eastAsia="nl-NL" w:bidi="ar-SA"/>
              </w:rPr>
            </w:pPr>
            <w:r w:rsidRPr="00B01BEC">
              <w:rPr>
                <w:rFonts w:ascii="Arial" w:eastAsia="Times New Roman" w:hAnsi="Arial" w:cs="Arial"/>
                <w:sz w:val="20"/>
                <w:szCs w:val="20"/>
                <w:lang w:val="nl-NL" w:eastAsia="nl-NL" w:bidi="ar-SA"/>
              </w:rPr>
              <w:t>0,5852</w:t>
            </w:r>
          </w:p>
        </w:tc>
      </w:tr>
      <w:tr w:rsidR="009C16D2" w:rsidRPr="00B01BEC" w:rsidTr="009C16D2">
        <w:trPr>
          <w:trHeight w:val="268"/>
        </w:trPr>
        <w:tc>
          <w:tcPr>
            <w:tcW w:w="1941" w:type="dxa"/>
            <w:tcBorders>
              <w:top w:val="nil"/>
              <w:left w:val="single" w:sz="4" w:space="0" w:color="auto"/>
              <w:bottom w:val="nil"/>
              <w:right w:val="single" w:sz="4" w:space="0" w:color="auto"/>
            </w:tcBorders>
            <w:shd w:val="clear" w:color="auto" w:fill="auto"/>
            <w:noWrap/>
            <w:vAlign w:val="bottom"/>
            <w:hideMark/>
          </w:tcPr>
          <w:p w:rsidR="009C16D2" w:rsidRPr="00B01BEC" w:rsidRDefault="009C16D2" w:rsidP="009C16D2">
            <w:pPr>
              <w:spacing w:after="0" w:line="240" w:lineRule="auto"/>
              <w:rPr>
                <w:rFonts w:ascii="Arial" w:eastAsia="Times New Roman" w:hAnsi="Arial" w:cs="Arial"/>
                <w:sz w:val="20"/>
                <w:szCs w:val="20"/>
                <w:lang w:val="nl-NL" w:eastAsia="nl-NL" w:bidi="ar-SA"/>
              </w:rPr>
            </w:pPr>
            <w:r w:rsidRPr="00B01BEC">
              <w:rPr>
                <w:rFonts w:ascii="Arial" w:eastAsia="Times New Roman" w:hAnsi="Arial" w:cs="Arial"/>
                <w:sz w:val="20"/>
                <w:szCs w:val="20"/>
                <w:lang w:val="nl-NL" w:eastAsia="nl-NL" w:bidi="ar-SA"/>
              </w:rPr>
              <w:t>CHFUSD</w:t>
            </w:r>
          </w:p>
        </w:tc>
        <w:tc>
          <w:tcPr>
            <w:tcW w:w="1941" w:type="dxa"/>
            <w:tcBorders>
              <w:top w:val="nil"/>
              <w:left w:val="nil"/>
              <w:bottom w:val="nil"/>
              <w:right w:val="nil"/>
            </w:tcBorders>
            <w:shd w:val="clear" w:color="auto" w:fill="auto"/>
            <w:noWrap/>
            <w:vAlign w:val="bottom"/>
            <w:hideMark/>
          </w:tcPr>
          <w:p w:rsidR="009C16D2" w:rsidRPr="00B01BEC" w:rsidRDefault="009C16D2" w:rsidP="009C16D2">
            <w:pPr>
              <w:spacing w:after="0" w:line="240" w:lineRule="auto"/>
              <w:jc w:val="right"/>
              <w:rPr>
                <w:rFonts w:ascii="Arial" w:eastAsia="Times New Roman" w:hAnsi="Arial" w:cs="Arial"/>
                <w:sz w:val="20"/>
                <w:szCs w:val="20"/>
                <w:lang w:val="nl-NL" w:eastAsia="nl-NL" w:bidi="ar-SA"/>
              </w:rPr>
            </w:pPr>
            <w:r w:rsidRPr="00B01BEC">
              <w:rPr>
                <w:rFonts w:ascii="Arial" w:eastAsia="Times New Roman" w:hAnsi="Arial" w:cs="Arial"/>
                <w:sz w:val="20"/>
                <w:szCs w:val="20"/>
                <w:lang w:val="nl-NL" w:eastAsia="nl-NL" w:bidi="ar-SA"/>
              </w:rPr>
              <w:t>-0,73138</w:t>
            </w:r>
          </w:p>
        </w:tc>
        <w:tc>
          <w:tcPr>
            <w:tcW w:w="2073" w:type="dxa"/>
            <w:tcBorders>
              <w:top w:val="nil"/>
              <w:left w:val="single" w:sz="4" w:space="0" w:color="auto"/>
              <w:bottom w:val="nil"/>
              <w:right w:val="single" w:sz="4" w:space="0" w:color="auto"/>
            </w:tcBorders>
            <w:shd w:val="clear" w:color="auto" w:fill="auto"/>
            <w:noWrap/>
            <w:vAlign w:val="bottom"/>
            <w:hideMark/>
          </w:tcPr>
          <w:p w:rsidR="009C16D2" w:rsidRPr="00B01BEC" w:rsidRDefault="009C16D2" w:rsidP="009C16D2">
            <w:pPr>
              <w:spacing w:after="0" w:line="240" w:lineRule="auto"/>
              <w:jc w:val="right"/>
              <w:rPr>
                <w:rFonts w:ascii="Arial" w:eastAsia="Times New Roman" w:hAnsi="Arial" w:cs="Arial"/>
                <w:sz w:val="20"/>
                <w:szCs w:val="20"/>
                <w:lang w:val="nl-NL" w:eastAsia="nl-NL" w:bidi="ar-SA"/>
              </w:rPr>
            </w:pPr>
            <w:r w:rsidRPr="00B01BEC">
              <w:rPr>
                <w:rFonts w:ascii="Arial" w:eastAsia="Times New Roman" w:hAnsi="Arial" w:cs="Arial"/>
                <w:sz w:val="20"/>
                <w:szCs w:val="20"/>
                <w:lang w:val="nl-NL" w:eastAsia="nl-NL" w:bidi="ar-SA"/>
              </w:rPr>
              <w:t>0,9405</w:t>
            </w:r>
          </w:p>
        </w:tc>
        <w:tc>
          <w:tcPr>
            <w:tcW w:w="1875" w:type="dxa"/>
            <w:tcBorders>
              <w:top w:val="nil"/>
              <w:left w:val="nil"/>
              <w:bottom w:val="nil"/>
              <w:right w:val="nil"/>
            </w:tcBorders>
            <w:shd w:val="clear" w:color="auto" w:fill="auto"/>
            <w:noWrap/>
            <w:vAlign w:val="bottom"/>
            <w:hideMark/>
          </w:tcPr>
          <w:p w:rsidR="009C16D2" w:rsidRPr="00B01BEC" w:rsidRDefault="009C16D2" w:rsidP="009C16D2">
            <w:pPr>
              <w:spacing w:after="0" w:line="240" w:lineRule="auto"/>
              <w:jc w:val="right"/>
              <w:rPr>
                <w:rFonts w:ascii="Arial" w:eastAsia="Times New Roman" w:hAnsi="Arial" w:cs="Arial"/>
                <w:sz w:val="20"/>
                <w:szCs w:val="20"/>
                <w:lang w:val="nl-NL" w:eastAsia="nl-NL" w:bidi="ar-SA"/>
              </w:rPr>
            </w:pPr>
            <w:r w:rsidRPr="00B01BEC">
              <w:rPr>
                <w:rFonts w:ascii="Arial" w:eastAsia="Times New Roman" w:hAnsi="Arial" w:cs="Arial"/>
                <w:sz w:val="20"/>
                <w:szCs w:val="20"/>
                <w:lang w:val="nl-NL" w:eastAsia="nl-NL" w:bidi="ar-SA"/>
              </w:rPr>
              <w:t>-2,340304</w:t>
            </w:r>
          </w:p>
        </w:tc>
        <w:tc>
          <w:tcPr>
            <w:tcW w:w="1579" w:type="dxa"/>
            <w:tcBorders>
              <w:top w:val="nil"/>
              <w:left w:val="single" w:sz="4" w:space="0" w:color="auto"/>
              <w:bottom w:val="nil"/>
              <w:right w:val="single" w:sz="4" w:space="0" w:color="auto"/>
            </w:tcBorders>
            <w:shd w:val="clear" w:color="auto" w:fill="auto"/>
            <w:noWrap/>
            <w:vAlign w:val="bottom"/>
            <w:hideMark/>
          </w:tcPr>
          <w:p w:rsidR="009C16D2" w:rsidRPr="00B01BEC" w:rsidRDefault="009C16D2" w:rsidP="009C16D2">
            <w:pPr>
              <w:spacing w:after="0" w:line="240" w:lineRule="auto"/>
              <w:jc w:val="right"/>
              <w:rPr>
                <w:rFonts w:ascii="Arial" w:eastAsia="Times New Roman" w:hAnsi="Arial" w:cs="Arial"/>
                <w:sz w:val="20"/>
                <w:szCs w:val="20"/>
                <w:lang w:val="nl-NL" w:eastAsia="nl-NL" w:bidi="ar-SA"/>
              </w:rPr>
            </w:pPr>
            <w:r w:rsidRPr="00B01BEC">
              <w:rPr>
                <w:rFonts w:ascii="Arial" w:eastAsia="Times New Roman" w:hAnsi="Arial" w:cs="Arial"/>
                <w:sz w:val="20"/>
                <w:szCs w:val="20"/>
                <w:lang w:val="nl-NL" w:eastAsia="nl-NL" w:bidi="ar-SA"/>
              </w:rPr>
              <w:t>0,9149</w:t>
            </w:r>
          </w:p>
        </w:tc>
      </w:tr>
      <w:tr w:rsidR="009C16D2" w:rsidRPr="00B01BEC" w:rsidTr="009C16D2">
        <w:trPr>
          <w:trHeight w:val="268"/>
        </w:trPr>
        <w:tc>
          <w:tcPr>
            <w:tcW w:w="1941" w:type="dxa"/>
            <w:tcBorders>
              <w:top w:val="nil"/>
              <w:left w:val="single" w:sz="4" w:space="0" w:color="auto"/>
              <w:bottom w:val="single" w:sz="4" w:space="0" w:color="auto"/>
              <w:right w:val="single" w:sz="4" w:space="0" w:color="auto"/>
            </w:tcBorders>
            <w:shd w:val="clear" w:color="auto" w:fill="auto"/>
            <w:noWrap/>
            <w:vAlign w:val="bottom"/>
            <w:hideMark/>
          </w:tcPr>
          <w:p w:rsidR="009C16D2" w:rsidRPr="00B01BEC" w:rsidRDefault="009C16D2" w:rsidP="009C16D2">
            <w:pPr>
              <w:spacing w:after="0" w:line="240" w:lineRule="auto"/>
              <w:rPr>
                <w:rFonts w:ascii="Arial" w:eastAsia="Times New Roman" w:hAnsi="Arial" w:cs="Arial"/>
                <w:sz w:val="20"/>
                <w:szCs w:val="20"/>
                <w:lang w:val="nl-NL" w:eastAsia="nl-NL" w:bidi="ar-SA"/>
              </w:rPr>
            </w:pPr>
            <w:r w:rsidRPr="00B01BEC">
              <w:rPr>
                <w:rFonts w:ascii="Arial" w:eastAsia="Times New Roman" w:hAnsi="Arial" w:cs="Arial"/>
                <w:sz w:val="20"/>
                <w:szCs w:val="20"/>
                <w:lang w:val="nl-NL" w:eastAsia="nl-NL" w:bidi="ar-SA"/>
              </w:rPr>
              <w:t>USTEL</w:t>
            </w:r>
          </w:p>
        </w:tc>
        <w:tc>
          <w:tcPr>
            <w:tcW w:w="1941" w:type="dxa"/>
            <w:tcBorders>
              <w:top w:val="nil"/>
              <w:left w:val="nil"/>
              <w:bottom w:val="single" w:sz="4" w:space="0" w:color="auto"/>
              <w:right w:val="nil"/>
            </w:tcBorders>
            <w:shd w:val="clear" w:color="auto" w:fill="auto"/>
            <w:noWrap/>
            <w:vAlign w:val="bottom"/>
            <w:hideMark/>
          </w:tcPr>
          <w:p w:rsidR="009C16D2" w:rsidRPr="00B01BEC" w:rsidRDefault="009C16D2" w:rsidP="009C16D2">
            <w:pPr>
              <w:spacing w:after="0" w:line="240" w:lineRule="auto"/>
              <w:jc w:val="right"/>
              <w:rPr>
                <w:rFonts w:ascii="Arial" w:eastAsia="Times New Roman" w:hAnsi="Arial" w:cs="Arial"/>
                <w:sz w:val="20"/>
                <w:szCs w:val="20"/>
                <w:lang w:val="nl-NL" w:eastAsia="nl-NL" w:bidi="ar-SA"/>
              </w:rPr>
            </w:pPr>
            <w:r w:rsidRPr="00B01BEC">
              <w:rPr>
                <w:rFonts w:ascii="Arial" w:eastAsia="Times New Roman" w:hAnsi="Arial" w:cs="Arial"/>
                <w:sz w:val="20"/>
                <w:szCs w:val="20"/>
                <w:lang w:val="nl-NL" w:eastAsia="nl-NL" w:bidi="ar-SA"/>
              </w:rPr>
              <w:t>-2,022766</w:t>
            </w:r>
          </w:p>
        </w:tc>
        <w:tc>
          <w:tcPr>
            <w:tcW w:w="2073" w:type="dxa"/>
            <w:tcBorders>
              <w:top w:val="nil"/>
              <w:left w:val="single" w:sz="4" w:space="0" w:color="auto"/>
              <w:bottom w:val="single" w:sz="4" w:space="0" w:color="auto"/>
              <w:right w:val="single" w:sz="4" w:space="0" w:color="auto"/>
            </w:tcBorders>
            <w:shd w:val="clear" w:color="auto" w:fill="auto"/>
            <w:noWrap/>
            <w:vAlign w:val="bottom"/>
            <w:hideMark/>
          </w:tcPr>
          <w:p w:rsidR="009C16D2" w:rsidRPr="00B01BEC" w:rsidRDefault="009C16D2" w:rsidP="009C16D2">
            <w:pPr>
              <w:spacing w:after="0" w:line="240" w:lineRule="auto"/>
              <w:jc w:val="right"/>
              <w:rPr>
                <w:rFonts w:ascii="Arial" w:eastAsia="Times New Roman" w:hAnsi="Arial" w:cs="Arial"/>
                <w:sz w:val="20"/>
                <w:szCs w:val="20"/>
                <w:lang w:val="nl-NL" w:eastAsia="nl-NL" w:bidi="ar-SA"/>
              </w:rPr>
            </w:pPr>
            <w:r w:rsidRPr="00B01BEC">
              <w:rPr>
                <w:rFonts w:ascii="Arial" w:eastAsia="Times New Roman" w:hAnsi="Arial" w:cs="Arial"/>
                <w:sz w:val="20"/>
                <w:szCs w:val="20"/>
                <w:lang w:val="nl-NL" w:eastAsia="nl-NL" w:bidi="ar-SA"/>
              </w:rPr>
              <w:t>0,5162</w:t>
            </w:r>
          </w:p>
        </w:tc>
        <w:tc>
          <w:tcPr>
            <w:tcW w:w="1875" w:type="dxa"/>
            <w:tcBorders>
              <w:top w:val="nil"/>
              <w:left w:val="nil"/>
              <w:bottom w:val="single" w:sz="4" w:space="0" w:color="auto"/>
              <w:right w:val="nil"/>
            </w:tcBorders>
            <w:shd w:val="clear" w:color="auto" w:fill="auto"/>
            <w:noWrap/>
            <w:vAlign w:val="bottom"/>
            <w:hideMark/>
          </w:tcPr>
          <w:p w:rsidR="009C16D2" w:rsidRPr="00B01BEC" w:rsidRDefault="009C16D2" w:rsidP="009C16D2">
            <w:pPr>
              <w:spacing w:after="0" w:line="240" w:lineRule="auto"/>
              <w:jc w:val="right"/>
              <w:rPr>
                <w:rFonts w:ascii="Arial" w:eastAsia="Times New Roman" w:hAnsi="Arial" w:cs="Arial"/>
                <w:sz w:val="20"/>
                <w:szCs w:val="20"/>
                <w:lang w:val="nl-NL" w:eastAsia="nl-NL" w:bidi="ar-SA"/>
              </w:rPr>
            </w:pPr>
            <w:r w:rsidRPr="00B01BEC">
              <w:rPr>
                <w:rFonts w:ascii="Arial" w:eastAsia="Times New Roman" w:hAnsi="Arial" w:cs="Arial"/>
                <w:sz w:val="20"/>
                <w:szCs w:val="20"/>
                <w:lang w:val="nl-NL" w:eastAsia="nl-NL" w:bidi="ar-SA"/>
              </w:rPr>
              <w:t>-6,198391</w:t>
            </w:r>
          </w:p>
        </w:tc>
        <w:tc>
          <w:tcPr>
            <w:tcW w:w="1579" w:type="dxa"/>
            <w:tcBorders>
              <w:top w:val="nil"/>
              <w:left w:val="single" w:sz="4" w:space="0" w:color="auto"/>
              <w:bottom w:val="single" w:sz="4" w:space="0" w:color="auto"/>
              <w:right w:val="single" w:sz="4" w:space="0" w:color="auto"/>
            </w:tcBorders>
            <w:shd w:val="clear" w:color="auto" w:fill="auto"/>
            <w:noWrap/>
            <w:vAlign w:val="bottom"/>
            <w:hideMark/>
          </w:tcPr>
          <w:p w:rsidR="009C16D2" w:rsidRPr="00B01BEC" w:rsidRDefault="009C16D2" w:rsidP="009C16D2">
            <w:pPr>
              <w:spacing w:after="0" w:line="240" w:lineRule="auto"/>
              <w:jc w:val="right"/>
              <w:rPr>
                <w:rFonts w:ascii="Arial" w:eastAsia="Times New Roman" w:hAnsi="Arial" w:cs="Arial"/>
                <w:sz w:val="20"/>
                <w:szCs w:val="20"/>
                <w:lang w:val="nl-NL" w:eastAsia="nl-NL" w:bidi="ar-SA"/>
              </w:rPr>
            </w:pPr>
            <w:r w:rsidRPr="00B01BEC">
              <w:rPr>
                <w:rFonts w:ascii="Arial" w:eastAsia="Times New Roman" w:hAnsi="Arial" w:cs="Arial"/>
                <w:sz w:val="20"/>
                <w:szCs w:val="20"/>
                <w:lang w:val="nl-NL" w:eastAsia="nl-NL" w:bidi="ar-SA"/>
              </w:rPr>
              <w:t>0,636</w:t>
            </w:r>
          </w:p>
        </w:tc>
      </w:tr>
      <w:tr w:rsidR="009C16D2" w:rsidRPr="00B01BEC" w:rsidTr="009C16D2">
        <w:trPr>
          <w:trHeight w:val="268"/>
        </w:trPr>
        <w:tc>
          <w:tcPr>
            <w:tcW w:w="1941" w:type="dxa"/>
            <w:tcBorders>
              <w:top w:val="nil"/>
              <w:left w:val="single" w:sz="4" w:space="0" w:color="auto"/>
              <w:bottom w:val="nil"/>
              <w:right w:val="single" w:sz="4" w:space="0" w:color="auto"/>
            </w:tcBorders>
            <w:shd w:val="clear" w:color="auto" w:fill="auto"/>
            <w:noWrap/>
            <w:vAlign w:val="bottom"/>
            <w:hideMark/>
          </w:tcPr>
          <w:p w:rsidR="009C16D2" w:rsidRPr="00B01BEC" w:rsidRDefault="009C16D2" w:rsidP="009C16D2">
            <w:pPr>
              <w:spacing w:after="0" w:line="240" w:lineRule="auto"/>
              <w:rPr>
                <w:rFonts w:ascii="Arial" w:eastAsia="Times New Roman" w:hAnsi="Arial" w:cs="Arial"/>
                <w:sz w:val="20"/>
                <w:szCs w:val="20"/>
                <w:lang w:val="nl-NL" w:eastAsia="nl-NL" w:bidi="ar-SA"/>
              </w:rPr>
            </w:pPr>
            <w:r w:rsidRPr="00B01BEC">
              <w:rPr>
                <w:rFonts w:ascii="Arial" w:eastAsia="Times New Roman" w:hAnsi="Arial" w:cs="Arial"/>
                <w:sz w:val="20"/>
                <w:szCs w:val="20"/>
                <w:lang w:val="nl-NL" w:eastAsia="nl-NL" w:bidi="ar-SA"/>
              </w:rPr>
              <w:t>CHFUSD</w:t>
            </w:r>
          </w:p>
        </w:tc>
        <w:tc>
          <w:tcPr>
            <w:tcW w:w="1941" w:type="dxa"/>
            <w:tcBorders>
              <w:top w:val="nil"/>
              <w:left w:val="nil"/>
              <w:bottom w:val="nil"/>
              <w:right w:val="nil"/>
            </w:tcBorders>
            <w:shd w:val="clear" w:color="auto" w:fill="auto"/>
            <w:noWrap/>
            <w:vAlign w:val="bottom"/>
            <w:hideMark/>
          </w:tcPr>
          <w:p w:rsidR="009C16D2" w:rsidRPr="00B01BEC" w:rsidRDefault="009C16D2" w:rsidP="009C16D2">
            <w:pPr>
              <w:spacing w:after="0" w:line="240" w:lineRule="auto"/>
              <w:jc w:val="right"/>
              <w:rPr>
                <w:rFonts w:ascii="Arial" w:eastAsia="Times New Roman" w:hAnsi="Arial" w:cs="Arial"/>
                <w:sz w:val="20"/>
                <w:szCs w:val="20"/>
                <w:lang w:val="nl-NL" w:eastAsia="nl-NL" w:bidi="ar-SA"/>
              </w:rPr>
            </w:pPr>
            <w:r w:rsidRPr="00B01BEC">
              <w:rPr>
                <w:rFonts w:ascii="Arial" w:eastAsia="Times New Roman" w:hAnsi="Arial" w:cs="Arial"/>
                <w:sz w:val="20"/>
                <w:szCs w:val="20"/>
                <w:lang w:val="nl-NL" w:eastAsia="nl-NL" w:bidi="ar-SA"/>
              </w:rPr>
              <w:t>-0,263593</w:t>
            </w:r>
          </w:p>
        </w:tc>
        <w:tc>
          <w:tcPr>
            <w:tcW w:w="2073" w:type="dxa"/>
            <w:tcBorders>
              <w:top w:val="nil"/>
              <w:left w:val="single" w:sz="4" w:space="0" w:color="auto"/>
              <w:bottom w:val="nil"/>
              <w:right w:val="single" w:sz="4" w:space="0" w:color="auto"/>
            </w:tcBorders>
            <w:shd w:val="clear" w:color="auto" w:fill="auto"/>
            <w:noWrap/>
            <w:vAlign w:val="bottom"/>
            <w:hideMark/>
          </w:tcPr>
          <w:p w:rsidR="009C16D2" w:rsidRPr="00B01BEC" w:rsidRDefault="009C16D2" w:rsidP="009C16D2">
            <w:pPr>
              <w:spacing w:after="0" w:line="240" w:lineRule="auto"/>
              <w:jc w:val="right"/>
              <w:rPr>
                <w:rFonts w:ascii="Arial" w:eastAsia="Times New Roman" w:hAnsi="Arial" w:cs="Arial"/>
                <w:sz w:val="20"/>
                <w:szCs w:val="20"/>
                <w:lang w:val="nl-NL" w:eastAsia="nl-NL" w:bidi="ar-SA"/>
              </w:rPr>
            </w:pPr>
            <w:r w:rsidRPr="00B01BEC">
              <w:rPr>
                <w:rFonts w:ascii="Arial" w:eastAsia="Times New Roman" w:hAnsi="Arial" w:cs="Arial"/>
                <w:sz w:val="20"/>
                <w:szCs w:val="20"/>
                <w:lang w:val="nl-NL" w:eastAsia="nl-NL" w:bidi="ar-SA"/>
              </w:rPr>
              <w:t>0,9772</w:t>
            </w:r>
          </w:p>
        </w:tc>
        <w:tc>
          <w:tcPr>
            <w:tcW w:w="1875" w:type="dxa"/>
            <w:tcBorders>
              <w:top w:val="nil"/>
              <w:left w:val="nil"/>
              <w:bottom w:val="nil"/>
              <w:right w:val="nil"/>
            </w:tcBorders>
            <w:shd w:val="clear" w:color="auto" w:fill="auto"/>
            <w:noWrap/>
            <w:vAlign w:val="bottom"/>
            <w:hideMark/>
          </w:tcPr>
          <w:p w:rsidR="009C16D2" w:rsidRPr="00B01BEC" w:rsidRDefault="009C16D2" w:rsidP="009C16D2">
            <w:pPr>
              <w:spacing w:after="0" w:line="240" w:lineRule="auto"/>
              <w:jc w:val="right"/>
              <w:rPr>
                <w:rFonts w:ascii="Arial" w:eastAsia="Times New Roman" w:hAnsi="Arial" w:cs="Arial"/>
                <w:sz w:val="20"/>
                <w:szCs w:val="20"/>
                <w:lang w:val="nl-NL" w:eastAsia="nl-NL" w:bidi="ar-SA"/>
              </w:rPr>
            </w:pPr>
            <w:r w:rsidRPr="00B01BEC">
              <w:rPr>
                <w:rFonts w:ascii="Arial" w:eastAsia="Times New Roman" w:hAnsi="Arial" w:cs="Arial"/>
                <w:sz w:val="20"/>
                <w:szCs w:val="20"/>
                <w:lang w:val="nl-NL" w:eastAsia="nl-NL" w:bidi="ar-SA"/>
              </w:rPr>
              <w:t>-0,678755</w:t>
            </w:r>
          </w:p>
        </w:tc>
        <w:tc>
          <w:tcPr>
            <w:tcW w:w="1579" w:type="dxa"/>
            <w:tcBorders>
              <w:top w:val="nil"/>
              <w:left w:val="single" w:sz="4" w:space="0" w:color="auto"/>
              <w:bottom w:val="nil"/>
              <w:right w:val="single" w:sz="4" w:space="0" w:color="auto"/>
            </w:tcBorders>
            <w:shd w:val="clear" w:color="auto" w:fill="auto"/>
            <w:noWrap/>
            <w:vAlign w:val="bottom"/>
            <w:hideMark/>
          </w:tcPr>
          <w:p w:rsidR="009C16D2" w:rsidRPr="00B01BEC" w:rsidRDefault="009C16D2" w:rsidP="009C16D2">
            <w:pPr>
              <w:spacing w:after="0" w:line="240" w:lineRule="auto"/>
              <w:jc w:val="right"/>
              <w:rPr>
                <w:rFonts w:ascii="Arial" w:eastAsia="Times New Roman" w:hAnsi="Arial" w:cs="Arial"/>
                <w:sz w:val="20"/>
                <w:szCs w:val="20"/>
                <w:lang w:val="nl-NL" w:eastAsia="nl-NL" w:bidi="ar-SA"/>
              </w:rPr>
            </w:pPr>
            <w:r w:rsidRPr="00B01BEC">
              <w:rPr>
                <w:rFonts w:ascii="Arial" w:eastAsia="Times New Roman" w:hAnsi="Arial" w:cs="Arial"/>
                <w:sz w:val="20"/>
                <w:szCs w:val="20"/>
                <w:lang w:val="nl-NL" w:eastAsia="nl-NL" w:bidi="ar-SA"/>
              </w:rPr>
              <w:t>0,9752</w:t>
            </w:r>
          </w:p>
        </w:tc>
      </w:tr>
      <w:tr w:rsidR="009C16D2" w:rsidRPr="00B01BEC" w:rsidTr="009C16D2">
        <w:trPr>
          <w:trHeight w:val="268"/>
        </w:trPr>
        <w:tc>
          <w:tcPr>
            <w:tcW w:w="1941" w:type="dxa"/>
            <w:tcBorders>
              <w:top w:val="nil"/>
              <w:left w:val="single" w:sz="4" w:space="0" w:color="auto"/>
              <w:bottom w:val="single" w:sz="4" w:space="0" w:color="auto"/>
              <w:right w:val="single" w:sz="4" w:space="0" w:color="auto"/>
            </w:tcBorders>
            <w:shd w:val="clear" w:color="auto" w:fill="auto"/>
            <w:noWrap/>
            <w:vAlign w:val="bottom"/>
            <w:hideMark/>
          </w:tcPr>
          <w:p w:rsidR="009C16D2" w:rsidRPr="00B01BEC" w:rsidRDefault="009C16D2" w:rsidP="009C16D2">
            <w:pPr>
              <w:spacing w:after="0" w:line="240" w:lineRule="auto"/>
              <w:rPr>
                <w:rFonts w:ascii="Arial" w:eastAsia="Times New Roman" w:hAnsi="Arial" w:cs="Arial"/>
                <w:sz w:val="20"/>
                <w:szCs w:val="20"/>
                <w:lang w:val="nl-NL" w:eastAsia="nl-NL" w:bidi="ar-SA"/>
              </w:rPr>
            </w:pPr>
            <w:r w:rsidRPr="00B01BEC">
              <w:rPr>
                <w:rFonts w:ascii="Arial" w:eastAsia="Times New Roman" w:hAnsi="Arial" w:cs="Arial"/>
                <w:sz w:val="20"/>
                <w:szCs w:val="20"/>
                <w:lang w:val="nl-NL" w:eastAsia="nl-NL" w:bidi="ar-SA"/>
              </w:rPr>
              <w:t>USUT</w:t>
            </w:r>
          </w:p>
        </w:tc>
        <w:tc>
          <w:tcPr>
            <w:tcW w:w="1941" w:type="dxa"/>
            <w:tcBorders>
              <w:top w:val="nil"/>
              <w:left w:val="nil"/>
              <w:bottom w:val="single" w:sz="4" w:space="0" w:color="auto"/>
              <w:right w:val="nil"/>
            </w:tcBorders>
            <w:shd w:val="clear" w:color="auto" w:fill="auto"/>
            <w:noWrap/>
            <w:vAlign w:val="bottom"/>
            <w:hideMark/>
          </w:tcPr>
          <w:p w:rsidR="009C16D2" w:rsidRPr="00B01BEC" w:rsidRDefault="009C16D2" w:rsidP="009C16D2">
            <w:pPr>
              <w:spacing w:after="0" w:line="240" w:lineRule="auto"/>
              <w:jc w:val="right"/>
              <w:rPr>
                <w:rFonts w:ascii="Arial" w:eastAsia="Times New Roman" w:hAnsi="Arial" w:cs="Arial"/>
                <w:sz w:val="20"/>
                <w:szCs w:val="20"/>
                <w:lang w:val="nl-NL" w:eastAsia="nl-NL" w:bidi="ar-SA"/>
              </w:rPr>
            </w:pPr>
            <w:r w:rsidRPr="00B01BEC">
              <w:rPr>
                <w:rFonts w:ascii="Arial" w:eastAsia="Times New Roman" w:hAnsi="Arial" w:cs="Arial"/>
                <w:sz w:val="20"/>
                <w:szCs w:val="20"/>
                <w:lang w:val="nl-NL" w:eastAsia="nl-NL" w:bidi="ar-SA"/>
              </w:rPr>
              <w:t>-1,692729</w:t>
            </w:r>
          </w:p>
        </w:tc>
        <w:tc>
          <w:tcPr>
            <w:tcW w:w="2073" w:type="dxa"/>
            <w:tcBorders>
              <w:top w:val="nil"/>
              <w:left w:val="single" w:sz="4" w:space="0" w:color="auto"/>
              <w:bottom w:val="single" w:sz="4" w:space="0" w:color="auto"/>
              <w:right w:val="single" w:sz="4" w:space="0" w:color="auto"/>
            </w:tcBorders>
            <w:shd w:val="clear" w:color="auto" w:fill="auto"/>
            <w:noWrap/>
            <w:vAlign w:val="bottom"/>
            <w:hideMark/>
          </w:tcPr>
          <w:p w:rsidR="009C16D2" w:rsidRPr="00B01BEC" w:rsidRDefault="009C16D2" w:rsidP="009C16D2">
            <w:pPr>
              <w:spacing w:after="0" w:line="240" w:lineRule="auto"/>
              <w:jc w:val="right"/>
              <w:rPr>
                <w:rFonts w:ascii="Arial" w:eastAsia="Times New Roman" w:hAnsi="Arial" w:cs="Arial"/>
                <w:sz w:val="20"/>
                <w:szCs w:val="20"/>
                <w:lang w:val="nl-NL" w:eastAsia="nl-NL" w:bidi="ar-SA"/>
              </w:rPr>
            </w:pPr>
            <w:r w:rsidRPr="00B01BEC">
              <w:rPr>
                <w:rFonts w:ascii="Arial" w:eastAsia="Times New Roman" w:hAnsi="Arial" w:cs="Arial"/>
                <w:sz w:val="20"/>
                <w:szCs w:val="20"/>
                <w:lang w:val="nl-NL" w:eastAsia="nl-NL" w:bidi="ar-SA"/>
              </w:rPr>
              <w:t>0,6816</w:t>
            </w:r>
          </w:p>
        </w:tc>
        <w:tc>
          <w:tcPr>
            <w:tcW w:w="1875" w:type="dxa"/>
            <w:tcBorders>
              <w:top w:val="nil"/>
              <w:left w:val="nil"/>
              <w:bottom w:val="single" w:sz="4" w:space="0" w:color="auto"/>
              <w:right w:val="nil"/>
            </w:tcBorders>
            <w:shd w:val="clear" w:color="auto" w:fill="auto"/>
            <w:noWrap/>
            <w:vAlign w:val="bottom"/>
            <w:hideMark/>
          </w:tcPr>
          <w:p w:rsidR="009C16D2" w:rsidRPr="00B01BEC" w:rsidRDefault="009C16D2" w:rsidP="009C16D2">
            <w:pPr>
              <w:spacing w:after="0" w:line="240" w:lineRule="auto"/>
              <w:jc w:val="right"/>
              <w:rPr>
                <w:rFonts w:ascii="Arial" w:eastAsia="Times New Roman" w:hAnsi="Arial" w:cs="Arial"/>
                <w:sz w:val="20"/>
                <w:szCs w:val="20"/>
                <w:lang w:val="nl-NL" w:eastAsia="nl-NL" w:bidi="ar-SA"/>
              </w:rPr>
            </w:pPr>
            <w:r w:rsidRPr="00B01BEC">
              <w:rPr>
                <w:rFonts w:ascii="Arial" w:eastAsia="Times New Roman" w:hAnsi="Arial" w:cs="Arial"/>
                <w:sz w:val="20"/>
                <w:szCs w:val="20"/>
                <w:lang w:val="nl-NL" w:eastAsia="nl-NL" w:bidi="ar-SA"/>
              </w:rPr>
              <w:t>-5,804427</w:t>
            </w:r>
          </w:p>
        </w:tc>
        <w:tc>
          <w:tcPr>
            <w:tcW w:w="1579" w:type="dxa"/>
            <w:tcBorders>
              <w:top w:val="nil"/>
              <w:left w:val="single" w:sz="4" w:space="0" w:color="auto"/>
              <w:bottom w:val="single" w:sz="4" w:space="0" w:color="auto"/>
              <w:right w:val="single" w:sz="4" w:space="0" w:color="auto"/>
            </w:tcBorders>
            <w:shd w:val="clear" w:color="auto" w:fill="auto"/>
            <w:noWrap/>
            <w:vAlign w:val="bottom"/>
            <w:hideMark/>
          </w:tcPr>
          <w:p w:rsidR="009C16D2" w:rsidRPr="00B01BEC" w:rsidRDefault="009C16D2" w:rsidP="009C16D2">
            <w:pPr>
              <w:spacing w:after="0" w:line="240" w:lineRule="auto"/>
              <w:jc w:val="right"/>
              <w:rPr>
                <w:rFonts w:ascii="Arial" w:eastAsia="Times New Roman" w:hAnsi="Arial" w:cs="Arial"/>
                <w:sz w:val="20"/>
                <w:szCs w:val="20"/>
                <w:lang w:val="nl-NL" w:eastAsia="nl-NL" w:bidi="ar-SA"/>
              </w:rPr>
            </w:pPr>
            <w:r w:rsidRPr="00B01BEC">
              <w:rPr>
                <w:rFonts w:ascii="Arial" w:eastAsia="Times New Roman" w:hAnsi="Arial" w:cs="Arial"/>
                <w:sz w:val="20"/>
                <w:szCs w:val="20"/>
                <w:lang w:val="nl-NL" w:eastAsia="nl-NL" w:bidi="ar-SA"/>
              </w:rPr>
              <w:t>0,6678</w:t>
            </w:r>
          </w:p>
        </w:tc>
      </w:tr>
    </w:tbl>
    <w:p w:rsidR="009C16D2" w:rsidRDefault="009C16D2" w:rsidP="009C16D2"/>
    <w:p w:rsidR="009C16D2" w:rsidRPr="00107DB1" w:rsidRDefault="009C16D2" w:rsidP="00107DB1">
      <w:pPr>
        <w:pStyle w:val="Heading1"/>
      </w:pPr>
      <w:bookmarkStart w:id="19" w:name="_Toc300320245"/>
      <w:r w:rsidRPr="00107DB1">
        <w:t xml:space="preserve">Appendix </w:t>
      </w:r>
      <w:r w:rsidR="00107DB1" w:rsidRPr="00107DB1">
        <w:t xml:space="preserve">E </w:t>
      </w:r>
      <w:r w:rsidRPr="00107DB1">
        <w:t xml:space="preserve">Johansen </w:t>
      </w:r>
      <w:proofErr w:type="spellStart"/>
      <w:r w:rsidRPr="00107DB1">
        <w:t>cointegration</w:t>
      </w:r>
      <w:proofErr w:type="spellEnd"/>
      <w:r w:rsidRPr="00107DB1">
        <w:t xml:space="preserve"> test results</w:t>
      </w:r>
      <w:bookmarkEnd w:id="19"/>
    </w:p>
    <w:p w:rsidR="009C16D2" w:rsidRDefault="009C16D2" w:rsidP="009C16D2">
      <w:pPr>
        <w:pStyle w:val="NoSpacing"/>
      </w:pPr>
    </w:p>
    <w:tbl>
      <w:tblPr>
        <w:tblW w:w="9130" w:type="dxa"/>
        <w:tblInd w:w="53" w:type="dxa"/>
        <w:tblCellMar>
          <w:left w:w="70" w:type="dxa"/>
          <w:right w:w="70" w:type="dxa"/>
        </w:tblCellMar>
        <w:tblLook w:val="04A0"/>
      </w:tblPr>
      <w:tblGrid>
        <w:gridCol w:w="808"/>
        <w:gridCol w:w="121"/>
        <w:gridCol w:w="820"/>
        <w:gridCol w:w="130"/>
        <w:gridCol w:w="644"/>
        <w:gridCol w:w="137"/>
        <w:gridCol w:w="804"/>
        <w:gridCol w:w="146"/>
        <w:gridCol w:w="628"/>
        <w:gridCol w:w="153"/>
        <w:gridCol w:w="134"/>
        <w:gridCol w:w="215"/>
        <w:gridCol w:w="593"/>
        <w:gridCol w:w="335"/>
        <w:gridCol w:w="606"/>
        <w:gridCol w:w="344"/>
        <w:gridCol w:w="430"/>
        <w:gridCol w:w="351"/>
        <w:gridCol w:w="590"/>
        <w:gridCol w:w="360"/>
        <w:gridCol w:w="414"/>
        <w:gridCol w:w="367"/>
      </w:tblGrid>
      <w:tr w:rsidR="009C16D2" w:rsidRPr="00EF4435" w:rsidTr="009C16D2">
        <w:trPr>
          <w:trHeight w:val="243"/>
        </w:trPr>
        <w:tc>
          <w:tcPr>
            <w:tcW w:w="1879" w:type="dxa"/>
            <w:gridSpan w:val="4"/>
            <w:tcBorders>
              <w:top w:val="nil"/>
              <w:left w:val="nil"/>
              <w:bottom w:val="nil"/>
              <w:right w:val="nil"/>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proofErr w:type="spellStart"/>
            <w:r>
              <w:rPr>
                <w:rFonts w:ascii="Arial" w:eastAsia="Times New Roman" w:hAnsi="Arial" w:cs="Arial"/>
                <w:sz w:val="20"/>
                <w:szCs w:val="20"/>
                <w:lang w:val="nl-NL" w:eastAsia="nl-NL" w:bidi="ar-SA"/>
              </w:rPr>
              <w:t>European</w:t>
            </w:r>
            <w:proofErr w:type="spellEnd"/>
            <w:r>
              <w:rPr>
                <w:rFonts w:ascii="Arial" w:eastAsia="Times New Roman" w:hAnsi="Arial" w:cs="Arial"/>
                <w:sz w:val="20"/>
                <w:szCs w:val="20"/>
                <w:lang w:val="nl-NL" w:eastAsia="nl-NL" w:bidi="ar-SA"/>
              </w:rPr>
              <w:t xml:space="preserve"> indices and CHFEUR</w:t>
            </w:r>
          </w:p>
        </w:tc>
        <w:tc>
          <w:tcPr>
            <w:tcW w:w="781" w:type="dxa"/>
            <w:gridSpan w:val="2"/>
            <w:tcBorders>
              <w:top w:val="nil"/>
              <w:left w:val="nil"/>
              <w:bottom w:val="nil"/>
              <w:right w:val="nil"/>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p>
        </w:tc>
        <w:tc>
          <w:tcPr>
            <w:tcW w:w="950" w:type="dxa"/>
            <w:gridSpan w:val="2"/>
            <w:tcBorders>
              <w:top w:val="nil"/>
              <w:left w:val="nil"/>
              <w:bottom w:val="nil"/>
              <w:right w:val="nil"/>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p>
        </w:tc>
        <w:tc>
          <w:tcPr>
            <w:tcW w:w="781" w:type="dxa"/>
            <w:gridSpan w:val="2"/>
            <w:tcBorders>
              <w:top w:val="nil"/>
              <w:left w:val="nil"/>
              <w:bottom w:val="nil"/>
              <w:right w:val="nil"/>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p>
        </w:tc>
        <w:tc>
          <w:tcPr>
            <w:tcW w:w="349" w:type="dxa"/>
            <w:gridSpan w:val="2"/>
            <w:tcBorders>
              <w:top w:val="nil"/>
              <w:left w:val="nil"/>
              <w:bottom w:val="nil"/>
              <w:right w:val="nil"/>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p>
        </w:tc>
        <w:tc>
          <w:tcPr>
            <w:tcW w:w="1878" w:type="dxa"/>
            <w:gridSpan w:val="4"/>
            <w:tcBorders>
              <w:top w:val="nil"/>
              <w:left w:val="nil"/>
              <w:bottom w:val="nil"/>
              <w:right w:val="nil"/>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proofErr w:type="spellStart"/>
            <w:r w:rsidRPr="00EF4435">
              <w:rPr>
                <w:rFonts w:ascii="Arial" w:eastAsia="Times New Roman" w:hAnsi="Arial" w:cs="Arial"/>
                <w:sz w:val="20"/>
                <w:szCs w:val="20"/>
                <w:lang w:val="nl-NL" w:eastAsia="nl-NL" w:bidi="ar-SA"/>
              </w:rPr>
              <w:t>E</w:t>
            </w:r>
            <w:r>
              <w:rPr>
                <w:rFonts w:ascii="Arial" w:eastAsia="Times New Roman" w:hAnsi="Arial" w:cs="Arial"/>
                <w:sz w:val="20"/>
                <w:szCs w:val="20"/>
                <w:lang w:val="nl-NL" w:eastAsia="nl-NL" w:bidi="ar-SA"/>
              </w:rPr>
              <w:t>uropean</w:t>
            </w:r>
            <w:proofErr w:type="spellEnd"/>
            <w:r>
              <w:rPr>
                <w:rFonts w:ascii="Arial" w:eastAsia="Times New Roman" w:hAnsi="Arial" w:cs="Arial"/>
                <w:sz w:val="20"/>
                <w:szCs w:val="20"/>
                <w:lang w:val="nl-NL" w:eastAsia="nl-NL" w:bidi="ar-SA"/>
              </w:rPr>
              <w:t xml:space="preserve"> indices and EURUSD</w:t>
            </w:r>
          </w:p>
        </w:tc>
        <w:tc>
          <w:tcPr>
            <w:tcW w:w="781" w:type="dxa"/>
            <w:gridSpan w:val="2"/>
            <w:tcBorders>
              <w:top w:val="nil"/>
              <w:left w:val="nil"/>
              <w:bottom w:val="nil"/>
              <w:right w:val="nil"/>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p>
        </w:tc>
        <w:tc>
          <w:tcPr>
            <w:tcW w:w="950" w:type="dxa"/>
            <w:gridSpan w:val="2"/>
            <w:tcBorders>
              <w:top w:val="nil"/>
              <w:left w:val="nil"/>
              <w:bottom w:val="nil"/>
              <w:right w:val="nil"/>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p>
        </w:tc>
        <w:tc>
          <w:tcPr>
            <w:tcW w:w="781" w:type="dxa"/>
            <w:gridSpan w:val="2"/>
            <w:tcBorders>
              <w:top w:val="nil"/>
              <w:left w:val="nil"/>
              <w:bottom w:val="nil"/>
              <w:right w:val="nil"/>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p>
        </w:tc>
      </w:tr>
      <w:tr w:rsidR="009C16D2" w:rsidRPr="00EF4435" w:rsidTr="009C16D2">
        <w:trPr>
          <w:trHeight w:val="243"/>
        </w:trPr>
        <w:tc>
          <w:tcPr>
            <w:tcW w:w="929" w:type="dxa"/>
            <w:gridSpan w:val="2"/>
            <w:tcBorders>
              <w:top w:val="nil"/>
              <w:left w:val="nil"/>
              <w:bottom w:val="nil"/>
              <w:right w:val="nil"/>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p>
        </w:tc>
        <w:tc>
          <w:tcPr>
            <w:tcW w:w="1731" w:type="dxa"/>
            <w:gridSpan w:val="4"/>
            <w:tcBorders>
              <w:top w:val="nil"/>
              <w:left w:val="nil"/>
              <w:bottom w:val="nil"/>
              <w:right w:val="nil"/>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proofErr w:type="spellStart"/>
            <w:r w:rsidRPr="00EF4435">
              <w:rPr>
                <w:rFonts w:ascii="Arial" w:eastAsia="Times New Roman" w:hAnsi="Arial" w:cs="Arial"/>
                <w:sz w:val="20"/>
                <w:szCs w:val="20"/>
                <w:lang w:val="nl-NL" w:eastAsia="nl-NL" w:bidi="ar-SA"/>
              </w:rPr>
              <w:t>Trace</w:t>
            </w:r>
            <w:proofErr w:type="spellEnd"/>
            <w:r w:rsidRPr="00EF4435">
              <w:rPr>
                <w:rFonts w:ascii="Arial" w:eastAsia="Times New Roman" w:hAnsi="Arial" w:cs="Arial"/>
                <w:sz w:val="20"/>
                <w:szCs w:val="20"/>
                <w:lang w:val="nl-NL" w:eastAsia="nl-NL" w:bidi="ar-SA"/>
              </w:rPr>
              <w:t xml:space="preserve"> Test</w:t>
            </w:r>
          </w:p>
        </w:tc>
        <w:tc>
          <w:tcPr>
            <w:tcW w:w="1731" w:type="dxa"/>
            <w:gridSpan w:val="4"/>
            <w:tcBorders>
              <w:top w:val="nil"/>
              <w:left w:val="nil"/>
              <w:bottom w:val="nil"/>
              <w:right w:val="nil"/>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proofErr w:type="spellStart"/>
            <w:r w:rsidRPr="00EF4435">
              <w:rPr>
                <w:rFonts w:ascii="Arial" w:eastAsia="Times New Roman" w:hAnsi="Arial" w:cs="Arial"/>
                <w:sz w:val="20"/>
                <w:szCs w:val="20"/>
                <w:lang w:val="nl-NL" w:eastAsia="nl-NL" w:bidi="ar-SA"/>
              </w:rPr>
              <w:t>Max-Eign</w:t>
            </w:r>
            <w:proofErr w:type="spellEnd"/>
            <w:r w:rsidRPr="00EF4435">
              <w:rPr>
                <w:rFonts w:ascii="Arial" w:eastAsia="Times New Roman" w:hAnsi="Arial" w:cs="Arial"/>
                <w:sz w:val="20"/>
                <w:szCs w:val="20"/>
                <w:lang w:val="nl-NL" w:eastAsia="nl-NL" w:bidi="ar-SA"/>
              </w:rPr>
              <w:t xml:space="preserve"> Test</w:t>
            </w:r>
          </w:p>
        </w:tc>
        <w:tc>
          <w:tcPr>
            <w:tcW w:w="349" w:type="dxa"/>
            <w:gridSpan w:val="2"/>
            <w:tcBorders>
              <w:top w:val="nil"/>
              <w:left w:val="nil"/>
              <w:bottom w:val="nil"/>
              <w:right w:val="nil"/>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p>
        </w:tc>
        <w:tc>
          <w:tcPr>
            <w:tcW w:w="928" w:type="dxa"/>
            <w:gridSpan w:val="2"/>
            <w:tcBorders>
              <w:top w:val="nil"/>
              <w:left w:val="nil"/>
              <w:bottom w:val="nil"/>
              <w:right w:val="nil"/>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p>
        </w:tc>
        <w:tc>
          <w:tcPr>
            <w:tcW w:w="1731" w:type="dxa"/>
            <w:gridSpan w:val="4"/>
            <w:tcBorders>
              <w:top w:val="nil"/>
              <w:left w:val="nil"/>
              <w:bottom w:val="nil"/>
              <w:right w:val="nil"/>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proofErr w:type="spellStart"/>
            <w:r w:rsidRPr="00EF4435">
              <w:rPr>
                <w:rFonts w:ascii="Arial" w:eastAsia="Times New Roman" w:hAnsi="Arial" w:cs="Arial"/>
                <w:sz w:val="20"/>
                <w:szCs w:val="20"/>
                <w:lang w:val="nl-NL" w:eastAsia="nl-NL" w:bidi="ar-SA"/>
              </w:rPr>
              <w:t>Trace</w:t>
            </w:r>
            <w:proofErr w:type="spellEnd"/>
            <w:r w:rsidRPr="00EF4435">
              <w:rPr>
                <w:rFonts w:ascii="Arial" w:eastAsia="Times New Roman" w:hAnsi="Arial" w:cs="Arial"/>
                <w:sz w:val="20"/>
                <w:szCs w:val="20"/>
                <w:lang w:val="nl-NL" w:eastAsia="nl-NL" w:bidi="ar-SA"/>
              </w:rPr>
              <w:t xml:space="preserve"> Test</w:t>
            </w:r>
          </w:p>
        </w:tc>
        <w:tc>
          <w:tcPr>
            <w:tcW w:w="1731" w:type="dxa"/>
            <w:gridSpan w:val="4"/>
            <w:tcBorders>
              <w:top w:val="nil"/>
              <w:left w:val="nil"/>
              <w:bottom w:val="nil"/>
              <w:right w:val="nil"/>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proofErr w:type="spellStart"/>
            <w:r w:rsidRPr="00EF4435">
              <w:rPr>
                <w:rFonts w:ascii="Arial" w:eastAsia="Times New Roman" w:hAnsi="Arial" w:cs="Arial"/>
                <w:sz w:val="20"/>
                <w:szCs w:val="20"/>
                <w:lang w:val="nl-NL" w:eastAsia="nl-NL" w:bidi="ar-SA"/>
              </w:rPr>
              <w:t>Max-Eign</w:t>
            </w:r>
            <w:proofErr w:type="spellEnd"/>
            <w:r w:rsidRPr="00EF4435">
              <w:rPr>
                <w:rFonts w:ascii="Arial" w:eastAsia="Times New Roman" w:hAnsi="Arial" w:cs="Arial"/>
                <w:sz w:val="20"/>
                <w:szCs w:val="20"/>
                <w:lang w:val="nl-NL" w:eastAsia="nl-NL" w:bidi="ar-SA"/>
              </w:rPr>
              <w:t xml:space="preserve"> Test</w:t>
            </w:r>
          </w:p>
        </w:tc>
      </w:tr>
      <w:tr w:rsidR="009C16D2" w:rsidRPr="00EF4435" w:rsidTr="009C16D2">
        <w:trPr>
          <w:trHeight w:val="243"/>
        </w:trPr>
        <w:tc>
          <w:tcPr>
            <w:tcW w:w="929" w:type="dxa"/>
            <w:gridSpan w:val="2"/>
            <w:tcBorders>
              <w:top w:val="nil"/>
              <w:left w:val="nil"/>
              <w:bottom w:val="nil"/>
              <w:right w:val="nil"/>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 xml:space="preserve">Cross </w:t>
            </w:r>
            <w:proofErr w:type="spellStart"/>
            <w:r w:rsidRPr="00EF4435">
              <w:rPr>
                <w:rFonts w:ascii="Arial" w:eastAsia="Times New Roman" w:hAnsi="Arial" w:cs="Arial"/>
                <w:sz w:val="20"/>
                <w:szCs w:val="20"/>
                <w:lang w:val="nl-NL" w:eastAsia="nl-NL" w:bidi="ar-SA"/>
              </w:rPr>
              <w:t>Section</w:t>
            </w:r>
            <w:proofErr w:type="spellEnd"/>
          </w:p>
        </w:tc>
        <w:tc>
          <w:tcPr>
            <w:tcW w:w="950" w:type="dxa"/>
            <w:gridSpan w:val="2"/>
            <w:tcBorders>
              <w:top w:val="nil"/>
              <w:left w:val="nil"/>
              <w:bottom w:val="nil"/>
              <w:right w:val="nil"/>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proofErr w:type="spellStart"/>
            <w:r w:rsidRPr="00EF4435">
              <w:rPr>
                <w:rFonts w:ascii="Arial" w:eastAsia="Times New Roman" w:hAnsi="Arial" w:cs="Arial"/>
                <w:sz w:val="20"/>
                <w:szCs w:val="20"/>
                <w:lang w:val="nl-NL" w:eastAsia="nl-NL" w:bidi="ar-SA"/>
              </w:rPr>
              <w:t>Statistics</w:t>
            </w:r>
            <w:proofErr w:type="spellEnd"/>
            <w:r w:rsidRPr="00EF4435">
              <w:rPr>
                <w:rFonts w:ascii="Arial" w:eastAsia="Times New Roman" w:hAnsi="Arial" w:cs="Arial"/>
                <w:sz w:val="20"/>
                <w:szCs w:val="20"/>
                <w:lang w:val="nl-NL" w:eastAsia="nl-NL" w:bidi="ar-SA"/>
              </w:rPr>
              <w:t xml:space="preserve"> </w:t>
            </w:r>
          </w:p>
        </w:tc>
        <w:tc>
          <w:tcPr>
            <w:tcW w:w="781" w:type="dxa"/>
            <w:gridSpan w:val="2"/>
            <w:tcBorders>
              <w:top w:val="nil"/>
              <w:left w:val="nil"/>
              <w:bottom w:val="nil"/>
              <w:right w:val="nil"/>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proofErr w:type="spellStart"/>
            <w:r w:rsidRPr="00EF4435">
              <w:rPr>
                <w:rFonts w:ascii="Arial" w:eastAsia="Times New Roman" w:hAnsi="Arial" w:cs="Arial"/>
                <w:sz w:val="20"/>
                <w:szCs w:val="20"/>
                <w:lang w:val="nl-NL" w:eastAsia="nl-NL" w:bidi="ar-SA"/>
              </w:rPr>
              <w:t>Prob</w:t>
            </w:r>
            <w:proofErr w:type="spellEnd"/>
            <w:r w:rsidRPr="00EF4435">
              <w:rPr>
                <w:rFonts w:ascii="Arial" w:eastAsia="Times New Roman" w:hAnsi="Arial" w:cs="Arial"/>
                <w:sz w:val="20"/>
                <w:szCs w:val="20"/>
                <w:lang w:val="nl-NL" w:eastAsia="nl-NL" w:bidi="ar-SA"/>
              </w:rPr>
              <w:t xml:space="preserve">.** </w:t>
            </w:r>
          </w:p>
        </w:tc>
        <w:tc>
          <w:tcPr>
            <w:tcW w:w="950" w:type="dxa"/>
            <w:gridSpan w:val="2"/>
            <w:tcBorders>
              <w:top w:val="nil"/>
              <w:left w:val="nil"/>
              <w:bottom w:val="nil"/>
              <w:right w:val="nil"/>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proofErr w:type="spellStart"/>
            <w:r w:rsidRPr="00EF4435">
              <w:rPr>
                <w:rFonts w:ascii="Arial" w:eastAsia="Times New Roman" w:hAnsi="Arial" w:cs="Arial"/>
                <w:sz w:val="20"/>
                <w:szCs w:val="20"/>
                <w:lang w:val="nl-NL" w:eastAsia="nl-NL" w:bidi="ar-SA"/>
              </w:rPr>
              <w:t>Statistics</w:t>
            </w:r>
            <w:proofErr w:type="spellEnd"/>
          </w:p>
        </w:tc>
        <w:tc>
          <w:tcPr>
            <w:tcW w:w="781" w:type="dxa"/>
            <w:gridSpan w:val="2"/>
            <w:tcBorders>
              <w:top w:val="nil"/>
              <w:left w:val="nil"/>
              <w:bottom w:val="nil"/>
              <w:right w:val="nil"/>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proofErr w:type="spellStart"/>
            <w:r w:rsidRPr="00EF4435">
              <w:rPr>
                <w:rFonts w:ascii="Arial" w:eastAsia="Times New Roman" w:hAnsi="Arial" w:cs="Arial"/>
                <w:sz w:val="20"/>
                <w:szCs w:val="20"/>
                <w:lang w:val="nl-NL" w:eastAsia="nl-NL" w:bidi="ar-SA"/>
              </w:rPr>
              <w:t>Prob</w:t>
            </w:r>
            <w:proofErr w:type="spellEnd"/>
            <w:r w:rsidRPr="00EF4435">
              <w:rPr>
                <w:rFonts w:ascii="Arial" w:eastAsia="Times New Roman" w:hAnsi="Arial" w:cs="Arial"/>
                <w:sz w:val="20"/>
                <w:szCs w:val="20"/>
                <w:lang w:val="nl-NL" w:eastAsia="nl-NL" w:bidi="ar-SA"/>
              </w:rPr>
              <w:t>.**</w:t>
            </w:r>
          </w:p>
        </w:tc>
        <w:tc>
          <w:tcPr>
            <w:tcW w:w="349" w:type="dxa"/>
            <w:gridSpan w:val="2"/>
            <w:tcBorders>
              <w:top w:val="nil"/>
              <w:left w:val="nil"/>
              <w:bottom w:val="nil"/>
              <w:right w:val="nil"/>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p>
        </w:tc>
        <w:tc>
          <w:tcPr>
            <w:tcW w:w="928" w:type="dxa"/>
            <w:gridSpan w:val="2"/>
            <w:tcBorders>
              <w:top w:val="nil"/>
              <w:left w:val="nil"/>
              <w:bottom w:val="nil"/>
              <w:right w:val="nil"/>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 xml:space="preserve">Cross </w:t>
            </w:r>
            <w:proofErr w:type="spellStart"/>
            <w:r w:rsidRPr="00EF4435">
              <w:rPr>
                <w:rFonts w:ascii="Arial" w:eastAsia="Times New Roman" w:hAnsi="Arial" w:cs="Arial"/>
                <w:sz w:val="20"/>
                <w:szCs w:val="20"/>
                <w:lang w:val="nl-NL" w:eastAsia="nl-NL" w:bidi="ar-SA"/>
              </w:rPr>
              <w:t>Section</w:t>
            </w:r>
            <w:proofErr w:type="spellEnd"/>
          </w:p>
        </w:tc>
        <w:tc>
          <w:tcPr>
            <w:tcW w:w="950" w:type="dxa"/>
            <w:gridSpan w:val="2"/>
            <w:tcBorders>
              <w:top w:val="nil"/>
              <w:left w:val="nil"/>
              <w:bottom w:val="nil"/>
              <w:right w:val="nil"/>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proofErr w:type="spellStart"/>
            <w:r w:rsidRPr="00EF4435">
              <w:rPr>
                <w:rFonts w:ascii="Arial" w:eastAsia="Times New Roman" w:hAnsi="Arial" w:cs="Arial"/>
                <w:sz w:val="20"/>
                <w:szCs w:val="20"/>
                <w:lang w:val="nl-NL" w:eastAsia="nl-NL" w:bidi="ar-SA"/>
              </w:rPr>
              <w:t>Statistics</w:t>
            </w:r>
            <w:proofErr w:type="spellEnd"/>
            <w:r w:rsidRPr="00EF4435">
              <w:rPr>
                <w:rFonts w:ascii="Arial" w:eastAsia="Times New Roman" w:hAnsi="Arial" w:cs="Arial"/>
                <w:sz w:val="20"/>
                <w:szCs w:val="20"/>
                <w:lang w:val="nl-NL" w:eastAsia="nl-NL" w:bidi="ar-SA"/>
              </w:rPr>
              <w:t xml:space="preserve"> </w:t>
            </w:r>
          </w:p>
        </w:tc>
        <w:tc>
          <w:tcPr>
            <w:tcW w:w="781" w:type="dxa"/>
            <w:gridSpan w:val="2"/>
            <w:tcBorders>
              <w:top w:val="nil"/>
              <w:left w:val="nil"/>
              <w:bottom w:val="nil"/>
              <w:right w:val="nil"/>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proofErr w:type="spellStart"/>
            <w:r w:rsidRPr="00EF4435">
              <w:rPr>
                <w:rFonts w:ascii="Arial" w:eastAsia="Times New Roman" w:hAnsi="Arial" w:cs="Arial"/>
                <w:sz w:val="20"/>
                <w:szCs w:val="20"/>
                <w:lang w:val="nl-NL" w:eastAsia="nl-NL" w:bidi="ar-SA"/>
              </w:rPr>
              <w:t>Prob</w:t>
            </w:r>
            <w:proofErr w:type="spellEnd"/>
            <w:r w:rsidRPr="00EF4435">
              <w:rPr>
                <w:rFonts w:ascii="Arial" w:eastAsia="Times New Roman" w:hAnsi="Arial" w:cs="Arial"/>
                <w:sz w:val="20"/>
                <w:szCs w:val="20"/>
                <w:lang w:val="nl-NL" w:eastAsia="nl-NL" w:bidi="ar-SA"/>
              </w:rPr>
              <w:t xml:space="preserve">.** </w:t>
            </w:r>
          </w:p>
        </w:tc>
        <w:tc>
          <w:tcPr>
            <w:tcW w:w="950" w:type="dxa"/>
            <w:gridSpan w:val="2"/>
            <w:tcBorders>
              <w:top w:val="nil"/>
              <w:left w:val="nil"/>
              <w:bottom w:val="nil"/>
              <w:right w:val="nil"/>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proofErr w:type="spellStart"/>
            <w:r w:rsidRPr="00EF4435">
              <w:rPr>
                <w:rFonts w:ascii="Arial" w:eastAsia="Times New Roman" w:hAnsi="Arial" w:cs="Arial"/>
                <w:sz w:val="20"/>
                <w:szCs w:val="20"/>
                <w:lang w:val="nl-NL" w:eastAsia="nl-NL" w:bidi="ar-SA"/>
              </w:rPr>
              <w:t>Statistics</w:t>
            </w:r>
            <w:proofErr w:type="spellEnd"/>
          </w:p>
        </w:tc>
        <w:tc>
          <w:tcPr>
            <w:tcW w:w="781" w:type="dxa"/>
            <w:gridSpan w:val="2"/>
            <w:tcBorders>
              <w:top w:val="nil"/>
              <w:left w:val="nil"/>
              <w:bottom w:val="nil"/>
              <w:right w:val="nil"/>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proofErr w:type="spellStart"/>
            <w:r w:rsidRPr="00EF4435">
              <w:rPr>
                <w:rFonts w:ascii="Arial" w:eastAsia="Times New Roman" w:hAnsi="Arial" w:cs="Arial"/>
                <w:sz w:val="20"/>
                <w:szCs w:val="20"/>
                <w:lang w:val="nl-NL" w:eastAsia="nl-NL" w:bidi="ar-SA"/>
              </w:rPr>
              <w:t>Prob</w:t>
            </w:r>
            <w:proofErr w:type="spellEnd"/>
            <w:r w:rsidRPr="00EF4435">
              <w:rPr>
                <w:rFonts w:ascii="Arial" w:eastAsia="Times New Roman" w:hAnsi="Arial" w:cs="Arial"/>
                <w:sz w:val="20"/>
                <w:szCs w:val="20"/>
                <w:lang w:val="nl-NL" w:eastAsia="nl-NL" w:bidi="ar-SA"/>
              </w:rPr>
              <w:t>.**</w:t>
            </w:r>
          </w:p>
        </w:tc>
      </w:tr>
      <w:tr w:rsidR="009C16D2" w:rsidRPr="00EF4435" w:rsidTr="009C16D2">
        <w:trPr>
          <w:trHeight w:val="243"/>
        </w:trPr>
        <w:tc>
          <w:tcPr>
            <w:tcW w:w="3610" w:type="dxa"/>
            <w:gridSpan w:val="8"/>
            <w:tcBorders>
              <w:top w:val="single" w:sz="4" w:space="0" w:color="auto"/>
              <w:left w:val="single" w:sz="4" w:space="0" w:color="auto"/>
              <w:bottom w:val="single" w:sz="4" w:space="0" w:color="auto"/>
              <w:right w:val="nil"/>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 xml:space="preserve">Hypothesis of </w:t>
            </w:r>
            <w:proofErr w:type="spellStart"/>
            <w:r w:rsidRPr="00EF4435">
              <w:rPr>
                <w:rFonts w:ascii="Arial" w:eastAsia="Times New Roman" w:hAnsi="Arial" w:cs="Arial"/>
                <w:sz w:val="20"/>
                <w:szCs w:val="20"/>
                <w:lang w:val="nl-NL" w:eastAsia="nl-NL" w:bidi="ar-SA"/>
              </w:rPr>
              <w:t>no</w:t>
            </w:r>
            <w:proofErr w:type="spellEnd"/>
            <w:r w:rsidRPr="00EF4435">
              <w:rPr>
                <w:rFonts w:ascii="Arial" w:eastAsia="Times New Roman" w:hAnsi="Arial" w:cs="Arial"/>
                <w:sz w:val="20"/>
                <w:szCs w:val="20"/>
                <w:lang w:val="nl-NL" w:eastAsia="nl-NL" w:bidi="ar-SA"/>
              </w:rPr>
              <w:t xml:space="preserve"> </w:t>
            </w:r>
            <w:proofErr w:type="spellStart"/>
            <w:r w:rsidRPr="00EF4435">
              <w:rPr>
                <w:rFonts w:ascii="Arial" w:eastAsia="Times New Roman" w:hAnsi="Arial" w:cs="Arial"/>
                <w:sz w:val="20"/>
                <w:szCs w:val="20"/>
                <w:lang w:val="nl-NL" w:eastAsia="nl-NL" w:bidi="ar-SA"/>
              </w:rPr>
              <w:t>cointegration</w:t>
            </w:r>
            <w:proofErr w:type="spellEnd"/>
          </w:p>
        </w:tc>
        <w:tc>
          <w:tcPr>
            <w:tcW w:w="781" w:type="dxa"/>
            <w:gridSpan w:val="2"/>
            <w:tcBorders>
              <w:top w:val="single" w:sz="4" w:space="0" w:color="auto"/>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 </w:t>
            </w:r>
          </w:p>
        </w:tc>
        <w:tc>
          <w:tcPr>
            <w:tcW w:w="349" w:type="dxa"/>
            <w:gridSpan w:val="2"/>
            <w:tcBorders>
              <w:top w:val="nil"/>
              <w:left w:val="nil"/>
              <w:bottom w:val="nil"/>
              <w:right w:val="nil"/>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p>
        </w:tc>
        <w:tc>
          <w:tcPr>
            <w:tcW w:w="3609" w:type="dxa"/>
            <w:gridSpan w:val="8"/>
            <w:tcBorders>
              <w:top w:val="single" w:sz="4" w:space="0" w:color="auto"/>
              <w:left w:val="single" w:sz="4" w:space="0" w:color="auto"/>
              <w:bottom w:val="single" w:sz="4" w:space="0" w:color="auto"/>
              <w:right w:val="nil"/>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 xml:space="preserve">Hypothesis of </w:t>
            </w:r>
            <w:proofErr w:type="spellStart"/>
            <w:r w:rsidRPr="00EF4435">
              <w:rPr>
                <w:rFonts w:ascii="Arial" w:eastAsia="Times New Roman" w:hAnsi="Arial" w:cs="Arial"/>
                <w:sz w:val="20"/>
                <w:szCs w:val="20"/>
                <w:lang w:val="nl-NL" w:eastAsia="nl-NL" w:bidi="ar-SA"/>
              </w:rPr>
              <w:t>no</w:t>
            </w:r>
            <w:proofErr w:type="spellEnd"/>
            <w:r w:rsidRPr="00EF4435">
              <w:rPr>
                <w:rFonts w:ascii="Arial" w:eastAsia="Times New Roman" w:hAnsi="Arial" w:cs="Arial"/>
                <w:sz w:val="20"/>
                <w:szCs w:val="20"/>
                <w:lang w:val="nl-NL" w:eastAsia="nl-NL" w:bidi="ar-SA"/>
              </w:rPr>
              <w:t xml:space="preserve"> </w:t>
            </w:r>
            <w:proofErr w:type="spellStart"/>
            <w:r w:rsidRPr="00EF4435">
              <w:rPr>
                <w:rFonts w:ascii="Arial" w:eastAsia="Times New Roman" w:hAnsi="Arial" w:cs="Arial"/>
                <w:sz w:val="20"/>
                <w:szCs w:val="20"/>
                <w:lang w:val="nl-NL" w:eastAsia="nl-NL" w:bidi="ar-SA"/>
              </w:rPr>
              <w:t>cointegration</w:t>
            </w:r>
            <w:proofErr w:type="spellEnd"/>
          </w:p>
        </w:tc>
        <w:tc>
          <w:tcPr>
            <w:tcW w:w="781" w:type="dxa"/>
            <w:gridSpan w:val="2"/>
            <w:tcBorders>
              <w:top w:val="single" w:sz="4" w:space="0" w:color="auto"/>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 </w:t>
            </w:r>
          </w:p>
        </w:tc>
      </w:tr>
      <w:tr w:rsidR="009C16D2" w:rsidRPr="00EF4435" w:rsidTr="009C16D2">
        <w:trPr>
          <w:trHeight w:val="243"/>
        </w:trPr>
        <w:tc>
          <w:tcPr>
            <w:tcW w:w="929" w:type="dxa"/>
            <w:gridSpan w:val="2"/>
            <w:tcBorders>
              <w:top w:val="nil"/>
              <w:left w:val="single" w:sz="4" w:space="0" w:color="auto"/>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BASICR</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4,5446</w:t>
            </w:r>
          </w:p>
        </w:tc>
        <w:tc>
          <w:tcPr>
            <w:tcW w:w="78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0,8551</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3,0109</w:t>
            </w:r>
          </w:p>
        </w:tc>
        <w:tc>
          <w:tcPr>
            <w:tcW w:w="78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0,946</w:t>
            </w:r>
          </w:p>
        </w:tc>
        <w:tc>
          <w:tcPr>
            <w:tcW w:w="349" w:type="dxa"/>
            <w:gridSpan w:val="2"/>
            <w:tcBorders>
              <w:top w:val="nil"/>
              <w:left w:val="nil"/>
              <w:bottom w:val="nil"/>
              <w:right w:val="nil"/>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p>
        </w:tc>
        <w:tc>
          <w:tcPr>
            <w:tcW w:w="928" w:type="dxa"/>
            <w:gridSpan w:val="2"/>
            <w:tcBorders>
              <w:top w:val="nil"/>
              <w:left w:val="single" w:sz="4" w:space="0" w:color="auto"/>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BASICR</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5,5687</w:t>
            </w:r>
          </w:p>
        </w:tc>
        <w:tc>
          <w:tcPr>
            <w:tcW w:w="78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0,7458</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4,7456</w:t>
            </w:r>
          </w:p>
        </w:tc>
        <w:tc>
          <w:tcPr>
            <w:tcW w:w="78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0,7736</w:t>
            </w:r>
          </w:p>
        </w:tc>
      </w:tr>
      <w:tr w:rsidR="009C16D2" w:rsidRPr="00EF4435" w:rsidTr="009C16D2">
        <w:trPr>
          <w:trHeight w:val="243"/>
        </w:trPr>
        <w:tc>
          <w:tcPr>
            <w:tcW w:w="929" w:type="dxa"/>
            <w:gridSpan w:val="2"/>
            <w:tcBorders>
              <w:top w:val="nil"/>
              <w:left w:val="single" w:sz="4" w:space="0" w:color="auto"/>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CGDS</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9,7831</w:t>
            </w:r>
          </w:p>
        </w:tc>
        <w:tc>
          <w:tcPr>
            <w:tcW w:w="78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0,2978</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7,0452</w:t>
            </w:r>
          </w:p>
        </w:tc>
        <w:tc>
          <w:tcPr>
            <w:tcW w:w="78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0,4838</w:t>
            </w:r>
          </w:p>
        </w:tc>
        <w:tc>
          <w:tcPr>
            <w:tcW w:w="349" w:type="dxa"/>
            <w:gridSpan w:val="2"/>
            <w:tcBorders>
              <w:top w:val="nil"/>
              <w:left w:val="nil"/>
              <w:bottom w:val="nil"/>
              <w:right w:val="nil"/>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p>
        </w:tc>
        <w:tc>
          <w:tcPr>
            <w:tcW w:w="928" w:type="dxa"/>
            <w:gridSpan w:val="2"/>
            <w:tcBorders>
              <w:top w:val="nil"/>
              <w:left w:val="single" w:sz="4" w:space="0" w:color="auto"/>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CGDS</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3,7166</w:t>
            </w:r>
          </w:p>
        </w:tc>
        <w:tc>
          <w:tcPr>
            <w:tcW w:w="78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0,9251</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3,0015</w:t>
            </w:r>
          </w:p>
        </w:tc>
        <w:tc>
          <w:tcPr>
            <w:tcW w:w="78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0,9466</w:t>
            </w:r>
          </w:p>
        </w:tc>
      </w:tr>
      <w:tr w:rsidR="009C16D2" w:rsidRPr="00EF4435" w:rsidTr="009C16D2">
        <w:trPr>
          <w:trHeight w:val="243"/>
        </w:trPr>
        <w:tc>
          <w:tcPr>
            <w:tcW w:w="929" w:type="dxa"/>
            <w:gridSpan w:val="2"/>
            <w:tcBorders>
              <w:top w:val="nil"/>
              <w:left w:val="single" w:sz="4" w:space="0" w:color="auto"/>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CSVS</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3,4778</w:t>
            </w:r>
          </w:p>
        </w:tc>
        <w:tc>
          <w:tcPr>
            <w:tcW w:w="78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0,9411</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2,627</w:t>
            </w:r>
          </w:p>
        </w:tc>
        <w:tc>
          <w:tcPr>
            <w:tcW w:w="78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0,9684</w:t>
            </w:r>
          </w:p>
        </w:tc>
        <w:tc>
          <w:tcPr>
            <w:tcW w:w="349" w:type="dxa"/>
            <w:gridSpan w:val="2"/>
            <w:tcBorders>
              <w:top w:val="nil"/>
              <w:left w:val="nil"/>
              <w:bottom w:val="nil"/>
              <w:right w:val="nil"/>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p>
        </w:tc>
        <w:tc>
          <w:tcPr>
            <w:tcW w:w="928" w:type="dxa"/>
            <w:gridSpan w:val="2"/>
            <w:tcBorders>
              <w:top w:val="nil"/>
              <w:left w:val="single" w:sz="4" w:space="0" w:color="auto"/>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CSVS</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14,57</w:t>
            </w:r>
          </w:p>
        </w:tc>
        <w:tc>
          <w:tcPr>
            <w:tcW w:w="78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0,0686</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11,222</w:t>
            </w:r>
          </w:p>
        </w:tc>
        <w:tc>
          <w:tcPr>
            <w:tcW w:w="78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0,1434</w:t>
            </w:r>
          </w:p>
        </w:tc>
      </w:tr>
      <w:tr w:rsidR="009C16D2" w:rsidRPr="00EF4435" w:rsidTr="009C16D2">
        <w:trPr>
          <w:trHeight w:val="243"/>
        </w:trPr>
        <w:tc>
          <w:tcPr>
            <w:tcW w:w="929" w:type="dxa"/>
            <w:gridSpan w:val="2"/>
            <w:tcBorders>
              <w:top w:val="nil"/>
              <w:left w:val="single" w:sz="4" w:space="0" w:color="auto"/>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FSVS</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3,7156</w:t>
            </w:r>
          </w:p>
        </w:tc>
        <w:tc>
          <w:tcPr>
            <w:tcW w:w="78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0,9251</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2,8521</w:t>
            </w:r>
          </w:p>
        </w:tc>
        <w:tc>
          <w:tcPr>
            <w:tcW w:w="78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0,9561</w:t>
            </w:r>
          </w:p>
        </w:tc>
        <w:tc>
          <w:tcPr>
            <w:tcW w:w="349" w:type="dxa"/>
            <w:gridSpan w:val="2"/>
            <w:tcBorders>
              <w:top w:val="nil"/>
              <w:left w:val="nil"/>
              <w:bottom w:val="nil"/>
              <w:right w:val="nil"/>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p>
        </w:tc>
        <w:tc>
          <w:tcPr>
            <w:tcW w:w="928" w:type="dxa"/>
            <w:gridSpan w:val="2"/>
            <w:tcBorders>
              <w:top w:val="nil"/>
              <w:left w:val="single" w:sz="4" w:space="0" w:color="auto"/>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FSVS</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2,8029</w:t>
            </w:r>
          </w:p>
        </w:tc>
        <w:tc>
          <w:tcPr>
            <w:tcW w:w="78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0,9751</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1,9849</w:t>
            </w:r>
          </w:p>
        </w:tc>
        <w:tc>
          <w:tcPr>
            <w:tcW w:w="78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0,9911</w:t>
            </w:r>
          </w:p>
        </w:tc>
      </w:tr>
      <w:tr w:rsidR="009C16D2" w:rsidRPr="00EF4435" w:rsidTr="009C16D2">
        <w:trPr>
          <w:trHeight w:val="243"/>
        </w:trPr>
        <w:tc>
          <w:tcPr>
            <w:tcW w:w="929" w:type="dxa"/>
            <w:gridSpan w:val="2"/>
            <w:tcBorders>
              <w:top w:val="nil"/>
              <w:left w:val="single" w:sz="4" w:space="0" w:color="auto"/>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HC</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5,749</w:t>
            </w:r>
          </w:p>
        </w:tc>
        <w:tc>
          <w:tcPr>
            <w:tcW w:w="78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0,725</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5,1454</w:t>
            </w:r>
          </w:p>
        </w:tc>
        <w:tc>
          <w:tcPr>
            <w:tcW w:w="78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0,7234</w:t>
            </w:r>
          </w:p>
        </w:tc>
        <w:tc>
          <w:tcPr>
            <w:tcW w:w="349" w:type="dxa"/>
            <w:gridSpan w:val="2"/>
            <w:tcBorders>
              <w:top w:val="nil"/>
              <w:left w:val="nil"/>
              <w:bottom w:val="nil"/>
              <w:right w:val="nil"/>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p>
        </w:tc>
        <w:tc>
          <w:tcPr>
            <w:tcW w:w="928" w:type="dxa"/>
            <w:gridSpan w:val="2"/>
            <w:tcBorders>
              <w:top w:val="nil"/>
              <w:left w:val="single" w:sz="4" w:space="0" w:color="auto"/>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HC</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5,1019</w:t>
            </w:r>
          </w:p>
        </w:tc>
        <w:tc>
          <w:tcPr>
            <w:tcW w:w="78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0,7979</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4,4255</w:t>
            </w:r>
          </w:p>
        </w:tc>
        <w:tc>
          <w:tcPr>
            <w:tcW w:w="78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0,8119</w:t>
            </w:r>
          </w:p>
        </w:tc>
      </w:tr>
      <w:tr w:rsidR="009C16D2" w:rsidRPr="00EF4435" w:rsidTr="009C16D2">
        <w:trPr>
          <w:trHeight w:val="243"/>
        </w:trPr>
        <w:tc>
          <w:tcPr>
            <w:tcW w:w="929" w:type="dxa"/>
            <w:gridSpan w:val="2"/>
            <w:tcBorders>
              <w:top w:val="nil"/>
              <w:left w:val="single" w:sz="4" w:space="0" w:color="auto"/>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IND</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7,9799</w:t>
            </w:r>
          </w:p>
        </w:tc>
        <w:tc>
          <w:tcPr>
            <w:tcW w:w="78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0,4676</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6,8577</w:t>
            </w:r>
          </w:p>
        </w:tc>
        <w:tc>
          <w:tcPr>
            <w:tcW w:w="78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0,5061</w:t>
            </w:r>
          </w:p>
        </w:tc>
        <w:tc>
          <w:tcPr>
            <w:tcW w:w="349" w:type="dxa"/>
            <w:gridSpan w:val="2"/>
            <w:tcBorders>
              <w:top w:val="nil"/>
              <w:left w:val="nil"/>
              <w:bottom w:val="nil"/>
              <w:right w:val="nil"/>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p>
        </w:tc>
        <w:tc>
          <w:tcPr>
            <w:tcW w:w="928" w:type="dxa"/>
            <w:gridSpan w:val="2"/>
            <w:tcBorders>
              <w:top w:val="nil"/>
              <w:left w:val="single" w:sz="4" w:space="0" w:color="auto"/>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IND</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4,65</w:t>
            </w:r>
          </w:p>
        </w:tc>
        <w:tc>
          <w:tcPr>
            <w:tcW w:w="78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0,8448</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3,3776</w:t>
            </w:r>
          </w:p>
        </w:tc>
        <w:tc>
          <w:tcPr>
            <w:tcW w:w="78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0,9185</w:t>
            </w:r>
          </w:p>
        </w:tc>
      </w:tr>
      <w:tr w:rsidR="009C16D2" w:rsidRPr="00EF4435" w:rsidTr="009C16D2">
        <w:trPr>
          <w:trHeight w:val="243"/>
        </w:trPr>
        <w:tc>
          <w:tcPr>
            <w:tcW w:w="929" w:type="dxa"/>
            <w:gridSpan w:val="2"/>
            <w:tcBorders>
              <w:top w:val="nil"/>
              <w:left w:val="single" w:sz="4" w:space="0" w:color="auto"/>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OG</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7,1296</w:t>
            </w:r>
          </w:p>
        </w:tc>
        <w:tc>
          <w:tcPr>
            <w:tcW w:w="78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0,5626</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6,0728</w:t>
            </w:r>
          </w:p>
        </w:tc>
        <w:tc>
          <w:tcPr>
            <w:tcW w:w="78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0,6039</w:t>
            </w:r>
          </w:p>
        </w:tc>
        <w:tc>
          <w:tcPr>
            <w:tcW w:w="349" w:type="dxa"/>
            <w:gridSpan w:val="2"/>
            <w:tcBorders>
              <w:top w:val="nil"/>
              <w:left w:val="nil"/>
              <w:bottom w:val="nil"/>
              <w:right w:val="nil"/>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p>
        </w:tc>
        <w:tc>
          <w:tcPr>
            <w:tcW w:w="928" w:type="dxa"/>
            <w:gridSpan w:val="2"/>
            <w:tcBorders>
              <w:top w:val="nil"/>
              <w:left w:val="single" w:sz="4" w:space="0" w:color="auto"/>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OG</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6,7978</w:t>
            </w:r>
          </w:p>
        </w:tc>
        <w:tc>
          <w:tcPr>
            <w:tcW w:w="78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0,6013</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5,9279</w:t>
            </w:r>
          </w:p>
        </w:tc>
        <w:tc>
          <w:tcPr>
            <w:tcW w:w="78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0,6225</w:t>
            </w:r>
          </w:p>
        </w:tc>
      </w:tr>
      <w:tr w:rsidR="009C16D2" w:rsidRPr="00EF4435" w:rsidTr="009C16D2">
        <w:trPr>
          <w:trHeight w:val="243"/>
        </w:trPr>
        <w:tc>
          <w:tcPr>
            <w:tcW w:w="929" w:type="dxa"/>
            <w:gridSpan w:val="2"/>
            <w:tcBorders>
              <w:top w:val="nil"/>
              <w:left w:val="single" w:sz="4" w:space="0" w:color="auto"/>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r>
              <w:rPr>
                <w:rFonts w:ascii="Arial" w:eastAsia="Times New Roman" w:hAnsi="Arial" w:cs="Arial"/>
                <w:sz w:val="20"/>
                <w:szCs w:val="20"/>
                <w:lang w:val="nl-NL" w:eastAsia="nl-NL" w:bidi="ar-SA"/>
              </w:rPr>
              <w:t>EU</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4,6017</w:t>
            </w:r>
          </w:p>
        </w:tc>
        <w:tc>
          <w:tcPr>
            <w:tcW w:w="78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0,8496</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3,5346</w:t>
            </w:r>
          </w:p>
        </w:tc>
        <w:tc>
          <w:tcPr>
            <w:tcW w:w="78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0,9049</w:t>
            </w:r>
          </w:p>
        </w:tc>
        <w:tc>
          <w:tcPr>
            <w:tcW w:w="349" w:type="dxa"/>
            <w:gridSpan w:val="2"/>
            <w:tcBorders>
              <w:top w:val="nil"/>
              <w:left w:val="nil"/>
              <w:bottom w:val="nil"/>
              <w:right w:val="nil"/>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p>
        </w:tc>
        <w:tc>
          <w:tcPr>
            <w:tcW w:w="928" w:type="dxa"/>
            <w:gridSpan w:val="2"/>
            <w:tcBorders>
              <w:top w:val="nil"/>
              <w:left w:val="single" w:sz="4" w:space="0" w:color="auto"/>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r>
              <w:rPr>
                <w:rFonts w:ascii="Arial" w:eastAsia="Times New Roman" w:hAnsi="Arial" w:cs="Arial"/>
                <w:sz w:val="20"/>
                <w:szCs w:val="20"/>
                <w:lang w:val="nl-NL" w:eastAsia="nl-NL" w:bidi="ar-SA"/>
              </w:rPr>
              <w:t>EU</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5,3847</w:t>
            </w:r>
          </w:p>
        </w:tc>
        <w:tc>
          <w:tcPr>
            <w:tcW w:w="78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0,7667</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3,8833</w:t>
            </w:r>
          </w:p>
        </w:tc>
        <w:tc>
          <w:tcPr>
            <w:tcW w:w="78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0,8714</w:t>
            </w:r>
          </w:p>
        </w:tc>
      </w:tr>
      <w:tr w:rsidR="009C16D2" w:rsidRPr="00EF4435" w:rsidTr="009C16D2">
        <w:trPr>
          <w:trHeight w:val="243"/>
        </w:trPr>
        <w:tc>
          <w:tcPr>
            <w:tcW w:w="929" w:type="dxa"/>
            <w:gridSpan w:val="2"/>
            <w:tcBorders>
              <w:top w:val="nil"/>
              <w:left w:val="single" w:sz="4" w:space="0" w:color="auto"/>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TECH</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4,9041</w:t>
            </w:r>
          </w:p>
        </w:tc>
        <w:tc>
          <w:tcPr>
            <w:tcW w:w="78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0,8189</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4,669</w:t>
            </w:r>
          </w:p>
        </w:tc>
        <w:tc>
          <w:tcPr>
            <w:tcW w:w="78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0,7829</w:t>
            </w:r>
          </w:p>
        </w:tc>
        <w:tc>
          <w:tcPr>
            <w:tcW w:w="349" w:type="dxa"/>
            <w:gridSpan w:val="2"/>
            <w:tcBorders>
              <w:top w:val="nil"/>
              <w:left w:val="nil"/>
              <w:bottom w:val="nil"/>
              <w:right w:val="nil"/>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p>
        </w:tc>
        <w:tc>
          <w:tcPr>
            <w:tcW w:w="928" w:type="dxa"/>
            <w:gridSpan w:val="2"/>
            <w:tcBorders>
              <w:top w:val="nil"/>
              <w:left w:val="single" w:sz="4" w:space="0" w:color="auto"/>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TECH</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13,267</w:t>
            </w:r>
          </w:p>
        </w:tc>
        <w:tc>
          <w:tcPr>
            <w:tcW w:w="78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0,1054</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11,0731</w:t>
            </w:r>
          </w:p>
        </w:tc>
        <w:tc>
          <w:tcPr>
            <w:tcW w:w="78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0,1506</w:t>
            </w:r>
          </w:p>
        </w:tc>
      </w:tr>
      <w:tr w:rsidR="009C16D2" w:rsidRPr="00EF4435" w:rsidTr="009C16D2">
        <w:trPr>
          <w:trHeight w:val="243"/>
        </w:trPr>
        <w:tc>
          <w:tcPr>
            <w:tcW w:w="929" w:type="dxa"/>
            <w:gridSpan w:val="2"/>
            <w:tcBorders>
              <w:top w:val="nil"/>
              <w:left w:val="single" w:sz="4" w:space="0" w:color="auto"/>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TEL</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6,2523</w:t>
            </w:r>
          </w:p>
        </w:tc>
        <w:tc>
          <w:tcPr>
            <w:tcW w:w="78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0,6657</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6,031</w:t>
            </w:r>
          </w:p>
        </w:tc>
        <w:tc>
          <w:tcPr>
            <w:tcW w:w="78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0,6092</w:t>
            </w:r>
          </w:p>
        </w:tc>
        <w:tc>
          <w:tcPr>
            <w:tcW w:w="349" w:type="dxa"/>
            <w:gridSpan w:val="2"/>
            <w:tcBorders>
              <w:top w:val="nil"/>
              <w:left w:val="nil"/>
              <w:bottom w:val="nil"/>
              <w:right w:val="nil"/>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p>
        </w:tc>
        <w:tc>
          <w:tcPr>
            <w:tcW w:w="928" w:type="dxa"/>
            <w:gridSpan w:val="2"/>
            <w:tcBorders>
              <w:top w:val="nil"/>
              <w:left w:val="single" w:sz="4" w:space="0" w:color="auto"/>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TEL</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15,801</w:t>
            </w:r>
          </w:p>
        </w:tc>
        <w:tc>
          <w:tcPr>
            <w:tcW w:w="78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0,045</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12,7131</w:t>
            </w:r>
          </w:p>
        </w:tc>
        <w:tc>
          <w:tcPr>
            <w:tcW w:w="78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0,0866</w:t>
            </w:r>
          </w:p>
        </w:tc>
      </w:tr>
      <w:tr w:rsidR="009C16D2" w:rsidRPr="00EF4435" w:rsidTr="009C16D2">
        <w:trPr>
          <w:trHeight w:val="243"/>
        </w:trPr>
        <w:tc>
          <w:tcPr>
            <w:tcW w:w="929" w:type="dxa"/>
            <w:gridSpan w:val="2"/>
            <w:tcBorders>
              <w:top w:val="nil"/>
              <w:left w:val="single" w:sz="4" w:space="0" w:color="auto"/>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UT</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5,716</w:t>
            </w:r>
          </w:p>
        </w:tc>
        <w:tc>
          <w:tcPr>
            <w:tcW w:w="78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0,7288</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5,6496</w:t>
            </w:r>
          </w:p>
        </w:tc>
        <w:tc>
          <w:tcPr>
            <w:tcW w:w="78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0,6585</w:t>
            </w:r>
          </w:p>
        </w:tc>
        <w:tc>
          <w:tcPr>
            <w:tcW w:w="349" w:type="dxa"/>
            <w:gridSpan w:val="2"/>
            <w:tcBorders>
              <w:top w:val="nil"/>
              <w:left w:val="nil"/>
              <w:bottom w:val="nil"/>
              <w:right w:val="nil"/>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p>
        </w:tc>
        <w:tc>
          <w:tcPr>
            <w:tcW w:w="928" w:type="dxa"/>
            <w:gridSpan w:val="2"/>
            <w:tcBorders>
              <w:top w:val="nil"/>
              <w:left w:val="single" w:sz="4" w:space="0" w:color="auto"/>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UT</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3,7615</w:t>
            </w:r>
          </w:p>
        </w:tc>
        <w:tc>
          <w:tcPr>
            <w:tcW w:w="78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0,9218</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2,9039</w:t>
            </w:r>
          </w:p>
        </w:tc>
        <w:tc>
          <w:tcPr>
            <w:tcW w:w="78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0,9529</w:t>
            </w:r>
          </w:p>
        </w:tc>
      </w:tr>
      <w:tr w:rsidR="009C16D2" w:rsidRPr="00EF4435" w:rsidTr="009C16D2">
        <w:trPr>
          <w:trHeight w:val="243"/>
        </w:trPr>
        <w:tc>
          <w:tcPr>
            <w:tcW w:w="4391"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eastAsia="nl-NL" w:bidi="ar-SA"/>
              </w:rPr>
            </w:pPr>
            <w:r w:rsidRPr="00EF4435">
              <w:rPr>
                <w:rFonts w:ascii="Arial" w:eastAsia="Times New Roman" w:hAnsi="Arial" w:cs="Arial"/>
                <w:sz w:val="20"/>
                <w:szCs w:val="20"/>
                <w:lang w:eastAsia="nl-NL" w:bidi="ar-SA"/>
              </w:rPr>
              <w:t xml:space="preserve">Hypothesis of at most 1 </w:t>
            </w:r>
            <w:proofErr w:type="spellStart"/>
            <w:r w:rsidRPr="00EF4435">
              <w:rPr>
                <w:rFonts w:ascii="Arial" w:eastAsia="Times New Roman" w:hAnsi="Arial" w:cs="Arial"/>
                <w:sz w:val="20"/>
                <w:szCs w:val="20"/>
                <w:lang w:eastAsia="nl-NL" w:bidi="ar-SA"/>
              </w:rPr>
              <w:t>cointegration</w:t>
            </w:r>
            <w:proofErr w:type="spellEnd"/>
            <w:r w:rsidRPr="00EF4435">
              <w:rPr>
                <w:rFonts w:ascii="Arial" w:eastAsia="Times New Roman" w:hAnsi="Arial" w:cs="Arial"/>
                <w:sz w:val="20"/>
                <w:szCs w:val="20"/>
                <w:lang w:eastAsia="nl-NL" w:bidi="ar-SA"/>
              </w:rPr>
              <w:t xml:space="preserve"> relationship</w:t>
            </w:r>
          </w:p>
        </w:tc>
        <w:tc>
          <w:tcPr>
            <w:tcW w:w="349" w:type="dxa"/>
            <w:gridSpan w:val="2"/>
            <w:tcBorders>
              <w:top w:val="nil"/>
              <w:left w:val="nil"/>
              <w:bottom w:val="nil"/>
              <w:right w:val="nil"/>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eastAsia="nl-NL" w:bidi="ar-SA"/>
              </w:rPr>
            </w:pPr>
          </w:p>
        </w:tc>
        <w:tc>
          <w:tcPr>
            <w:tcW w:w="4390"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eastAsia="nl-NL" w:bidi="ar-SA"/>
              </w:rPr>
            </w:pPr>
            <w:r w:rsidRPr="00EF4435">
              <w:rPr>
                <w:rFonts w:ascii="Arial" w:eastAsia="Times New Roman" w:hAnsi="Arial" w:cs="Arial"/>
                <w:sz w:val="20"/>
                <w:szCs w:val="20"/>
                <w:lang w:eastAsia="nl-NL" w:bidi="ar-SA"/>
              </w:rPr>
              <w:t xml:space="preserve">Hypothesis of at most 1 </w:t>
            </w:r>
            <w:proofErr w:type="spellStart"/>
            <w:r w:rsidRPr="00EF4435">
              <w:rPr>
                <w:rFonts w:ascii="Arial" w:eastAsia="Times New Roman" w:hAnsi="Arial" w:cs="Arial"/>
                <w:sz w:val="20"/>
                <w:szCs w:val="20"/>
                <w:lang w:eastAsia="nl-NL" w:bidi="ar-SA"/>
              </w:rPr>
              <w:t>cointegration</w:t>
            </w:r>
            <w:proofErr w:type="spellEnd"/>
            <w:r w:rsidRPr="00EF4435">
              <w:rPr>
                <w:rFonts w:ascii="Arial" w:eastAsia="Times New Roman" w:hAnsi="Arial" w:cs="Arial"/>
                <w:sz w:val="20"/>
                <w:szCs w:val="20"/>
                <w:lang w:eastAsia="nl-NL" w:bidi="ar-SA"/>
              </w:rPr>
              <w:t xml:space="preserve"> relationship</w:t>
            </w:r>
          </w:p>
        </w:tc>
      </w:tr>
      <w:tr w:rsidR="009C16D2" w:rsidRPr="00EF4435" w:rsidTr="009C16D2">
        <w:trPr>
          <w:trHeight w:val="243"/>
        </w:trPr>
        <w:tc>
          <w:tcPr>
            <w:tcW w:w="929" w:type="dxa"/>
            <w:gridSpan w:val="2"/>
            <w:tcBorders>
              <w:top w:val="nil"/>
              <w:left w:val="single" w:sz="4" w:space="0" w:color="auto"/>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BASICR</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1,5336</w:t>
            </w:r>
          </w:p>
        </w:tc>
        <w:tc>
          <w:tcPr>
            <w:tcW w:w="78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0,2156</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1,5336</w:t>
            </w:r>
          </w:p>
        </w:tc>
        <w:tc>
          <w:tcPr>
            <w:tcW w:w="78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0,2156</w:t>
            </w:r>
          </w:p>
        </w:tc>
        <w:tc>
          <w:tcPr>
            <w:tcW w:w="349" w:type="dxa"/>
            <w:gridSpan w:val="2"/>
            <w:tcBorders>
              <w:top w:val="nil"/>
              <w:left w:val="nil"/>
              <w:bottom w:val="nil"/>
              <w:right w:val="nil"/>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p>
        </w:tc>
        <w:tc>
          <w:tcPr>
            <w:tcW w:w="928" w:type="dxa"/>
            <w:gridSpan w:val="2"/>
            <w:tcBorders>
              <w:top w:val="nil"/>
              <w:left w:val="single" w:sz="4" w:space="0" w:color="auto"/>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BASICR</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0,8231</w:t>
            </w:r>
          </w:p>
        </w:tc>
        <w:tc>
          <w:tcPr>
            <w:tcW w:w="78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0,3643</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0,8231</w:t>
            </w:r>
          </w:p>
        </w:tc>
        <w:tc>
          <w:tcPr>
            <w:tcW w:w="78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0,3643</w:t>
            </w:r>
          </w:p>
        </w:tc>
      </w:tr>
      <w:tr w:rsidR="009C16D2" w:rsidRPr="00EF4435" w:rsidTr="009C16D2">
        <w:trPr>
          <w:trHeight w:val="243"/>
        </w:trPr>
        <w:tc>
          <w:tcPr>
            <w:tcW w:w="929" w:type="dxa"/>
            <w:gridSpan w:val="2"/>
            <w:tcBorders>
              <w:top w:val="nil"/>
              <w:left w:val="single" w:sz="4" w:space="0" w:color="auto"/>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CGDS</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2,738</w:t>
            </w:r>
          </w:p>
        </w:tc>
        <w:tc>
          <w:tcPr>
            <w:tcW w:w="78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0,098</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2,738</w:t>
            </w:r>
          </w:p>
        </w:tc>
        <w:tc>
          <w:tcPr>
            <w:tcW w:w="78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0,098</w:t>
            </w:r>
          </w:p>
        </w:tc>
        <w:tc>
          <w:tcPr>
            <w:tcW w:w="349" w:type="dxa"/>
            <w:gridSpan w:val="2"/>
            <w:tcBorders>
              <w:top w:val="nil"/>
              <w:left w:val="nil"/>
              <w:bottom w:val="nil"/>
              <w:right w:val="nil"/>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p>
        </w:tc>
        <w:tc>
          <w:tcPr>
            <w:tcW w:w="928" w:type="dxa"/>
            <w:gridSpan w:val="2"/>
            <w:tcBorders>
              <w:top w:val="nil"/>
              <w:left w:val="single" w:sz="4" w:space="0" w:color="auto"/>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CGDS</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0,715</w:t>
            </w:r>
          </w:p>
        </w:tc>
        <w:tc>
          <w:tcPr>
            <w:tcW w:w="78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0,3978</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0,715</w:t>
            </w:r>
          </w:p>
        </w:tc>
        <w:tc>
          <w:tcPr>
            <w:tcW w:w="78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0,3978</w:t>
            </w:r>
          </w:p>
        </w:tc>
      </w:tr>
      <w:tr w:rsidR="009C16D2" w:rsidRPr="00EF4435" w:rsidTr="009C16D2">
        <w:trPr>
          <w:trHeight w:val="243"/>
        </w:trPr>
        <w:tc>
          <w:tcPr>
            <w:tcW w:w="929" w:type="dxa"/>
            <w:gridSpan w:val="2"/>
            <w:tcBorders>
              <w:top w:val="nil"/>
              <w:left w:val="single" w:sz="4" w:space="0" w:color="auto"/>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CSVS</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0,8508</w:t>
            </w:r>
          </w:p>
        </w:tc>
        <w:tc>
          <w:tcPr>
            <w:tcW w:w="78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0,3563</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0,8508</w:t>
            </w:r>
          </w:p>
        </w:tc>
        <w:tc>
          <w:tcPr>
            <w:tcW w:w="78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0,3563</w:t>
            </w:r>
          </w:p>
        </w:tc>
        <w:tc>
          <w:tcPr>
            <w:tcW w:w="349" w:type="dxa"/>
            <w:gridSpan w:val="2"/>
            <w:tcBorders>
              <w:top w:val="nil"/>
              <w:left w:val="nil"/>
              <w:bottom w:val="nil"/>
              <w:right w:val="nil"/>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p>
        </w:tc>
        <w:tc>
          <w:tcPr>
            <w:tcW w:w="928" w:type="dxa"/>
            <w:gridSpan w:val="2"/>
            <w:tcBorders>
              <w:top w:val="nil"/>
              <w:left w:val="single" w:sz="4" w:space="0" w:color="auto"/>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CSVS</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3,3479</w:t>
            </w:r>
          </w:p>
        </w:tc>
        <w:tc>
          <w:tcPr>
            <w:tcW w:w="78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0,0673</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3,3479</w:t>
            </w:r>
          </w:p>
        </w:tc>
        <w:tc>
          <w:tcPr>
            <w:tcW w:w="78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0,0673</w:t>
            </w:r>
          </w:p>
        </w:tc>
      </w:tr>
      <w:tr w:rsidR="009C16D2" w:rsidRPr="00EF4435" w:rsidTr="009C16D2">
        <w:trPr>
          <w:trHeight w:val="243"/>
        </w:trPr>
        <w:tc>
          <w:tcPr>
            <w:tcW w:w="929" w:type="dxa"/>
            <w:gridSpan w:val="2"/>
            <w:tcBorders>
              <w:top w:val="nil"/>
              <w:left w:val="single" w:sz="4" w:space="0" w:color="auto"/>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FSVS</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0,8635</w:t>
            </w:r>
          </w:p>
        </w:tc>
        <w:tc>
          <w:tcPr>
            <w:tcW w:w="78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0,3528</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0,8635</w:t>
            </w:r>
          </w:p>
        </w:tc>
        <w:tc>
          <w:tcPr>
            <w:tcW w:w="78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0,3528</w:t>
            </w:r>
          </w:p>
        </w:tc>
        <w:tc>
          <w:tcPr>
            <w:tcW w:w="349" w:type="dxa"/>
            <w:gridSpan w:val="2"/>
            <w:tcBorders>
              <w:top w:val="nil"/>
              <w:left w:val="nil"/>
              <w:bottom w:val="nil"/>
              <w:right w:val="nil"/>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p>
        </w:tc>
        <w:tc>
          <w:tcPr>
            <w:tcW w:w="928" w:type="dxa"/>
            <w:gridSpan w:val="2"/>
            <w:tcBorders>
              <w:top w:val="nil"/>
              <w:left w:val="single" w:sz="4" w:space="0" w:color="auto"/>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FSVS</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0,818</w:t>
            </w:r>
          </w:p>
        </w:tc>
        <w:tc>
          <w:tcPr>
            <w:tcW w:w="78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0,3658</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0,818</w:t>
            </w:r>
          </w:p>
        </w:tc>
        <w:tc>
          <w:tcPr>
            <w:tcW w:w="78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0,3658</w:t>
            </w:r>
          </w:p>
        </w:tc>
      </w:tr>
      <w:tr w:rsidR="009C16D2" w:rsidRPr="00EF4435" w:rsidTr="009C16D2">
        <w:trPr>
          <w:trHeight w:val="243"/>
        </w:trPr>
        <w:tc>
          <w:tcPr>
            <w:tcW w:w="929" w:type="dxa"/>
            <w:gridSpan w:val="2"/>
            <w:tcBorders>
              <w:top w:val="nil"/>
              <w:left w:val="single" w:sz="4" w:space="0" w:color="auto"/>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HC</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0,6036</w:t>
            </w:r>
          </w:p>
        </w:tc>
        <w:tc>
          <w:tcPr>
            <w:tcW w:w="78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0,4372</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0,6036</w:t>
            </w:r>
          </w:p>
        </w:tc>
        <w:tc>
          <w:tcPr>
            <w:tcW w:w="78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0,4372</w:t>
            </w:r>
          </w:p>
        </w:tc>
        <w:tc>
          <w:tcPr>
            <w:tcW w:w="349" w:type="dxa"/>
            <w:gridSpan w:val="2"/>
            <w:tcBorders>
              <w:top w:val="nil"/>
              <w:left w:val="nil"/>
              <w:bottom w:val="nil"/>
              <w:right w:val="nil"/>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p>
        </w:tc>
        <w:tc>
          <w:tcPr>
            <w:tcW w:w="928" w:type="dxa"/>
            <w:gridSpan w:val="2"/>
            <w:tcBorders>
              <w:top w:val="nil"/>
              <w:left w:val="single" w:sz="4" w:space="0" w:color="auto"/>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HC</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0,6763</w:t>
            </w:r>
          </w:p>
        </w:tc>
        <w:tc>
          <w:tcPr>
            <w:tcW w:w="78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0,4108</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0,6763</w:t>
            </w:r>
          </w:p>
        </w:tc>
        <w:tc>
          <w:tcPr>
            <w:tcW w:w="78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0,4108</w:t>
            </w:r>
          </w:p>
        </w:tc>
      </w:tr>
      <w:tr w:rsidR="009C16D2" w:rsidRPr="00EF4435" w:rsidTr="009C16D2">
        <w:trPr>
          <w:trHeight w:val="243"/>
        </w:trPr>
        <w:tc>
          <w:tcPr>
            <w:tcW w:w="929" w:type="dxa"/>
            <w:gridSpan w:val="2"/>
            <w:tcBorders>
              <w:top w:val="nil"/>
              <w:left w:val="single" w:sz="4" w:space="0" w:color="auto"/>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IND</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1,1222</w:t>
            </w:r>
          </w:p>
        </w:tc>
        <w:tc>
          <w:tcPr>
            <w:tcW w:w="78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0,2894</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1,1222</w:t>
            </w:r>
          </w:p>
        </w:tc>
        <w:tc>
          <w:tcPr>
            <w:tcW w:w="78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0,2894</w:t>
            </w:r>
          </w:p>
        </w:tc>
        <w:tc>
          <w:tcPr>
            <w:tcW w:w="349" w:type="dxa"/>
            <w:gridSpan w:val="2"/>
            <w:tcBorders>
              <w:top w:val="nil"/>
              <w:left w:val="nil"/>
              <w:bottom w:val="nil"/>
              <w:right w:val="nil"/>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p>
        </w:tc>
        <w:tc>
          <w:tcPr>
            <w:tcW w:w="928" w:type="dxa"/>
            <w:gridSpan w:val="2"/>
            <w:tcBorders>
              <w:top w:val="nil"/>
              <w:left w:val="single" w:sz="4" w:space="0" w:color="auto"/>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IND</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1,2724</w:t>
            </w:r>
          </w:p>
        </w:tc>
        <w:tc>
          <w:tcPr>
            <w:tcW w:w="78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0,2593</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1,2724</w:t>
            </w:r>
          </w:p>
        </w:tc>
        <w:tc>
          <w:tcPr>
            <w:tcW w:w="78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0,2593</w:t>
            </w:r>
          </w:p>
        </w:tc>
      </w:tr>
      <w:tr w:rsidR="009C16D2" w:rsidRPr="00EF4435" w:rsidTr="009C16D2">
        <w:trPr>
          <w:trHeight w:val="243"/>
        </w:trPr>
        <w:tc>
          <w:tcPr>
            <w:tcW w:w="929" w:type="dxa"/>
            <w:gridSpan w:val="2"/>
            <w:tcBorders>
              <w:top w:val="nil"/>
              <w:left w:val="single" w:sz="4" w:space="0" w:color="auto"/>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OG</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1,0569</w:t>
            </w:r>
          </w:p>
        </w:tc>
        <w:tc>
          <w:tcPr>
            <w:tcW w:w="78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0,3039</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1,0569</w:t>
            </w:r>
          </w:p>
        </w:tc>
        <w:tc>
          <w:tcPr>
            <w:tcW w:w="78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0,3039</w:t>
            </w:r>
          </w:p>
        </w:tc>
        <w:tc>
          <w:tcPr>
            <w:tcW w:w="349" w:type="dxa"/>
            <w:gridSpan w:val="2"/>
            <w:tcBorders>
              <w:top w:val="nil"/>
              <w:left w:val="nil"/>
              <w:bottom w:val="nil"/>
              <w:right w:val="nil"/>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p>
        </w:tc>
        <w:tc>
          <w:tcPr>
            <w:tcW w:w="928" w:type="dxa"/>
            <w:gridSpan w:val="2"/>
            <w:tcBorders>
              <w:top w:val="nil"/>
              <w:left w:val="single" w:sz="4" w:space="0" w:color="auto"/>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OG</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0,8699</w:t>
            </w:r>
          </w:p>
        </w:tc>
        <w:tc>
          <w:tcPr>
            <w:tcW w:w="78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0,351</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0,8699</w:t>
            </w:r>
          </w:p>
        </w:tc>
        <w:tc>
          <w:tcPr>
            <w:tcW w:w="78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0,351</w:t>
            </w:r>
          </w:p>
        </w:tc>
      </w:tr>
      <w:tr w:rsidR="009C16D2" w:rsidRPr="00EF4435" w:rsidTr="009C16D2">
        <w:trPr>
          <w:trHeight w:val="243"/>
        </w:trPr>
        <w:tc>
          <w:tcPr>
            <w:tcW w:w="929" w:type="dxa"/>
            <w:gridSpan w:val="2"/>
            <w:tcBorders>
              <w:top w:val="nil"/>
              <w:left w:val="single" w:sz="4" w:space="0" w:color="auto"/>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ROPE</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1,0672</w:t>
            </w:r>
          </w:p>
        </w:tc>
        <w:tc>
          <w:tcPr>
            <w:tcW w:w="78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0,3016</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1,0672</w:t>
            </w:r>
          </w:p>
        </w:tc>
        <w:tc>
          <w:tcPr>
            <w:tcW w:w="78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0,3016</w:t>
            </w:r>
          </w:p>
        </w:tc>
        <w:tc>
          <w:tcPr>
            <w:tcW w:w="349" w:type="dxa"/>
            <w:gridSpan w:val="2"/>
            <w:tcBorders>
              <w:top w:val="nil"/>
              <w:left w:val="nil"/>
              <w:bottom w:val="nil"/>
              <w:right w:val="nil"/>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p>
        </w:tc>
        <w:tc>
          <w:tcPr>
            <w:tcW w:w="928" w:type="dxa"/>
            <w:gridSpan w:val="2"/>
            <w:tcBorders>
              <w:top w:val="nil"/>
              <w:left w:val="single" w:sz="4" w:space="0" w:color="auto"/>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ROPE</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1,5014</w:t>
            </w:r>
          </w:p>
        </w:tc>
        <w:tc>
          <w:tcPr>
            <w:tcW w:w="78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0,2205</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1,5014</w:t>
            </w:r>
          </w:p>
        </w:tc>
        <w:tc>
          <w:tcPr>
            <w:tcW w:w="78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0,2205</w:t>
            </w:r>
          </w:p>
        </w:tc>
      </w:tr>
      <w:tr w:rsidR="009C16D2" w:rsidRPr="00EF4435" w:rsidTr="009C16D2">
        <w:trPr>
          <w:trHeight w:val="243"/>
        </w:trPr>
        <w:tc>
          <w:tcPr>
            <w:tcW w:w="929" w:type="dxa"/>
            <w:gridSpan w:val="2"/>
            <w:tcBorders>
              <w:top w:val="nil"/>
              <w:left w:val="single" w:sz="4" w:space="0" w:color="auto"/>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TECH</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0,2351</w:t>
            </w:r>
          </w:p>
        </w:tc>
        <w:tc>
          <w:tcPr>
            <w:tcW w:w="78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0,6278</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0,2351</w:t>
            </w:r>
          </w:p>
        </w:tc>
        <w:tc>
          <w:tcPr>
            <w:tcW w:w="78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0,6278</w:t>
            </w:r>
          </w:p>
        </w:tc>
        <w:tc>
          <w:tcPr>
            <w:tcW w:w="349" w:type="dxa"/>
            <w:gridSpan w:val="2"/>
            <w:tcBorders>
              <w:top w:val="nil"/>
              <w:left w:val="nil"/>
              <w:bottom w:val="nil"/>
              <w:right w:val="nil"/>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p>
        </w:tc>
        <w:tc>
          <w:tcPr>
            <w:tcW w:w="928" w:type="dxa"/>
            <w:gridSpan w:val="2"/>
            <w:tcBorders>
              <w:top w:val="nil"/>
              <w:left w:val="single" w:sz="4" w:space="0" w:color="auto"/>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TECH</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2,1942</w:t>
            </w:r>
          </w:p>
        </w:tc>
        <w:tc>
          <w:tcPr>
            <w:tcW w:w="78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0,1385</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2,1942</w:t>
            </w:r>
          </w:p>
        </w:tc>
        <w:tc>
          <w:tcPr>
            <w:tcW w:w="78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0,1385</w:t>
            </w:r>
          </w:p>
        </w:tc>
      </w:tr>
      <w:tr w:rsidR="009C16D2" w:rsidRPr="00EF4435" w:rsidTr="009C16D2">
        <w:trPr>
          <w:trHeight w:val="243"/>
        </w:trPr>
        <w:tc>
          <w:tcPr>
            <w:tcW w:w="929" w:type="dxa"/>
            <w:gridSpan w:val="2"/>
            <w:tcBorders>
              <w:top w:val="nil"/>
              <w:left w:val="single" w:sz="4" w:space="0" w:color="auto"/>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TEL</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0,2213</w:t>
            </w:r>
          </w:p>
        </w:tc>
        <w:tc>
          <w:tcPr>
            <w:tcW w:w="78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0,6381</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0,2213</w:t>
            </w:r>
          </w:p>
        </w:tc>
        <w:tc>
          <w:tcPr>
            <w:tcW w:w="78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0,6381</w:t>
            </w:r>
          </w:p>
        </w:tc>
        <w:tc>
          <w:tcPr>
            <w:tcW w:w="349" w:type="dxa"/>
            <w:gridSpan w:val="2"/>
            <w:tcBorders>
              <w:top w:val="nil"/>
              <w:left w:val="nil"/>
              <w:bottom w:val="nil"/>
              <w:right w:val="nil"/>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p>
        </w:tc>
        <w:tc>
          <w:tcPr>
            <w:tcW w:w="928" w:type="dxa"/>
            <w:gridSpan w:val="2"/>
            <w:tcBorders>
              <w:top w:val="nil"/>
              <w:left w:val="single" w:sz="4" w:space="0" w:color="auto"/>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TEL</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3,0875</w:t>
            </w:r>
          </w:p>
        </w:tc>
        <w:tc>
          <w:tcPr>
            <w:tcW w:w="78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0,0789</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3,0875</w:t>
            </w:r>
          </w:p>
        </w:tc>
        <w:tc>
          <w:tcPr>
            <w:tcW w:w="78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0,0789</w:t>
            </w:r>
          </w:p>
        </w:tc>
      </w:tr>
      <w:tr w:rsidR="009C16D2" w:rsidRPr="00EF4435" w:rsidTr="009C16D2">
        <w:trPr>
          <w:trHeight w:val="243"/>
        </w:trPr>
        <w:tc>
          <w:tcPr>
            <w:tcW w:w="929" w:type="dxa"/>
            <w:gridSpan w:val="2"/>
            <w:tcBorders>
              <w:top w:val="nil"/>
              <w:left w:val="single" w:sz="4" w:space="0" w:color="auto"/>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UT</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0,0664</w:t>
            </w:r>
          </w:p>
        </w:tc>
        <w:tc>
          <w:tcPr>
            <w:tcW w:w="78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0,7967</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0,0664</w:t>
            </w:r>
          </w:p>
        </w:tc>
        <w:tc>
          <w:tcPr>
            <w:tcW w:w="78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0,7967</w:t>
            </w:r>
          </w:p>
        </w:tc>
        <w:tc>
          <w:tcPr>
            <w:tcW w:w="349" w:type="dxa"/>
            <w:gridSpan w:val="2"/>
            <w:tcBorders>
              <w:top w:val="nil"/>
              <w:left w:val="nil"/>
              <w:bottom w:val="nil"/>
              <w:right w:val="nil"/>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p>
        </w:tc>
        <w:tc>
          <w:tcPr>
            <w:tcW w:w="928" w:type="dxa"/>
            <w:gridSpan w:val="2"/>
            <w:tcBorders>
              <w:top w:val="nil"/>
              <w:left w:val="single" w:sz="4" w:space="0" w:color="auto"/>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UT</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0,8576</w:t>
            </w:r>
          </w:p>
        </w:tc>
        <w:tc>
          <w:tcPr>
            <w:tcW w:w="78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0,3544</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0,8576</w:t>
            </w:r>
          </w:p>
        </w:tc>
        <w:tc>
          <w:tcPr>
            <w:tcW w:w="78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0,3544</w:t>
            </w:r>
          </w:p>
        </w:tc>
      </w:tr>
      <w:tr w:rsidR="009C16D2" w:rsidRPr="00EF4435" w:rsidTr="009C16D2">
        <w:trPr>
          <w:trHeight w:val="243"/>
        </w:trPr>
        <w:tc>
          <w:tcPr>
            <w:tcW w:w="4391" w:type="dxa"/>
            <w:gridSpan w:val="10"/>
            <w:tcBorders>
              <w:top w:val="nil"/>
              <w:left w:val="nil"/>
              <w:bottom w:val="nil"/>
              <w:right w:val="nil"/>
            </w:tcBorders>
            <w:shd w:val="clear" w:color="auto" w:fill="auto"/>
            <w:noWrap/>
            <w:vAlign w:val="bottom"/>
            <w:hideMark/>
          </w:tcPr>
          <w:p w:rsidR="009C16D2" w:rsidRDefault="009C16D2" w:rsidP="009C16D2">
            <w:pPr>
              <w:spacing w:after="0" w:line="240" w:lineRule="auto"/>
              <w:rPr>
                <w:rFonts w:ascii="Arial" w:eastAsia="Times New Roman" w:hAnsi="Arial" w:cs="Arial"/>
                <w:sz w:val="20"/>
                <w:szCs w:val="20"/>
                <w:lang w:eastAsia="nl-NL" w:bidi="ar-SA"/>
              </w:rPr>
            </w:pPr>
          </w:p>
          <w:p w:rsidR="009C16D2" w:rsidRDefault="009C16D2" w:rsidP="009C16D2">
            <w:pPr>
              <w:spacing w:after="0" w:line="240" w:lineRule="auto"/>
              <w:rPr>
                <w:rFonts w:ascii="Arial" w:eastAsia="Times New Roman" w:hAnsi="Arial" w:cs="Arial"/>
                <w:sz w:val="20"/>
                <w:szCs w:val="20"/>
                <w:lang w:eastAsia="nl-NL" w:bidi="ar-SA"/>
              </w:rPr>
            </w:pPr>
          </w:p>
          <w:p w:rsidR="009C16D2" w:rsidRDefault="009C16D2" w:rsidP="009C16D2">
            <w:pPr>
              <w:spacing w:after="0" w:line="240" w:lineRule="auto"/>
              <w:rPr>
                <w:rFonts w:ascii="Arial" w:eastAsia="Times New Roman" w:hAnsi="Arial" w:cs="Arial"/>
                <w:sz w:val="20"/>
                <w:szCs w:val="20"/>
                <w:lang w:eastAsia="nl-NL" w:bidi="ar-SA"/>
              </w:rPr>
            </w:pPr>
          </w:p>
          <w:p w:rsidR="009C16D2" w:rsidRDefault="009C16D2" w:rsidP="009C16D2">
            <w:pPr>
              <w:spacing w:after="0" w:line="240" w:lineRule="auto"/>
              <w:rPr>
                <w:rFonts w:ascii="Arial" w:eastAsia="Times New Roman" w:hAnsi="Arial" w:cs="Arial"/>
                <w:sz w:val="20"/>
                <w:szCs w:val="20"/>
                <w:lang w:eastAsia="nl-NL" w:bidi="ar-SA"/>
              </w:rPr>
            </w:pPr>
          </w:p>
          <w:p w:rsidR="009C16D2" w:rsidRDefault="009C16D2" w:rsidP="009C16D2">
            <w:pPr>
              <w:spacing w:after="0" w:line="240" w:lineRule="auto"/>
              <w:rPr>
                <w:rFonts w:ascii="Arial" w:eastAsia="Times New Roman" w:hAnsi="Arial" w:cs="Arial"/>
                <w:sz w:val="20"/>
                <w:szCs w:val="20"/>
                <w:lang w:eastAsia="nl-NL" w:bidi="ar-SA"/>
              </w:rPr>
            </w:pPr>
          </w:p>
          <w:p w:rsidR="009C16D2" w:rsidRDefault="009C16D2" w:rsidP="009C16D2">
            <w:pPr>
              <w:spacing w:after="0" w:line="240" w:lineRule="auto"/>
              <w:rPr>
                <w:rFonts w:ascii="Arial" w:eastAsia="Times New Roman" w:hAnsi="Arial" w:cs="Arial"/>
                <w:sz w:val="20"/>
                <w:szCs w:val="20"/>
                <w:lang w:eastAsia="nl-NL" w:bidi="ar-SA"/>
              </w:rPr>
            </w:pPr>
          </w:p>
          <w:p w:rsidR="009C16D2" w:rsidRDefault="009C16D2" w:rsidP="009C16D2">
            <w:pPr>
              <w:spacing w:after="0" w:line="240" w:lineRule="auto"/>
              <w:rPr>
                <w:rFonts w:ascii="Arial" w:eastAsia="Times New Roman" w:hAnsi="Arial" w:cs="Arial"/>
                <w:sz w:val="20"/>
                <w:szCs w:val="20"/>
                <w:lang w:eastAsia="nl-NL" w:bidi="ar-SA"/>
              </w:rPr>
            </w:pPr>
          </w:p>
          <w:p w:rsidR="009C16D2" w:rsidRDefault="009C16D2" w:rsidP="009C16D2">
            <w:pPr>
              <w:spacing w:after="0" w:line="240" w:lineRule="auto"/>
              <w:rPr>
                <w:rFonts w:ascii="Arial" w:eastAsia="Times New Roman" w:hAnsi="Arial" w:cs="Arial"/>
                <w:sz w:val="20"/>
                <w:szCs w:val="20"/>
                <w:lang w:eastAsia="nl-NL" w:bidi="ar-SA"/>
              </w:rPr>
            </w:pPr>
          </w:p>
          <w:p w:rsidR="009C16D2" w:rsidRDefault="009C16D2" w:rsidP="009C16D2">
            <w:pPr>
              <w:spacing w:after="0" w:line="240" w:lineRule="auto"/>
              <w:rPr>
                <w:rFonts w:ascii="Arial" w:eastAsia="Times New Roman" w:hAnsi="Arial" w:cs="Arial"/>
                <w:sz w:val="20"/>
                <w:szCs w:val="20"/>
                <w:lang w:eastAsia="nl-NL" w:bidi="ar-SA"/>
              </w:rPr>
            </w:pPr>
          </w:p>
          <w:p w:rsidR="009C16D2" w:rsidRDefault="009C16D2" w:rsidP="009C16D2">
            <w:pPr>
              <w:spacing w:after="0" w:line="240" w:lineRule="auto"/>
              <w:rPr>
                <w:rFonts w:ascii="Arial" w:eastAsia="Times New Roman" w:hAnsi="Arial" w:cs="Arial"/>
                <w:sz w:val="20"/>
                <w:szCs w:val="20"/>
                <w:lang w:eastAsia="nl-NL" w:bidi="ar-SA"/>
              </w:rPr>
            </w:pPr>
          </w:p>
          <w:p w:rsidR="009C16D2" w:rsidRDefault="009C16D2" w:rsidP="009C16D2">
            <w:pPr>
              <w:spacing w:after="0" w:line="240" w:lineRule="auto"/>
              <w:rPr>
                <w:rFonts w:ascii="Arial" w:eastAsia="Times New Roman" w:hAnsi="Arial" w:cs="Arial"/>
                <w:sz w:val="20"/>
                <w:szCs w:val="20"/>
                <w:lang w:eastAsia="nl-NL" w:bidi="ar-SA"/>
              </w:rPr>
            </w:pPr>
          </w:p>
          <w:p w:rsidR="009C16D2" w:rsidRDefault="009C16D2" w:rsidP="009C16D2">
            <w:pPr>
              <w:spacing w:after="0" w:line="240" w:lineRule="auto"/>
              <w:rPr>
                <w:rFonts w:ascii="Arial" w:eastAsia="Times New Roman" w:hAnsi="Arial" w:cs="Arial"/>
                <w:sz w:val="20"/>
                <w:szCs w:val="20"/>
                <w:lang w:eastAsia="nl-NL" w:bidi="ar-SA"/>
              </w:rPr>
            </w:pPr>
          </w:p>
          <w:p w:rsidR="009C16D2" w:rsidRDefault="009C16D2" w:rsidP="009C16D2">
            <w:pPr>
              <w:spacing w:after="0" w:line="240" w:lineRule="auto"/>
              <w:rPr>
                <w:rFonts w:ascii="Arial" w:eastAsia="Times New Roman" w:hAnsi="Arial" w:cs="Arial"/>
                <w:sz w:val="20"/>
                <w:szCs w:val="20"/>
                <w:lang w:eastAsia="nl-NL" w:bidi="ar-SA"/>
              </w:rPr>
            </w:pPr>
          </w:p>
          <w:p w:rsidR="009C16D2" w:rsidRDefault="009C16D2" w:rsidP="009C16D2">
            <w:pPr>
              <w:spacing w:after="0" w:line="240" w:lineRule="auto"/>
              <w:rPr>
                <w:rFonts w:ascii="Arial" w:eastAsia="Times New Roman" w:hAnsi="Arial" w:cs="Arial"/>
                <w:sz w:val="20"/>
                <w:szCs w:val="20"/>
                <w:lang w:eastAsia="nl-NL" w:bidi="ar-SA"/>
              </w:rPr>
            </w:pPr>
          </w:p>
          <w:p w:rsidR="009C16D2" w:rsidRDefault="009C16D2" w:rsidP="009C16D2">
            <w:pPr>
              <w:spacing w:after="0" w:line="240" w:lineRule="auto"/>
              <w:rPr>
                <w:rFonts w:ascii="Arial" w:eastAsia="Times New Roman" w:hAnsi="Arial" w:cs="Arial"/>
                <w:sz w:val="20"/>
                <w:szCs w:val="20"/>
                <w:lang w:eastAsia="nl-NL" w:bidi="ar-SA"/>
              </w:rPr>
            </w:pPr>
          </w:p>
          <w:p w:rsidR="009C16D2" w:rsidRDefault="009C16D2" w:rsidP="009C16D2">
            <w:pPr>
              <w:spacing w:after="0" w:line="240" w:lineRule="auto"/>
              <w:rPr>
                <w:rFonts w:ascii="Arial" w:eastAsia="Times New Roman" w:hAnsi="Arial" w:cs="Arial"/>
                <w:sz w:val="20"/>
                <w:szCs w:val="20"/>
                <w:lang w:eastAsia="nl-NL" w:bidi="ar-SA"/>
              </w:rPr>
            </w:pPr>
          </w:p>
          <w:p w:rsidR="009C16D2" w:rsidRDefault="009C16D2" w:rsidP="009C16D2">
            <w:pPr>
              <w:spacing w:after="0" w:line="240" w:lineRule="auto"/>
              <w:rPr>
                <w:rFonts w:ascii="Arial" w:eastAsia="Times New Roman" w:hAnsi="Arial" w:cs="Arial"/>
                <w:sz w:val="20"/>
                <w:szCs w:val="20"/>
                <w:lang w:eastAsia="nl-NL" w:bidi="ar-SA"/>
              </w:rPr>
            </w:pPr>
          </w:p>
          <w:p w:rsidR="00D6604F" w:rsidRDefault="00D6604F" w:rsidP="009C16D2">
            <w:pPr>
              <w:spacing w:after="0" w:line="240" w:lineRule="auto"/>
              <w:rPr>
                <w:rFonts w:ascii="Arial" w:eastAsia="Times New Roman" w:hAnsi="Arial" w:cs="Arial"/>
                <w:sz w:val="20"/>
                <w:szCs w:val="20"/>
                <w:lang w:eastAsia="nl-NL" w:bidi="ar-SA"/>
              </w:rPr>
            </w:pPr>
          </w:p>
          <w:p w:rsidR="009C16D2" w:rsidRDefault="009C16D2" w:rsidP="009C16D2">
            <w:pPr>
              <w:spacing w:after="0" w:line="240" w:lineRule="auto"/>
              <w:rPr>
                <w:rFonts w:ascii="Arial" w:eastAsia="Times New Roman" w:hAnsi="Arial" w:cs="Arial"/>
                <w:sz w:val="20"/>
                <w:szCs w:val="20"/>
                <w:lang w:eastAsia="nl-NL" w:bidi="ar-SA"/>
              </w:rPr>
            </w:pPr>
          </w:p>
          <w:p w:rsidR="009C16D2" w:rsidRDefault="009C16D2" w:rsidP="009C16D2">
            <w:pPr>
              <w:spacing w:after="0" w:line="240" w:lineRule="auto"/>
              <w:rPr>
                <w:rFonts w:ascii="Arial" w:eastAsia="Times New Roman" w:hAnsi="Arial" w:cs="Arial"/>
                <w:sz w:val="20"/>
                <w:szCs w:val="20"/>
                <w:lang w:eastAsia="nl-NL" w:bidi="ar-SA"/>
              </w:rPr>
            </w:pPr>
          </w:p>
          <w:p w:rsidR="009C16D2" w:rsidRDefault="009C16D2" w:rsidP="009C16D2">
            <w:pPr>
              <w:spacing w:after="0" w:line="240" w:lineRule="auto"/>
              <w:rPr>
                <w:rFonts w:ascii="Arial" w:eastAsia="Times New Roman" w:hAnsi="Arial" w:cs="Arial"/>
                <w:sz w:val="20"/>
                <w:szCs w:val="20"/>
                <w:lang w:eastAsia="nl-NL" w:bidi="ar-SA"/>
              </w:rPr>
            </w:pPr>
          </w:p>
          <w:p w:rsidR="009C16D2" w:rsidRDefault="009C16D2" w:rsidP="009C16D2">
            <w:pPr>
              <w:spacing w:after="0" w:line="240" w:lineRule="auto"/>
              <w:rPr>
                <w:rFonts w:ascii="Arial" w:eastAsia="Times New Roman" w:hAnsi="Arial" w:cs="Arial"/>
                <w:sz w:val="20"/>
                <w:szCs w:val="20"/>
                <w:lang w:eastAsia="nl-NL" w:bidi="ar-SA"/>
              </w:rPr>
            </w:pPr>
          </w:p>
          <w:p w:rsidR="009C16D2" w:rsidRDefault="009C16D2" w:rsidP="009C16D2">
            <w:pPr>
              <w:spacing w:after="0" w:line="240" w:lineRule="auto"/>
              <w:rPr>
                <w:rFonts w:ascii="Arial" w:eastAsia="Times New Roman" w:hAnsi="Arial" w:cs="Arial"/>
                <w:sz w:val="20"/>
                <w:szCs w:val="20"/>
                <w:lang w:eastAsia="nl-NL" w:bidi="ar-SA"/>
              </w:rPr>
            </w:pPr>
          </w:p>
          <w:p w:rsidR="009C16D2" w:rsidRDefault="009C16D2" w:rsidP="009C16D2">
            <w:pPr>
              <w:spacing w:after="0" w:line="240" w:lineRule="auto"/>
              <w:rPr>
                <w:rFonts w:ascii="Arial" w:eastAsia="Times New Roman" w:hAnsi="Arial" w:cs="Arial"/>
                <w:sz w:val="20"/>
                <w:szCs w:val="20"/>
                <w:lang w:eastAsia="nl-NL" w:bidi="ar-SA"/>
              </w:rPr>
            </w:pPr>
          </w:p>
          <w:p w:rsidR="009C16D2" w:rsidRDefault="009C16D2" w:rsidP="009C16D2">
            <w:pPr>
              <w:spacing w:after="0" w:line="240" w:lineRule="auto"/>
              <w:rPr>
                <w:rFonts w:ascii="Arial" w:eastAsia="Times New Roman" w:hAnsi="Arial" w:cs="Arial"/>
                <w:sz w:val="20"/>
                <w:szCs w:val="20"/>
                <w:lang w:eastAsia="nl-NL" w:bidi="ar-SA"/>
              </w:rPr>
            </w:pPr>
          </w:p>
          <w:p w:rsidR="009C16D2" w:rsidRDefault="009C16D2" w:rsidP="009C16D2">
            <w:pPr>
              <w:spacing w:after="0" w:line="240" w:lineRule="auto"/>
              <w:rPr>
                <w:rFonts w:ascii="Arial" w:eastAsia="Times New Roman" w:hAnsi="Arial" w:cs="Arial"/>
                <w:sz w:val="20"/>
                <w:szCs w:val="20"/>
                <w:lang w:eastAsia="nl-NL" w:bidi="ar-SA"/>
              </w:rPr>
            </w:pPr>
            <w:r>
              <w:rPr>
                <w:rFonts w:ascii="Arial" w:eastAsia="Times New Roman" w:hAnsi="Arial" w:cs="Arial"/>
                <w:sz w:val="20"/>
                <w:szCs w:val="20"/>
                <w:lang w:eastAsia="nl-NL" w:bidi="ar-SA"/>
              </w:rPr>
              <w:t xml:space="preserve">US indices and CHFUSD / US indices and EURUSD                                        </w:t>
            </w:r>
          </w:p>
          <w:p w:rsidR="009C16D2" w:rsidRDefault="009C16D2" w:rsidP="009C16D2">
            <w:pPr>
              <w:spacing w:after="0" w:line="240" w:lineRule="auto"/>
              <w:rPr>
                <w:rFonts w:ascii="Arial" w:eastAsia="Times New Roman" w:hAnsi="Arial" w:cs="Arial"/>
                <w:sz w:val="20"/>
                <w:szCs w:val="20"/>
                <w:lang w:eastAsia="nl-NL" w:bidi="ar-SA"/>
              </w:rPr>
            </w:pPr>
          </w:p>
          <w:p w:rsidR="009C16D2" w:rsidRPr="00EF4435" w:rsidRDefault="009C16D2" w:rsidP="009C16D2">
            <w:pPr>
              <w:spacing w:after="0" w:line="240" w:lineRule="auto"/>
              <w:rPr>
                <w:rFonts w:ascii="Arial" w:eastAsia="Times New Roman" w:hAnsi="Arial" w:cs="Arial"/>
                <w:sz w:val="20"/>
                <w:szCs w:val="20"/>
                <w:lang w:eastAsia="nl-NL" w:bidi="ar-SA"/>
              </w:rPr>
            </w:pPr>
          </w:p>
        </w:tc>
        <w:tc>
          <w:tcPr>
            <w:tcW w:w="349" w:type="dxa"/>
            <w:gridSpan w:val="2"/>
            <w:tcBorders>
              <w:top w:val="nil"/>
              <w:left w:val="nil"/>
              <w:bottom w:val="nil"/>
              <w:right w:val="nil"/>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eastAsia="nl-NL" w:bidi="ar-SA"/>
              </w:rPr>
            </w:pPr>
          </w:p>
        </w:tc>
        <w:tc>
          <w:tcPr>
            <w:tcW w:w="4390" w:type="dxa"/>
            <w:gridSpan w:val="10"/>
            <w:tcBorders>
              <w:top w:val="nil"/>
              <w:left w:val="nil"/>
              <w:bottom w:val="nil"/>
              <w:right w:val="nil"/>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eastAsia="nl-NL" w:bidi="ar-SA"/>
              </w:rPr>
            </w:pPr>
          </w:p>
        </w:tc>
      </w:tr>
      <w:tr w:rsidR="009C16D2" w:rsidRPr="00EF4435" w:rsidTr="009C16D2">
        <w:trPr>
          <w:gridAfter w:val="1"/>
          <w:wAfter w:w="367" w:type="dxa"/>
          <w:trHeight w:val="249"/>
        </w:trPr>
        <w:tc>
          <w:tcPr>
            <w:tcW w:w="808" w:type="dxa"/>
            <w:tcBorders>
              <w:top w:val="nil"/>
              <w:left w:val="nil"/>
              <w:bottom w:val="nil"/>
              <w:right w:val="nil"/>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eastAsia="nl-NL" w:bidi="ar-SA"/>
              </w:rPr>
            </w:pPr>
          </w:p>
        </w:tc>
        <w:tc>
          <w:tcPr>
            <w:tcW w:w="1715" w:type="dxa"/>
            <w:gridSpan w:val="4"/>
            <w:tcBorders>
              <w:top w:val="nil"/>
              <w:left w:val="nil"/>
              <w:bottom w:val="nil"/>
              <w:right w:val="nil"/>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proofErr w:type="spellStart"/>
            <w:r w:rsidRPr="00EF4435">
              <w:rPr>
                <w:rFonts w:ascii="Arial" w:eastAsia="Times New Roman" w:hAnsi="Arial" w:cs="Arial"/>
                <w:sz w:val="20"/>
                <w:szCs w:val="20"/>
                <w:lang w:val="nl-NL" w:eastAsia="nl-NL" w:bidi="ar-SA"/>
              </w:rPr>
              <w:t>Trace</w:t>
            </w:r>
            <w:proofErr w:type="spellEnd"/>
            <w:r w:rsidRPr="00EF4435">
              <w:rPr>
                <w:rFonts w:ascii="Arial" w:eastAsia="Times New Roman" w:hAnsi="Arial" w:cs="Arial"/>
                <w:sz w:val="20"/>
                <w:szCs w:val="20"/>
                <w:lang w:val="nl-NL" w:eastAsia="nl-NL" w:bidi="ar-SA"/>
              </w:rPr>
              <w:t xml:space="preserve"> Test</w:t>
            </w:r>
          </w:p>
        </w:tc>
        <w:tc>
          <w:tcPr>
            <w:tcW w:w="1715" w:type="dxa"/>
            <w:gridSpan w:val="4"/>
            <w:tcBorders>
              <w:top w:val="nil"/>
              <w:left w:val="nil"/>
              <w:bottom w:val="nil"/>
              <w:right w:val="nil"/>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proofErr w:type="spellStart"/>
            <w:r w:rsidRPr="00EF4435">
              <w:rPr>
                <w:rFonts w:ascii="Arial" w:eastAsia="Times New Roman" w:hAnsi="Arial" w:cs="Arial"/>
                <w:sz w:val="20"/>
                <w:szCs w:val="20"/>
                <w:lang w:val="nl-NL" w:eastAsia="nl-NL" w:bidi="ar-SA"/>
              </w:rPr>
              <w:t>Max-Eign</w:t>
            </w:r>
            <w:proofErr w:type="spellEnd"/>
            <w:r w:rsidRPr="00EF4435">
              <w:rPr>
                <w:rFonts w:ascii="Arial" w:eastAsia="Times New Roman" w:hAnsi="Arial" w:cs="Arial"/>
                <w:sz w:val="20"/>
                <w:szCs w:val="20"/>
                <w:lang w:val="nl-NL" w:eastAsia="nl-NL" w:bidi="ar-SA"/>
              </w:rPr>
              <w:t xml:space="preserve"> Test</w:t>
            </w:r>
          </w:p>
        </w:tc>
        <w:tc>
          <w:tcPr>
            <w:tcW w:w="287" w:type="dxa"/>
            <w:gridSpan w:val="2"/>
            <w:tcBorders>
              <w:top w:val="nil"/>
              <w:left w:val="nil"/>
              <w:bottom w:val="nil"/>
              <w:right w:val="nil"/>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p>
        </w:tc>
        <w:tc>
          <w:tcPr>
            <w:tcW w:w="808" w:type="dxa"/>
            <w:gridSpan w:val="2"/>
            <w:tcBorders>
              <w:top w:val="nil"/>
              <w:left w:val="nil"/>
              <w:bottom w:val="nil"/>
              <w:right w:val="nil"/>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p>
        </w:tc>
        <w:tc>
          <w:tcPr>
            <w:tcW w:w="1715" w:type="dxa"/>
            <w:gridSpan w:val="4"/>
            <w:tcBorders>
              <w:top w:val="nil"/>
              <w:left w:val="nil"/>
              <w:bottom w:val="nil"/>
              <w:right w:val="nil"/>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proofErr w:type="spellStart"/>
            <w:r w:rsidRPr="00EF4435">
              <w:rPr>
                <w:rFonts w:ascii="Arial" w:eastAsia="Times New Roman" w:hAnsi="Arial" w:cs="Arial"/>
                <w:sz w:val="20"/>
                <w:szCs w:val="20"/>
                <w:lang w:val="nl-NL" w:eastAsia="nl-NL" w:bidi="ar-SA"/>
              </w:rPr>
              <w:t>Trace</w:t>
            </w:r>
            <w:proofErr w:type="spellEnd"/>
            <w:r w:rsidRPr="00EF4435">
              <w:rPr>
                <w:rFonts w:ascii="Arial" w:eastAsia="Times New Roman" w:hAnsi="Arial" w:cs="Arial"/>
                <w:sz w:val="20"/>
                <w:szCs w:val="20"/>
                <w:lang w:val="nl-NL" w:eastAsia="nl-NL" w:bidi="ar-SA"/>
              </w:rPr>
              <w:t xml:space="preserve"> Test</w:t>
            </w:r>
          </w:p>
        </w:tc>
        <w:tc>
          <w:tcPr>
            <w:tcW w:w="1715" w:type="dxa"/>
            <w:gridSpan w:val="4"/>
            <w:tcBorders>
              <w:top w:val="nil"/>
              <w:left w:val="nil"/>
              <w:bottom w:val="nil"/>
              <w:right w:val="nil"/>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proofErr w:type="spellStart"/>
            <w:r w:rsidRPr="00EF4435">
              <w:rPr>
                <w:rFonts w:ascii="Arial" w:eastAsia="Times New Roman" w:hAnsi="Arial" w:cs="Arial"/>
                <w:sz w:val="20"/>
                <w:szCs w:val="20"/>
                <w:lang w:val="nl-NL" w:eastAsia="nl-NL" w:bidi="ar-SA"/>
              </w:rPr>
              <w:t>Max-Eign</w:t>
            </w:r>
            <w:proofErr w:type="spellEnd"/>
            <w:r w:rsidRPr="00EF4435">
              <w:rPr>
                <w:rFonts w:ascii="Arial" w:eastAsia="Times New Roman" w:hAnsi="Arial" w:cs="Arial"/>
                <w:sz w:val="20"/>
                <w:szCs w:val="20"/>
                <w:lang w:val="nl-NL" w:eastAsia="nl-NL" w:bidi="ar-SA"/>
              </w:rPr>
              <w:t xml:space="preserve"> Test</w:t>
            </w:r>
          </w:p>
        </w:tc>
      </w:tr>
      <w:tr w:rsidR="009C16D2" w:rsidRPr="00EF4435" w:rsidTr="009C16D2">
        <w:trPr>
          <w:gridAfter w:val="1"/>
          <w:wAfter w:w="367" w:type="dxa"/>
          <w:trHeight w:val="249"/>
        </w:trPr>
        <w:tc>
          <w:tcPr>
            <w:tcW w:w="808" w:type="dxa"/>
            <w:tcBorders>
              <w:top w:val="nil"/>
              <w:left w:val="nil"/>
              <w:bottom w:val="nil"/>
              <w:right w:val="nil"/>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 xml:space="preserve">Cross </w:t>
            </w:r>
            <w:proofErr w:type="spellStart"/>
            <w:r w:rsidRPr="00EF4435">
              <w:rPr>
                <w:rFonts w:ascii="Arial" w:eastAsia="Times New Roman" w:hAnsi="Arial" w:cs="Arial"/>
                <w:sz w:val="20"/>
                <w:szCs w:val="20"/>
                <w:lang w:val="nl-NL" w:eastAsia="nl-NL" w:bidi="ar-SA"/>
              </w:rPr>
              <w:t>Section</w:t>
            </w:r>
            <w:proofErr w:type="spellEnd"/>
          </w:p>
        </w:tc>
        <w:tc>
          <w:tcPr>
            <w:tcW w:w="941" w:type="dxa"/>
            <w:gridSpan w:val="2"/>
            <w:tcBorders>
              <w:top w:val="nil"/>
              <w:left w:val="nil"/>
              <w:bottom w:val="nil"/>
              <w:right w:val="nil"/>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proofErr w:type="spellStart"/>
            <w:r w:rsidRPr="00EF4435">
              <w:rPr>
                <w:rFonts w:ascii="Arial" w:eastAsia="Times New Roman" w:hAnsi="Arial" w:cs="Arial"/>
                <w:sz w:val="20"/>
                <w:szCs w:val="20"/>
                <w:lang w:val="nl-NL" w:eastAsia="nl-NL" w:bidi="ar-SA"/>
              </w:rPr>
              <w:t>Statistics</w:t>
            </w:r>
            <w:proofErr w:type="spellEnd"/>
            <w:r w:rsidRPr="00EF4435">
              <w:rPr>
                <w:rFonts w:ascii="Arial" w:eastAsia="Times New Roman" w:hAnsi="Arial" w:cs="Arial"/>
                <w:sz w:val="20"/>
                <w:szCs w:val="20"/>
                <w:lang w:val="nl-NL" w:eastAsia="nl-NL" w:bidi="ar-SA"/>
              </w:rPr>
              <w:t xml:space="preserve"> </w:t>
            </w:r>
          </w:p>
        </w:tc>
        <w:tc>
          <w:tcPr>
            <w:tcW w:w="774" w:type="dxa"/>
            <w:gridSpan w:val="2"/>
            <w:tcBorders>
              <w:top w:val="nil"/>
              <w:left w:val="nil"/>
              <w:bottom w:val="nil"/>
              <w:right w:val="nil"/>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proofErr w:type="spellStart"/>
            <w:r w:rsidRPr="00EF4435">
              <w:rPr>
                <w:rFonts w:ascii="Arial" w:eastAsia="Times New Roman" w:hAnsi="Arial" w:cs="Arial"/>
                <w:sz w:val="20"/>
                <w:szCs w:val="20"/>
                <w:lang w:val="nl-NL" w:eastAsia="nl-NL" w:bidi="ar-SA"/>
              </w:rPr>
              <w:t>Prob</w:t>
            </w:r>
            <w:proofErr w:type="spellEnd"/>
            <w:r w:rsidRPr="00EF4435">
              <w:rPr>
                <w:rFonts w:ascii="Arial" w:eastAsia="Times New Roman" w:hAnsi="Arial" w:cs="Arial"/>
                <w:sz w:val="20"/>
                <w:szCs w:val="20"/>
                <w:lang w:val="nl-NL" w:eastAsia="nl-NL" w:bidi="ar-SA"/>
              </w:rPr>
              <w:t xml:space="preserve">.** </w:t>
            </w:r>
          </w:p>
        </w:tc>
        <w:tc>
          <w:tcPr>
            <w:tcW w:w="941" w:type="dxa"/>
            <w:gridSpan w:val="2"/>
            <w:tcBorders>
              <w:top w:val="nil"/>
              <w:left w:val="nil"/>
              <w:bottom w:val="nil"/>
              <w:right w:val="nil"/>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proofErr w:type="spellStart"/>
            <w:r w:rsidRPr="00EF4435">
              <w:rPr>
                <w:rFonts w:ascii="Arial" w:eastAsia="Times New Roman" w:hAnsi="Arial" w:cs="Arial"/>
                <w:sz w:val="20"/>
                <w:szCs w:val="20"/>
                <w:lang w:val="nl-NL" w:eastAsia="nl-NL" w:bidi="ar-SA"/>
              </w:rPr>
              <w:t>Statistics</w:t>
            </w:r>
            <w:proofErr w:type="spellEnd"/>
          </w:p>
        </w:tc>
        <w:tc>
          <w:tcPr>
            <w:tcW w:w="774" w:type="dxa"/>
            <w:gridSpan w:val="2"/>
            <w:tcBorders>
              <w:top w:val="nil"/>
              <w:left w:val="nil"/>
              <w:bottom w:val="nil"/>
              <w:right w:val="nil"/>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proofErr w:type="spellStart"/>
            <w:r w:rsidRPr="00EF4435">
              <w:rPr>
                <w:rFonts w:ascii="Arial" w:eastAsia="Times New Roman" w:hAnsi="Arial" w:cs="Arial"/>
                <w:sz w:val="20"/>
                <w:szCs w:val="20"/>
                <w:lang w:val="nl-NL" w:eastAsia="nl-NL" w:bidi="ar-SA"/>
              </w:rPr>
              <w:t>Prob</w:t>
            </w:r>
            <w:proofErr w:type="spellEnd"/>
            <w:r w:rsidRPr="00EF4435">
              <w:rPr>
                <w:rFonts w:ascii="Arial" w:eastAsia="Times New Roman" w:hAnsi="Arial" w:cs="Arial"/>
                <w:sz w:val="20"/>
                <w:szCs w:val="20"/>
                <w:lang w:val="nl-NL" w:eastAsia="nl-NL" w:bidi="ar-SA"/>
              </w:rPr>
              <w:t>.**</w:t>
            </w:r>
          </w:p>
        </w:tc>
        <w:tc>
          <w:tcPr>
            <w:tcW w:w="287" w:type="dxa"/>
            <w:gridSpan w:val="2"/>
            <w:tcBorders>
              <w:top w:val="nil"/>
              <w:left w:val="nil"/>
              <w:bottom w:val="nil"/>
              <w:right w:val="nil"/>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p>
        </w:tc>
        <w:tc>
          <w:tcPr>
            <w:tcW w:w="808" w:type="dxa"/>
            <w:gridSpan w:val="2"/>
            <w:tcBorders>
              <w:top w:val="nil"/>
              <w:left w:val="nil"/>
              <w:bottom w:val="nil"/>
              <w:right w:val="nil"/>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 xml:space="preserve">Cross </w:t>
            </w:r>
            <w:proofErr w:type="spellStart"/>
            <w:r w:rsidRPr="00EF4435">
              <w:rPr>
                <w:rFonts w:ascii="Arial" w:eastAsia="Times New Roman" w:hAnsi="Arial" w:cs="Arial"/>
                <w:sz w:val="20"/>
                <w:szCs w:val="20"/>
                <w:lang w:val="nl-NL" w:eastAsia="nl-NL" w:bidi="ar-SA"/>
              </w:rPr>
              <w:t>Section</w:t>
            </w:r>
            <w:proofErr w:type="spellEnd"/>
          </w:p>
        </w:tc>
        <w:tc>
          <w:tcPr>
            <w:tcW w:w="941" w:type="dxa"/>
            <w:gridSpan w:val="2"/>
            <w:tcBorders>
              <w:top w:val="nil"/>
              <w:left w:val="nil"/>
              <w:bottom w:val="nil"/>
              <w:right w:val="nil"/>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proofErr w:type="spellStart"/>
            <w:r w:rsidRPr="00EF4435">
              <w:rPr>
                <w:rFonts w:ascii="Arial" w:eastAsia="Times New Roman" w:hAnsi="Arial" w:cs="Arial"/>
                <w:sz w:val="20"/>
                <w:szCs w:val="20"/>
                <w:lang w:val="nl-NL" w:eastAsia="nl-NL" w:bidi="ar-SA"/>
              </w:rPr>
              <w:t>Statistics</w:t>
            </w:r>
            <w:proofErr w:type="spellEnd"/>
            <w:r w:rsidRPr="00EF4435">
              <w:rPr>
                <w:rFonts w:ascii="Arial" w:eastAsia="Times New Roman" w:hAnsi="Arial" w:cs="Arial"/>
                <w:sz w:val="20"/>
                <w:szCs w:val="20"/>
                <w:lang w:val="nl-NL" w:eastAsia="nl-NL" w:bidi="ar-SA"/>
              </w:rPr>
              <w:t xml:space="preserve"> </w:t>
            </w:r>
          </w:p>
        </w:tc>
        <w:tc>
          <w:tcPr>
            <w:tcW w:w="774" w:type="dxa"/>
            <w:gridSpan w:val="2"/>
            <w:tcBorders>
              <w:top w:val="nil"/>
              <w:left w:val="nil"/>
              <w:bottom w:val="nil"/>
              <w:right w:val="nil"/>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proofErr w:type="spellStart"/>
            <w:r w:rsidRPr="00EF4435">
              <w:rPr>
                <w:rFonts w:ascii="Arial" w:eastAsia="Times New Roman" w:hAnsi="Arial" w:cs="Arial"/>
                <w:sz w:val="20"/>
                <w:szCs w:val="20"/>
                <w:lang w:val="nl-NL" w:eastAsia="nl-NL" w:bidi="ar-SA"/>
              </w:rPr>
              <w:t>Prob</w:t>
            </w:r>
            <w:proofErr w:type="spellEnd"/>
            <w:r w:rsidRPr="00EF4435">
              <w:rPr>
                <w:rFonts w:ascii="Arial" w:eastAsia="Times New Roman" w:hAnsi="Arial" w:cs="Arial"/>
                <w:sz w:val="20"/>
                <w:szCs w:val="20"/>
                <w:lang w:val="nl-NL" w:eastAsia="nl-NL" w:bidi="ar-SA"/>
              </w:rPr>
              <w:t xml:space="preserve">.** </w:t>
            </w:r>
          </w:p>
        </w:tc>
        <w:tc>
          <w:tcPr>
            <w:tcW w:w="941" w:type="dxa"/>
            <w:gridSpan w:val="2"/>
            <w:tcBorders>
              <w:top w:val="nil"/>
              <w:left w:val="nil"/>
              <w:bottom w:val="nil"/>
              <w:right w:val="nil"/>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proofErr w:type="spellStart"/>
            <w:r w:rsidRPr="00EF4435">
              <w:rPr>
                <w:rFonts w:ascii="Arial" w:eastAsia="Times New Roman" w:hAnsi="Arial" w:cs="Arial"/>
                <w:sz w:val="20"/>
                <w:szCs w:val="20"/>
                <w:lang w:val="nl-NL" w:eastAsia="nl-NL" w:bidi="ar-SA"/>
              </w:rPr>
              <w:t>Statistics</w:t>
            </w:r>
            <w:proofErr w:type="spellEnd"/>
          </w:p>
        </w:tc>
        <w:tc>
          <w:tcPr>
            <w:tcW w:w="774" w:type="dxa"/>
            <w:gridSpan w:val="2"/>
            <w:tcBorders>
              <w:top w:val="nil"/>
              <w:left w:val="nil"/>
              <w:bottom w:val="nil"/>
              <w:right w:val="nil"/>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proofErr w:type="spellStart"/>
            <w:r w:rsidRPr="00EF4435">
              <w:rPr>
                <w:rFonts w:ascii="Arial" w:eastAsia="Times New Roman" w:hAnsi="Arial" w:cs="Arial"/>
                <w:sz w:val="20"/>
                <w:szCs w:val="20"/>
                <w:lang w:val="nl-NL" w:eastAsia="nl-NL" w:bidi="ar-SA"/>
              </w:rPr>
              <w:t>Prob</w:t>
            </w:r>
            <w:proofErr w:type="spellEnd"/>
            <w:r w:rsidRPr="00EF4435">
              <w:rPr>
                <w:rFonts w:ascii="Arial" w:eastAsia="Times New Roman" w:hAnsi="Arial" w:cs="Arial"/>
                <w:sz w:val="20"/>
                <w:szCs w:val="20"/>
                <w:lang w:val="nl-NL" w:eastAsia="nl-NL" w:bidi="ar-SA"/>
              </w:rPr>
              <w:t>.**</w:t>
            </w:r>
          </w:p>
        </w:tc>
      </w:tr>
      <w:tr w:rsidR="009C16D2" w:rsidRPr="00EF4435" w:rsidTr="009C16D2">
        <w:trPr>
          <w:gridAfter w:val="1"/>
          <w:wAfter w:w="367" w:type="dxa"/>
          <w:trHeight w:val="249"/>
        </w:trPr>
        <w:tc>
          <w:tcPr>
            <w:tcW w:w="3464" w:type="dxa"/>
            <w:gridSpan w:val="7"/>
            <w:tcBorders>
              <w:top w:val="single" w:sz="4" w:space="0" w:color="auto"/>
              <w:left w:val="single" w:sz="4" w:space="0" w:color="auto"/>
              <w:bottom w:val="single" w:sz="4" w:space="0" w:color="auto"/>
              <w:right w:val="nil"/>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 xml:space="preserve">Hypothesis of </w:t>
            </w:r>
            <w:proofErr w:type="spellStart"/>
            <w:r w:rsidRPr="00EF4435">
              <w:rPr>
                <w:rFonts w:ascii="Arial" w:eastAsia="Times New Roman" w:hAnsi="Arial" w:cs="Arial"/>
                <w:sz w:val="20"/>
                <w:szCs w:val="20"/>
                <w:lang w:val="nl-NL" w:eastAsia="nl-NL" w:bidi="ar-SA"/>
              </w:rPr>
              <w:t>no</w:t>
            </w:r>
            <w:proofErr w:type="spellEnd"/>
            <w:r w:rsidRPr="00EF4435">
              <w:rPr>
                <w:rFonts w:ascii="Arial" w:eastAsia="Times New Roman" w:hAnsi="Arial" w:cs="Arial"/>
                <w:sz w:val="20"/>
                <w:szCs w:val="20"/>
                <w:lang w:val="nl-NL" w:eastAsia="nl-NL" w:bidi="ar-SA"/>
              </w:rPr>
              <w:t xml:space="preserve"> </w:t>
            </w:r>
            <w:proofErr w:type="spellStart"/>
            <w:r w:rsidRPr="00EF4435">
              <w:rPr>
                <w:rFonts w:ascii="Arial" w:eastAsia="Times New Roman" w:hAnsi="Arial" w:cs="Arial"/>
                <w:sz w:val="20"/>
                <w:szCs w:val="20"/>
                <w:lang w:val="nl-NL" w:eastAsia="nl-NL" w:bidi="ar-SA"/>
              </w:rPr>
              <w:t>cointegration</w:t>
            </w:r>
            <w:proofErr w:type="spellEnd"/>
          </w:p>
        </w:tc>
        <w:tc>
          <w:tcPr>
            <w:tcW w:w="774" w:type="dxa"/>
            <w:gridSpan w:val="2"/>
            <w:tcBorders>
              <w:top w:val="single" w:sz="4" w:space="0" w:color="auto"/>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 </w:t>
            </w:r>
          </w:p>
        </w:tc>
        <w:tc>
          <w:tcPr>
            <w:tcW w:w="287" w:type="dxa"/>
            <w:gridSpan w:val="2"/>
            <w:tcBorders>
              <w:top w:val="nil"/>
              <w:left w:val="nil"/>
              <w:bottom w:val="nil"/>
              <w:right w:val="nil"/>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p>
        </w:tc>
        <w:tc>
          <w:tcPr>
            <w:tcW w:w="3464" w:type="dxa"/>
            <w:gridSpan w:val="8"/>
            <w:tcBorders>
              <w:top w:val="single" w:sz="4" w:space="0" w:color="auto"/>
              <w:left w:val="single" w:sz="4" w:space="0" w:color="auto"/>
              <w:bottom w:val="single" w:sz="4" w:space="0" w:color="auto"/>
              <w:right w:val="nil"/>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 xml:space="preserve">Hypothesis of </w:t>
            </w:r>
            <w:proofErr w:type="spellStart"/>
            <w:r w:rsidRPr="00EF4435">
              <w:rPr>
                <w:rFonts w:ascii="Arial" w:eastAsia="Times New Roman" w:hAnsi="Arial" w:cs="Arial"/>
                <w:sz w:val="20"/>
                <w:szCs w:val="20"/>
                <w:lang w:val="nl-NL" w:eastAsia="nl-NL" w:bidi="ar-SA"/>
              </w:rPr>
              <w:t>no</w:t>
            </w:r>
            <w:proofErr w:type="spellEnd"/>
            <w:r w:rsidRPr="00EF4435">
              <w:rPr>
                <w:rFonts w:ascii="Arial" w:eastAsia="Times New Roman" w:hAnsi="Arial" w:cs="Arial"/>
                <w:sz w:val="20"/>
                <w:szCs w:val="20"/>
                <w:lang w:val="nl-NL" w:eastAsia="nl-NL" w:bidi="ar-SA"/>
              </w:rPr>
              <w:t xml:space="preserve"> </w:t>
            </w:r>
            <w:proofErr w:type="spellStart"/>
            <w:r w:rsidRPr="00EF4435">
              <w:rPr>
                <w:rFonts w:ascii="Arial" w:eastAsia="Times New Roman" w:hAnsi="Arial" w:cs="Arial"/>
                <w:sz w:val="20"/>
                <w:szCs w:val="20"/>
                <w:lang w:val="nl-NL" w:eastAsia="nl-NL" w:bidi="ar-SA"/>
              </w:rPr>
              <w:t>cointegration</w:t>
            </w:r>
            <w:proofErr w:type="spellEnd"/>
          </w:p>
        </w:tc>
        <w:tc>
          <w:tcPr>
            <w:tcW w:w="774" w:type="dxa"/>
            <w:gridSpan w:val="2"/>
            <w:tcBorders>
              <w:top w:val="single" w:sz="4" w:space="0" w:color="auto"/>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 </w:t>
            </w:r>
          </w:p>
        </w:tc>
      </w:tr>
      <w:tr w:rsidR="009C16D2" w:rsidRPr="00EF4435" w:rsidTr="009C16D2">
        <w:trPr>
          <w:gridAfter w:val="1"/>
          <w:wAfter w:w="367" w:type="dxa"/>
          <w:trHeight w:val="249"/>
        </w:trPr>
        <w:tc>
          <w:tcPr>
            <w:tcW w:w="808" w:type="dxa"/>
            <w:tcBorders>
              <w:top w:val="nil"/>
              <w:left w:val="single" w:sz="4" w:space="0" w:color="auto"/>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A</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5,9287</w:t>
            </w:r>
          </w:p>
        </w:tc>
        <w:tc>
          <w:tcPr>
            <w:tcW w:w="774"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0,704</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5,7807</w:t>
            </w:r>
          </w:p>
        </w:tc>
        <w:tc>
          <w:tcPr>
            <w:tcW w:w="774"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0,6415</w:t>
            </w:r>
          </w:p>
        </w:tc>
        <w:tc>
          <w:tcPr>
            <w:tcW w:w="287" w:type="dxa"/>
            <w:gridSpan w:val="2"/>
            <w:tcBorders>
              <w:top w:val="nil"/>
              <w:left w:val="nil"/>
              <w:bottom w:val="nil"/>
              <w:right w:val="nil"/>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p>
        </w:tc>
        <w:tc>
          <w:tcPr>
            <w:tcW w:w="808" w:type="dxa"/>
            <w:gridSpan w:val="2"/>
            <w:tcBorders>
              <w:top w:val="nil"/>
              <w:left w:val="single" w:sz="4" w:space="0" w:color="auto"/>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A</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6,7226</w:t>
            </w:r>
          </w:p>
        </w:tc>
        <w:tc>
          <w:tcPr>
            <w:tcW w:w="774"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0,6101</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5,2415</w:t>
            </w:r>
          </w:p>
        </w:tc>
        <w:tc>
          <w:tcPr>
            <w:tcW w:w="774"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0,7111</w:t>
            </w:r>
          </w:p>
        </w:tc>
      </w:tr>
      <w:tr w:rsidR="009C16D2" w:rsidRPr="00EF4435" w:rsidTr="009C16D2">
        <w:trPr>
          <w:gridAfter w:val="1"/>
          <w:wAfter w:w="367" w:type="dxa"/>
          <w:trHeight w:val="249"/>
        </w:trPr>
        <w:tc>
          <w:tcPr>
            <w:tcW w:w="808" w:type="dxa"/>
            <w:tcBorders>
              <w:top w:val="nil"/>
              <w:left w:val="single" w:sz="4" w:space="0" w:color="auto"/>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BM</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7,4629</w:t>
            </w:r>
          </w:p>
        </w:tc>
        <w:tc>
          <w:tcPr>
            <w:tcW w:w="774"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0,5245</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7,419</w:t>
            </w:r>
          </w:p>
        </w:tc>
        <w:tc>
          <w:tcPr>
            <w:tcW w:w="774"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0,4408</w:t>
            </w:r>
          </w:p>
        </w:tc>
        <w:tc>
          <w:tcPr>
            <w:tcW w:w="287" w:type="dxa"/>
            <w:gridSpan w:val="2"/>
            <w:tcBorders>
              <w:top w:val="nil"/>
              <w:left w:val="nil"/>
              <w:bottom w:val="nil"/>
              <w:right w:val="nil"/>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p>
        </w:tc>
        <w:tc>
          <w:tcPr>
            <w:tcW w:w="808" w:type="dxa"/>
            <w:gridSpan w:val="2"/>
            <w:tcBorders>
              <w:top w:val="nil"/>
              <w:left w:val="single" w:sz="4" w:space="0" w:color="auto"/>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BM</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6,7545</w:t>
            </w:r>
          </w:p>
        </w:tc>
        <w:tc>
          <w:tcPr>
            <w:tcW w:w="774"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0,6063</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5,9939</w:t>
            </w:r>
          </w:p>
        </w:tc>
        <w:tc>
          <w:tcPr>
            <w:tcW w:w="774"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0,614</w:t>
            </w:r>
          </w:p>
        </w:tc>
      </w:tr>
      <w:tr w:rsidR="009C16D2" w:rsidRPr="00EF4435" w:rsidTr="009C16D2">
        <w:trPr>
          <w:gridAfter w:val="1"/>
          <w:wAfter w:w="367" w:type="dxa"/>
          <w:trHeight w:val="249"/>
        </w:trPr>
        <w:tc>
          <w:tcPr>
            <w:tcW w:w="808" w:type="dxa"/>
            <w:tcBorders>
              <w:top w:val="nil"/>
              <w:left w:val="single" w:sz="4" w:space="0" w:color="auto"/>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CGDS</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8,9801</w:t>
            </w:r>
          </w:p>
        </w:tc>
        <w:tc>
          <w:tcPr>
            <w:tcW w:w="774"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0,3672</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8,8912</w:t>
            </w:r>
          </w:p>
        </w:tc>
        <w:tc>
          <w:tcPr>
            <w:tcW w:w="774"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0,2953</w:t>
            </w:r>
          </w:p>
        </w:tc>
        <w:tc>
          <w:tcPr>
            <w:tcW w:w="287" w:type="dxa"/>
            <w:gridSpan w:val="2"/>
            <w:tcBorders>
              <w:top w:val="nil"/>
              <w:left w:val="nil"/>
              <w:bottom w:val="nil"/>
              <w:right w:val="nil"/>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p>
        </w:tc>
        <w:tc>
          <w:tcPr>
            <w:tcW w:w="808" w:type="dxa"/>
            <w:gridSpan w:val="2"/>
            <w:tcBorders>
              <w:top w:val="nil"/>
              <w:left w:val="single" w:sz="4" w:space="0" w:color="auto"/>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CGDS</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7,465</w:t>
            </w:r>
          </w:p>
        </w:tc>
        <w:tc>
          <w:tcPr>
            <w:tcW w:w="774"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0,5242</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6,8187</w:t>
            </w:r>
          </w:p>
        </w:tc>
        <w:tc>
          <w:tcPr>
            <w:tcW w:w="774"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0,5108</w:t>
            </w:r>
          </w:p>
        </w:tc>
      </w:tr>
      <w:tr w:rsidR="009C16D2" w:rsidRPr="00EF4435" w:rsidTr="009C16D2">
        <w:trPr>
          <w:gridAfter w:val="1"/>
          <w:wAfter w:w="367" w:type="dxa"/>
          <w:trHeight w:val="249"/>
        </w:trPr>
        <w:tc>
          <w:tcPr>
            <w:tcW w:w="808" w:type="dxa"/>
            <w:tcBorders>
              <w:top w:val="nil"/>
              <w:left w:val="single" w:sz="4" w:space="0" w:color="auto"/>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CS</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8,6295</w:t>
            </w:r>
          </w:p>
        </w:tc>
        <w:tc>
          <w:tcPr>
            <w:tcW w:w="774"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0,4008</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8,5607</w:t>
            </w:r>
          </w:p>
        </w:tc>
        <w:tc>
          <w:tcPr>
            <w:tcW w:w="774"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0,3245</w:t>
            </w:r>
          </w:p>
        </w:tc>
        <w:tc>
          <w:tcPr>
            <w:tcW w:w="287" w:type="dxa"/>
            <w:gridSpan w:val="2"/>
            <w:tcBorders>
              <w:top w:val="nil"/>
              <w:left w:val="nil"/>
              <w:bottom w:val="nil"/>
              <w:right w:val="nil"/>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p>
        </w:tc>
        <w:tc>
          <w:tcPr>
            <w:tcW w:w="808" w:type="dxa"/>
            <w:gridSpan w:val="2"/>
            <w:tcBorders>
              <w:top w:val="nil"/>
              <w:left w:val="single" w:sz="4" w:space="0" w:color="auto"/>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CS</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9,679</w:t>
            </w:r>
          </w:p>
        </w:tc>
        <w:tc>
          <w:tcPr>
            <w:tcW w:w="774"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0,3063</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8,21</w:t>
            </w:r>
          </w:p>
        </w:tc>
        <w:tc>
          <w:tcPr>
            <w:tcW w:w="774"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0,3577</w:t>
            </w:r>
          </w:p>
        </w:tc>
      </w:tr>
      <w:tr w:rsidR="009C16D2" w:rsidRPr="00EF4435" w:rsidTr="009C16D2">
        <w:trPr>
          <w:gridAfter w:val="1"/>
          <w:wAfter w:w="367" w:type="dxa"/>
          <w:trHeight w:val="249"/>
        </w:trPr>
        <w:tc>
          <w:tcPr>
            <w:tcW w:w="808" w:type="dxa"/>
            <w:tcBorders>
              <w:top w:val="nil"/>
              <w:left w:val="single" w:sz="4" w:space="0" w:color="auto"/>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FSVS</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3,4767</w:t>
            </w:r>
          </w:p>
        </w:tc>
        <w:tc>
          <w:tcPr>
            <w:tcW w:w="774"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0,9411</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3,4764</w:t>
            </w:r>
          </w:p>
        </w:tc>
        <w:tc>
          <w:tcPr>
            <w:tcW w:w="774"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0,91</w:t>
            </w:r>
          </w:p>
        </w:tc>
        <w:tc>
          <w:tcPr>
            <w:tcW w:w="287" w:type="dxa"/>
            <w:gridSpan w:val="2"/>
            <w:tcBorders>
              <w:top w:val="nil"/>
              <w:left w:val="nil"/>
              <w:bottom w:val="nil"/>
              <w:right w:val="nil"/>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p>
        </w:tc>
        <w:tc>
          <w:tcPr>
            <w:tcW w:w="808" w:type="dxa"/>
            <w:gridSpan w:val="2"/>
            <w:tcBorders>
              <w:top w:val="nil"/>
              <w:left w:val="single" w:sz="4" w:space="0" w:color="auto"/>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FSVS</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6,7186</w:t>
            </w:r>
          </w:p>
        </w:tc>
        <w:tc>
          <w:tcPr>
            <w:tcW w:w="774"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0,6106</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4,6321</w:t>
            </w:r>
          </w:p>
        </w:tc>
        <w:tc>
          <w:tcPr>
            <w:tcW w:w="774"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0,7873</w:t>
            </w:r>
          </w:p>
        </w:tc>
      </w:tr>
      <w:tr w:rsidR="009C16D2" w:rsidRPr="00EF4435" w:rsidTr="009C16D2">
        <w:trPr>
          <w:gridAfter w:val="1"/>
          <w:wAfter w:w="367" w:type="dxa"/>
          <w:trHeight w:val="249"/>
        </w:trPr>
        <w:tc>
          <w:tcPr>
            <w:tcW w:w="808" w:type="dxa"/>
            <w:tcBorders>
              <w:top w:val="nil"/>
              <w:left w:val="single" w:sz="4" w:space="0" w:color="auto"/>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HC</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11,8606</w:t>
            </w:r>
          </w:p>
        </w:tc>
        <w:tc>
          <w:tcPr>
            <w:tcW w:w="774"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0,1637</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11,8596</w:t>
            </w:r>
          </w:p>
        </w:tc>
        <w:tc>
          <w:tcPr>
            <w:tcW w:w="774"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0,116</w:t>
            </w:r>
          </w:p>
        </w:tc>
        <w:tc>
          <w:tcPr>
            <w:tcW w:w="287" w:type="dxa"/>
            <w:gridSpan w:val="2"/>
            <w:tcBorders>
              <w:top w:val="nil"/>
              <w:left w:val="nil"/>
              <w:bottom w:val="nil"/>
              <w:right w:val="nil"/>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p>
        </w:tc>
        <w:tc>
          <w:tcPr>
            <w:tcW w:w="808" w:type="dxa"/>
            <w:gridSpan w:val="2"/>
            <w:tcBorders>
              <w:top w:val="nil"/>
              <w:left w:val="single" w:sz="4" w:space="0" w:color="auto"/>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HC</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13,471</w:t>
            </w:r>
          </w:p>
        </w:tc>
        <w:tc>
          <w:tcPr>
            <w:tcW w:w="774"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0,0986</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12,2188</w:t>
            </w:r>
          </w:p>
        </w:tc>
        <w:tc>
          <w:tcPr>
            <w:tcW w:w="774"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0,1027</w:t>
            </w:r>
          </w:p>
        </w:tc>
      </w:tr>
      <w:tr w:rsidR="009C16D2" w:rsidRPr="00EF4435" w:rsidTr="009C16D2">
        <w:trPr>
          <w:gridAfter w:val="1"/>
          <w:wAfter w:w="367" w:type="dxa"/>
          <w:trHeight w:val="249"/>
        </w:trPr>
        <w:tc>
          <w:tcPr>
            <w:tcW w:w="808" w:type="dxa"/>
            <w:tcBorders>
              <w:top w:val="nil"/>
              <w:left w:val="single" w:sz="4" w:space="0" w:color="auto"/>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IND</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5,7079</w:t>
            </w:r>
          </w:p>
        </w:tc>
        <w:tc>
          <w:tcPr>
            <w:tcW w:w="774"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0,7297</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5,6806</w:t>
            </w:r>
          </w:p>
        </w:tc>
        <w:tc>
          <w:tcPr>
            <w:tcW w:w="774"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0,6545</w:t>
            </w:r>
          </w:p>
        </w:tc>
        <w:tc>
          <w:tcPr>
            <w:tcW w:w="287" w:type="dxa"/>
            <w:gridSpan w:val="2"/>
            <w:tcBorders>
              <w:top w:val="nil"/>
              <w:left w:val="nil"/>
              <w:bottom w:val="nil"/>
              <w:right w:val="nil"/>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p>
        </w:tc>
        <w:tc>
          <w:tcPr>
            <w:tcW w:w="808" w:type="dxa"/>
            <w:gridSpan w:val="2"/>
            <w:tcBorders>
              <w:top w:val="nil"/>
              <w:left w:val="single" w:sz="4" w:space="0" w:color="auto"/>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IND</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6,6905</w:t>
            </w:r>
          </w:p>
        </w:tc>
        <w:tc>
          <w:tcPr>
            <w:tcW w:w="774"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0,6139</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5,2853</w:t>
            </w:r>
          </w:p>
        </w:tc>
        <w:tc>
          <w:tcPr>
            <w:tcW w:w="774"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0,7055</w:t>
            </w:r>
          </w:p>
        </w:tc>
      </w:tr>
      <w:tr w:rsidR="009C16D2" w:rsidRPr="00EF4435" w:rsidTr="009C16D2">
        <w:trPr>
          <w:gridAfter w:val="1"/>
          <w:wAfter w:w="367" w:type="dxa"/>
          <w:trHeight w:val="249"/>
        </w:trPr>
        <w:tc>
          <w:tcPr>
            <w:tcW w:w="808" w:type="dxa"/>
            <w:tcBorders>
              <w:top w:val="nil"/>
              <w:left w:val="single" w:sz="4" w:space="0" w:color="auto"/>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OIG</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6,1618</w:t>
            </w:r>
          </w:p>
        </w:tc>
        <w:tc>
          <w:tcPr>
            <w:tcW w:w="774"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0,6764</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6,1477</w:t>
            </w:r>
          </w:p>
        </w:tc>
        <w:tc>
          <w:tcPr>
            <w:tcW w:w="774"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0,5943</w:t>
            </w:r>
          </w:p>
        </w:tc>
        <w:tc>
          <w:tcPr>
            <w:tcW w:w="287" w:type="dxa"/>
            <w:gridSpan w:val="2"/>
            <w:tcBorders>
              <w:top w:val="nil"/>
              <w:left w:val="nil"/>
              <w:bottom w:val="nil"/>
              <w:right w:val="nil"/>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p>
        </w:tc>
        <w:tc>
          <w:tcPr>
            <w:tcW w:w="808" w:type="dxa"/>
            <w:gridSpan w:val="2"/>
            <w:tcBorders>
              <w:top w:val="nil"/>
              <w:left w:val="single" w:sz="4" w:space="0" w:color="auto"/>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OIG</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8,2262</w:t>
            </w:r>
          </w:p>
        </w:tc>
        <w:tc>
          <w:tcPr>
            <w:tcW w:w="774"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0,4415</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7,5719</w:t>
            </w:r>
          </w:p>
        </w:tc>
        <w:tc>
          <w:tcPr>
            <w:tcW w:w="774"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0,4239</w:t>
            </w:r>
          </w:p>
        </w:tc>
      </w:tr>
      <w:tr w:rsidR="009C16D2" w:rsidRPr="00EF4435" w:rsidTr="009C16D2">
        <w:trPr>
          <w:gridAfter w:val="1"/>
          <w:wAfter w:w="367" w:type="dxa"/>
          <w:trHeight w:val="249"/>
        </w:trPr>
        <w:tc>
          <w:tcPr>
            <w:tcW w:w="808" w:type="dxa"/>
            <w:tcBorders>
              <w:top w:val="nil"/>
              <w:left w:val="single" w:sz="4" w:space="0" w:color="auto"/>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TECH</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6,0591</w:t>
            </w:r>
          </w:p>
        </w:tc>
        <w:tc>
          <w:tcPr>
            <w:tcW w:w="774"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0,6886</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5,4</w:t>
            </w:r>
          </w:p>
        </w:tc>
        <w:tc>
          <w:tcPr>
            <w:tcW w:w="774"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0,6907</w:t>
            </w:r>
          </w:p>
        </w:tc>
        <w:tc>
          <w:tcPr>
            <w:tcW w:w="287" w:type="dxa"/>
            <w:gridSpan w:val="2"/>
            <w:tcBorders>
              <w:top w:val="nil"/>
              <w:left w:val="nil"/>
              <w:bottom w:val="nil"/>
              <w:right w:val="nil"/>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p>
        </w:tc>
        <w:tc>
          <w:tcPr>
            <w:tcW w:w="808" w:type="dxa"/>
            <w:gridSpan w:val="2"/>
            <w:tcBorders>
              <w:top w:val="nil"/>
              <w:left w:val="single" w:sz="4" w:space="0" w:color="auto"/>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TECH</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10,392</w:t>
            </w:r>
          </w:p>
        </w:tc>
        <w:tc>
          <w:tcPr>
            <w:tcW w:w="774"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0,2518</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7,69</w:t>
            </w:r>
          </w:p>
        </w:tc>
        <w:tc>
          <w:tcPr>
            <w:tcW w:w="774"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0,4111</w:t>
            </w:r>
          </w:p>
        </w:tc>
      </w:tr>
      <w:tr w:rsidR="009C16D2" w:rsidRPr="00EF4435" w:rsidTr="009C16D2">
        <w:trPr>
          <w:gridAfter w:val="1"/>
          <w:wAfter w:w="367" w:type="dxa"/>
          <w:trHeight w:val="249"/>
        </w:trPr>
        <w:tc>
          <w:tcPr>
            <w:tcW w:w="808" w:type="dxa"/>
            <w:tcBorders>
              <w:top w:val="nil"/>
              <w:left w:val="single" w:sz="4" w:space="0" w:color="auto"/>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TEL</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9,0689</w:t>
            </w:r>
          </w:p>
        </w:tc>
        <w:tc>
          <w:tcPr>
            <w:tcW w:w="774"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0,359</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6,8959</w:t>
            </w:r>
          </w:p>
        </w:tc>
        <w:tc>
          <w:tcPr>
            <w:tcW w:w="774"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0,5015</w:t>
            </w:r>
          </w:p>
        </w:tc>
        <w:tc>
          <w:tcPr>
            <w:tcW w:w="287" w:type="dxa"/>
            <w:gridSpan w:val="2"/>
            <w:tcBorders>
              <w:top w:val="nil"/>
              <w:left w:val="nil"/>
              <w:bottom w:val="nil"/>
              <w:right w:val="nil"/>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p>
        </w:tc>
        <w:tc>
          <w:tcPr>
            <w:tcW w:w="808" w:type="dxa"/>
            <w:gridSpan w:val="2"/>
            <w:tcBorders>
              <w:top w:val="nil"/>
              <w:left w:val="single" w:sz="4" w:space="0" w:color="auto"/>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TEL</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11,342</w:t>
            </w:r>
          </w:p>
        </w:tc>
        <w:tc>
          <w:tcPr>
            <w:tcW w:w="774"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0,1913</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7,5485</w:t>
            </w:r>
          </w:p>
        </w:tc>
        <w:tc>
          <w:tcPr>
            <w:tcW w:w="774"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0,4265</w:t>
            </w:r>
          </w:p>
        </w:tc>
      </w:tr>
      <w:tr w:rsidR="009C16D2" w:rsidRPr="00EF4435" w:rsidTr="009C16D2">
        <w:trPr>
          <w:gridAfter w:val="1"/>
          <w:wAfter w:w="367" w:type="dxa"/>
          <w:trHeight w:val="249"/>
        </w:trPr>
        <w:tc>
          <w:tcPr>
            <w:tcW w:w="808" w:type="dxa"/>
            <w:tcBorders>
              <w:top w:val="nil"/>
              <w:left w:val="single" w:sz="4" w:space="0" w:color="auto"/>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UT</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3,5839</w:t>
            </w:r>
          </w:p>
        </w:tc>
        <w:tc>
          <w:tcPr>
            <w:tcW w:w="774"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0,9342</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3,5836</w:t>
            </w:r>
          </w:p>
        </w:tc>
        <w:tc>
          <w:tcPr>
            <w:tcW w:w="774"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0,9005</w:t>
            </w:r>
          </w:p>
        </w:tc>
        <w:tc>
          <w:tcPr>
            <w:tcW w:w="287" w:type="dxa"/>
            <w:gridSpan w:val="2"/>
            <w:tcBorders>
              <w:top w:val="nil"/>
              <w:left w:val="nil"/>
              <w:bottom w:val="nil"/>
              <w:right w:val="nil"/>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p>
        </w:tc>
        <w:tc>
          <w:tcPr>
            <w:tcW w:w="808" w:type="dxa"/>
            <w:gridSpan w:val="2"/>
            <w:tcBorders>
              <w:top w:val="nil"/>
              <w:left w:val="single" w:sz="4" w:space="0" w:color="auto"/>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UT</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4,9754</w:t>
            </w:r>
          </w:p>
        </w:tc>
        <w:tc>
          <w:tcPr>
            <w:tcW w:w="774"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0,8114</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3,8624</w:t>
            </w:r>
          </w:p>
        </w:tc>
        <w:tc>
          <w:tcPr>
            <w:tcW w:w="774"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0,8736</w:t>
            </w:r>
          </w:p>
        </w:tc>
      </w:tr>
      <w:tr w:rsidR="009C16D2" w:rsidRPr="00EF4435" w:rsidTr="009C16D2">
        <w:trPr>
          <w:gridAfter w:val="1"/>
          <w:wAfter w:w="367" w:type="dxa"/>
          <w:trHeight w:val="249"/>
        </w:trPr>
        <w:tc>
          <w:tcPr>
            <w:tcW w:w="4238"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eastAsia="nl-NL" w:bidi="ar-SA"/>
              </w:rPr>
            </w:pPr>
            <w:r w:rsidRPr="00EF4435">
              <w:rPr>
                <w:rFonts w:ascii="Arial" w:eastAsia="Times New Roman" w:hAnsi="Arial" w:cs="Arial"/>
                <w:sz w:val="20"/>
                <w:szCs w:val="20"/>
                <w:lang w:eastAsia="nl-NL" w:bidi="ar-SA"/>
              </w:rPr>
              <w:t xml:space="preserve">Hypothesis of at most 1 </w:t>
            </w:r>
            <w:proofErr w:type="spellStart"/>
            <w:r w:rsidRPr="00EF4435">
              <w:rPr>
                <w:rFonts w:ascii="Arial" w:eastAsia="Times New Roman" w:hAnsi="Arial" w:cs="Arial"/>
                <w:sz w:val="20"/>
                <w:szCs w:val="20"/>
                <w:lang w:eastAsia="nl-NL" w:bidi="ar-SA"/>
              </w:rPr>
              <w:t>cointegration</w:t>
            </w:r>
            <w:proofErr w:type="spellEnd"/>
            <w:r w:rsidRPr="00EF4435">
              <w:rPr>
                <w:rFonts w:ascii="Arial" w:eastAsia="Times New Roman" w:hAnsi="Arial" w:cs="Arial"/>
                <w:sz w:val="20"/>
                <w:szCs w:val="20"/>
                <w:lang w:eastAsia="nl-NL" w:bidi="ar-SA"/>
              </w:rPr>
              <w:t xml:space="preserve"> relationship</w:t>
            </w:r>
          </w:p>
        </w:tc>
        <w:tc>
          <w:tcPr>
            <w:tcW w:w="287" w:type="dxa"/>
            <w:gridSpan w:val="2"/>
            <w:tcBorders>
              <w:top w:val="nil"/>
              <w:left w:val="nil"/>
              <w:bottom w:val="nil"/>
              <w:right w:val="nil"/>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eastAsia="nl-NL" w:bidi="ar-SA"/>
              </w:rPr>
            </w:pPr>
          </w:p>
        </w:tc>
        <w:tc>
          <w:tcPr>
            <w:tcW w:w="4238"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eastAsia="nl-NL" w:bidi="ar-SA"/>
              </w:rPr>
            </w:pPr>
            <w:r w:rsidRPr="00EF4435">
              <w:rPr>
                <w:rFonts w:ascii="Arial" w:eastAsia="Times New Roman" w:hAnsi="Arial" w:cs="Arial"/>
                <w:sz w:val="20"/>
                <w:szCs w:val="20"/>
                <w:lang w:eastAsia="nl-NL" w:bidi="ar-SA"/>
              </w:rPr>
              <w:t xml:space="preserve">Hypothesis of at most 1 </w:t>
            </w:r>
            <w:proofErr w:type="spellStart"/>
            <w:r w:rsidRPr="00EF4435">
              <w:rPr>
                <w:rFonts w:ascii="Arial" w:eastAsia="Times New Roman" w:hAnsi="Arial" w:cs="Arial"/>
                <w:sz w:val="20"/>
                <w:szCs w:val="20"/>
                <w:lang w:eastAsia="nl-NL" w:bidi="ar-SA"/>
              </w:rPr>
              <w:t>cointegration</w:t>
            </w:r>
            <w:proofErr w:type="spellEnd"/>
            <w:r w:rsidRPr="00EF4435">
              <w:rPr>
                <w:rFonts w:ascii="Arial" w:eastAsia="Times New Roman" w:hAnsi="Arial" w:cs="Arial"/>
                <w:sz w:val="20"/>
                <w:szCs w:val="20"/>
                <w:lang w:eastAsia="nl-NL" w:bidi="ar-SA"/>
              </w:rPr>
              <w:t xml:space="preserve"> relationship</w:t>
            </w:r>
          </w:p>
        </w:tc>
      </w:tr>
      <w:tr w:rsidR="009C16D2" w:rsidRPr="00EF4435" w:rsidTr="009C16D2">
        <w:trPr>
          <w:gridAfter w:val="1"/>
          <w:wAfter w:w="367" w:type="dxa"/>
          <w:trHeight w:val="249"/>
        </w:trPr>
        <w:tc>
          <w:tcPr>
            <w:tcW w:w="808" w:type="dxa"/>
            <w:tcBorders>
              <w:top w:val="nil"/>
              <w:left w:val="single" w:sz="4" w:space="0" w:color="auto"/>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A</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0,148</w:t>
            </w:r>
          </w:p>
        </w:tc>
        <w:tc>
          <w:tcPr>
            <w:tcW w:w="774"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0,7004</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0,148</w:t>
            </w:r>
          </w:p>
        </w:tc>
        <w:tc>
          <w:tcPr>
            <w:tcW w:w="774"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0,7004</w:t>
            </w:r>
          </w:p>
        </w:tc>
        <w:tc>
          <w:tcPr>
            <w:tcW w:w="287" w:type="dxa"/>
            <w:gridSpan w:val="2"/>
            <w:tcBorders>
              <w:top w:val="nil"/>
              <w:left w:val="nil"/>
              <w:bottom w:val="nil"/>
              <w:right w:val="nil"/>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p>
        </w:tc>
        <w:tc>
          <w:tcPr>
            <w:tcW w:w="808" w:type="dxa"/>
            <w:gridSpan w:val="2"/>
            <w:tcBorders>
              <w:top w:val="nil"/>
              <w:left w:val="single" w:sz="4" w:space="0" w:color="auto"/>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A</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1,4811</w:t>
            </w:r>
          </w:p>
        </w:tc>
        <w:tc>
          <w:tcPr>
            <w:tcW w:w="774"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0,2236</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1,4811</w:t>
            </w:r>
          </w:p>
        </w:tc>
        <w:tc>
          <w:tcPr>
            <w:tcW w:w="774"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0,2236</w:t>
            </w:r>
          </w:p>
        </w:tc>
      </w:tr>
      <w:tr w:rsidR="009C16D2" w:rsidRPr="00EF4435" w:rsidTr="009C16D2">
        <w:trPr>
          <w:gridAfter w:val="1"/>
          <w:wAfter w:w="367" w:type="dxa"/>
          <w:trHeight w:val="249"/>
        </w:trPr>
        <w:tc>
          <w:tcPr>
            <w:tcW w:w="808" w:type="dxa"/>
            <w:tcBorders>
              <w:top w:val="nil"/>
              <w:left w:val="single" w:sz="4" w:space="0" w:color="auto"/>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BM</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0,0438</w:t>
            </w:r>
          </w:p>
        </w:tc>
        <w:tc>
          <w:tcPr>
            <w:tcW w:w="774"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0,8341</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0,0438</w:t>
            </w:r>
          </w:p>
        </w:tc>
        <w:tc>
          <w:tcPr>
            <w:tcW w:w="774"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0,8341</w:t>
            </w:r>
          </w:p>
        </w:tc>
        <w:tc>
          <w:tcPr>
            <w:tcW w:w="287" w:type="dxa"/>
            <w:gridSpan w:val="2"/>
            <w:tcBorders>
              <w:top w:val="nil"/>
              <w:left w:val="nil"/>
              <w:bottom w:val="nil"/>
              <w:right w:val="nil"/>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p>
        </w:tc>
        <w:tc>
          <w:tcPr>
            <w:tcW w:w="808" w:type="dxa"/>
            <w:gridSpan w:val="2"/>
            <w:tcBorders>
              <w:top w:val="nil"/>
              <w:left w:val="single" w:sz="4" w:space="0" w:color="auto"/>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BM</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0,7607</w:t>
            </w:r>
          </w:p>
        </w:tc>
        <w:tc>
          <w:tcPr>
            <w:tcW w:w="774"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0,3831</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0,7607</w:t>
            </w:r>
          </w:p>
        </w:tc>
        <w:tc>
          <w:tcPr>
            <w:tcW w:w="774"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0,3831</w:t>
            </w:r>
          </w:p>
        </w:tc>
      </w:tr>
      <w:tr w:rsidR="009C16D2" w:rsidRPr="00EF4435" w:rsidTr="009C16D2">
        <w:trPr>
          <w:gridAfter w:val="1"/>
          <w:wAfter w:w="367" w:type="dxa"/>
          <w:trHeight w:val="249"/>
        </w:trPr>
        <w:tc>
          <w:tcPr>
            <w:tcW w:w="808" w:type="dxa"/>
            <w:tcBorders>
              <w:top w:val="nil"/>
              <w:left w:val="single" w:sz="4" w:space="0" w:color="auto"/>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CGDS</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0,0889</w:t>
            </w:r>
          </w:p>
        </w:tc>
        <w:tc>
          <w:tcPr>
            <w:tcW w:w="774"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0,7656</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0,0889</w:t>
            </w:r>
          </w:p>
        </w:tc>
        <w:tc>
          <w:tcPr>
            <w:tcW w:w="774"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0,7656</w:t>
            </w:r>
          </w:p>
        </w:tc>
        <w:tc>
          <w:tcPr>
            <w:tcW w:w="287" w:type="dxa"/>
            <w:gridSpan w:val="2"/>
            <w:tcBorders>
              <w:top w:val="nil"/>
              <w:left w:val="nil"/>
              <w:bottom w:val="nil"/>
              <w:right w:val="nil"/>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p>
        </w:tc>
        <w:tc>
          <w:tcPr>
            <w:tcW w:w="808" w:type="dxa"/>
            <w:gridSpan w:val="2"/>
            <w:tcBorders>
              <w:top w:val="nil"/>
              <w:left w:val="single" w:sz="4" w:space="0" w:color="auto"/>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CGDS</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0,6463</w:t>
            </w:r>
          </w:p>
        </w:tc>
        <w:tc>
          <w:tcPr>
            <w:tcW w:w="774"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0,4214</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0,6463</w:t>
            </w:r>
          </w:p>
        </w:tc>
        <w:tc>
          <w:tcPr>
            <w:tcW w:w="774"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0,4214</w:t>
            </w:r>
          </w:p>
        </w:tc>
      </w:tr>
      <w:tr w:rsidR="009C16D2" w:rsidRPr="00EF4435" w:rsidTr="009C16D2">
        <w:trPr>
          <w:gridAfter w:val="1"/>
          <w:wAfter w:w="367" w:type="dxa"/>
          <w:trHeight w:val="249"/>
        </w:trPr>
        <w:tc>
          <w:tcPr>
            <w:tcW w:w="808" w:type="dxa"/>
            <w:tcBorders>
              <w:top w:val="nil"/>
              <w:left w:val="single" w:sz="4" w:space="0" w:color="auto"/>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CS</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0,0689</w:t>
            </w:r>
          </w:p>
        </w:tc>
        <w:tc>
          <w:tcPr>
            <w:tcW w:w="774"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0,793</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0,0689</w:t>
            </w:r>
          </w:p>
        </w:tc>
        <w:tc>
          <w:tcPr>
            <w:tcW w:w="774"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0,793</w:t>
            </w:r>
          </w:p>
        </w:tc>
        <w:tc>
          <w:tcPr>
            <w:tcW w:w="287" w:type="dxa"/>
            <w:gridSpan w:val="2"/>
            <w:tcBorders>
              <w:top w:val="nil"/>
              <w:left w:val="nil"/>
              <w:bottom w:val="nil"/>
              <w:right w:val="nil"/>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p>
        </w:tc>
        <w:tc>
          <w:tcPr>
            <w:tcW w:w="808" w:type="dxa"/>
            <w:gridSpan w:val="2"/>
            <w:tcBorders>
              <w:top w:val="nil"/>
              <w:left w:val="single" w:sz="4" w:space="0" w:color="auto"/>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CS</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1,469</w:t>
            </w:r>
          </w:p>
        </w:tc>
        <w:tc>
          <w:tcPr>
            <w:tcW w:w="774"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0,2255</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1,469</w:t>
            </w:r>
          </w:p>
        </w:tc>
        <w:tc>
          <w:tcPr>
            <w:tcW w:w="774"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0,2255</w:t>
            </w:r>
          </w:p>
        </w:tc>
      </w:tr>
      <w:tr w:rsidR="009C16D2" w:rsidRPr="00EF4435" w:rsidTr="009C16D2">
        <w:trPr>
          <w:gridAfter w:val="1"/>
          <w:wAfter w:w="367" w:type="dxa"/>
          <w:trHeight w:val="249"/>
        </w:trPr>
        <w:tc>
          <w:tcPr>
            <w:tcW w:w="808" w:type="dxa"/>
            <w:tcBorders>
              <w:top w:val="nil"/>
              <w:left w:val="single" w:sz="4" w:space="0" w:color="auto"/>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FSVS</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0,0002</w:t>
            </w:r>
          </w:p>
        </w:tc>
        <w:tc>
          <w:tcPr>
            <w:tcW w:w="774"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0,9897</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0,0002</w:t>
            </w:r>
          </w:p>
        </w:tc>
        <w:tc>
          <w:tcPr>
            <w:tcW w:w="774"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0,9897</w:t>
            </w:r>
          </w:p>
        </w:tc>
        <w:tc>
          <w:tcPr>
            <w:tcW w:w="287" w:type="dxa"/>
            <w:gridSpan w:val="2"/>
            <w:tcBorders>
              <w:top w:val="nil"/>
              <w:left w:val="nil"/>
              <w:bottom w:val="nil"/>
              <w:right w:val="nil"/>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p>
        </w:tc>
        <w:tc>
          <w:tcPr>
            <w:tcW w:w="808" w:type="dxa"/>
            <w:gridSpan w:val="2"/>
            <w:tcBorders>
              <w:top w:val="nil"/>
              <w:left w:val="single" w:sz="4" w:space="0" w:color="auto"/>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FSVS</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2,0864</w:t>
            </w:r>
          </w:p>
        </w:tc>
        <w:tc>
          <w:tcPr>
            <w:tcW w:w="774"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0,1486</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2,0864</w:t>
            </w:r>
          </w:p>
        </w:tc>
        <w:tc>
          <w:tcPr>
            <w:tcW w:w="774"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0,1486</w:t>
            </w:r>
          </w:p>
        </w:tc>
      </w:tr>
      <w:tr w:rsidR="009C16D2" w:rsidRPr="00EF4435" w:rsidTr="009C16D2">
        <w:trPr>
          <w:gridAfter w:val="1"/>
          <w:wAfter w:w="367" w:type="dxa"/>
          <w:trHeight w:val="249"/>
        </w:trPr>
        <w:tc>
          <w:tcPr>
            <w:tcW w:w="808" w:type="dxa"/>
            <w:tcBorders>
              <w:top w:val="nil"/>
              <w:left w:val="single" w:sz="4" w:space="0" w:color="auto"/>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HC</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0,001</w:t>
            </w:r>
          </w:p>
        </w:tc>
        <w:tc>
          <w:tcPr>
            <w:tcW w:w="774"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0,9755</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0,001</w:t>
            </w:r>
          </w:p>
        </w:tc>
        <w:tc>
          <w:tcPr>
            <w:tcW w:w="774"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0,9755</w:t>
            </w:r>
          </w:p>
        </w:tc>
        <w:tc>
          <w:tcPr>
            <w:tcW w:w="287" w:type="dxa"/>
            <w:gridSpan w:val="2"/>
            <w:tcBorders>
              <w:top w:val="nil"/>
              <w:left w:val="nil"/>
              <w:bottom w:val="nil"/>
              <w:right w:val="nil"/>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p>
        </w:tc>
        <w:tc>
          <w:tcPr>
            <w:tcW w:w="808" w:type="dxa"/>
            <w:gridSpan w:val="2"/>
            <w:tcBorders>
              <w:top w:val="nil"/>
              <w:left w:val="single" w:sz="4" w:space="0" w:color="auto"/>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HC</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1,2521</w:t>
            </w:r>
          </w:p>
        </w:tc>
        <w:tc>
          <w:tcPr>
            <w:tcW w:w="774"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0,2631</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1,2521</w:t>
            </w:r>
          </w:p>
        </w:tc>
        <w:tc>
          <w:tcPr>
            <w:tcW w:w="774"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0,2631</w:t>
            </w:r>
          </w:p>
        </w:tc>
      </w:tr>
      <w:tr w:rsidR="009C16D2" w:rsidRPr="00EF4435" w:rsidTr="009C16D2">
        <w:trPr>
          <w:gridAfter w:val="1"/>
          <w:wAfter w:w="367" w:type="dxa"/>
          <w:trHeight w:val="249"/>
        </w:trPr>
        <w:tc>
          <w:tcPr>
            <w:tcW w:w="808" w:type="dxa"/>
            <w:tcBorders>
              <w:top w:val="nil"/>
              <w:left w:val="single" w:sz="4" w:space="0" w:color="auto"/>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IND</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0,0273</w:t>
            </w:r>
          </w:p>
        </w:tc>
        <w:tc>
          <w:tcPr>
            <w:tcW w:w="774"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0,8686</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0,0273</w:t>
            </w:r>
          </w:p>
        </w:tc>
        <w:tc>
          <w:tcPr>
            <w:tcW w:w="774"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0,8686</w:t>
            </w:r>
          </w:p>
        </w:tc>
        <w:tc>
          <w:tcPr>
            <w:tcW w:w="287" w:type="dxa"/>
            <w:gridSpan w:val="2"/>
            <w:tcBorders>
              <w:top w:val="nil"/>
              <w:left w:val="nil"/>
              <w:bottom w:val="nil"/>
              <w:right w:val="nil"/>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p>
        </w:tc>
        <w:tc>
          <w:tcPr>
            <w:tcW w:w="808" w:type="dxa"/>
            <w:gridSpan w:val="2"/>
            <w:tcBorders>
              <w:top w:val="nil"/>
              <w:left w:val="single" w:sz="4" w:space="0" w:color="auto"/>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IND</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1,4052</w:t>
            </w:r>
          </w:p>
        </w:tc>
        <w:tc>
          <w:tcPr>
            <w:tcW w:w="774"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0,2358</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1,4052</w:t>
            </w:r>
          </w:p>
        </w:tc>
        <w:tc>
          <w:tcPr>
            <w:tcW w:w="774"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0,2358</w:t>
            </w:r>
          </w:p>
        </w:tc>
      </w:tr>
      <w:tr w:rsidR="009C16D2" w:rsidRPr="00EF4435" w:rsidTr="009C16D2">
        <w:trPr>
          <w:gridAfter w:val="1"/>
          <w:wAfter w:w="367" w:type="dxa"/>
          <w:trHeight w:val="249"/>
        </w:trPr>
        <w:tc>
          <w:tcPr>
            <w:tcW w:w="808" w:type="dxa"/>
            <w:tcBorders>
              <w:top w:val="nil"/>
              <w:left w:val="single" w:sz="4" w:space="0" w:color="auto"/>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OIG</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0,0141</w:t>
            </w:r>
          </w:p>
        </w:tc>
        <w:tc>
          <w:tcPr>
            <w:tcW w:w="774"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0,9052</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0,0141</w:t>
            </w:r>
          </w:p>
        </w:tc>
        <w:tc>
          <w:tcPr>
            <w:tcW w:w="774"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0,9052</w:t>
            </w:r>
          </w:p>
        </w:tc>
        <w:tc>
          <w:tcPr>
            <w:tcW w:w="287" w:type="dxa"/>
            <w:gridSpan w:val="2"/>
            <w:tcBorders>
              <w:top w:val="nil"/>
              <w:left w:val="nil"/>
              <w:bottom w:val="nil"/>
              <w:right w:val="nil"/>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p>
        </w:tc>
        <w:tc>
          <w:tcPr>
            <w:tcW w:w="808" w:type="dxa"/>
            <w:gridSpan w:val="2"/>
            <w:tcBorders>
              <w:top w:val="nil"/>
              <w:left w:val="single" w:sz="4" w:space="0" w:color="auto"/>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OIG</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0,6543</w:t>
            </w:r>
          </w:p>
        </w:tc>
        <w:tc>
          <w:tcPr>
            <w:tcW w:w="774"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0,4186</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0,6543</w:t>
            </w:r>
          </w:p>
        </w:tc>
        <w:tc>
          <w:tcPr>
            <w:tcW w:w="774"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0,4186</w:t>
            </w:r>
          </w:p>
        </w:tc>
      </w:tr>
      <w:tr w:rsidR="009C16D2" w:rsidRPr="00EF4435" w:rsidTr="009C16D2">
        <w:trPr>
          <w:gridAfter w:val="1"/>
          <w:wAfter w:w="367" w:type="dxa"/>
          <w:trHeight w:val="249"/>
        </w:trPr>
        <w:tc>
          <w:tcPr>
            <w:tcW w:w="808" w:type="dxa"/>
            <w:tcBorders>
              <w:top w:val="nil"/>
              <w:left w:val="single" w:sz="4" w:space="0" w:color="auto"/>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TECH</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0,6591</w:t>
            </w:r>
          </w:p>
        </w:tc>
        <w:tc>
          <w:tcPr>
            <w:tcW w:w="774"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0,4169</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0,6591</w:t>
            </w:r>
          </w:p>
        </w:tc>
        <w:tc>
          <w:tcPr>
            <w:tcW w:w="774"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0,4169</w:t>
            </w:r>
          </w:p>
        </w:tc>
        <w:tc>
          <w:tcPr>
            <w:tcW w:w="287" w:type="dxa"/>
            <w:gridSpan w:val="2"/>
            <w:tcBorders>
              <w:top w:val="nil"/>
              <w:left w:val="nil"/>
              <w:bottom w:val="nil"/>
              <w:right w:val="nil"/>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p>
        </w:tc>
        <w:tc>
          <w:tcPr>
            <w:tcW w:w="808" w:type="dxa"/>
            <w:gridSpan w:val="2"/>
            <w:tcBorders>
              <w:top w:val="nil"/>
              <w:left w:val="single" w:sz="4" w:space="0" w:color="auto"/>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TECH</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2,7023</w:t>
            </w:r>
          </w:p>
        </w:tc>
        <w:tc>
          <w:tcPr>
            <w:tcW w:w="774"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0,1002</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2,7023</w:t>
            </w:r>
          </w:p>
        </w:tc>
        <w:tc>
          <w:tcPr>
            <w:tcW w:w="774"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0,1002</w:t>
            </w:r>
          </w:p>
        </w:tc>
      </w:tr>
      <w:tr w:rsidR="009C16D2" w:rsidRPr="00EF4435" w:rsidTr="009C16D2">
        <w:trPr>
          <w:gridAfter w:val="1"/>
          <w:wAfter w:w="367" w:type="dxa"/>
          <w:trHeight w:val="249"/>
        </w:trPr>
        <w:tc>
          <w:tcPr>
            <w:tcW w:w="808" w:type="dxa"/>
            <w:tcBorders>
              <w:top w:val="nil"/>
              <w:left w:val="single" w:sz="4" w:space="0" w:color="auto"/>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TEL</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2,173</w:t>
            </w:r>
          </w:p>
        </w:tc>
        <w:tc>
          <w:tcPr>
            <w:tcW w:w="774"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0,1405</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2,173</w:t>
            </w:r>
          </w:p>
        </w:tc>
        <w:tc>
          <w:tcPr>
            <w:tcW w:w="774"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0,1405</w:t>
            </w:r>
          </w:p>
        </w:tc>
        <w:tc>
          <w:tcPr>
            <w:tcW w:w="287" w:type="dxa"/>
            <w:gridSpan w:val="2"/>
            <w:tcBorders>
              <w:top w:val="nil"/>
              <w:left w:val="nil"/>
              <w:bottom w:val="nil"/>
              <w:right w:val="nil"/>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p>
        </w:tc>
        <w:tc>
          <w:tcPr>
            <w:tcW w:w="808" w:type="dxa"/>
            <w:gridSpan w:val="2"/>
            <w:tcBorders>
              <w:top w:val="nil"/>
              <w:left w:val="single" w:sz="4" w:space="0" w:color="auto"/>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TEL</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3,7936</w:t>
            </w:r>
          </w:p>
        </w:tc>
        <w:tc>
          <w:tcPr>
            <w:tcW w:w="774"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0,0514</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3,7936</w:t>
            </w:r>
          </w:p>
        </w:tc>
        <w:tc>
          <w:tcPr>
            <w:tcW w:w="774"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0,0514</w:t>
            </w:r>
          </w:p>
        </w:tc>
      </w:tr>
      <w:tr w:rsidR="009C16D2" w:rsidRPr="00EF4435" w:rsidTr="009C16D2">
        <w:trPr>
          <w:gridAfter w:val="1"/>
          <w:wAfter w:w="367" w:type="dxa"/>
          <w:trHeight w:val="249"/>
        </w:trPr>
        <w:tc>
          <w:tcPr>
            <w:tcW w:w="808" w:type="dxa"/>
            <w:tcBorders>
              <w:top w:val="nil"/>
              <w:left w:val="single" w:sz="4" w:space="0" w:color="auto"/>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UT</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0,0003</w:t>
            </w:r>
          </w:p>
        </w:tc>
        <w:tc>
          <w:tcPr>
            <w:tcW w:w="774"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0,9879</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0,0003</w:t>
            </w:r>
          </w:p>
        </w:tc>
        <w:tc>
          <w:tcPr>
            <w:tcW w:w="774"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0,9879</w:t>
            </w:r>
          </w:p>
        </w:tc>
        <w:tc>
          <w:tcPr>
            <w:tcW w:w="287" w:type="dxa"/>
            <w:gridSpan w:val="2"/>
            <w:tcBorders>
              <w:top w:val="nil"/>
              <w:left w:val="nil"/>
              <w:bottom w:val="nil"/>
              <w:right w:val="nil"/>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p>
        </w:tc>
        <w:tc>
          <w:tcPr>
            <w:tcW w:w="808" w:type="dxa"/>
            <w:gridSpan w:val="2"/>
            <w:tcBorders>
              <w:top w:val="nil"/>
              <w:left w:val="single" w:sz="4" w:space="0" w:color="auto"/>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UT</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1,1131</w:t>
            </w:r>
          </w:p>
        </w:tc>
        <w:tc>
          <w:tcPr>
            <w:tcW w:w="774"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0,2914</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1,1131</w:t>
            </w:r>
          </w:p>
        </w:tc>
        <w:tc>
          <w:tcPr>
            <w:tcW w:w="774" w:type="dxa"/>
            <w:gridSpan w:val="2"/>
            <w:tcBorders>
              <w:top w:val="nil"/>
              <w:left w:val="nil"/>
              <w:bottom w:val="single" w:sz="4" w:space="0" w:color="auto"/>
              <w:right w:val="single" w:sz="4" w:space="0" w:color="auto"/>
            </w:tcBorders>
            <w:shd w:val="clear" w:color="auto" w:fill="auto"/>
            <w:noWrap/>
            <w:vAlign w:val="bottom"/>
            <w:hideMark/>
          </w:tcPr>
          <w:p w:rsidR="009C16D2" w:rsidRPr="00EF4435" w:rsidRDefault="009C16D2" w:rsidP="009C16D2">
            <w:pPr>
              <w:spacing w:after="0" w:line="240" w:lineRule="auto"/>
              <w:jc w:val="right"/>
              <w:rPr>
                <w:rFonts w:ascii="Arial" w:eastAsia="Times New Roman" w:hAnsi="Arial" w:cs="Arial"/>
                <w:sz w:val="20"/>
                <w:szCs w:val="20"/>
                <w:lang w:val="nl-NL" w:eastAsia="nl-NL" w:bidi="ar-SA"/>
              </w:rPr>
            </w:pPr>
            <w:r w:rsidRPr="00EF4435">
              <w:rPr>
                <w:rFonts w:ascii="Arial" w:eastAsia="Times New Roman" w:hAnsi="Arial" w:cs="Arial"/>
                <w:sz w:val="20"/>
                <w:szCs w:val="20"/>
                <w:lang w:val="nl-NL" w:eastAsia="nl-NL" w:bidi="ar-SA"/>
              </w:rPr>
              <w:t>0,2914</w:t>
            </w:r>
          </w:p>
        </w:tc>
      </w:tr>
      <w:tr w:rsidR="009C16D2" w:rsidRPr="00EF4435" w:rsidTr="009C16D2">
        <w:trPr>
          <w:gridAfter w:val="1"/>
          <w:wAfter w:w="367" w:type="dxa"/>
          <w:trHeight w:val="249"/>
        </w:trPr>
        <w:tc>
          <w:tcPr>
            <w:tcW w:w="4238" w:type="dxa"/>
            <w:gridSpan w:val="9"/>
            <w:tcBorders>
              <w:top w:val="nil"/>
              <w:left w:val="nil"/>
              <w:bottom w:val="nil"/>
              <w:right w:val="nil"/>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eastAsia="nl-NL" w:bidi="ar-SA"/>
              </w:rPr>
            </w:pPr>
            <w:r w:rsidRPr="00EF4435">
              <w:rPr>
                <w:rFonts w:ascii="Arial" w:eastAsia="Times New Roman" w:hAnsi="Arial" w:cs="Arial"/>
                <w:sz w:val="20"/>
                <w:szCs w:val="20"/>
                <w:lang w:eastAsia="nl-NL" w:bidi="ar-SA"/>
              </w:rPr>
              <w:t>**MacKinnon-</w:t>
            </w:r>
            <w:proofErr w:type="spellStart"/>
            <w:r w:rsidRPr="00EF4435">
              <w:rPr>
                <w:rFonts w:ascii="Arial" w:eastAsia="Times New Roman" w:hAnsi="Arial" w:cs="Arial"/>
                <w:sz w:val="20"/>
                <w:szCs w:val="20"/>
                <w:lang w:eastAsia="nl-NL" w:bidi="ar-SA"/>
              </w:rPr>
              <w:t>Haug</w:t>
            </w:r>
            <w:proofErr w:type="spellEnd"/>
            <w:r w:rsidRPr="00EF4435">
              <w:rPr>
                <w:rFonts w:ascii="Arial" w:eastAsia="Times New Roman" w:hAnsi="Arial" w:cs="Arial"/>
                <w:sz w:val="20"/>
                <w:szCs w:val="20"/>
                <w:lang w:eastAsia="nl-NL" w:bidi="ar-SA"/>
              </w:rPr>
              <w:t>-</w:t>
            </w:r>
            <w:proofErr w:type="spellStart"/>
            <w:r w:rsidRPr="00EF4435">
              <w:rPr>
                <w:rFonts w:ascii="Arial" w:eastAsia="Times New Roman" w:hAnsi="Arial" w:cs="Arial"/>
                <w:sz w:val="20"/>
                <w:szCs w:val="20"/>
                <w:lang w:eastAsia="nl-NL" w:bidi="ar-SA"/>
              </w:rPr>
              <w:t>Michelis</w:t>
            </w:r>
            <w:proofErr w:type="spellEnd"/>
            <w:r w:rsidRPr="00EF4435">
              <w:rPr>
                <w:rFonts w:ascii="Arial" w:eastAsia="Times New Roman" w:hAnsi="Arial" w:cs="Arial"/>
                <w:sz w:val="20"/>
                <w:szCs w:val="20"/>
                <w:lang w:eastAsia="nl-NL" w:bidi="ar-SA"/>
              </w:rPr>
              <w:t xml:space="preserve"> (1999) p-values</w:t>
            </w:r>
          </w:p>
        </w:tc>
        <w:tc>
          <w:tcPr>
            <w:tcW w:w="287" w:type="dxa"/>
            <w:gridSpan w:val="2"/>
            <w:tcBorders>
              <w:top w:val="nil"/>
              <w:left w:val="nil"/>
              <w:bottom w:val="nil"/>
              <w:right w:val="nil"/>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eastAsia="nl-NL" w:bidi="ar-SA"/>
              </w:rPr>
            </w:pPr>
          </w:p>
        </w:tc>
        <w:tc>
          <w:tcPr>
            <w:tcW w:w="808" w:type="dxa"/>
            <w:gridSpan w:val="2"/>
            <w:tcBorders>
              <w:top w:val="nil"/>
              <w:left w:val="nil"/>
              <w:bottom w:val="nil"/>
              <w:right w:val="nil"/>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eastAsia="nl-NL" w:bidi="ar-SA"/>
              </w:rPr>
            </w:pPr>
          </w:p>
        </w:tc>
        <w:tc>
          <w:tcPr>
            <w:tcW w:w="3430" w:type="dxa"/>
            <w:gridSpan w:val="8"/>
            <w:tcBorders>
              <w:top w:val="nil"/>
              <w:left w:val="nil"/>
              <w:bottom w:val="nil"/>
              <w:right w:val="nil"/>
            </w:tcBorders>
            <w:shd w:val="clear" w:color="auto" w:fill="auto"/>
            <w:noWrap/>
            <w:vAlign w:val="bottom"/>
            <w:hideMark/>
          </w:tcPr>
          <w:p w:rsidR="009C16D2" w:rsidRPr="00EF4435" w:rsidRDefault="009C16D2" w:rsidP="009C16D2">
            <w:pPr>
              <w:spacing w:after="0" w:line="240" w:lineRule="auto"/>
              <w:rPr>
                <w:rFonts w:ascii="Arial" w:eastAsia="Times New Roman" w:hAnsi="Arial" w:cs="Arial"/>
                <w:sz w:val="20"/>
                <w:szCs w:val="20"/>
                <w:lang w:eastAsia="nl-NL" w:bidi="ar-SA"/>
              </w:rPr>
            </w:pPr>
            <w:r w:rsidRPr="00EF4435">
              <w:rPr>
                <w:rFonts w:ascii="Arial" w:eastAsia="Times New Roman" w:hAnsi="Arial" w:cs="Arial"/>
                <w:sz w:val="20"/>
                <w:szCs w:val="20"/>
                <w:lang w:eastAsia="nl-NL" w:bidi="ar-SA"/>
              </w:rPr>
              <w:t>**MacKinnon-</w:t>
            </w:r>
            <w:proofErr w:type="spellStart"/>
            <w:r w:rsidRPr="00EF4435">
              <w:rPr>
                <w:rFonts w:ascii="Arial" w:eastAsia="Times New Roman" w:hAnsi="Arial" w:cs="Arial"/>
                <w:sz w:val="20"/>
                <w:szCs w:val="20"/>
                <w:lang w:eastAsia="nl-NL" w:bidi="ar-SA"/>
              </w:rPr>
              <w:t>Haug</w:t>
            </w:r>
            <w:proofErr w:type="spellEnd"/>
            <w:r w:rsidRPr="00EF4435">
              <w:rPr>
                <w:rFonts w:ascii="Arial" w:eastAsia="Times New Roman" w:hAnsi="Arial" w:cs="Arial"/>
                <w:sz w:val="20"/>
                <w:szCs w:val="20"/>
                <w:lang w:eastAsia="nl-NL" w:bidi="ar-SA"/>
              </w:rPr>
              <w:t>-</w:t>
            </w:r>
            <w:proofErr w:type="spellStart"/>
            <w:r w:rsidRPr="00EF4435">
              <w:rPr>
                <w:rFonts w:ascii="Arial" w:eastAsia="Times New Roman" w:hAnsi="Arial" w:cs="Arial"/>
                <w:sz w:val="20"/>
                <w:szCs w:val="20"/>
                <w:lang w:eastAsia="nl-NL" w:bidi="ar-SA"/>
              </w:rPr>
              <w:t>Michelis</w:t>
            </w:r>
            <w:proofErr w:type="spellEnd"/>
            <w:r w:rsidRPr="00EF4435">
              <w:rPr>
                <w:rFonts w:ascii="Arial" w:eastAsia="Times New Roman" w:hAnsi="Arial" w:cs="Arial"/>
                <w:sz w:val="20"/>
                <w:szCs w:val="20"/>
                <w:lang w:eastAsia="nl-NL" w:bidi="ar-SA"/>
              </w:rPr>
              <w:t xml:space="preserve"> (1999) p-values</w:t>
            </w:r>
          </w:p>
        </w:tc>
      </w:tr>
    </w:tbl>
    <w:p w:rsidR="009C16D2" w:rsidRDefault="009C16D2" w:rsidP="009C16D2"/>
    <w:p w:rsidR="009C16D2" w:rsidRDefault="009C16D2" w:rsidP="009C16D2"/>
    <w:p w:rsidR="009C16D2" w:rsidRDefault="009C16D2" w:rsidP="009C16D2"/>
    <w:p w:rsidR="009C16D2" w:rsidRDefault="009C16D2" w:rsidP="009C16D2"/>
    <w:p w:rsidR="009C16D2" w:rsidRDefault="009C16D2" w:rsidP="009C16D2"/>
    <w:p w:rsidR="009C16D2" w:rsidRDefault="009C16D2" w:rsidP="009C16D2"/>
    <w:p w:rsidR="009C16D2" w:rsidRDefault="009C16D2" w:rsidP="009C16D2"/>
    <w:p w:rsidR="009C16D2" w:rsidRDefault="009C16D2" w:rsidP="009C16D2"/>
    <w:p w:rsidR="009C16D2" w:rsidRDefault="009C16D2" w:rsidP="009C16D2"/>
    <w:p w:rsidR="009C16D2" w:rsidRDefault="009C16D2" w:rsidP="009C16D2"/>
    <w:p w:rsidR="009C16D2" w:rsidRDefault="009C16D2" w:rsidP="009C16D2"/>
    <w:p w:rsidR="00107DB1" w:rsidRDefault="00107DB1" w:rsidP="00107DB1">
      <w:pPr>
        <w:pStyle w:val="Heading1"/>
      </w:pPr>
      <w:bookmarkStart w:id="20" w:name="_Toc300320246"/>
      <w:r w:rsidRPr="00107DB1">
        <w:t xml:space="preserve">Appendix F </w:t>
      </w:r>
      <w:r w:rsidR="009C16D2" w:rsidRPr="00107DB1">
        <w:t>Impulse response functions</w:t>
      </w:r>
      <w:bookmarkEnd w:id="20"/>
    </w:p>
    <w:p w:rsidR="009C16D2" w:rsidRDefault="00107DB1" w:rsidP="009C16D2">
      <w:pPr>
        <w:pStyle w:val="NoSpacing"/>
      </w:pPr>
      <w:r>
        <w:t>Only</w:t>
      </w:r>
      <w:r w:rsidR="009C16D2">
        <w:t xml:space="preserve"> for significant Granger causality relations</w:t>
      </w:r>
    </w:p>
    <w:p w:rsidR="009C16D2" w:rsidRDefault="009C16D2" w:rsidP="009C16D2"/>
    <w:tbl>
      <w:tblPr>
        <w:tblW w:w="7680" w:type="dxa"/>
        <w:tblInd w:w="55" w:type="dxa"/>
        <w:tblCellMar>
          <w:left w:w="70" w:type="dxa"/>
          <w:right w:w="70" w:type="dxa"/>
        </w:tblCellMar>
        <w:tblLook w:val="04A0"/>
      </w:tblPr>
      <w:tblGrid>
        <w:gridCol w:w="808"/>
        <w:gridCol w:w="1132"/>
        <w:gridCol w:w="1280"/>
        <w:gridCol w:w="1160"/>
        <w:gridCol w:w="1120"/>
        <w:gridCol w:w="1220"/>
        <w:gridCol w:w="960"/>
      </w:tblGrid>
      <w:tr w:rsidR="009C16D2" w:rsidRPr="00122AFE" w:rsidTr="009C16D2">
        <w:trPr>
          <w:trHeight w:val="255"/>
        </w:trPr>
        <w:tc>
          <w:tcPr>
            <w:tcW w:w="3220" w:type="dxa"/>
            <w:gridSpan w:val="3"/>
            <w:tcBorders>
              <w:top w:val="single" w:sz="4" w:space="0" w:color="auto"/>
              <w:left w:val="single" w:sz="4" w:space="0" w:color="auto"/>
              <w:bottom w:val="single" w:sz="4" w:space="0" w:color="auto"/>
              <w:right w:val="nil"/>
            </w:tcBorders>
            <w:shd w:val="clear" w:color="auto" w:fill="auto"/>
            <w:noWrap/>
            <w:vAlign w:val="bottom"/>
            <w:hideMark/>
          </w:tcPr>
          <w:p w:rsidR="009C16D2" w:rsidRPr="00122AFE" w:rsidRDefault="009C16D2" w:rsidP="009C16D2">
            <w:pPr>
              <w:spacing w:after="0" w:line="240" w:lineRule="auto"/>
              <w:rPr>
                <w:rFonts w:ascii="Arial" w:eastAsia="Times New Roman" w:hAnsi="Arial" w:cs="Arial"/>
                <w:sz w:val="20"/>
                <w:szCs w:val="20"/>
                <w:lang w:eastAsia="nl-NL" w:bidi="ar-SA"/>
              </w:rPr>
            </w:pPr>
            <w:r w:rsidRPr="00122AFE">
              <w:rPr>
                <w:rFonts w:ascii="Arial" w:eastAsia="Times New Roman" w:hAnsi="Arial" w:cs="Arial"/>
                <w:sz w:val="20"/>
                <w:szCs w:val="20"/>
                <w:lang w:eastAsia="nl-NL" w:bidi="ar-SA"/>
              </w:rPr>
              <w:t>Response of CHFEUR to sector</w:t>
            </w:r>
          </w:p>
        </w:tc>
        <w:tc>
          <w:tcPr>
            <w:tcW w:w="1160" w:type="dxa"/>
            <w:tcBorders>
              <w:top w:val="single" w:sz="4" w:space="0" w:color="auto"/>
              <w:left w:val="nil"/>
              <w:bottom w:val="single" w:sz="4" w:space="0" w:color="auto"/>
              <w:right w:val="nil"/>
            </w:tcBorders>
            <w:shd w:val="clear" w:color="auto" w:fill="auto"/>
            <w:noWrap/>
            <w:vAlign w:val="bottom"/>
            <w:hideMark/>
          </w:tcPr>
          <w:p w:rsidR="009C16D2" w:rsidRPr="00122AFE" w:rsidRDefault="009C16D2" w:rsidP="009C16D2">
            <w:pPr>
              <w:spacing w:after="0" w:line="240" w:lineRule="auto"/>
              <w:rPr>
                <w:rFonts w:ascii="Arial" w:eastAsia="Times New Roman" w:hAnsi="Arial" w:cs="Arial"/>
                <w:sz w:val="20"/>
                <w:szCs w:val="20"/>
                <w:lang w:eastAsia="nl-NL" w:bidi="ar-SA"/>
              </w:rPr>
            </w:pPr>
            <w:r w:rsidRPr="00122AFE">
              <w:rPr>
                <w:rFonts w:ascii="Arial" w:eastAsia="Times New Roman" w:hAnsi="Arial" w:cs="Arial"/>
                <w:sz w:val="20"/>
                <w:szCs w:val="20"/>
                <w:lang w:eastAsia="nl-NL" w:bidi="ar-SA"/>
              </w:rPr>
              <w:t> </w:t>
            </w:r>
          </w:p>
        </w:tc>
        <w:tc>
          <w:tcPr>
            <w:tcW w:w="1120" w:type="dxa"/>
            <w:tcBorders>
              <w:top w:val="single" w:sz="4" w:space="0" w:color="auto"/>
              <w:left w:val="nil"/>
              <w:bottom w:val="single" w:sz="4" w:space="0" w:color="auto"/>
              <w:right w:val="nil"/>
            </w:tcBorders>
            <w:shd w:val="clear" w:color="auto" w:fill="auto"/>
            <w:noWrap/>
            <w:vAlign w:val="bottom"/>
            <w:hideMark/>
          </w:tcPr>
          <w:p w:rsidR="009C16D2" w:rsidRPr="00122AFE" w:rsidRDefault="009C16D2" w:rsidP="009C16D2">
            <w:pPr>
              <w:spacing w:after="0" w:line="240" w:lineRule="auto"/>
              <w:rPr>
                <w:rFonts w:ascii="Arial" w:eastAsia="Times New Roman" w:hAnsi="Arial" w:cs="Arial"/>
                <w:sz w:val="20"/>
                <w:szCs w:val="20"/>
                <w:lang w:eastAsia="nl-NL" w:bidi="ar-SA"/>
              </w:rPr>
            </w:pPr>
            <w:r w:rsidRPr="00122AFE">
              <w:rPr>
                <w:rFonts w:ascii="Arial" w:eastAsia="Times New Roman" w:hAnsi="Arial" w:cs="Arial"/>
                <w:sz w:val="20"/>
                <w:szCs w:val="20"/>
                <w:lang w:eastAsia="nl-NL" w:bidi="ar-SA"/>
              </w:rPr>
              <w:t> </w:t>
            </w:r>
          </w:p>
        </w:tc>
        <w:tc>
          <w:tcPr>
            <w:tcW w:w="1220" w:type="dxa"/>
            <w:tcBorders>
              <w:top w:val="single" w:sz="4" w:space="0" w:color="auto"/>
              <w:left w:val="nil"/>
              <w:bottom w:val="single" w:sz="4" w:space="0" w:color="auto"/>
              <w:right w:val="nil"/>
            </w:tcBorders>
            <w:shd w:val="clear" w:color="auto" w:fill="auto"/>
            <w:noWrap/>
            <w:vAlign w:val="bottom"/>
            <w:hideMark/>
          </w:tcPr>
          <w:p w:rsidR="009C16D2" w:rsidRPr="00122AFE" w:rsidRDefault="009C16D2" w:rsidP="009C16D2">
            <w:pPr>
              <w:spacing w:after="0" w:line="240" w:lineRule="auto"/>
              <w:rPr>
                <w:rFonts w:ascii="Arial" w:eastAsia="Times New Roman" w:hAnsi="Arial" w:cs="Arial"/>
                <w:sz w:val="20"/>
                <w:szCs w:val="20"/>
                <w:lang w:eastAsia="nl-NL" w:bidi="ar-SA"/>
              </w:rPr>
            </w:pPr>
            <w:r w:rsidRPr="00122AFE">
              <w:rPr>
                <w:rFonts w:ascii="Arial" w:eastAsia="Times New Roman" w:hAnsi="Arial" w:cs="Arial"/>
                <w:sz w:val="20"/>
                <w:szCs w:val="20"/>
                <w:lang w:eastAsia="nl-NL" w:bidi="ar-SA"/>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rPr>
                <w:rFonts w:ascii="Arial" w:eastAsia="Times New Roman" w:hAnsi="Arial" w:cs="Arial"/>
                <w:sz w:val="20"/>
                <w:szCs w:val="20"/>
                <w:lang w:eastAsia="nl-NL" w:bidi="ar-SA"/>
              </w:rPr>
            </w:pPr>
            <w:r w:rsidRPr="00122AFE">
              <w:rPr>
                <w:rFonts w:ascii="Arial" w:eastAsia="Times New Roman" w:hAnsi="Arial" w:cs="Arial"/>
                <w:sz w:val="20"/>
                <w:szCs w:val="20"/>
                <w:lang w:eastAsia="nl-NL" w:bidi="ar-SA"/>
              </w:rPr>
              <w:t> </w:t>
            </w:r>
          </w:p>
        </w:tc>
      </w:tr>
      <w:tr w:rsidR="009C16D2" w:rsidRPr="00122AFE" w:rsidTr="009C16D2">
        <w:trPr>
          <w:trHeight w:val="255"/>
        </w:trPr>
        <w:tc>
          <w:tcPr>
            <w:tcW w:w="808" w:type="dxa"/>
            <w:tcBorders>
              <w:top w:val="nil"/>
              <w:left w:val="single" w:sz="4" w:space="0" w:color="auto"/>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rPr>
                <w:rFonts w:ascii="Arial" w:eastAsia="Times New Roman" w:hAnsi="Arial" w:cs="Arial"/>
                <w:sz w:val="20"/>
                <w:szCs w:val="20"/>
                <w:lang w:val="nl-NL" w:eastAsia="nl-NL" w:bidi="ar-SA"/>
              </w:rPr>
            </w:pPr>
            <w:r w:rsidRPr="00122AFE">
              <w:rPr>
                <w:rFonts w:ascii="Arial" w:eastAsia="Times New Roman" w:hAnsi="Arial" w:cs="Arial"/>
                <w:sz w:val="20"/>
                <w:szCs w:val="20"/>
                <w:lang w:eastAsia="nl-NL" w:bidi="ar-SA"/>
              </w:rPr>
              <w:t xml:space="preserve"> </w:t>
            </w:r>
            <w:proofErr w:type="spellStart"/>
            <w:r w:rsidRPr="00122AFE">
              <w:rPr>
                <w:rFonts w:ascii="Arial" w:eastAsia="Times New Roman" w:hAnsi="Arial" w:cs="Arial"/>
                <w:sz w:val="20"/>
                <w:szCs w:val="20"/>
                <w:lang w:val="nl-NL" w:eastAsia="nl-NL" w:bidi="ar-SA"/>
              </w:rPr>
              <w:t>Period</w:t>
            </w:r>
            <w:proofErr w:type="spellEnd"/>
          </w:p>
        </w:tc>
        <w:tc>
          <w:tcPr>
            <w:tcW w:w="1132"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EUROPE</w:t>
            </w:r>
          </w:p>
        </w:tc>
        <w:tc>
          <w:tcPr>
            <w:tcW w:w="128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EUBASICR</w:t>
            </w:r>
          </w:p>
        </w:tc>
        <w:tc>
          <w:tcPr>
            <w:tcW w:w="116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EUCGDS</w:t>
            </w:r>
          </w:p>
        </w:tc>
        <w:tc>
          <w:tcPr>
            <w:tcW w:w="112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EUCSVS</w:t>
            </w:r>
          </w:p>
        </w:tc>
        <w:tc>
          <w:tcPr>
            <w:tcW w:w="122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EUFSVS</w:t>
            </w:r>
          </w:p>
        </w:tc>
        <w:tc>
          <w:tcPr>
            <w:tcW w:w="96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EUIND</w:t>
            </w:r>
          </w:p>
        </w:tc>
      </w:tr>
      <w:tr w:rsidR="009C16D2" w:rsidRPr="00122AFE" w:rsidTr="009C16D2">
        <w:trPr>
          <w:trHeight w:val="255"/>
        </w:trPr>
        <w:tc>
          <w:tcPr>
            <w:tcW w:w="808" w:type="dxa"/>
            <w:tcBorders>
              <w:top w:val="nil"/>
              <w:left w:val="single" w:sz="4" w:space="0" w:color="auto"/>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1</w:t>
            </w:r>
          </w:p>
        </w:tc>
        <w:tc>
          <w:tcPr>
            <w:tcW w:w="1132"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-0,000516</w:t>
            </w:r>
          </w:p>
        </w:tc>
        <w:tc>
          <w:tcPr>
            <w:tcW w:w="128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w:t>
            </w:r>
          </w:p>
        </w:tc>
        <w:tc>
          <w:tcPr>
            <w:tcW w:w="116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w:t>
            </w:r>
          </w:p>
        </w:tc>
        <w:tc>
          <w:tcPr>
            <w:tcW w:w="112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w:t>
            </w:r>
          </w:p>
        </w:tc>
        <w:tc>
          <w:tcPr>
            <w:tcW w:w="122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w:t>
            </w:r>
          </w:p>
        </w:tc>
        <w:tc>
          <w:tcPr>
            <w:tcW w:w="96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w:t>
            </w:r>
          </w:p>
        </w:tc>
      </w:tr>
      <w:tr w:rsidR="009C16D2" w:rsidRPr="00122AFE" w:rsidTr="009C16D2">
        <w:trPr>
          <w:trHeight w:val="255"/>
        </w:trPr>
        <w:tc>
          <w:tcPr>
            <w:tcW w:w="808" w:type="dxa"/>
            <w:tcBorders>
              <w:top w:val="nil"/>
              <w:left w:val="single" w:sz="4" w:space="0" w:color="auto"/>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2</w:t>
            </w:r>
          </w:p>
        </w:tc>
        <w:tc>
          <w:tcPr>
            <w:tcW w:w="1132"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-0,000738</w:t>
            </w:r>
          </w:p>
        </w:tc>
        <w:tc>
          <w:tcPr>
            <w:tcW w:w="128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-0,000165</w:t>
            </w:r>
          </w:p>
        </w:tc>
        <w:tc>
          <w:tcPr>
            <w:tcW w:w="116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-0,000313</w:t>
            </w:r>
          </w:p>
        </w:tc>
        <w:tc>
          <w:tcPr>
            <w:tcW w:w="112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-0,000212</w:t>
            </w:r>
          </w:p>
        </w:tc>
        <w:tc>
          <w:tcPr>
            <w:tcW w:w="122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-0,000184</w:t>
            </w:r>
          </w:p>
        </w:tc>
        <w:tc>
          <w:tcPr>
            <w:tcW w:w="96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-0,00021</w:t>
            </w:r>
          </w:p>
        </w:tc>
      </w:tr>
      <w:tr w:rsidR="009C16D2" w:rsidRPr="00122AFE" w:rsidTr="009C16D2">
        <w:trPr>
          <w:trHeight w:val="255"/>
        </w:trPr>
        <w:tc>
          <w:tcPr>
            <w:tcW w:w="808" w:type="dxa"/>
            <w:tcBorders>
              <w:top w:val="nil"/>
              <w:left w:val="single" w:sz="4" w:space="0" w:color="auto"/>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3</w:t>
            </w:r>
          </w:p>
        </w:tc>
        <w:tc>
          <w:tcPr>
            <w:tcW w:w="1132"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-0,000729</w:t>
            </w:r>
          </w:p>
        </w:tc>
        <w:tc>
          <w:tcPr>
            <w:tcW w:w="128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-0,000163</w:t>
            </w:r>
          </w:p>
        </w:tc>
        <w:tc>
          <w:tcPr>
            <w:tcW w:w="116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-0,000293</w:t>
            </w:r>
          </w:p>
        </w:tc>
        <w:tc>
          <w:tcPr>
            <w:tcW w:w="112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-0,000229</w:t>
            </w:r>
          </w:p>
        </w:tc>
        <w:tc>
          <w:tcPr>
            <w:tcW w:w="122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-0,000186</w:t>
            </w:r>
          </w:p>
        </w:tc>
        <w:tc>
          <w:tcPr>
            <w:tcW w:w="96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-0,00021</w:t>
            </w:r>
          </w:p>
        </w:tc>
      </w:tr>
      <w:tr w:rsidR="009C16D2" w:rsidRPr="00122AFE" w:rsidTr="009C16D2">
        <w:trPr>
          <w:trHeight w:val="255"/>
        </w:trPr>
        <w:tc>
          <w:tcPr>
            <w:tcW w:w="808" w:type="dxa"/>
            <w:tcBorders>
              <w:top w:val="nil"/>
              <w:left w:val="single" w:sz="4" w:space="0" w:color="auto"/>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4</w:t>
            </w:r>
          </w:p>
        </w:tc>
        <w:tc>
          <w:tcPr>
            <w:tcW w:w="1132"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-0,000727</w:t>
            </w:r>
          </w:p>
        </w:tc>
        <w:tc>
          <w:tcPr>
            <w:tcW w:w="128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-0,000161</w:t>
            </w:r>
          </w:p>
        </w:tc>
        <w:tc>
          <w:tcPr>
            <w:tcW w:w="116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-0,000283</w:t>
            </w:r>
          </w:p>
        </w:tc>
        <w:tc>
          <w:tcPr>
            <w:tcW w:w="112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-0,000229</w:t>
            </w:r>
          </w:p>
        </w:tc>
        <w:tc>
          <w:tcPr>
            <w:tcW w:w="122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-0,000185</w:t>
            </w:r>
          </w:p>
        </w:tc>
        <w:tc>
          <w:tcPr>
            <w:tcW w:w="96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-0,0002</w:t>
            </w:r>
          </w:p>
        </w:tc>
      </w:tr>
      <w:tr w:rsidR="009C16D2" w:rsidRPr="00122AFE" w:rsidTr="009C16D2">
        <w:trPr>
          <w:trHeight w:val="255"/>
        </w:trPr>
        <w:tc>
          <w:tcPr>
            <w:tcW w:w="808" w:type="dxa"/>
            <w:tcBorders>
              <w:top w:val="nil"/>
              <w:left w:val="single" w:sz="4" w:space="0" w:color="auto"/>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5</w:t>
            </w:r>
          </w:p>
        </w:tc>
        <w:tc>
          <w:tcPr>
            <w:tcW w:w="1132"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-0,000725</w:t>
            </w:r>
          </w:p>
        </w:tc>
        <w:tc>
          <w:tcPr>
            <w:tcW w:w="128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-0,000159</w:t>
            </w:r>
          </w:p>
        </w:tc>
        <w:tc>
          <w:tcPr>
            <w:tcW w:w="116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-0,000278</w:t>
            </w:r>
          </w:p>
        </w:tc>
        <w:tc>
          <w:tcPr>
            <w:tcW w:w="112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-0,000228</w:t>
            </w:r>
          </w:p>
        </w:tc>
        <w:tc>
          <w:tcPr>
            <w:tcW w:w="122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-0,000184</w:t>
            </w:r>
          </w:p>
        </w:tc>
        <w:tc>
          <w:tcPr>
            <w:tcW w:w="96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-0,0002</w:t>
            </w:r>
          </w:p>
        </w:tc>
      </w:tr>
      <w:tr w:rsidR="009C16D2" w:rsidRPr="00122AFE" w:rsidTr="009C16D2">
        <w:trPr>
          <w:trHeight w:val="255"/>
        </w:trPr>
        <w:tc>
          <w:tcPr>
            <w:tcW w:w="808" w:type="dxa"/>
            <w:tcBorders>
              <w:top w:val="nil"/>
              <w:left w:val="single" w:sz="4" w:space="0" w:color="auto"/>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6</w:t>
            </w:r>
          </w:p>
        </w:tc>
        <w:tc>
          <w:tcPr>
            <w:tcW w:w="1132"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-0,000723</w:t>
            </w:r>
          </w:p>
        </w:tc>
        <w:tc>
          <w:tcPr>
            <w:tcW w:w="128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-0,000158</w:t>
            </w:r>
          </w:p>
        </w:tc>
        <w:tc>
          <w:tcPr>
            <w:tcW w:w="116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-0,000272</w:t>
            </w:r>
          </w:p>
        </w:tc>
        <w:tc>
          <w:tcPr>
            <w:tcW w:w="112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-0,000228</w:t>
            </w:r>
          </w:p>
        </w:tc>
        <w:tc>
          <w:tcPr>
            <w:tcW w:w="122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-0,000183</w:t>
            </w:r>
          </w:p>
        </w:tc>
        <w:tc>
          <w:tcPr>
            <w:tcW w:w="96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-0,00019</w:t>
            </w:r>
          </w:p>
        </w:tc>
      </w:tr>
      <w:tr w:rsidR="009C16D2" w:rsidRPr="00122AFE" w:rsidTr="009C16D2">
        <w:trPr>
          <w:trHeight w:val="255"/>
        </w:trPr>
        <w:tc>
          <w:tcPr>
            <w:tcW w:w="808" w:type="dxa"/>
            <w:tcBorders>
              <w:top w:val="nil"/>
              <w:left w:val="single" w:sz="4" w:space="0" w:color="auto"/>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7</w:t>
            </w:r>
          </w:p>
        </w:tc>
        <w:tc>
          <w:tcPr>
            <w:tcW w:w="1132"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-0,000721</w:t>
            </w:r>
          </w:p>
        </w:tc>
        <w:tc>
          <w:tcPr>
            <w:tcW w:w="128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-0,000156</w:t>
            </w:r>
          </w:p>
        </w:tc>
        <w:tc>
          <w:tcPr>
            <w:tcW w:w="116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-0,000266</w:t>
            </w:r>
          </w:p>
        </w:tc>
        <w:tc>
          <w:tcPr>
            <w:tcW w:w="112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-0,000227</w:t>
            </w:r>
          </w:p>
        </w:tc>
        <w:tc>
          <w:tcPr>
            <w:tcW w:w="122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-0,000182</w:t>
            </w:r>
          </w:p>
        </w:tc>
        <w:tc>
          <w:tcPr>
            <w:tcW w:w="96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-0,00019</w:t>
            </w:r>
          </w:p>
        </w:tc>
      </w:tr>
      <w:tr w:rsidR="009C16D2" w:rsidRPr="00122AFE" w:rsidTr="009C16D2">
        <w:trPr>
          <w:trHeight w:val="255"/>
        </w:trPr>
        <w:tc>
          <w:tcPr>
            <w:tcW w:w="808" w:type="dxa"/>
            <w:tcBorders>
              <w:top w:val="nil"/>
              <w:left w:val="single" w:sz="4" w:space="0" w:color="auto"/>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8</w:t>
            </w:r>
          </w:p>
        </w:tc>
        <w:tc>
          <w:tcPr>
            <w:tcW w:w="1132"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-0,00072</w:t>
            </w:r>
          </w:p>
        </w:tc>
        <w:tc>
          <w:tcPr>
            <w:tcW w:w="128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-0,000155</w:t>
            </w:r>
          </w:p>
        </w:tc>
        <w:tc>
          <w:tcPr>
            <w:tcW w:w="116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-0,00026</w:t>
            </w:r>
          </w:p>
        </w:tc>
        <w:tc>
          <w:tcPr>
            <w:tcW w:w="112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-0,000226</w:t>
            </w:r>
          </w:p>
        </w:tc>
        <w:tc>
          <w:tcPr>
            <w:tcW w:w="122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-0,000181</w:t>
            </w:r>
          </w:p>
        </w:tc>
        <w:tc>
          <w:tcPr>
            <w:tcW w:w="96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-0,00018</w:t>
            </w:r>
          </w:p>
        </w:tc>
      </w:tr>
      <w:tr w:rsidR="009C16D2" w:rsidRPr="00122AFE" w:rsidTr="009C16D2">
        <w:trPr>
          <w:trHeight w:val="255"/>
        </w:trPr>
        <w:tc>
          <w:tcPr>
            <w:tcW w:w="808" w:type="dxa"/>
            <w:tcBorders>
              <w:top w:val="nil"/>
              <w:left w:val="single" w:sz="4" w:space="0" w:color="auto"/>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9</w:t>
            </w:r>
          </w:p>
        </w:tc>
        <w:tc>
          <w:tcPr>
            <w:tcW w:w="1132"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-0,000718</w:t>
            </w:r>
          </w:p>
        </w:tc>
        <w:tc>
          <w:tcPr>
            <w:tcW w:w="128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-0,000153</w:t>
            </w:r>
          </w:p>
        </w:tc>
        <w:tc>
          <w:tcPr>
            <w:tcW w:w="116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-0,000254</w:t>
            </w:r>
          </w:p>
        </w:tc>
        <w:tc>
          <w:tcPr>
            <w:tcW w:w="112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-0,000225</w:t>
            </w:r>
          </w:p>
        </w:tc>
        <w:tc>
          <w:tcPr>
            <w:tcW w:w="122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-0,00018</w:t>
            </w:r>
          </w:p>
        </w:tc>
        <w:tc>
          <w:tcPr>
            <w:tcW w:w="96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-0,00018</w:t>
            </w:r>
          </w:p>
        </w:tc>
      </w:tr>
      <w:tr w:rsidR="009C16D2" w:rsidRPr="00122AFE" w:rsidTr="009C16D2">
        <w:trPr>
          <w:trHeight w:val="255"/>
        </w:trPr>
        <w:tc>
          <w:tcPr>
            <w:tcW w:w="808" w:type="dxa"/>
            <w:tcBorders>
              <w:top w:val="nil"/>
              <w:left w:val="single" w:sz="4" w:space="0" w:color="auto"/>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10</w:t>
            </w:r>
          </w:p>
        </w:tc>
        <w:tc>
          <w:tcPr>
            <w:tcW w:w="1132"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-0,000716</w:t>
            </w:r>
          </w:p>
        </w:tc>
        <w:tc>
          <w:tcPr>
            <w:tcW w:w="128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-0,000152</w:t>
            </w:r>
          </w:p>
        </w:tc>
        <w:tc>
          <w:tcPr>
            <w:tcW w:w="116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-0,000248</w:t>
            </w:r>
          </w:p>
        </w:tc>
        <w:tc>
          <w:tcPr>
            <w:tcW w:w="112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-0,000225</w:t>
            </w:r>
          </w:p>
        </w:tc>
        <w:tc>
          <w:tcPr>
            <w:tcW w:w="122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-0,000179</w:t>
            </w:r>
          </w:p>
        </w:tc>
        <w:tc>
          <w:tcPr>
            <w:tcW w:w="96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-0,00017</w:t>
            </w:r>
          </w:p>
        </w:tc>
      </w:tr>
      <w:tr w:rsidR="009C16D2" w:rsidRPr="00122AFE" w:rsidTr="009C16D2">
        <w:trPr>
          <w:trHeight w:val="255"/>
        </w:trPr>
        <w:tc>
          <w:tcPr>
            <w:tcW w:w="808" w:type="dxa"/>
            <w:tcBorders>
              <w:top w:val="nil"/>
              <w:left w:val="single" w:sz="4" w:space="0" w:color="auto"/>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 xml:space="preserve"> </w:t>
            </w:r>
            <w:proofErr w:type="spellStart"/>
            <w:r w:rsidRPr="00122AFE">
              <w:rPr>
                <w:rFonts w:ascii="Arial" w:eastAsia="Times New Roman" w:hAnsi="Arial" w:cs="Arial"/>
                <w:sz w:val="20"/>
                <w:szCs w:val="20"/>
                <w:lang w:val="nl-NL" w:eastAsia="nl-NL" w:bidi="ar-SA"/>
              </w:rPr>
              <w:t>Period</w:t>
            </w:r>
            <w:proofErr w:type="spellEnd"/>
          </w:p>
        </w:tc>
        <w:tc>
          <w:tcPr>
            <w:tcW w:w="1132"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EUOG</w:t>
            </w:r>
          </w:p>
        </w:tc>
        <w:tc>
          <w:tcPr>
            <w:tcW w:w="128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EUTECH</w:t>
            </w:r>
          </w:p>
        </w:tc>
        <w:tc>
          <w:tcPr>
            <w:tcW w:w="116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EUTEL</w:t>
            </w:r>
          </w:p>
        </w:tc>
        <w:tc>
          <w:tcPr>
            <w:tcW w:w="112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EUTEL</w:t>
            </w:r>
          </w:p>
        </w:tc>
        <w:tc>
          <w:tcPr>
            <w:tcW w:w="122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EUUT</w:t>
            </w:r>
          </w:p>
        </w:tc>
        <w:tc>
          <w:tcPr>
            <w:tcW w:w="960" w:type="dxa"/>
            <w:tcBorders>
              <w:top w:val="nil"/>
              <w:left w:val="nil"/>
              <w:bottom w:val="nil"/>
              <w:right w:val="single" w:sz="4" w:space="0" w:color="auto"/>
            </w:tcBorders>
            <w:shd w:val="clear" w:color="auto" w:fill="auto"/>
            <w:noWrap/>
            <w:vAlign w:val="bottom"/>
            <w:hideMark/>
          </w:tcPr>
          <w:p w:rsidR="009C16D2" w:rsidRPr="00122AFE" w:rsidRDefault="009C16D2" w:rsidP="009C16D2">
            <w:pPr>
              <w:spacing w:after="0" w:line="240" w:lineRule="auto"/>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 </w:t>
            </w:r>
          </w:p>
        </w:tc>
      </w:tr>
      <w:tr w:rsidR="009C16D2" w:rsidRPr="00122AFE" w:rsidTr="009C16D2">
        <w:trPr>
          <w:trHeight w:val="255"/>
        </w:trPr>
        <w:tc>
          <w:tcPr>
            <w:tcW w:w="808" w:type="dxa"/>
            <w:tcBorders>
              <w:top w:val="nil"/>
              <w:left w:val="single" w:sz="4" w:space="0" w:color="auto"/>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1</w:t>
            </w:r>
          </w:p>
        </w:tc>
        <w:tc>
          <w:tcPr>
            <w:tcW w:w="1132"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w:t>
            </w:r>
          </w:p>
        </w:tc>
        <w:tc>
          <w:tcPr>
            <w:tcW w:w="128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w:t>
            </w:r>
          </w:p>
        </w:tc>
        <w:tc>
          <w:tcPr>
            <w:tcW w:w="116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w:t>
            </w:r>
          </w:p>
        </w:tc>
        <w:tc>
          <w:tcPr>
            <w:tcW w:w="112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w:t>
            </w:r>
          </w:p>
        </w:tc>
        <w:tc>
          <w:tcPr>
            <w:tcW w:w="122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w:t>
            </w:r>
          </w:p>
        </w:tc>
        <w:tc>
          <w:tcPr>
            <w:tcW w:w="960" w:type="dxa"/>
            <w:tcBorders>
              <w:top w:val="nil"/>
              <w:left w:val="nil"/>
              <w:bottom w:val="nil"/>
              <w:right w:val="single" w:sz="4" w:space="0" w:color="auto"/>
            </w:tcBorders>
            <w:shd w:val="clear" w:color="auto" w:fill="auto"/>
            <w:noWrap/>
            <w:vAlign w:val="bottom"/>
            <w:hideMark/>
          </w:tcPr>
          <w:p w:rsidR="009C16D2" w:rsidRPr="00122AFE" w:rsidRDefault="009C16D2" w:rsidP="009C16D2">
            <w:pPr>
              <w:spacing w:after="0" w:line="240" w:lineRule="auto"/>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 </w:t>
            </w:r>
          </w:p>
        </w:tc>
      </w:tr>
      <w:tr w:rsidR="009C16D2" w:rsidRPr="00122AFE" w:rsidTr="009C16D2">
        <w:trPr>
          <w:trHeight w:val="255"/>
        </w:trPr>
        <w:tc>
          <w:tcPr>
            <w:tcW w:w="808" w:type="dxa"/>
            <w:tcBorders>
              <w:top w:val="nil"/>
              <w:left w:val="single" w:sz="4" w:space="0" w:color="auto"/>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2</w:t>
            </w:r>
          </w:p>
        </w:tc>
        <w:tc>
          <w:tcPr>
            <w:tcW w:w="1132"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-0,000157</w:t>
            </w:r>
          </w:p>
        </w:tc>
        <w:tc>
          <w:tcPr>
            <w:tcW w:w="128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-0,000108</w:t>
            </w:r>
          </w:p>
        </w:tc>
        <w:tc>
          <w:tcPr>
            <w:tcW w:w="116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-0,000137</w:t>
            </w:r>
          </w:p>
        </w:tc>
        <w:tc>
          <w:tcPr>
            <w:tcW w:w="112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-0,000137</w:t>
            </w:r>
          </w:p>
        </w:tc>
        <w:tc>
          <w:tcPr>
            <w:tcW w:w="122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-0,000254</w:t>
            </w:r>
          </w:p>
        </w:tc>
        <w:tc>
          <w:tcPr>
            <w:tcW w:w="960" w:type="dxa"/>
            <w:tcBorders>
              <w:top w:val="nil"/>
              <w:left w:val="nil"/>
              <w:bottom w:val="nil"/>
              <w:right w:val="single" w:sz="4" w:space="0" w:color="auto"/>
            </w:tcBorders>
            <w:shd w:val="clear" w:color="auto" w:fill="auto"/>
            <w:noWrap/>
            <w:vAlign w:val="bottom"/>
            <w:hideMark/>
          </w:tcPr>
          <w:p w:rsidR="009C16D2" w:rsidRPr="00122AFE" w:rsidRDefault="009C16D2" w:rsidP="009C16D2">
            <w:pPr>
              <w:spacing w:after="0" w:line="240" w:lineRule="auto"/>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 </w:t>
            </w:r>
          </w:p>
        </w:tc>
      </w:tr>
      <w:tr w:rsidR="009C16D2" w:rsidRPr="00122AFE" w:rsidTr="009C16D2">
        <w:trPr>
          <w:trHeight w:val="255"/>
        </w:trPr>
        <w:tc>
          <w:tcPr>
            <w:tcW w:w="808" w:type="dxa"/>
            <w:tcBorders>
              <w:top w:val="nil"/>
              <w:left w:val="single" w:sz="4" w:space="0" w:color="auto"/>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3</w:t>
            </w:r>
          </w:p>
        </w:tc>
        <w:tc>
          <w:tcPr>
            <w:tcW w:w="1132"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-0,000152</w:t>
            </w:r>
          </w:p>
        </w:tc>
        <w:tc>
          <w:tcPr>
            <w:tcW w:w="128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-0,000114</w:t>
            </w:r>
          </w:p>
        </w:tc>
        <w:tc>
          <w:tcPr>
            <w:tcW w:w="116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-0,000151</w:t>
            </w:r>
          </w:p>
        </w:tc>
        <w:tc>
          <w:tcPr>
            <w:tcW w:w="112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-0,000151</w:t>
            </w:r>
          </w:p>
        </w:tc>
        <w:tc>
          <w:tcPr>
            <w:tcW w:w="122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-0,000248</w:t>
            </w:r>
          </w:p>
        </w:tc>
        <w:tc>
          <w:tcPr>
            <w:tcW w:w="960" w:type="dxa"/>
            <w:tcBorders>
              <w:top w:val="nil"/>
              <w:left w:val="nil"/>
              <w:bottom w:val="nil"/>
              <w:right w:val="single" w:sz="4" w:space="0" w:color="auto"/>
            </w:tcBorders>
            <w:shd w:val="clear" w:color="auto" w:fill="auto"/>
            <w:noWrap/>
            <w:vAlign w:val="bottom"/>
            <w:hideMark/>
          </w:tcPr>
          <w:p w:rsidR="009C16D2" w:rsidRPr="00122AFE" w:rsidRDefault="009C16D2" w:rsidP="009C16D2">
            <w:pPr>
              <w:spacing w:after="0" w:line="240" w:lineRule="auto"/>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 </w:t>
            </w:r>
          </w:p>
        </w:tc>
      </w:tr>
      <w:tr w:rsidR="009C16D2" w:rsidRPr="00122AFE" w:rsidTr="009C16D2">
        <w:trPr>
          <w:trHeight w:val="255"/>
        </w:trPr>
        <w:tc>
          <w:tcPr>
            <w:tcW w:w="808" w:type="dxa"/>
            <w:tcBorders>
              <w:top w:val="nil"/>
              <w:left w:val="single" w:sz="4" w:space="0" w:color="auto"/>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4</w:t>
            </w:r>
          </w:p>
        </w:tc>
        <w:tc>
          <w:tcPr>
            <w:tcW w:w="1132"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-0,000149</w:t>
            </w:r>
          </w:p>
        </w:tc>
        <w:tc>
          <w:tcPr>
            <w:tcW w:w="128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-0,000113</w:t>
            </w:r>
          </w:p>
        </w:tc>
        <w:tc>
          <w:tcPr>
            <w:tcW w:w="116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-0,00015</w:t>
            </w:r>
          </w:p>
        </w:tc>
        <w:tc>
          <w:tcPr>
            <w:tcW w:w="112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-0,00015</w:t>
            </w:r>
          </w:p>
        </w:tc>
        <w:tc>
          <w:tcPr>
            <w:tcW w:w="122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-0,000244</w:t>
            </w:r>
          </w:p>
        </w:tc>
        <w:tc>
          <w:tcPr>
            <w:tcW w:w="960" w:type="dxa"/>
            <w:tcBorders>
              <w:top w:val="nil"/>
              <w:left w:val="nil"/>
              <w:bottom w:val="nil"/>
              <w:right w:val="single" w:sz="4" w:space="0" w:color="auto"/>
            </w:tcBorders>
            <w:shd w:val="clear" w:color="auto" w:fill="auto"/>
            <w:noWrap/>
            <w:vAlign w:val="bottom"/>
            <w:hideMark/>
          </w:tcPr>
          <w:p w:rsidR="009C16D2" w:rsidRPr="00122AFE" w:rsidRDefault="009C16D2" w:rsidP="009C16D2">
            <w:pPr>
              <w:spacing w:after="0" w:line="240" w:lineRule="auto"/>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 </w:t>
            </w:r>
          </w:p>
        </w:tc>
      </w:tr>
      <w:tr w:rsidR="009C16D2" w:rsidRPr="00122AFE" w:rsidTr="009C16D2">
        <w:trPr>
          <w:trHeight w:val="255"/>
        </w:trPr>
        <w:tc>
          <w:tcPr>
            <w:tcW w:w="808" w:type="dxa"/>
            <w:tcBorders>
              <w:top w:val="nil"/>
              <w:left w:val="single" w:sz="4" w:space="0" w:color="auto"/>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5</w:t>
            </w:r>
          </w:p>
        </w:tc>
        <w:tc>
          <w:tcPr>
            <w:tcW w:w="1132"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-0,000148</w:t>
            </w:r>
          </w:p>
        </w:tc>
        <w:tc>
          <w:tcPr>
            <w:tcW w:w="128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-0,000112</w:t>
            </w:r>
          </w:p>
        </w:tc>
        <w:tc>
          <w:tcPr>
            <w:tcW w:w="116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-0,000148</w:t>
            </w:r>
          </w:p>
        </w:tc>
        <w:tc>
          <w:tcPr>
            <w:tcW w:w="112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-0,000148</w:t>
            </w:r>
          </w:p>
        </w:tc>
        <w:tc>
          <w:tcPr>
            <w:tcW w:w="122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-0,000241</w:t>
            </w:r>
          </w:p>
        </w:tc>
        <w:tc>
          <w:tcPr>
            <w:tcW w:w="960" w:type="dxa"/>
            <w:tcBorders>
              <w:top w:val="nil"/>
              <w:left w:val="nil"/>
              <w:bottom w:val="nil"/>
              <w:right w:val="single" w:sz="4" w:space="0" w:color="auto"/>
            </w:tcBorders>
            <w:shd w:val="clear" w:color="auto" w:fill="auto"/>
            <w:noWrap/>
            <w:vAlign w:val="bottom"/>
            <w:hideMark/>
          </w:tcPr>
          <w:p w:rsidR="009C16D2" w:rsidRPr="00122AFE" w:rsidRDefault="009C16D2" w:rsidP="009C16D2">
            <w:pPr>
              <w:spacing w:after="0" w:line="240" w:lineRule="auto"/>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 </w:t>
            </w:r>
          </w:p>
        </w:tc>
      </w:tr>
      <w:tr w:rsidR="009C16D2" w:rsidRPr="00122AFE" w:rsidTr="009C16D2">
        <w:trPr>
          <w:trHeight w:val="255"/>
        </w:trPr>
        <w:tc>
          <w:tcPr>
            <w:tcW w:w="808" w:type="dxa"/>
            <w:tcBorders>
              <w:top w:val="nil"/>
              <w:left w:val="single" w:sz="4" w:space="0" w:color="auto"/>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6</w:t>
            </w:r>
          </w:p>
        </w:tc>
        <w:tc>
          <w:tcPr>
            <w:tcW w:w="1132"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-0,000146</w:t>
            </w:r>
          </w:p>
        </w:tc>
        <w:tc>
          <w:tcPr>
            <w:tcW w:w="128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-0,000111</w:t>
            </w:r>
          </w:p>
        </w:tc>
        <w:tc>
          <w:tcPr>
            <w:tcW w:w="116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-0,000145</w:t>
            </w:r>
          </w:p>
        </w:tc>
        <w:tc>
          <w:tcPr>
            <w:tcW w:w="112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-0,000145</w:t>
            </w:r>
          </w:p>
        </w:tc>
        <w:tc>
          <w:tcPr>
            <w:tcW w:w="122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-0,000238</w:t>
            </w:r>
          </w:p>
        </w:tc>
        <w:tc>
          <w:tcPr>
            <w:tcW w:w="960" w:type="dxa"/>
            <w:tcBorders>
              <w:top w:val="nil"/>
              <w:left w:val="nil"/>
              <w:bottom w:val="nil"/>
              <w:right w:val="single" w:sz="4" w:space="0" w:color="auto"/>
            </w:tcBorders>
            <w:shd w:val="clear" w:color="auto" w:fill="auto"/>
            <w:noWrap/>
            <w:vAlign w:val="bottom"/>
            <w:hideMark/>
          </w:tcPr>
          <w:p w:rsidR="009C16D2" w:rsidRPr="00122AFE" w:rsidRDefault="009C16D2" w:rsidP="009C16D2">
            <w:pPr>
              <w:spacing w:after="0" w:line="240" w:lineRule="auto"/>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 </w:t>
            </w:r>
          </w:p>
        </w:tc>
      </w:tr>
      <w:tr w:rsidR="009C16D2" w:rsidRPr="00122AFE" w:rsidTr="009C16D2">
        <w:trPr>
          <w:trHeight w:val="255"/>
        </w:trPr>
        <w:tc>
          <w:tcPr>
            <w:tcW w:w="808" w:type="dxa"/>
            <w:tcBorders>
              <w:top w:val="nil"/>
              <w:left w:val="single" w:sz="4" w:space="0" w:color="auto"/>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7</w:t>
            </w:r>
          </w:p>
        </w:tc>
        <w:tc>
          <w:tcPr>
            <w:tcW w:w="1132"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-0,000144</w:t>
            </w:r>
          </w:p>
        </w:tc>
        <w:tc>
          <w:tcPr>
            <w:tcW w:w="128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-0,000109</w:t>
            </w:r>
          </w:p>
        </w:tc>
        <w:tc>
          <w:tcPr>
            <w:tcW w:w="116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-0,000143</w:t>
            </w:r>
          </w:p>
        </w:tc>
        <w:tc>
          <w:tcPr>
            <w:tcW w:w="112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-0,000143</w:t>
            </w:r>
          </w:p>
        </w:tc>
        <w:tc>
          <w:tcPr>
            <w:tcW w:w="122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-0,000236</w:t>
            </w:r>
          </w:p>
        </w:tc>
        <w:tc>
          <w:tcPr>
            <w:tcW w:w="960" w:type="dxa"/>
            <w:tcBorders>
              <w:top w:val="nil"/>
              <w:left w:val="nil"/>
              <w:bottom w:val="nil"/>
              <w:right w:val="single" w:sz="4" w:space="0" w:color="auto"/>
            </w:tcBorders>
            <w:shd w:val="clear" w:color="auto" w:fill="auto"/>
            <w:noWrap/>
            <w:vAlign w:val="bottom"/>
            <w:hideMark/>
          </w:tcPr>
          <w:p w:rsidR="009C16D2" w:rsidRPr="00122AFE" w:rsidRDefault="009C16D2" w:rsidP="009C16D2">
            <w:pPr>
              <w:spacing w:after="0" w:line="240" w:lineRule="auto"/>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 </w:t>
            </w:r>
          </w:p>
        </w:tc>
      </w:tr>
      <w:tr w:rsidR="009C16D2" w:rsidRPr="00122AFE" w:rsidTr="009C16D2">
        <w:trPr>
          <w:trHeight w:val="255"/>
        </w:trPr>
        <w:tc>
          <w:tcPr>
            <w:tcW w:w="808" w:type="dxa"/>
            <w:tcBorders>
              <w:top w:val="nil"/>
              <w:left w:val="single" w:sz="4" w:space="0" w:color="auto"/>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8</w:t>
            </w:r>
          </w:p>
        </w:tc>
        <w:tc>
          <w:tcPr>
            <w:tcW w:w="1132"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-0,000142</w:t>
            </w:r>
          </w:p>
        </w:tc>
        <w:tc>
          <w:tcPr>
            <w:tcW w:w="128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-0,000108</w:t>
            </w:r>
          </w:p>
        </w:tc>
        <w:tc>
          <w:tcPr>
            <w:tcW w:w="116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-0,00014</w:t>
            </w:r>
          </w:p>
        </w:tc>
        <w:tc>
          <w:tcPr>
            <w:tcW w:w="112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-0,00014</w:t>
            </w:r>
          </w:p>
        </w:tc>
        <w:tc>
          <w:tcPr>
            <w:tcW w:w="122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-0,000233</w:t>
            </w:r>
          </w:p>
        </w:tc>
        <w:tc>
          <w:tcPr>
            <w:tcW w:w="960" w:type="dxa"/>
            <w:tcBorders>
              <w:top w:val="nil"/>
              <w:left w:val="nil"/>
              <w:bottom w:val="nil"/>
              <w:right w:val="single" w:sz="4" w:space="0" w:color="auto"/>
            </w:tcBorders>
            <w:shd w:val="clear" w:color="auto" w:fill="auto"/>
            <w:noWrap/>
            <w:vAlign w:val="bottom"/>
            <w:hideMark/>
          </w:tcPr>
          <w:p w:rsidR="009C16D2" w:rsidRPr="00122AFE" w:rsidRDefault="009C16D2" w:rsidP="009C16D2">
            <w:pPr>
              <w:spacing w:after="0" w:line="240" w:lineRule="auto"/>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 </w:t>
            </w:r>
          </w:p>
        </w:tc>
      </w:tr>
      <w:tr w:rsidR="009C16D2" w:rsidRPr="00122AFE" w:rsidTr="009C16D2">
        <w:trPr>
          <w:trHeight w:val="255"/>
        </w:trPr>
        <w:tc>
          <w:tcPr>
            <w:tcW w:w="808" w:type="dxa"/>
            <w:tcBorders>
              <w:top w:val="nil"/>
              <w:left w:val="single" w:sz="4" w:space="0" w:color="auto"/>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9</w:t>
            </w:r>
          </w:p>
        </w:tc>
        <w:tc>
          <w:tcPr>
            <w:tcW w:w="1132"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-0,00014</w:t>
            </w:r>
          </w:p>
        </w:tc>
        <w:tc>
          <w:tcPr>
            <w:tcW w:w="128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-0,000107</w:t>
            </w:r>
          </w:p>
        </w:tc>
        <w:tc>
          <w:tcPr>
            <w:tcW w:w="116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-0,000138</w:t>
            </w:r>
          </w:p>
        </w:tc>
        <w:tc>
          <w:tcPr>
            <w:tcW w:w="112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-0,000138</w:t>
            </w:r>
          </w:p>
        </w:tc>
        <w:tc>
          <w:tcPr>
            <w:tcW w:w="122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-0,00023</w:t>
            </w:r>
          </w:p>
        </w:tc>
        <w:tc>
          <w:tcPr>
            <w:tcW w:w="960" w:type="dxa"/>
            <w:tcBorders>
              <w:top w:val="nil"/>
              <w:left w:val="nil"/>
              <w:bottom w:val="nil"/>
              <w:right w:val="single" w:sz="4" w:space="0" w:color="auto"/>
            </w:tcBorders>
            <w:shd w:val="clear" w:color="auto" w:fill="auto"/>
            <w:noWrap/>
            <w:vAlign w:val="bottom"/>
            <w:hideMark/>
          </w:tcPr>
          <w:p w:rsidR="009C16D2" w:rsidRPr="00122AFE" w:rsidRDefault="009C16D2" w:rsidP="009C16D2">
            <w:pPr>
              <w:spacing w:after="0" w:line="240" w:lineRule="auto"/>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 </w:t>
            </w:r>
          </w:p>
        </w:tc>
      </w:tr>
      <w:tr w:rsidR="009C16D2" w:rsidRPr="00122AFE" w:rsidTr="009C16D2">
        <w:trPr>
          <w:trHeight w:val="255"/>
        </w:trPr>
        <w:tc>
          <w:tcPr>
            <w:tcW w:w="808" w:type="dxa"/>
            <w:tcBorders>
              <w:top w:val="nil"/>
              <w:left w:val="single" w:sz="4" w:space="0" w:color="auto"/>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10</w:t>
            </w:r>
          </w:p>
        </w:tc>
        <w:tc>
          <w:tcPr>
            <w:tcW w:w="1132"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-0,000138</w:t>
            </w:r>
          </w:p>
        </w:tc>
        <w:tc>
          <w:tcPr>
            <w:tcW w:w="128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-0,000106</w:t>
            </w:r>
          </w:p>
        </w:tc>
        <w:tc>
          <w:tcPr>
            <w:tcW w:w="116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-0,000135</w:t>
            </w:r>
          </w:p>
        </w:tc>
        <w:tc>
          <w:tcPr>
            <w:tcW w:w="112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-0,000135</w:t>
            </w:r>
          </w:p>
        </w:tc>
        <w:tc>
          <w:tcPr>
            <w:tcW w:w="122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-0,000228</w:t>
            </w:r>
          </w:p>
        </w:tc>
        <w:tc>
          <w:tcPr>
            <w:tcW w:w="96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 </w:t>
            </w:r>
          </w:p>
        </w:tc>
      </w:tr>
    </w:tbl>
    <w:p w:rsidR="009C16D2" w:rsidRDefault="009C16D2" w:rsidP="009C16D2"/>
    <w:tbl>
      <w:tblPr>
        <w:tblW w:w="5500" w:type="dxa"/>
        <w:tblInd w:w="55" w:type="dxa"/>
        <w:tblCellMar>
          <w:left w:w="70" w:type="dxa"/>
          <w:right w:w="70" w:type="dxa"/>
        </w:tblCellMar>
        <w:tblLook w:val="04A0"/>
      </w:tblPr>
      <w:tblGrid>
        <w:gridCol w:w="816"/>
        <w:gridCol w:w="1246"/>
        <w:gridCol w:w="1158"/>
        <w:gridCol w:w="1160"/>
        <w:gridCol w:w="1120"/>
      </w:tblGrid>
      <w:tr w:rsidR="009C16D2" w:rsidRPr="00122AFE" w:rsidTr="009C16D2">
        <w:trPr>
          <w:trHeight w:val="255"/>
        </w:trPr>
        <w:tc>
          <w:tcPr>
            <w:tcW w:w="3220" w:type="dxa"/>
            <w:gridSpan w:val="3"/>
            <w:tcBorders>
              <w:top w:val="single" w:sz="4" w:space="0" w:color="auto"/>
              <w:left w:val="single" w:sz="4" w:space="0" w:color="auto"/>
              <w:bottom w:val="single" w:sz="4" w:space="0" w:color="auto"/>
              <w:right w:val="nil"/>
            </w:tcBorders>
            <w:shd w:val="clear" w:color="auto" w:fill="auto"/>
            <w:noWrap/>
            <w:vAlign w:val="bottom"/>
            <w:hideMark/>
          </w:tcPr>
          <w:p w:rsidR="009C16D2" w:rsidRPr="00122AFE" w:rsidRDefault="009C16D2" w:rsidP="009C16D2">
            <w:pPr>
              <w:spacing w:after="0" w:line="240" w:lineRule="auto"/>
              <w:rPr>
                <w:rFonts w:ascii="Arial" w:eastAsia="Times New Roman" w:hAnsi="Arial" w:cs="Arial"/>
                <w:sz w:val="20"/>
                <w:szCs w:val="20"/>
                <w:lang w:eastAsia="nl-NL" w:bidi="ar-SA"/>
              </w:rPr>
            </w:pPr>
            <w:r w:rsidRPr="00122AFE">
              <w:rPr>
                <w:rFonts w:ascii="Arial" w:eastAsia="Times New Roman" w:hAnsi="Arial" w:cs="Arial"/>
                <w:sz w:val="20"/>
                <w:szCs w:val="20"/>
                <w:lang w:eastAsia="nl-NL" w:bidi="ar-SA"/>
              </w:rPr>
              <w:t>Response of sector to CHFUSD</w:t>
            </w:r>
          </w:p>
        </w:tc>
        <w:tc>
          <w:tcPr>
            <w:tcW w:w="1160" w:type="dxa"/>
            <w:tcBorders>
              <w:top w:val="single" w:sz="4" w:space="0" w:color="auto"/>
              <w:left w:val="nil"/>
              <w:bottom w:val="single" w:sz="4" w:space="0" w:color="auto"/>
              <w:right w:val="nil"/>
            </w:tcBorders>
            <w:shd w:val="clear" w:color="auto" w:fill="auto"/>
            <w:noWrap/>
            <w:vAlign w:val="bottom"/>
            <w:hideMark/>
          </w:tcPr>
          <w:p w:rsidR="009C16D2" w:rsidRPr="00122AFE" w:rsidRDefault="009C16D2" w:rsidP="009C16D2">
            <w:pPr>
              <w:spacing w:after="0" w:line="240" w:lineRule="auto"/>
              <w:rPr>
                <w:rFonts w:ascii="Arial" w:eastAsia="Times New Roman" w:hAnsi="Arial" w:cs="Arial"/>
                <w:sz w:val="20"/>
                <w:szCs w:val="20"/>
                <w:lang w:eastAsia="nl-NL" w:bidi="ar-SA"/>
              </w:rPr>
            </w:pPr>
            <w:r w:rsidRPr="00122AFE">
              <w:rPr>
                <w:rFonts w:ascii="Arial" w:eastAsia="Times New Roman" w:hAnsi="Arial" w:cs="Arial"/>
                <w:sz w:val="20"/>
                <w:szCs w:val="20"/>
                <w:lang w:eastAsia="nl-NL" w:bidi="ar-SA"/>
              </w:rPr>
              <w:t> </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rPr>
                <w:rFonts w:ascii="Arial" w:eastAsia="Times New Roman" w:hAnsi="Arial" w:cs="Arial"/>
                <w:sz w:val="20"/>
                <w:szCs w:val="20"/>
                <w:lang w:eastAsia="nl-NL" w:bidi="ar-SA"/>
              </w:rPr>
            </w:pPr>
            <w:r w:rsidRPr="00122AFE">
              <w:rPr>
                <w:rFonts w:ascii="Arial" w:eastAsia="Times New Roman" w:hAnsi="Arial" w:cs="Arial"/>
                <w:sz w:val="20"/>
                <w:szCs w:val="20"/>
                <w:lang w:eastAsia="nl-NL" w:bidi="ar-SA"/>
              </w:rPr>
              <w:t> </w:t>
            </w:r>
          </w:p>
        </w:tc>
      </w:tr>
      <w:tr w:rsidR="009C16D2" w:rsidRPr="00122AFE" w:rsidTr="009C16D2">
        <w:trPr>
          <w:trHeight w:val="255"/>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rPr>
                <w:rFonts w:ascii="Arial" w:eastAsia="Times New Roman" w:hAnsi="Arial" w:cs="Arial"/>
                <w:sz w:val="20"/>
                <w:szCs w:val="20"/>
                <w:lang w:val="nl-NL" w:eastAsia="nl-NL" w:bidi="ar-SA"/>
              </w:rPr>
            </w:pPr>
            <w:proofErr w:type="spellStart"/>
            <w:r w:rsidRPr="00122AFE">
              <w:rPr>
                <w:rFonts w:ascii="Arial" w:eastAsia="Times New Roman" w:hAnsi="Arial" w:cs="Arial"/>
                <w:sz w:val="20"/>
                <w:szCs w:val="20"/>
                <w:lang w:val="nl-NL" w:eastAsia="nl-NL" w:bidi="ar-SA"/>
              </w:rPr>
              <w:t>Period</w:t>
            </w:r>
            <w:proofErr w:type="spellEnd"/>
          </w:p>
        </w:tc>
        <w:tc>
          <w:tcPr>
            <w:tcW w:w="1246"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USUT</w:t>
            </w:r>
          </w:p>
        </w:tc>
        <w:tc>
          <w:tcPr>
            <w:tcW w:w="1158"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USOG</w:t>
            </w:r>
          </w:p>
        </w:tc>
        <w:tc>
          <w:tcPr>
            <w:tcW w:w="116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USCGDS</w:t>
            </w:r>
          </w:p>
        </w:tc>
        <w:tc>
          <w:tcPr>
            <w:tcW w:w="112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USBM</w:t>
            </w:r>
          </w:p>
        </w:tc>
      </w:tr>
      <w:tr w:rsidR="009C16D2" w:rsidRPr="00122AFE" w:rsidTr="009C16D2">
        <w:trPr>
          <w:trHeight w:val="255"/>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1</w:t>
            </w:r>
          </w:p>
        </w:tc>
        <w:tc>
          <w:tcPr>
            <w:tcW w:w="1246"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-0,029847</w:t>
            </w:r>
          </w:p>
        </w:tc>
        <w:tc>
          <w:tcPr>
            <w:tcW w:w="1158"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0,4339</w:t>
            </w:r>
          </w:p>
        </w:tc>
        <w:tc>
          <w:tcPr>
            <w:tcW w:w="116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-0,171521</w:t>
            </w:r>
          </w:p>
        </w:tc>
        <w:tc>
          <w:tcPr>
            <w:tcW w:w="112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0,127602</w:t>
            </w:r>
          </w:p>
        </w:tc>
      </w:tr>
      <w:tr w:rsidR="009C16D2" w:rsidRPr="00122AFE" w:rsidTr="009C16D2">
        <w:trPr>
          <w:trHeight w:val="255"/>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2</w:t>
            </w:r>
          </w:p>
        </w:tc>
        <w:tc>
          <w:tcPr>
            <w:tcW w:w="1246"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0,05988</w:t>
            </w:r>
          </w:p>
        </w:tc>
        <w:tc>
          <w:tcPr>
            <w:tcW w:w="1158"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0,635589</w:t>
            </w:r>
          </w:p>
        </w:tc>
        <w:tc>
          <w:tcPr>
            <w:tcW w:w="116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-0,091138</w:t>
            </w:r>
          </w:p>
        </w:tc>
        <w:tc>
          <w:tcPr>
            <w:tcW w:w="112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0,280691</w:t>
            </w:r>
          </w:p>
        </w:tc>
      </w:tr>
      <w:tr w:rsidR="009C16D2" w:rsidRPr="00122AFE" w:rsidTr="009C16D2">
        <w:trPr>
          <w:trHeight w:val="255"/>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3</w:t>
            </w:r>
          </w:p>
        </w:tc>
        <w:tc>
          <w:tcPr>
            <w:tcW w:w="1246"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0,053815</w:t>
            </w:r>
          </w:p>
        </w:tc>
        <w:tc>
          <w:tcPr>
            <w:tcW w:w="1158"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0,616298</w:t>
            </w:r>
          </w:p>
        </w:tc>
        <w:tc>
          <w:tcPr>
            <w:tcW w:w="116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-0,091188</w:t>
            </w:r>
          </w:p>
        </w:tc>
        <w:tc>
          <w:tcPr>
            <w:tcW w:w="112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0,273207</w:t>
            </w:r>
          </w:p>
        </w:tc>
      </w:tr>
      <w:tr w:rsidR="009C16D2" w:rsidRPr="00122AFE" w:rsidTr="009C16D2">
        <w:trPr>
          <w:trHeight w:val="255"/>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4</w:t>
            </w:r>
          </w:p>
        </w:tc>
        <w:tc>
          <w:tcPr>
            <w:tcW w:w="1246"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0,055388</w:t>
            </w:r>
          </w:p>
        </w:tc>
        <w:tc>
          <w:tcPr>
            <w:tcW w:w="1158"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0,632575</w:t>
            </w:r>
          </w:p>
        </w:tc>
        <w:tc>
          <w:tcPr>
            <w:tcW w:w="116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-0,083647</w:t>
            </w:r>
          </w:p>
        </w:tc>
        <w:tc>
          <w:tcPr>
            <w:tcW w:w="112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0,280857</w:t>
            </w:r>
          </w:p>
        </w:tc>
      </w:tr>
      <w:tr w:rsidR="009C16D2" w:rsidRPr="00122AFE" w:rsidTr="009C16D2">
        <w:trPr>
          <w:trHeight w:val="255"/>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5</w:t>
            </w:r>
          </w:p>
        </w:tc>
        <w:tc>
          <w:tcPr>
            <w:tcW w:w="1246"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0,056312</w:t>
            </w:r>
          </w:p>
        </w:tc>
        <w:tc>
          <w:tcPr>
            <w:tcW w:w="1158"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0,644018</w:t>
            </w:r>
          </w:p>
        </w:tc>
        <w:tc>
          <w:tcPr>
            <w:tcW w:w="116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-0,07674</w:t>
            </w:r>
          </w:p>
        </w:tc>
        <w:tc>
          <w:tcPr>
            <w:tcW w:w="112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0,2869</w:t>
            </w:r>
          </w:p>
        </w:tc>
      </w:tr>
      <w:tr w:rsidR="009C16D2" w:rsidRPr="00122AFE" w:rsidTr="009C16D2">
        <w:trPr>
          <w:trHeight w:val="255"/>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6</w:t>
            </w:r>
          </w:p>
        </w:tc>
        <w:tc>
          <w:tcPr>
            <w:tcW w:w="1246"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0,057289</w:t>
            </w:r>
          </w:p>
        </w:tc>
        <w:tc>
          <w:tcPr>
            <w:tcW w:w="1158"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0,656042</w:t>
            </w:r>
          </w:p>
        </w:tc>
        <w:tc>
          <w:tcPr>
            <w:tcW w:w="116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-0,069823</w:t>
            </w:r>
          </w:p>
        </w:tc>
        <w:tc>
          <w:tcPr>
            <w:tcW w:w="112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0,293079</w:t>
            </w:r>
          </w:p>
        </w:tc>
      </w:tr>
      <w:tr w:rsidR="009C16D2" w:rsidRPr="00122AFE" w:rsidTr="009C16D2">
        <w:trPr>
          <w:trHeight w:val="255"/>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7</w:t>
            </w:r>
          </w:p>
        </w:tc>
        <w:tc>
          <w:tcPr>
            <w:tcW w:w="1246"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0,058259</w:t>
            </w:r>
          </w:p>
        </w:tc>
        <w:tc>
          <w:tcPr>
            <w:tcW w:w="1158"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0,667945</w:t>
            </w:r>
          </w:p>
        </w:tc>
        <w:tc>
          <w:tcPr>
            <w:tcW w:w="116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-0,062943</w:t>
            </w:r>
          </w:p>
        </w:tc>
        <w:tc>
          <w:tcPr>
            <w:tcW w:w="112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0,299213</w:t>
            </w:r>
          </w:p>
        </w:tc>
      </w:tr>
      <w:tr w:rsidR="009C16D2" w:rsidRPr="00122AFE" w:rsidTr="009C16D2">
        <w:trPr>
          <w:trHeight w:val="255"/>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8</w:t>
            </w:r>
          </w:p>
        </w:tc>
        <w:tc>
          <w:tcPr>
            <w:tcW w:w="1246"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0,059227</w:t>
            </w:r>
          </w:p>
        </w:tc>
        <w:tc>
          <w:tcPr>
            <w:tcW w:w="1158"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0,679816</w:t>
            </w:r>
          </w:p>
        </w:tc>
        <w:tc>
          <w:tcPr>
            <w:tcW w:w="116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-0,056096</w:t>
            </w:r>
          </w:p>
        </w:tc>
        <w:tc>
          <w:tcPr>
            <w:tcW w:w="112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0,305321</w:t>
            </w:r>
          </w:p>
        </w:tc>
      </w:tr>
      <w:tr w:rsidR="009C16D2" w:rsidRPr="00122AFE" w:rsidTr="009C16D2">
        <w:trPr>
          <w:trHeight w:val="255"/>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9</w:t>
            </w:r>
          </w:p>
        </w:tc>
        <w:tc>
          <w:tcPr>
            <w:tcW w:w="1246"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0,060193</w:t>
            </w:r>
          </w:p>
        </w:tc>
        <w:tc>
          <w:tcPr>
            <w:tcW w:w="1158"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0,691645</w:t>
            </w:r>
          </w:p>
        </w:tc>
        <w:tc>
          <w:tcPr>
            <w:tcW w:w="116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-0,049283</w:t>
            </w:r>
          </w:p>
        </w:tc>
        <w:tc>
          <w:tcPr>
            <w:tcW w:w="112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0,311401</w:t>
            </w:r>
          </w:p>
        </w:tc>
      </w:tr>
      <w:tr w:rsidR="009C16D2" w:rsidRPr="00122AFE" w:rsidTr="009C16D2">
        <w:trPr>
          <w:trHeight w:val="255"/>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10</w:t>
            </w:r>
          </w:p>
        </w:tc>
        <w:tc>
          <w:tcPr>
            <w:tcW w:w="1246"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0,061158</w:t>
            </w:r>
          </w:p>
        </w:tc>
        <w:tc>
          <w:tcPr>
            <w:tcW w:w="1158"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0,703433</w:t>
            </w:r>
          </w:p>
        </w:tc>
        <w:tc>
          <w:tcPr>
            <w:tcW w:w="116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-0,042503</w:t>
            </w:r>
          </w:p>
        </w:tc>
        <w:tc>
          <w:tcPr>
            <w:tcW w:w="112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0,317455</w:t>
            </w:r>
          </w:p>
        </w:tc>
      </w:tr>
    </w:tbl>
    <w:p w:rsidR="009C16D2" w:rsidRDefault="009C16D2" w:rsidP="009C16D2"/>
    <w:p w:rsidR="009C16D2" w:rsidRDefault="009C16D2" w:rsidP="009C16D2"/>
    <w:p w:rsidR="009C16D2" w:rsidRDefault="009C16D2" w:rsidP="009C16D2"/>
    <w:p w:rsidR="009C16D2" w:rsidRDefault="009C16D2" w:rsidP="009C16D2"/>
    <w:p w:rsidR="009C16D2" w:rsidRDefault="009C16D2" w:rsidP="009C16D2"/>
    <w:p w:rsidR="009C16D2" w:rsidRDefault="009C16D2" w:rsidP="009C16D2"/>
    <w:tbl>
      <w:tblPr>
        <w:tblW w:w="8341" w:type="dxa"/>
        <w:tblInd w:w="52" w:type="dxa"/>
        <w:tblCellMar>
          <w:left w:w="70" w:type="dxa"/>
          <w:right w:w="70" w:type="dxa"/>
        </w:tblCellMar>
        <w:tblLook w:val="04A0"/>
      </w:tblPr>
      <w:tblGrid>
        <w:gridCol w:w="848"/>
        <w:gridCol w:w="1186"/>
        <w:gridCol w:w="1186"/>
        <w:gridCol w:w="1160"/>
        <w:gridCol w:w="1120"/>
        <w:gridCol w:w="789"/>
        <w:gridCol w:w="1026"/>
        <w:gridCol w:w="1026"/>
      </w:tblGrid>
      <w:tr w:rsidR="009C16D2" w:rsidRPr="009C16D2" w:rsidTr="009C16D2">
        <w:trPr>
          <w:trHeight w:val="255"/>
        </w:trPr>
        <w:tc>
          <w:tcPr>
            <w:tcW w:w="3220" w:type="dxa"/>
            <w:gridSpan w:val="3"/>
            <w:tcBorders>
              <w:top w:val="single" w:sz="4" w:space="0" w:color="auto"/>
              <w:left w:val="single" w:sz="4" w:space="0" w:color="auto"/>
              <w:bottom w:val="single" w:sz="4" w:space="0" w:color="auto"/>
              <w:right w:val="nil"/>
            </w:tcBorders>
            <w:shd w:val="clear" w:color="auto" w:fill="auto"/>
            <w:noWrap/>
            <w:vAlign w:val="bottom"/>
            <w:hideMark/>
          </w:tcPr>
          <w:p w:rsidR="009C16D2" w:rsidRPr="009C16D2" w:rsidRDefault="009C16D2" w:rsidP="009C16D2">
            <w:pPr>
              <w:spacing w:after="0" w:line="240" w:lineRule="auto"/>
              <w:rPr>
                <w:rFonts w:ascii="Arial" w:eastAsia="Times New Roman" w:hAnsi="Arial" w:cs="Arial"/>
                <w:sz w:val="20"/>
                <w:szCs w:val="20"/>
                <w:lang w:eastAsia="nl-NL" w:bidi="ar-SA"/>
              </w:rPr>
            </w:pPr>
            <w:r w:rsidRPr="009C16D2">
              <w:rPr>
                <w:rFonts w:ascii="Arial" w:eastAsia="Times New Roman" w:hAnsi="Arial" w:cs="Arial"/>
                <w:sz w:val="20"/>
                <w:szCs w:val="20"/>
                <w:lang w:eastAsia="nl-NL" w:bidi="ar-SA"/>
              </w:rPr>
              <w:t>Response of USDEUR to sector</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rsidR="009C16D2" w:rsidRPr="009C16D2" w:rsidRDefault="009C16D2" w:rsidP="009C16D2">
            <w:pPr>
              <w:spacing w:after="0" w:line="240" w:lineRule="auto"/>
              <w:rPr>
                <w:rFonts w:ascii="Arial" w:eastAsia="Times New Roman" w:hAnsi="Arial" w:cs="Arial"/>
                <w:sz w:val="20"/>
                <w:szCs w:val="20"/>
                <w:lang w:eastAsia="nl-NL" w:bidi="ar-SA"/>
              </w:rPr>
            </w:pPr>
            <w:r w:rsidRPr="009C16D2">
              <w:rPr>
                <w:rFonts w:ascii="Arial" w:eastAsia="Times New Roman" w:hAnsi="Arial" w:cs="Arial"/>
                <w:sz w:val="20"/>
                <w:szCs w:val="20"/>
                <w:lang w:eastAsia="nl-NL" w:bidi="ar-SA"/>
              </w:rPr>
              <w:t> </w:t>
            </w:r>
          </w:p>
        </w:tc>
        <w:tc>
          <w:tcPr>
            <w:tcW w:w="1120" w:type="dxa"/>
            <w:tcBorders>
              <w:top w:val="nil"/>
              <w:left w:val="nil"/>
              <w:bottom w:val="nil"/>
              <w:right w:val="nil"/>
            </w:tcBorders>
            <w:shd w:val="clear" w:color="auto" w:fill="auto"/>
            <w:noWrap/>
            <w:vAlign w:val="bottom"/>
            <w:hideMark/>
          </w:tcPr>
          <w:p w:rsidR="009C16D2" w:rsidRPr="009C16D2" w:rsidRDefault="009C16D2" w:rsidP="009C16D2">
            <w:pPr>
              <w:spacing w:after="0" w:line="240" w:lineRule="auto"/>
              <w:rPr>
                <w:rFonts w:ascii="Arial" w:eastAsia="Times New Roman" w:hAnsi="Arial" w:cs="Arial"/>
                <w:sz w:val="20"/>
                <w:szCs w:val="20"/>
                <w:lang w:eastAsia="nl-NL" w:bidi="ar-SA"/>
              </w:rPr>
            </w:pPr>
          </w:p>
        </w:tc>
        <w:tc>
          <w:tcPr>
            <w:tcW w:w="284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C16D2" w:rsidRPr="009C16D2" w:rsidRDefault="009C16D2" w:rsidP="009C16D2">
            <w:pPr>
              <w:spacing w:after="0" w:line="240" w:lineRule="auto"/>
              <w:rPr>
                <w:rFonts w:ascii="Arial" w:eastAsia="Times New Roman" w:hAnsi="Arial" w:cs="Arial"/>
                <w:sz w:val="20"/>
                <w:szCs w:val="20"/>
                <w:lang w:eastAsia="nl-NL" w:bidi="ar-SA"/>
              </w:rPr>
            </w:pPr>
            <w:r w:rsidRPr="009C16D2">
              <w:rPr>
                <w:rFonts w:ascii="Arial" w:eastAsia="Times New Roman" w:hAnsi="Arial" w:cs="Arial"/>
                <w:sz w:val="20"/>
                <w:szCs w:val="20"/>
                <w:lang w:eastAsia="nl-NL" w:bidi="ar-SA"/>
              </w:rPr>
              <w:t>Response of sector to USDEUR</w:t>
            </w:r>
          </w:p>
        </w:tc>
      </w:tr>
      <w:tr w:rsidR="009C16D2" w:rsidRPr="009C16D2" w:rsidTr="009C16D2">
        <w:trPr>
          <w:trHeight w:val="255"/>
        </w:trPr>
        <w:tc>
          <w:tcPr>
            <w:tcW w:w="848" w:type="dxa"/>
            <w:tcBorders>
              <w:top w:val="nil"/>
              <w:left w:val="single" w:sz="4" w:space="0" w:color="auto"/>
              <w:bottom w:val="single" w:sz="4" w:space="0" w:color="auto"/>
              <w:right w:val="single" w:sz="4" w:space="0" w:color="auto"/>
            </w:tcBorders>
            <w:shd w:val="clear" w:color="auto" w:fill="auto"/>
            <w:noWrap/>
            <w:vAlign w:val="bottom"/>
            <w:hideMark/>
          </w:tcPr>
          <w:p w:rsidR="009C16D2" w:rsidRPr="009C16D2" w:rsidRDefault="009C16D2" w:rsidP="009C16D2">
            <w:pPr>
              <w:spacing w:after="0" w:line="240" w:lineRule="auto"/>
              <w:rPr>
                <w:rFonts w:ascii="Arial" w:eastAsia="Times New Roman" w:hAnsi="Arial" w:cs="Arial"/>
                <w:sz w:val="20"/>
                <w:szCs w:val="20"/>
                <w:lang w:val="nl-NL" w:eastAsia="nl-NL" w:bidi="ar-SA"/>
              </w:rPr>
            </w:pPr>
            <w:r w:rsidRPr="009C16D2">
              <w:rPr>
                <w:rFonts w:ascii="Arial" w:eastAsia="Times New Roman" w:hAnsi="Arial" w:cs="Arial"/>
                <w:sz w:val="20"/>
                <w:szCs w:val="20"/>
                <w:lang w:eastAsia="nl-NL" w:bidi="ar-SA"/>
              </w:rPr>
              <w:t xml:space="preserve"> </w:t>
            </w:r>
            <w:proofErr w:type="spellStart"/>
            <w:r w:rsidRPr="009C16D2">
              <w:rPr>
                <w:rFonts w:ascii="Arial" w:eastAsia="Times New Roman" w:hAnsi="Arial" w:cs="Arial"/>
                <w:sz w:val="20"/>
                <w:szCs w:val="20"/>
                <w:lang w:val="nl-NL" w:eastAsia="nl-NL" w:bidi="ar-SA"/>
              </w:rPr>
              <w:t>Period</w:t>
            </w:r>
            <w:proofErr w:type="spellEnd"/>
          </w:p>
        </w:tc>
        <w:tc>
          <w:tcPr>
            <w:tcW w:w="1186" w:type="dxa"/>
            <w:tcBorders>
              <w:top w:val="nil"/>
              <w:left w:val="nil"/>
              <w:bottom w:val="single" w:sz="4" w:space="0" w:color="auto"/>
              <w:right w:val="single" w:sz="4" w:space="0" w:color="auto"/>
            </w:tcBorders>
            <w:shd w:val="clear" w:color="auto" w:fill="auto"/>
            <w:noWrap/>
            <w:vAlign w:val="bottom"/>
            <w:hideMark/>
          </w:tcPr>
          <w:p w:rsidR="009C16D2" w:rsidRPr="009C16D2" w:rsidRDefault="009C16D2" w:rsidP="009C16D2">
            <w:pPr>
              <w:spacing w:after="0" w:line="240" w:lineRule="auto"/>
              <w:rPr>
                <w:rFonts w:ascii="Arial" w:eastAsia="Times New Roman" w:hAnsi="Arial" w:cs="Arial"/>
                <w:sz w:val="20"/>
                <w:szCs w:val="20"/>
                <w:lang w:val="nl-NL" w:eastAsia="nl-NL" w:bidi="ar-SA"/>
              </w:rPr>
            </w:pPr>
            <w:r w:rsidRPr="009C16D2">
              <w:rPr>
                <w:rFonts w:ascii="Arial" w:eastAsia="Times New Roman" w:hAnsi="Arial" w:cs="Arial"/>
                <w:sz w:val="20"/>
                <w:szCs w:val="20"/>
                <w:lang w:val="nl-NL" w:eastAsia="nl-NL" w:bidi="ar-SA"/>
              </w:rPr>
              <w:t>EUCSVS</w:t>
            </w:r>
          </w:p>
        </w:tc>
        <w:tc>
          <w:tcPr>
            <w:tcW w:w="1186" w:type="dxa"/>
            <w:tcBorders>
              <w:top w:val="nil"/>
              <w:left w:val="nil"/>
              <w:bottom w:val="single" w:sz="4" w:space="0" w:color="auto"/>
              <w:right w:val="single" w:sz="4" w:space="0" w:color="auto"/>
            </w:tcBorders>
            <w:shd w:val="clear" w:color="auto" w:fill="auto"/>
            <w:noWrap/>
            <w:vAlign w:val="bottom"/>
            <w:hideMark/>
          </w:tcPr>
          <w:p w:rsidR="009C16D2" w:rsidRPr="009C16D2" w:rsidRDefault="009C16D2" w:rsidP="009C16D2">
            <w:pPr>
              <w:spacing w:after="0" w:line="240" w:lineRule="auto"/>
              <w:rPr>
                <w:rFonts w:ascii="Arial" w:eastAsia="Times New Roman" w:hAnsi="Arial" w:cs="Arial"/>
                <w:sz w:val="20"/>
                <w:szCs w:val="20"/>
                <w:lang w:val="nl-NL" w:eastAsia="nl-NL" w:bidi="ar-SA"/>
              </w:rPr>
            </w:pPr>
            <w:r w:rsidRPr="009C16D2">
              <w:rPr>
                <w:rFonts w:ascii="Arial" w:eastAsia="Times New Roman" w:hAnsi="Arial" w:cs="Arial"/>
                <w:sz w:val="20"/>
                <w:szCs w:val="20"/>
                <w:lang w:val="nl-NL" w:eastAsia="nl-NL" w:bidi="ar-SA"/>
              </w:rPr>
              <w:t>EUTECH</w:t>
            </w:r>
          </w:p>
        </w:tc>
        <w:tc>
          <w:tcPr>
            <w:tcW w:w="1160" w:type="dxa"/>
            <w:tcBorders>
              <w:top w:val="nil"/>
              <w:left w:val="nil"/>
              <w:bottom w:val="single" w:sz="4" w:space="0" w:color="auto"/>
              <w:right w:val="single" w:sz="4" w:space="0" w:color="auto"/>
            </w:tcBorders>
            <w:shd w:val="clear" w:color="auto" w:fill="auto"/>
            <w:noWrap/>
            <w:vAlign w:val="bottom"/>
            <w:hideMark/>
          </w:tcPr>
          <w:p w:rsidR="009C16D2" w:rsidRPr="009C16D2" w:rsidRDefault="009C16D2" w:rsidP="009C16D2">
            <w:pPr>
              <w:spacing w:after="0" w:line="240" w:lineRule="auto"/>
              <w:rPr>
                <w:rFonts w:ascii="Arial" w:eastAsia="Times New Roman" w:hAnsi="Arial" w:cs="Arial"/>
                <w:sz w:val="20"/>
                <w:szCs w:val="20"/>
                <w:lang w:val="nl-NL" w:eastAsia="nl-NL" w:bidi="ar-SA"/>
              </w:rPr>
            </w:pPr>
            <w:r w:rsidRPr="009C16D2">
              <w:rPr>
                <w:rFonts w:ascii="Arial" w:eastAsia="Times New Roman" w:hAnsi="Arial" w:cs="Arial"/>
                <w:sz w:val="20"/>
                <w:szCs w:val="20"/>
                <w:lang w:val="nl-NL" w:eastAsia="nl-NL" w:bidi="ar-SA"/>
              </w:rPr>
              <w:t>EUTEL</w:t>
            </w:r>
          </w:p>
        </w:tc>
        <w:tc>
          <w:tcPr>
            <w:tcW w:w="1120" w:type="dxa"/>
            <w:tcBorders>
              <w:top w:val="nil"/>
              <w:left w:val="nil"/>
              <w:bottom w:val="nil"/>
              <w:right w:val="nil"/>
            </w:tcBorders>
            <w:shd w:val="clear" w:color="auto" w:fill="auto"/>
            <w:noWrap/>
            <w:vAlign w:val="bottom"/>
            <w:hideMark/>
          </w:tcPr>
          <w:p w:rsidR="009C16D2" w:rsidRPr="009C16D2" w:rsidRDefault="009C16D2" w:rsidP="009C16D2">
            <w:pPr>
              <w:spacing w:after="0" w:line="240" w:lineRule="auto"/>
              <w:rPr>
                <w:rFonts w:ascii="Arial" w:eastAsia="Times New Roman" w:hAnsi="Arial" w:cs="Arial"/>
                <w:sz w:val="20"/>
                <w:szCs w:val="20"/>
                <w:lang w:val="nl-NL" w:eastAsia="nl-NL" w:bidi="ar-SA"/>
              </w:rPr>
            </w:pPr>
          </w:p>
        </w:tc>
        <w:tc>
          <w:tcPr>
            <w:tcW w:w="789" w:type="dxa"/>
            <w:tcBorders>
              <w:top w:val="nil"/>
              <w:left w:val="single" w:sz="4" w:space="0" w:color="auto"/>
              <w:bottom w:val="single" w:sz="4" w:space="0" w:color="auto"/>
              <w:right w:val="single" w:sz="4" w:space="0" w:color="auto"/>
            </w:tcBorders>
            <w:shd w:val="clear" w:color="auto" w:fill="auto"/>
            <w:noWrap/>
            <w:vAlign w:val="bottom"/>
            <w:hideMark/>
          </w:tcPr>
          <w:p w:rsidR="009C16D2" w:rsidRPr="009C16D2" w:rsidRDefault="009C16D2" w:rsidP="009C16D2">
            <w:pPr>
              <w:spacing w:after="0" w:line="240" w:lineRule="auto"/>
              <w:rPr>
                <w:rFonts w:ascii="Arial" w:eastAsia="Times New Roman" w:hAnsi="Arial" w:cs="Arial"/>
                <w:sz w:val="20"/>
                <w:szCs w:val="20"/>
                <w:lang w:val="nl-NL" w:eastAsia="nl-NL" w:bidi="ar-SA"/>
              </w:rPr>
            </w:pPr>
            <w:r w:rsidRPr="009C16D2">
              <w:rPr>
                <w:rFonts w:ascii="Arial" w:eastAsia="Times New Roman" w:hAnsi="Arial" w:cs="Arial"/>
                <w:sz w:val="20"/>
                <w:szCs w:val="20"/>
                <w:lang w:val="nl-NL" w:eastAsia="nl-NL" w:bidi="ar-SA"/>
              </w:rPr>
              <w:t xml:space="preserve"> </w:t>
            </w:r>
            <w:proofErr w:type="spellStart"/>
            <w:r w:rsidRPr="009C16D2">
              <w:rPr>
                <w:rFonts w:ascii="Arial" w:eastAsia="Times New Roman" w:hAnsi="Arial" w:cs="Arial"/>
                <w:sz w:val="20"/>
                <w:szCs w:val="20"/>
                <w:lang w:val="nl-NL" w:eastAsia="nl-NL" w:bidi="ar-SA"/>
              </w:rPr>
              <w:t>Period</w:t>
            </w:r>
            <w:proofErr w:type="spellEnd"/>
          </w:p>
        </w:tc>
        <w:tc>
          <w:tcPr>
            <w:tcW w:w="1026" w:type="dxa"/>
            <w:tcBorders>
              <w:top w:val="nil"/>
              <w:left w:val="nil"/>
              <w:bottom w:val="single" w:sz="4" w:space="0" w:color="auto"/>
              <w:right w:val="single" w:sz="4" w:space="0" w:color="auto"/>
            </w:tcBorders>
            <w:shd w:val="clear" w:color="auto" w:fill="auto"/>
            <w:noWrap/>
            <w:vAlign w:val="bottom"/>
            <w:hideMark/>
          </w:tcPr>
          <w:p w:rsidR="009C16D2" w:rsidRPr="009C16D2" w:rsidRDefault="009C16D2" w:rsidP="009C16D2">
            <w:pPr>
              <w:spacing w:after="0" w:line="240" w:lineRule="auto"/>
              <w:rPr>
                <w:rFonts w:ascii="Arial" w:eastAsia="Times New Roman" w:hAnsi="Arial" w:cs="Arial"/>
                <w:sz w:val="20"/>
                <w:szCs w:val="20"/>
                <w:lang w:val="nl-NL" w:eastAsia="nl-NL" w:bidi="ar-SA"/>
              </w:rPr>
            </w:pPr>
            <w:r w:rsidRPr="009C16D2">
              <w:rPr>
                <w:rFonts w:ascii="Arial" w:eastAsia="Times New Roman" w:hAnsi="Arial" w:cs="Arial"/>
                <w:sz w:val="20"/>
                <w:szCs w:val="20"/>
                <w:lang w:val="nl-NL" w:eastAsia="nl-NL" w:bidi="ar-SA"/>
              </w:rPr>
              <w:t>EUHC</w:t>
            </w:r>
          </w:p>
        </w:tc>
        <w:tc>
          <w:tcPr>
            <w:tcW w:w="1026" w:type="dxa"/>
            <w:tcBorders>
              <w:top w:val="nil"/>
              <w:left w:val="nil"/>
              <w:bottom w:val="single" w:sz="4" w:space="0" w:color="auto"/>
              <w:right w:val="single" w:sz="4" w:space="0" w:color="auto"/>
            </w:tcBorders>
            <w:shd w:val="clear" w:color="auto" w:fill="auto"/>
            <w:noWrap/>
            <w:vAlign w:val="bottom"/>
            <w:hideMark/>
          </w:tcPr>
          <w:p w:rsidR="009C16D2" w:rsidRPr="009C16D2" w:rsidRDefault="009C16D2" w:rsidP="009C16D2">
            <w:pPr>
              <w:spacing w:after="0" w:line="240" w:lineRule="auto"/>
              <w:rPr>
                <w:rFonts w:ascii="Arial" w:eastAsia="Times New Roman" w:hAnsi="Arial" w:cs="Arial"/>
                <w:sz w:val="20"/>
                <w:szCs w:val="20"/>
                <w:lang w:val="nl-NL" w:eastAsia="nl-NL" w:bidi="ar-SA"/>
              </w:rPr>
            </w:pPr>
            <w:r w:rsidRPr="009C16D2">
              <w:rPr>
                <w:rFonts w:ascii="Arial" w:eastAsia="Times New Roman" w:hAnsi="Arial" w:cs="Arial"/>
                <w:sz w:val="20"/>
                <w:szCs w:val="20"/>
                <w:lang w:val="nl-NL" w:eastAsia="nl-NL" w:bidi="ar-SA"/>
              </w:rPr>
              <w:t>EUTEL</w:t>
            </w:r>
          </w:p>
        </w:tc>
      </w:tr>
      <w:tr w:rsidR="009C16D2" w:rsidRPr="009C16D2" w:rsidTr="009C16D2">
        <w:trPr>
          <w:trHeight w:val="255"/>
        </w:trPr>
        <w:tc>
          <w:tcPr>
            <w:tcW w:w="848" w:type="dxa"/>
            <w:tcBorders>
              <w:top w:val="nil"/>
              <w:left w:val="single" w:sz="4" w:space="0" w:color="auto"/>
              <w:bottom w:val="single" w:sz="4" w:space="0" w:color="auto"/>
              <w:right w:val="single" w:sz="4" w:space="0" w:color="auto"/>
            </w:tcBorders>
            <w:shd w:val="clear" w:color="auto" w:fill="auto"/>
            <w:noWrap/>
            <w:vAlign w:val="bottom"/>
            <w:hideMark/>
          </w:tcPr>
          <w:p w:rsidR="009C16D2" w:rsidRPr="009C16D2" w:rsidRDefault="009C16D2" w:rsidP="009C16D2">
            <w:pPr>
              <w:spacing w:after="0" w:line="240" w:lineRule="auto"/>
              <w:jc w:val="right"/>
              <w:rPr>
                <w:rFonts w:ascii="Arial" w:eastAsia="Times New Roman" w:hAnsi="Arial" w:cs="Arial"/>
                <w:sz w:val="20"/>
                <w:szCs w:val="20"/>
                <w:lang w:val="nl-NL" w:eastAsia="nl-NL" w:bidi="ar-SA"/>
              </w:rPr>
            </w:pPr>
            <w:r w:rsidRPr="009C16D2">
              <w:rPr>
                <w:rFonts w:ascii="Arial" w:eastAsia="Times New Roman" w:hAnsi="Arial" w:cs="Arial"/>
                <w:sz w:val="20"/>
                <w:szCs w:val="20"/>
                <w:lang w:val="nl-NL" w:eastAsia="nl-NL" w:bidi="ar-SA"/>
              </w:rPr>
              <w:t>1</w:t>
            </w:r>
          </w:p>
        </w:tc>
        <w:tc>
          <w:tcPr>
            <w:tcW w:w="1186" w:type="dxa"/>
            <w:tcBorders>
              <w:top w:val="nil"/>
              <w:left w:val="nil"/>
              <w:bottom w:val="single" w:sz="4" w:space="0" w:color="auto"/>
              <w:right w:val="single" w:sz="4" w:space="0" w:color="auto"/>
            </w:tcBorders>
            <w:shd w:val="clear" w:color="auto" w:fill="auto"/>
            <w:noWrap/>
            <w:vAlign w:val="bottom"/>
            <w:hideMark/>
          </w:tcPr>
          <w:p w:rsidR="009C16D2" w:rsidRPr="009C16D2" w:rsidRDefault="009C16D2" w:rsidP="009C16D2">
            <w:pPr>
              <w:spacing w:after="0" w:line="240" w:lineRule="auto"/>
              <w:jc w:val="right"/>
              <w:rPr>
                <w:rFonts w:ascii="Arial" w:eastAsia="Times New Roman" w:hAnsi="Arial" w:cs="Arial"/>
                <w:sz w:val="20"/>
                <w:szCs w:val="20"/>
                <w:lang w:val="nl-NL" w:eastAsia="nl-NL" w:bidi="ar-SA"/>
              </w:rPr>
            </w:pPr>
            <w:r w:rsidRPr="009C16D2">
              <w:rPr>
                <w:rFonts w:ascii="Arial" w:eastAsia="Times New Roman" w:hAnsi="Arial" w:cs="Arial"/>
                <w:sz w:val="20"/>
                <w:szCs w:val="20"/>
                <w:lang w:val="nl-NL" w:eastAsia="nl-NL" w:bidi="ar-SA"/>
              </w:rPr>
              <w:t>0</w:t>
            </w:r>
          </w:p>
        </w:tc>
        <w:tc>
          <w:tcPr>
            <w:tcW w:w="1186" w:type="dxa"/>
            <w:tcBorders>
              <w:top w:val="nil"/>
              <w:left w:val="nil"/>
              <w:bottom w:val="single" w:sz="4" w:space="0" w:color="auto"/>
              <w:right w:val="single" w:sz="4" w:space="0" w:color="auto"/>
            </w:tcBorders>
            <w:shd w:val="clear" w:color="auto" w:fill="auto"/>
            <w:noWrap/>
            <w:vAlign w:val="bottom"/>
            <w:hideMark/>
          </w:tcPr>
          <w:p w:rsidR="009C16D2" w:rsidRPr="009C16D2" w:rsidRDefault="009C16D2" w:rsidP="009C16D2">
            <w:pPr>
              <w:spacing w:after="0" w:line="240" w:lineRule="auto"/>
              <w:jc w:val="right"/>
              <w:rPr>
                <w:rFonts w:ascii="Arial" w:eastAsia="Times New Roman" w:hAnsi="Arial" w:cs="Arial"/>
                <w:sz w:val="20"/>
                <w:szCs w:val="20"/>
                <w:lang w:val="nl-NL" w:eastAsia="nl-NL" w:bidi="ar-SA"/>
              </w:rPr>
            </w:pPr>
            <w:r w:rsidRPr="009C16D2">
              <w:rPr>
                <w:rFonts w:ascii="Arial" w:eastAsia="Times New Roman" w:hAnsi="Arial" w:cs="Arial"/>
                <w:sz w:val="20"/>
                <w:szCs w:val="20"/>
                <w:lang w:val="nl-NL" w:eastAsia="nl-NL" w:bidi="ar-SA"/>
              </w:rPr>
              <w:t>0</w:t>
            </w:r>
          </w:p>
        </w:tc>
        <w:tc>
          <w:tcPr>
            <w:tcW w:w="1160" w:type="dxa"/>
            <w:tcBorders>
              <w:top w:val="nil"/>
              <w:left w:val="nil"/>
              <w:bottom w:val="single" w:sz="4" w:space="0" w:color="auto"/>
              <w:right w:val="single" w:sz="4" w:space="0" w:color="auto"/>
            </w:tcBorders>
            <w:shd w:val="clear" w:color="auto" w:fill="auto"/>
            <w:noWrap/>
            <w:vAlign w:val="bottom"/>
            <w:hideMark/>
          </w:tcPr>
          <w:p w:rsidR="009C16D2" w:rsidRPr="009C16D2" w:rsidRDefault="009C16D2" w:rsidP="009C16D2">
            <w:pPr>
              <w:spacing w:after="0" w:line="240" w:lineRule="auto"/>
              <w:jc w:val="right"/>
              <w:rPr>
                <w:rFonts w:ascii="Arial" w:eastAsia="Times New Roman" w:hAnsi="Arial" w:cs="Arial"/>
                <w:sz w:val="20"/>
                <w:szCs w:val="20"/>
                <w:lang w:val="nl-NL" w:eastAsia="nl-NL" w:bidi="ar-SA"/>
              </w:rPr>
            </w:pPr>
            <w:r w:rsidRPr="009C16D2">
              <w:rPr>
                <w:rFonts w:ascii="Arial" w:eastAsia="Times New Roman" w:hAnsi="Arial" w:cs="Arial"/>
                <w:sz w:val="20"/>
                <w:szCs w:val="20"/>
                <w:lang w:val="nl-NL" w:eastAsia="nl-NL" w:bidi="ar-SA"/>
              </w:rPr>
              <w:t>0</w:t>
            </w:r>
          </w:p>
        </w:tc>
        <w:tc>
          <w:tcPr>
            <w:tcW w:w="1120" w:type="dxa"/>
            <w:tcBorders>
              <w:top w:val="nil"/>
              <w:left w:val="nil"/>
              <w:bottom w:val="nil"/>
              <w:right w:val="nil"/>
            </w:tcBorders>
            <w:shd w:val="clear" w:color="auto" w:fill="auto"/>
            <w:noWrap/>
            <w:vAlign w:val="bottom"/>
            <w:hideMark/>
          </w:tcPr>
          <w:p w:rsidR="009C16D2" w:rsidRPr="009C16D2" w:rsidRDefault="009C16D2" w:rsidP="009C16D2">
            <w:pPr>
              <w:spacing w:after="0" w:line="240" w:lineRule="auto"/>
              <w:rPr>
                <w:rFonts w:ascii="Arial" w:eastAsia="Times New Roman" w:hAnsi="Arial" w:cs="Arial"/>
                <w:sz w:val="20"/>
                <w:szCs w:val="20"/>
                <w:lang w:val="nl-NL" w:eastAsia="nl-NL" w:bidi="ar-SA"/>
              </w:rPr>
            </w:pPr>
          </w:p>
        </w:tc>
        <w:tc>
          <w:tcPr>
            <w:tcW w:w="789" w:type="dxa"/>
            <w:tcBorders>
              <w:top w:val="nil"/>
              <w:left w:val="single" w:sz="4" w:space="0" w:color="auto"/>
              <w:bottom w:val="single" w:sz="4" w:space="0" w:color="auto"/>
              <w:right w:val="single" w:sz="4" w:space="0" w:color="auto"/>
            </w:tcBorders>
            <w:shd w:val="clear" w:color="auto" w:fill="auto"/>
            <w:noWrap/>
            <w:vAlign w:val="bottom"/>
            <w:hideMark/>
          </w:tcPr>
          <w:p w:rsidR="009C16D2" w:rsidRPr="009C16D2" w:rsidRDefault="009C16D2" w:rsidP="009C16D2">
            <w:pPr>
              <w:spacing w:after="0" w:line="240" w:lineRule="auto"/>
              <w:jc w:val="right"/>
              <w:rPr>
                <w:rFonts w:ascii="Arial" w:eastAsia="Times New Roman" w:hAnsi="Arial" w:cs="Arial"/>
                <w:sz w:val="20"/>
                <w:szCs w:val="20"/>
                <w:lang w:val="nl-NL" w:eastAsia="nl-NL" w:bidi="ar-SA"/>
              </w:rPr>
            </w:pPr>
            <w:r w:rsidRPr="009C16D2">
              <w:rPr>
                <w:rFonts w:ascii="Arial" w:eastAsia="Times New Roman" w:hAnsi="Arial" w:cs="Arial"/>
                <w:sz w:val="20"/>
                <w:szCs w:val="20"/>
                <w:lang w:val="nl-NL" w:eastAsia="nl-NL" w:bidi="ar-SA"/>
              </w:rPr>
              <w:t>1</w:t>
            </w:r>
          </w:p>
        </w:tc>
        <w:tc>
          <w:tcPr>
            <w:tcW w:w="1026" w:type="dxa"/>
            <w:tcBorders>
              <w:top w:val="nil"/>
              <w:left w:val="nil"/>
              <w:bottom w:val="single" w:sz="4" w:space="0" w:color="auto"/>
              <w:right w:val="single" w:sz="4" w:space="0" w:color="auto"/>
            </w:tcBorders>
            <w:shd w:val="clear" w:color="auto" w:fill="auto"/>
            <w:noWrap/>
            <w:vAlign w:val="bottom"/>
            <w:hideMark/>
          </w:tcPr>
          <w:p w:rsidR="009C16D2" w:rsidRPr="009C16D2" w:rsidRDefault="009C16D2" w:rsidP="009C16D2">
            <w:pPr>
              <w:spacing w:after="0" w:line="240" w:lineRule="auto"/>
              <w:jc w:val="right"/>
              <w:rPr>
                <w:rFonts w:ascii="Arial" w:eastAsia="Times New Roman" w:hAnsi="Arial" w:cs="Arial"/>
                <w:sz w:val="20"/>
                <w:szCs w:val="20"/>
                <w:lang w:val="nl-NL" w:eastAsia="nl-NL" w:bidi="ar-SA"/>
              </w:rPr>
            </w:pPr>
            <w:r w:rsidRPr="009C16D2">
              <w:rPr>
                <w:rFonts w:ascii="Arial" w:eastAsia="Times New Roman" w:hAnsi="Arial" w:cs="Arial"/>
                <w:sz w:val="20"/>
                <w:szCs w:val="20"/>
                <w:lang w:val="nl-NL" w:eastAsia="nl-NL" w:bidi="ar-SA"/>
              </w:rPr>
              <w:t>0,895558</w:t>
            </w:r>
          </w:p>
        </w:tc>
        <w:tc>
          <w:tcPr>
            <w:tcW w:w="1026" w:type="dxa"/>
            <w:tcBorders>
              <w:top w:val="nil"/>
              <w:left w:val="nil"/>
              <w:bottom w:val="single" w:sz="4" w:space="0" w:color="auto"/>
              <w:right w:val="single" w:sz="4" w:space="0" w:color="auto"/>
            </w:tcBorders>
            <w:shd w:val="clear" w:color="auto" w:fill="auto"/>
            <w:noWrap/>
            <w:vAlign w:val="bottom"/>
            <w:hideMark/>
          </w:tcPr>
          <w:p w:rsidR="009C16D2" w:rsidRPr="009C16D2" w:rsidRDefault="009C16D2" w:rsidP="009C16D2">
            <w:pPr>
              <w:spacing w:after="0" w:line="240" w:lineRule="auto"/>
              <w:jc w:val="right"/>
              <w:rPr>
                <w:rFonts w:ascii="Arial" w:eastAsia="Times New Roman" w:hAnsi="Arial" w:cs="Arial"/>
                <w:sz w:val="20"/>
                <w:szCs w:val="20"/>
                <w:lang w:val="nl-NL" w:eastAsia="nl-NL" w:bidi="ar-SA"/>
              </w:rPr>
            </w:pPr>
            <w:r w:rsidRPr="009C16D2">
              <w:rPr>
                <w:rFonts w:ascii="Arial" w:eastAsia="Times New Roman" w:hAnsi="Arial" w:cs="Arial"/>
                <w:sz w:val="20"/>
                <w:szCs w:val="20"/>
                <w:lang w:val="nl-NL" w:eastAsia="nl-NL" w:bidi="ar-SA"/>
              </w:rPr>
              <w:t>0,689898</w:t>
            </w:r>
          </w:p>
        </w:tc>
      </w:tr>
      <w:tr w:rsidR="009C16D2" w:rsidRPr="009C16D2" w:rsidTr="009C16D2">
        <w:trPr>
          <w:trHeight w:val="255"/>
        </w:trPr>
        <w:tc>
          <w:tcPr>
            <w:tcW w:w="848" w:type="dxa"/>
            <w:tcBorders>
              <w:top w:val="nil"/>
              <w:left w:val="single" w:sz="4" w:space="0" w:color="auto"/>
              <w:bottom w:val="single" w:sz="4" w:space="0" w:color="auto"/>
              <w:right w:val="single" w:sz="4" w:space="0" w:color="auto"/>
            </w:tcBorders>
            <w:shd w:val="clear" w:color="auto" w:fill="auto"/>
            <w:noWrap/>
            <w:vAlign w:val="bottom"/>
            <w:hideMark/>
          </w:tcPr>
          <w:p w:rsidR="009C16D2" w:rsidRPr="009C16D2" w:rsidRDefault="009C16D2" w:rsidP="009C16D2">
            <w:pPr>
              <w:spacing w:after="0" w:line="240" w:lineRule="auto"/>
              <w:jc w:val="right"/>
              <w:rPr>
                <w:rFonts w:ascii="Arial" w:eastAsia="Times New Roman" w:hAnsi="Arial" w:cs="Arial"/>
                <w:sz w:val="20"/>
                <w:szCs w:val="20"/>
                <w:lang w:val="nl-NL" w:eastAsia="nl-NL" w:bidi="ar-SA"/>
              </w:rPr>
            </w:pPr>
            <w:r w:rsidRPr="009C16D2">
              <w:rPr>
                <w:rFonts w:ascii="Arial" w:eastAsia="Times New Roman" w:hAnsi="Arial" w:cs="Arial"/>
                <w:sz w:val="20"/>
                <w:szCs w:val="20"/>
                <w:lang w:val="nl-NL" w:eastAsia="nl-NL" w:bidi="ar-SA"/>
              </w:rPr>
              <w:t>2</w:t>
            </w:r>
          </w:p>
        </w:tc>
        <w:tc>
          <w:tcPr>
            <w:tcW w:w="1186" w:type="dxa"/>
            <w:tcBorders>
              <w:top w:val="nil"/>
              <w:left w:val="nil"/>
              <w:bottom w:val="single" w:sz="4" w:space="0" w:color="auto"/>
              <w:right w:val="single" w:sz="4" w:space="0" w:color="auto"/>
            </w:tcBorders>
            <w:shd w:val="clear" w:color="auto" w:fill="auto"/>
            <w:noWrap/>
            <w:vAlign w:val="bottom"/>
            <w:hideMark/>
          </w:tcPr>
          <w:p w:rsidR="009C16D2" w:rsidRPr="009C16D2" w:rsidRDefault="009C16D2" w:rsidP="009C16D2">
            <w:pPr>
              <w:spacing w:after="0" w:line="240" w:lineRule="auto"/>
              <w:jc w:val="right"/>
              <w:rPr>
                <w:rFonts w:ascii="Arial" w:eastAsia="Times New Roman" w:hAnsi="Arial" w:cs="Arial"/>
                <w:sz w:val="20"/>
                <w:szCs w:val="20"/>
                <w:lang w:val="nl-NL" w:eastAsia="nl-NL" w:bidi="ar-SA"/>
              </w:rPr>
            </w:pPr>
            <w:r w:rsidRPr="009C16D2">
              <w:rPr>
                <w:rFonts w:ascii="Arial" w:eastAsia="Times New Roman" w:hAnsi="Arial" w:cs="Arial"/>
                <w:sz w:val="20"/>
                <w:szCs w:val="20"/>
                <w:lang w:val="nl-NL" w:eastAsia="nl-NL" w:bidi="ar-SA"/>
              </w:rPr>
              <w:t>-0,000216</w:t>
            </w:r>
          </w:p>
        </w:tc>
        <w:tc>
          <w:tcPr>
            <w:tcW w:w="1186" w:type="dxa"/>
            <w:tcBorders>
              <w:top w:val="nil"/>
              <w:left w:val="nil"/>
              <w:bottom w:val="single" w:sz="4" w:space="0" w:color="auto"/>
              <w:right w:val="single" w:sz="4" w:space="0" w:color="auto"/>
            </w:tcBorders>
            <w:shd w:val="clear" w:color="auto" w:fill="auto"/>
            <w:noWrap/>
            <w:vAlign w:val="bottom"/>
            <w:hideMark/>
          </w:tcPr>
          <w:p w:rsidR="009C16D2" w:rsidRPr="009C16D2" w:rsidRDefault="009C16D2" w:rsidP="009C16D2">
            <w:pPr>
              <w:spacing w:after="0" w:line="240" w:lineRule="auto"/>
              <w:jc w:val="right"/>
              <w:rPr>
                <w:rFonts w:ascii="Arial" w:eastAsia="Times New Roman" w:hAnsi="Arial" w:cs="Arial"/>
                <w:sz w:val="20"/>
                <w:szCs w:val="20"/>
                <w:lang w:val="nl-NL" w:eastAsia="nl-NL" w:bidi="ar-SA"/>
              </w:rPr>
            </w:pPr>
            <w:r w:rsidRPr="009C16D2">
              <w:rPr>
                <w:rFonts w:ascii="Arial" w:eastAsia="Times New Roman" w:hAnsi="Arial" w:cs="Arial"/>
                <w:sz w:val="20"/>
                <w:szCs w:val="20"/>
                <w:lang w:val="nl-NL" w:eastAsia="nl-NL" w:bidi="ar-SA"/>
              </w:rPr>
              <w:t>-0,000159</w:t>
            </w:r>
          </w:p>
        </w:tc>
        <w:tc>
          <w:tcPr>
            <w:tcW w:w="1160" w:type="dxa"/>
            <w:tcBorders>
              <w:top w:val="nil"/>
              <w:left w:val="nil"/>
              <w:bottom w:val="single" w:sz="4" w:space="0" w:color="auto"/>
              <w:right w:val="single" w:sz="4" w:space="0" w:color="auto"/>
            </w:tcBorders>
            <w:shd w:val="clear" w:color="auto" w:fill="auto"/>
            <w:noWrap/>
            <w:vAlign w:val="bottom"/>
            <w:hideMark/>
          </w:tcPr>
          <w:p w:rsidR="009C16D2" w:rsidRPr="009C16D2" w:rsidRDefault="009C16D2" w:rsidP="009C16D2">
            <w:pPr>
              <w:spacing w:after="0" w:line="240" w:lineRule="auto"/>
              <w:jc w:val="right"/>
              <w:rPr>
                <w:rFonts w:ascii="Arial" w:eastAsia="Times New Roman" w:hAnsi="Arial" w:cs="Arial"/>
                <w:sz w:val="20"/>
                <w:szCs w:val="20"/>
                <w:lang w:val="nl-NL" w:eastAsia="nl-NL" w:bidi="ar-SA"/>
              </w:rPr>
            </w:pPr>
            <w:r w:rsidRPr="009C16D2">
              <w:rPr>
                <w:rFonts w:ascii="Arial" w:eastAsia="Times New Roman" w:hAnsi="Arial" w:cs="Arial"/>
                <w:sz w:val="20"/>
                <w:szCs w:val="20"/>
                <w:lang w:val="nl-NL" w:eastAsia="nl-NL" w:bidi="ar-SA"/>
              </w:rPr>
              <w:t>1,26E-05</w:t>
            </w:r>
          </w:p>
        </w:tc>
        <w:tc>
          <w:tcPr>
            <w:tcW w:w="1120" w:type="dxa"/>
            <w:tcBorders>
              <w:top w:val="nil"/>
              <w:left w:val="nil"/>
              <w:bottom w:val="nil"/>
              <w:right w:val="nil"/>
            </w:tcBorders>
            <w:shd w:val="clear" w:color="auto" w:fill="auto"/>
            <w:noWrap/>
            <w:vAlign w:val="bottom"/>
            <w:hideMark/>
          </w:tcPr>
          <w:p w:rsidR="009C16D2" w:rsidRPr="009C16D2" w:rsidRDefault="009C16D2" w:rsidP="009C16D2">
            <w:pPr>
              <w:spacing w:after="0" w:line="240" w:lineRule="auto"/>
              <w:rPr>
                <w:rFonts w:ascii="Arial" w:eastAsia="Times New Roman" w:hAnsi="Arial" w:cs="Arial"/>
                <w:sz w:val="20"/>
                <w:szCs w:val="20"/>
                <w:lang w:val="nl-NL" w:eastAsia="nl-NL" w:bidi="ar-SA"/>
              </w:rPr>
            </w:pPr>
          </w:p>
        </w:tc>
        <w:tc>
          <w:tcPr>
            <w:tcW w:w="789" w:type="dxa"/>
            <w:tcBorders>
              <w:top w:val="nil"/>
              <w:left w:val="single" w:sz="4" w:space="0" w:color="auto"/>
              <w:bottom w:val="single" w:sz="4" w:space="0" w:color="auto"/>
              <w:right w:val="single" w:sz="4" w:space="0" w:color="auto"/>
            </w:tcBorders>
            <w:shd w:val="clear" w:color="auto" w:fill="auto"/>
            <w:noWrap/>
            <w:vAlign w:val="bottom"/>
            <w:hideMark/>
          </w:tcPr>
          <w:p w:rsidR="009C16D2" w:rsidRPr="009C16D2" w:rsidRDefault="009C16D2" w:rsidP="009C16D2">
            <w:pPr>
              <w:spacing w:after="0" w:line="240" w:lineRule="auto"/>
              <w:jc w:val="right"/>
              <w:rPr>
                <w:rFonts w:ascii="Arial" w:eastAsia="Times New Roman" w:hAnsi="Arial" w:cs="Arial"/>
                <w:sz w:val="20"/>
                <w:szCs w:val="20"/>
                <w:lang w:val="nl-NL" w:eastAsia="nl-NL" w:bidi="ar-SA"/>
              </w:rPr>
            </w:pPr>
            <w:r w:rsidRPr="009C16D2">
              <w:rPr>
                <w:rFonts w:ascii="Arial" w:eastAsia="Times New Roman" w:hAnsi="Arial" w:cs="Arial"/>
                <w:sz w:val="20"/>
                <w:szCs w:val="20"/>
                <w:lang w:val="nl-NL" w:eastAsia="nl-NL" w:bidi="ar-SA"/>
              </w:rPr>
              <w:t>2</w:t>
            </w:r>
          </w:p>
        </w:tc>
        <w:tc>
          <w:tcPr>
            <w:tcW w:w="1026" w:type="dxa"/>
            <w:tcBorders>
              <w:top w:val="nil"/>
              <w:left w:val="nil"/>
              <w:bottom w:val="single" w:sz="4" w:space="0" w:color="auto"/>
              <w:right w:val="single" w:sz="4" w:space="0" w:color="auto"/>
            </w:tcBorders>
            <w:shd w:val="clear" w:color="auto" w:fill="auto"/>
            <w:noWrap/>
            <w:vAlign w:val="bottom"/>
            <w:hideMark/>
          </w:tcPr>
          <w:p w:rsidR="009C16D2" w:rsidRPr="009C16D2" w:rsidRDefault="009C16D2" w:rsidP="009C16D2">
            <w:pPr>
              <w:spacing w:after="0" w:line="240" w:lineRule="auto"/>
              <w:jc w:val="right"/>
              <w:rPr>
                <w:rFonts w:ascii="Arial" w:eastAsia="Times New Roman" w:hAnsi="Arial" w:cs="Arial"/>
                <w:sz w:val="20"/>
                <w:szCs w:val="20"/>
                <w:lang w:val="nl-NL" w:eastAsia="nl-NL" w:bidi="ar-SA"/>
              </w:rPr>
            </w:pPr>
            <w:r w:rsidRPr="009C16D2">
              <w:rPr>
                <w:rFonts w:ascii="Arial" w:eastAsia="Times New Roman" w:hAnsi="Arial" w:cs="Arial"/>
                <w:sz w:val="20"/>
                <w:szCs w:val="20"/>
                <w:lang w:val="nl-NL" w:eastAsia="nl-NL" w:bidi="ar-SA"/>
              </w:rPr>
              <w:t>1,224592</w:t>
            </w:r>
          </w:p>
        </w:tc>
        <w:tc>
          <w:tcPr>
            <w:tcW w:w="1026" w:type="dxa"/>
            <w:tcBorders>
              <w:top w:val="nil"/>
              <w:left w:val="nil"/>
              <w:bottom w:val="single" w:sz="4" w:space="0" w:color="auto"/>
              <w:right w:val="single" w:sz="4" w:space="0" w:color="auto"/>
            </w:tcBorders>
            <w:shd w:val="clear" w:color="auto" w:fill="auto"/>
            <w:noWrap/>
            <w:vAlign w:val="bottom"/>
            <w:hideMark/>
          </w:tcPr>
          <w:p w:rsidR="009C16D2" w:rsidRPr="009C16D2" w:rsidRDefault="009C16D2" w:rsidP="009C16D2">
            <w:pPr>
              <w:spacing w:after="0" w:line="240" w:lineRule="auto"/>
              <w:jc w:val="right"/>
              <w:rPr>
                <w:rFonts w:ascii="Arial" w:eastAsia="Times New Roman" w:hAnsi="Arial" w:cs="Arial"/>
                <w:sz w:val="20"/>
                <w:szCs w:val="20"/>
                <w:lang w:val="nl-NL" w:eastAsia="nl-NL" w:bidi="ar-SA"/>
              </w:rPr>
            </w:pPr>
            <w:r w:rsidRPr="009C16D2">
              <w:rPr>
                <w:rFonts w:ascii="Arial" w:eastAsia="Times New Roman" w:hAnsi="Arial" w:cs="Arial"/>
                <w:sz w:val="20"/>
                <w:szCs w:val="20"/>
                <w:lang w:val="nl-NL" w:eastAsia="nl-NL" w:bidi="ar-SA"/>
              </w:rPr>
              <w:t>0,261796</w:t>
            </w:r>
          </w:p>
        </w:tc>
      </w:tr>
      <w:tr w:rsidR="009C16D2" w:rsidRPr="009C16D2" w:rsidTr="009C16D2">
        <w:trPr>
          <w:trHeight w:val="255"/>
        </w:trPr>
        <w:tc>
          <w:tcPr>
            <w:tcW w:w="848" w:type="dxa"/>
            <w:tcBorders>
              <w:top w:val="nil"/>
              <w:left w:val="single" w:sz="4" w:space="0" w:color="auto"/>
              <w:bottom w:val="single" w:sz="4" w:space="0" w:color="auto"/>
              <w:right w:val="single" w:sz="4" w:space="0" w:color="auto"/>
            </w:tcBorders>
            <w:shd w:val="clear" w:color="auto" w:fill="auto"/>
            <w:noWrap/>
            <w:vAlign w:val="bottom"/>
            <w:hideMark/>
          </w:tcPr>
          <w:p w:rsidR="009C16D2" w:rsidRPr="009C16D2" w:rsidRDefault="009C16D2" w:rsidP="009C16D2">
            <w:pPr>
              <w:spacing w:after="0" w:line="240" w:lineRule="auto"/>
              <w:jc w:val="right"/>
              <w:rPr>
                <w:rFonts w:ascii="Arial" w:eastAsia="Times New Roman" w:hAnsi="Arial" w:cs="Arial"/>
                <w:sz w:val="20"/>
                <w:szCs w:val="20"/>
                <w:lang w:val="nl-NL" w:eastAsia="nl-NL" w:bidi="ar-SA"/>
              </w:rPr>
            </w:pPr>
            <w:r w:rsidRPr="009C16D2">
              <w:rPr>
                <w:rFonts w:ascii="Arial" w:eastAsia="Times New Roman" w:hAnsi="Arial" w:cs="Arial"/>
                <w:sz w:val="20"/>
                <w:szCs w:val="20"/>
                <w:lang w:val="nl-NL" w:eastAsia="nl-NL" w:bidi="ar-SA"/>
              </w:rPr>
              <w:t>3</w:t>
            </w:r>
          </w:p>
        </w:tc>
        <w:tc>
          <w:tcPr>
            <w:tcW w:w="1186" w:type="dxa"/>
            <w:tcBorders>
              <w:top w:val="nil"/>
              <w:left w:val="nil"/>
              <w:bottom w:val="single" w:sz="4" w:space="0" w:color="auto"/>
              <w:right w:val="single" w:sz="4" w:space="0" w:color="auto"/>
            </w:tcBorders>
            <w:shd w:val="clear" w:color="auto" w:fill="auto"/>
            <w:noWrap/>
            <w:vAlign w:val="bottom"/>
            <w:hideMark/>
          </w:tcPr>
          <w:p w:rsidR="009C16D2" w:rsidRPr="009C16D2" w:rsidRDefault="009C16D2" w:rsidP="009C16D2">
            <w:pPr>
              <w:spacing w:after="0" w:line="240" w:lineRule="auto"/>
              <w:jc w:val="right"/>
              <w:rPr>
                <w:rFonts w:ascii="Arial" w:eastAsia="Times New Roman" w:hAnsi="Arial" w:cs="Arial"/>
                <w:sz w:val="20"/>
                <w:szCs w:val="20"/>
                <w:lang w:val="nl-NL" w:eastAsia="nl-NL" w:bidi="ar-SA"/>
              </w:rPr>
            </w:pPr>
            <w:r w:rsidRPr="009C16D2">
              <w:rPr>
                <w:rFonts w:ascii="Arial" w:eastAsia="Times New Roman" w:hAnsi="Arial" w:cs="Arial"/>
                <w:sz w:val="20"/>
                <w:szCs w:val="20"/>
                <w:lang w:val="nl-NL" w:eastAsia="nl-NL" w:bidi="ar-SA"/>
              </w:rPr>
              <w:t>-0,00022</w:t>
            </w:r>
          </w:p>
        </w:tc>
        <w:tc>
          <w:tcPr>
            <w:tcW w:w="1186" w:type="dxa"/>
            <w:tcBorders>
              <w:top w:val="nil"/>
              <w:left w:val="nil"/>
              <w:bottom w:val="single" w:sz="4" w:space="0" w:color="auto"/>
              <w:right w:val="single" w:sz="4" w:space="0" w:color="auto"/>
            </w:tcBorders>
            <w:shd w:val="clear" w:color="auto" w:fill="auto"/>
            <w:noWrap/>
            <w:vAlign w:val="bottom"/>
            <w:hideMark/>
          </w:tcPr>
          <w:p w:rsidR="009C16D2" w:rsidRPr="009C16D2" w:rsidRDefault="009C16D2" w:rsidP="009C16D2">
            <w:pPr>
              <w:spacing w:after="0" w:line="240" w:lineRule="auto"/>
              <w:jc w:val="right"/>
              <w:rPr>
                <w:rFonts w:ascii="Arial" w:eastAsia="Times New Roman" w:hAnsi="Arial" w:cs="Arial"/>
                <w:sz w:val="20"/>
                <w:szCs w:val="20"/>
                <w:lang w:val="nl-NL" w:eastAsia="nl-NL" w:bidi="ar-SA"/>
              </w:rPr>
            </w:pPr>
            <w:r w:rsidRPr="009C16D2">
              <w:rPr>
                <w:rFonts w:ascii="Arial" w:eastAsia="Times New Roman" w:hAnsi="Arial" w:cs="Arial"/>
                <w:sz w:val="20"/>
                <w:szCs w:val="20"/>
                <w:lang w:val="nl-NL" w:eastAsia="nl-NL" w:bidi="ar-SA"/>
              </w:rPr>
              <w:t>-0,000149</w:t>
            </w:r>
          </w:p>
        </w:tc>
        <w:tc>
          <w:tcPr>
            <w:tcW w:w="1160" w:type="dxa"/>
            <w:tcBorders>
              <w:top w:val="nil"/>
              <w:left w:val="nil"/>
              <w:bottom w:val="single" w:sz="4" w:space="0" w:color="auto"/>
              <w:right w:val="single" w:sz="4" w:space="0" w:color="auto"/>
            </w:tcBorders>
            <w:shd w:val="clear" w:color="auto" w:fill="auto"/>
            <w:noWrap/>
            <w:vAlign w:val="bottom"/>
            <w:hideMark/>
          </w:tcPr>
          <w:p w:rsidR="009C16D2" w:rsidRPr="009C16D2" w:rsidRDefault="009C16D2" w:rsidP="009C16D2">
            <w:pPr>
              <w:spacing w:after="0" w:line="240" w:lineRule="auto"/>
              <w:jc w:val="right"/>
              <w:rPr>
                <w:rFonts w:ascii="Arial" w:eastAsia="Times New Roman" w:hAnsi="Arial" w:cs="Arial"/>
                <w:sz w:val="20"/>
                <w:szCs w:val="20"/>
                <w:lang w:val="nl-NL" w:eastAsia="nl-NL" w:bidi="ar-SA"/>
              </w:rPr>
            </w:pPr>
            <w:r w:rsidRPr="009C16D2">
              <w:rPr>
                <w:rFonts w:ascii="Arial" w:eastAsia="Times New Roman" w:hAnsi="Arial" w:cs="Arial"/>
                <w:sz w:val="20"/>
                <w:szCs w:val="20"/>
                <w:lang w:val="nl-NL" w:eastAsia="nl-NL" w:bidi="ar-SA"/>
              </w:rPr>
              <w:t>3,37E-05</w:t>
            </w:r>
          </w:p>
        </w:tc>
        <w:tc>
          <w:tcPr>
            <w:tcW w:w="1120" w:type="dxa"/>
            <w:tcBorders>
              <w:top w:val="nil"/>
              <w:left w:val="nil"/>
              <w:bottom w:val="nil"/>
              <w:right w:val="nil"/>
            </w:tcBorders>
            <w:shd w:val="clear" w:color="auto" w:fill="auto"/>
            <w:noWrap/>
            <w:vAlign w:val="bottom"/>
            <w:hideMark/>
          </w:tcPr>
          <w:p w:rsidR="009C16D2" w:rsidRPr="009C16D2" w:rsidRDefault="009C16D2" w:rsidP="009C16D2">
            <w:pPr>
              <w:spacing w:after="0" w:line="240" w:lineRule="auto"/>
              <w:rPr>
                <w:rFonts w:ascii="Arial" w:eastAsia="Times New Roman" w:hAnsi="Arial" w:cs="Arial"/>
                <w:sz w:val="20"/>
                <w:szCs w:val="20"/>
                <w:lang w:val="nl-NL" w:eastAsia="nl-NL" w:bidi="ar-SA"/>
              </w:rPr>
            </w:pPr>
          </w:p>
        </w:tc>
        <w:tc>
          <w:tcPr>
            <w:tcW w:w="789" w:type="dxa"/>
            <w:tcBorders>
              <w:top w:val="nil"/>
              <w:left w:val="single" w:sz="4" w:space="0" w:color="auto"/>
              <w:bottom w:val="single" w:sz="4" w:space="0" w:color="auto"/>
              <w:right w:val="single" w:sz="4" w:space="0" w:color="auto"/>
            </w:tcBorders>
            <w:shd w:val="clear" w:color="auto" w:fill="auto"/>
            <w:noWrap/>
            <w:vAlign w:val="bottom"/>
            <w:hideMark/>
          </w:tcPr>
          <w:p w:rsidR="009C16D2" w:rsidRPr="009C16D2" w:rsidRDefault="009C16D2" w:rsidP="009C16D2">
            <w:pPr>
              <w:spacing w:after="0" w:line="240" w:lineRule="auto"/>
              <w:jc w:val="right"/>
              <w:rPr>
                <w:rFonts w:ascii="Arial" w:eastAsia="Times New Roman" w:hAnsi="Arial" w:cs="Arial"/>
                <w:sz w:val="20"/>
                <w:szCs w:val="20"/>
                <w:lang w:val="nl-NL" w:eastAsia="nl-NL" w:bidi="ar-SA"/>
              </w:rPr>
            </w:pPr>
            <w:r w:rsidRPr="009C16D2">
              <w:rPr>
                <w:rFonts w:ascii="Arial" w:eastAsia="Times New Roman" w:hAnsi="Arial" w:cs="Arial"/>
                <w:sz w:val="20"/>
                <w:szCs w:val="20"/>
                <w:lang w:val="nl-NL" w:eastAsia="nl-NL" w:bidi="ar-SA"/>
              </w:rPr>
              <w:t>3</w:t>
            </w:r>
          </w:p>
        </w:tc>
        <w:tc>
          <w:tcPr>
            <w:tcW w:w="1026" w:type="dxa"/>
            <w:tcBorders>
              <w:top w:val="nil"/>
              <w:left w:val="nil"/>
              <w:bottom w:val="single" w:sz="4" w:space="0" w:color="auto"/>
              <w:right w:val="single" w:sz="4" w:space="0" w:color="auto"/>
            </w:tcBorders>
            <w:shd w:val="clear" w:color="auto" w:fill="auto"/>
            <w:noWrap/>
            <w:vAlign w:val="bottom"/>
            <w:hideMark/>
          </w:tcPr>
          <w:p w:rsidR="009C16D2" w:rsidRPr="009C16D2" w:rsidRDefault="009C16D2" w:rsidP="009C16D2">
            <w:pPr>
              <w:spacing w:after="0" w:line="240" w:lineRule="auto"/>
              <w:jc w:val="right"/>
              <w:rPr>
                <w:rFonts w:ascii="Arial" w:eastAsia="Times New Roman" w:hAnsi="Arial" w:cs="Arial"/>
                <w:sz w:val="20"/>
                <w:szCs w:val="20"/>
                <w:lang w:val="nl-NL" w:eastAsia="nl-NL" w:bidi="ar-SA"/>
              </w:rPr>
            </w:pPr>
            <w:r w:rsidRPr="009C16D2">
              <w:rPr>
                <w:rFonts w:ascii="Arial" w:eastAsia="Times New Roman" w:hAnsi="Arial" w:cs="Arial"/>
                <w:sz w:val="20"/>
                <w:szCs w:val="20"/>
                <w:lang w:val="nl-NL" w:eastAsia="nl-NL" w:bidi="ar-SA"/>
              </w:rPr>
              <w:t>1,219114</w:t>
            </w:r>
          </w:p>
        </w:tc>
        <w:tc>
          <w:tcPr>
            <w:tcW w:w="1026" w:type="dxa"/>
            <w:tcBorders>
              <w:top w:val="nil"/>
              <w:left w:val="nil"/>
              <w:bottom w:val="single" w:sz="4" w:space="0" w:color="auto"/>
              <w:right w:val="single" w:sz="4" w:space="0" w:color="auto"/>
            </w:tcBorders>
            <w:shd w:val="clear" w:color="auto" w:fill="auto"/>
            <w:noWrap/>
            <w:vAlign w:val="bottom"/>
            <w:hideMark/>
          </w:tcPr>
          <w:p w:rsidR="009C16D2" w:rsidRPr="009C16D2" w:rsidRDefault="009C16D2" w:rsidP="009C16D2">
            <w:pPr>
              <w:spacing w:after="0" w:line="240" w:lineRule="auto"/>
              <w:jc w:val="right"/>
              <w:rPr>
                <w:rFonts w:ascii="Arial" w:eastAsia="Times New Roman" w:hAnsi="Arial" w:cs="Arial"/>
                <w:sz w:val="20"/>
                <w:szCs w:val="20"/>
                <w:lang w:val="nl-NL" w:eastAsia="nl-NL" w:bidi="ar-SA"/>
              </w:rPr>
            </w:pPr>
            <w:r w:rsidRPr="009C16D2">
              <w:rPr>
                <w:rFonts w:ascii="Arial" w:eastAsia="Times New Roman" w:hAnsi="Arial" w:cs="Arial"/>
                <w:sz w:val="20"/>
                <w:szCs w:val="20"/>
                <w:lang w:val="nl-NL" w:eastAsia="nl-NL" w:bidi="ar-SA"/>
              </w:rPr>
              <w:t>0,202786</w:t>
            </w:r>
          </w:p>
        </w:tc>
      </w:tr>
      <w:tr w:rsidR="009C16D2" w:rsidRPr="009C16D2" w:rsidTr="009C16D2">
        <w:trPr>
          <w:trHeight w:val="255"/>
        </w:trPr>
        <w:tc>
          <w:tcPr>
            <w:tcW w:w="848" w:type="dxa"/>
            <w:tcBorders>
              <w:top w:val="nil"/>
              <w:left w:val="single" w:sz="4" w:space="0" w:color="auto"/>
              <w:bottom w:val="single" w:sz="4" w:space="0" w:color="auto"/>
              <w:right w:val="single" w:sz="4" w:space="0" w:color="auto"/>
            </w:tcBorders>
            <w:shd w:val="clear" w:color="auto" w:fill="auto"/>
            <w:noWrap/>
            <w:vAlign w:val="bottom"/>
            <w:hideMark/>
          </w:tcPr>
          <w:p w:rsidR="009C16D2" w:rsidRPr="009C16D2" w:rsidRDefault="009C16D2" w:rsidP="009C16D2">
            <w:pPr>
              <w:spacing w:after="0" w:line="240" w:lineRule="auto"/>
              <w:jc w:val="right"/>
              <w:rPr>
                <w:rFonts w:ascii="Arial" w:eastAsia="Times New Roman" w:hAnsi="Arial" w:cs="Arial"/>
                <w:sz w:val="20"/>
                <w:szCs w:val="20"/>
                <w:lang w:val="nl-NL" w:eastAsia="nl-NL" w:bidi="ar-SA"/>
              </w:rPr>
            </w:pPr>
            <w:r w:rsidRPr="009C16D2">
              <w:rPr>
                <w:rFonts w:ascii="Arial" w:eastAsia="Times New Roman" w:hAnsi="Arial" w:cs="Arial"/>
                <w:sz w:val="20"/>
                <w:szCs w:val="20"/>
                <w:lang w:val="nl-NL" w:eastAsia="nl-NL" w:bidi="ar-SA"/>
              </w:rPr>
              <w:t>4</w:t>
            </w:r>
          </w:p>
        </w:tc>
        <w:tc>
          <w:tcPr>
            <w:tcW w:w="1186" w:type="dxa"/>
            <w:tcBorders>
              <w:top w:val="nil"/>
              <w:left w:val="nil"/>
              <w:bottom w:val="single" w:sz="4" w:space="0" w:color="auto"/>
              <w:right w:val="single" w:sz="4" w:space="0" w:color="auto"/>
            </w:tcBorders>
            <w:shd w:val="clear" w:color="auto" w:fill="auto"/>
            <w:noWrap/>
            <w:vAlign w:val="bottom"/>
            <w:hideMark/>
          </w:tcPr>
          <w:p w:rsidR="009C16D2" w:rsidRPr="009C16D2" w:rsidRDefault="009C16D2" w:rsidP="009C16D2">
            <w:pPr>
              <w:spacing w:after="0" w:line="240" w:lineRule="auto"/>
              <w:jc w:val="right"/>
              <w:rPr>
                <w:rFonts w:ascii="Arial" w:eastAsia="Times New Roman" w:hAnsi="Arial" w:cs="Arial"/>
                <w:sz w:val="20"/>
                <w:szCs w:val="20"/>
                <w:lang w:val="nl-NL" w:eastAsia="nl-NL" w:bidi="ar-SA"/>
              </w:rPr>
            </w:pPr>
            <w:r w:rsidRPr="009C16D2">
              <w:rPr>
                <w:rFonts w:ascii="Arial" w:eastAsia="Times New Roman" w:hAnsi="Arial" w:cs="Arial"/>
                <w:sz w:val="20"/>
                <w:szCs w:val="20"/>
                <w:lang w:val="nl-NL" w:eastAsia="nl-NL" w:bidi="ar-SA"/>
              </w:rPr>
              <w:t>-0,000205</w:t>
            </w:r>
          </w:p>
        </w:tc>
        <w:tc>
          <w:tcPr>
            <w:tcW w:w="1186" w:type="dxa"/>
            <w:tcBorders>
              <w:top w:val="nil"/>
              <w:left w:val="nil"/>
              <w:bottom w:val="single" w:sz="4" w:space="0" w:color="auto"/>
              <w:right w:val="single" w:sz="4" w:space="0" w:color="auto"/>
            </w:tcBorders>
            <w:shd w:val="clear" w:color="auto" w:fill="auto"/>
            <w:noWrap/>
            <w:vAlign w:val="bottom"/>
            <w:hideMark/>
          </w:tcPr>
          <w:p w:rsidR="009C16D2" w:rsidRPr="009C16D2" w:rsidRDefault="009C16D2" w:rsidP="009C16D2">
            <w:pPr>
              <w:spacing w:after="0" w:line="240" w:lineRule="auto"/>
              <w:jc w:val="right"/>
              <w:rPr>
                <w:rFonts w:ascii="Arial" w:eastAsia="Times New Roman" w:hAnsi="Arial" w:cs="Arial"/>
                <w:sz w:val="20"/>
                <w:szCs w:val="20"/>
                <w:lang w:val="nl-NL" w:eastAsia="nl-NL" w:bidi="ar-SA"/>
              </w:rPr>
            </w:pPr>
            <w:r w:rsidRPr="009C16D2">
              <w:rPr>
                <w:rFonts w:ascii="Arial" w:eastAsia="Times New Roman" w:hAnsi="Arial" w:cs="Arial"/>
                <w:sz w:val="20"/>
                <w:szCs w:val="20"/>
                <w:lang w:val="nl-NL" w:eastAsia="nl-NL" w:bidi="ar-SA"/>
              </w:rPr>
              <w:t>-0,000128</w:t>
            </w:r>
          </w:p>
        </w:tc>
        <w:tc>
          <w:tcPr>
            <w:tcW w:w="1160" w:type="dxa"/>
            <w:tcBorders>
              <w:top w:val="nil"/>
              <w:left w:val="nil"/>
              <w:bottom w:val="single" w:sz="4" w:space="0" w:color="auto"/>
              <w:right w:val="single" w:sz="4" w:space="0" w:color="auto"/>
            </w:tcBorders>
            <w:shd w:val="clear" w:color="auto" w:fill="auto"/>
            <w:noWrap/>
            <w:vAlign w:val="bottom"/>
            <w:hideMark/>
          </w:tcPr>
          <w:p w:rsidR="009C16D2" w:rsidRPr="009C16D2" w:rsidRDefault="009C16D2" w:rsidP="009C16D2">
            <w:pPr>
              <w:spacing w:after="0" w:line="240" w:lineRule="auto"/>
              <w:jc w:val="right"/>
              <w:rPr>
                <w:rFonts w:ascii="Arial" w:eastAsia="Times New Roman" w:hAnsi="Arial" w:cs="Arial"/>
                <w:sz w:val="20"/>
                <w:szCs w:val="20"/>
                <w:lang w:val="nl-NL" w:eastAsia="nl-NL" w:bidi="ar-SA"/>
              </w:rPr>
            </w:pPr>
            <w:r w:rsidRPr="009C16D2">
              <w:rPr>
                <w:rFonts w:ascii="Arial" w:eastAsia="Times New Roman" w:hAnsi="Arial" w:cs="Arial"/>
                <w:sz w:val="20"/>
                <w:szCs w:val="20"/>
                <w:lang w:val="nl-NL" w:eastAsia="nl-NL" w:bidi="ar-SA"/>
              </w:rPr>
              <w:t>5,57E-05</w:t>
            </w:r>
          </w:p>
        </w:tc>
        <w:tc>
          <w:tcPr>
            <w:tcW w:w="1120" w:type="dxa"/>
            <w:tcBorders>
              <w:top w:val="nil"/>
              <w:left w:val="nil"/>
              <w:bottom w:val="nil"/>
              <w:right w:val="nil"/>
            </w:tcBorders>
            <w:shd w:val="clear" w:color="auto" w:fill="auto"/>
            <w:noWrap/>
            <w:vAlign w:val="bottom"/>
            <w:hideMark/>
          </w:tcPr>
          <w:p w:rsidR="009C16D2" w:rsidRPr="009C16D2" w:rsidRDefault="009C16D2" w:rsidP="009C16D2">
            <w:pPr>
              <w:spacing w:after="0" w:line="240" w:lineRule="auto"/>
              <w:rPr>
                <w:rFonts w:ascii="Arial" w:eastAsia="Times New Roman" w:hAnsi="Arial" w:cs="Arial"/>
                <w:sz w:val="20"/>
                <w:szCs w:val="20"/>
                <w:lang w:val="nl-NL" w:eastAsia="nl-NL" w:bidi="ar-SA"/>
              </w:rPr>
            </w:pPr>
          </w:p>
        </w:tc>
        <w:tc>
          <w:tcPr>
            <w:tcW w:w="789" w:type="dxa"/>
            <w:tcBorders>
              <w:top w:val="nil"/>
              <w:left w:val="single" w:sz="4" w:space="0" w:color="auto"/>
              <w:bottom w:val="single" w:sz="4" w:space="0" w:color="auto"/>
              <w:right w:val="single" w:sz="4" w:space="0" w:color="auto"/>
            </w:tcBorders>
            <w:shd w:val="clear" w:color="auto" w:fill="auto"/>
            <w:noWrap/>
            <w:vAlign w:val="bottom"/>
            <w:hideMark/>
          </w:tcPr>
          <w:p w:rsidR="009C16D2" w:rsidRPr="009C16D2" w:rsidRDefault="009C16D2" w:rsidP="009C16D2">
            <w:pPr>
              <w:spacing w:after="0" w:line="240" w:lineRule="auto"/>
              <w:jc w:val="right"/>
              <w:rPr>
                <w:rFonts w:ascii="Arial" w:eastAsia="Times New Roman" w:hAnsi="Arial" w:cs="Arial"/>
                <w:sz w:val="20"/>
                <w:szCs w:val="20"/>
                <w:lang w:val="nl-NL" w:eastAsia="nl-NL" w:bidi="ar-SA"/>
              </w:rPr>
            </w:pPr>
            <w:r w:rsidRPr="009C16D2">
              <w:rPr>
                <w:rFonts w:ascii="Arial" w:eastAsia="Times New Roman" w:hAnsi="Arial" w:cs="Arial"/>
                <w:sz w:val="20"/>
                <w:szCs w:val="20"/>
                <w:lang w:val="nl-NL" w:eastAsia="nl-NL" w:bidi="ar-SA"/>
              </w:rPr>
              <w:t>4</w:t>
            </w:r>
          </w:p>
        </w:tc>
        <w:tc>
          <w:tcPr>
            <w:tcW w:w="1026" w:type="dxa"/>
            <w:tcBorders>
              <w:top w:val="nil"/>
              <w:left w:val="nil"/>
              <w:bottom w:val="single" w:sz="4" w:space="0" w:color="auto"/>
              <w:right w:val="single" w:sz="4" w:space="0" w:color="auto"/>
            </w:tcBorders>
            <w:shd w:val="clear" w:color="auto" w:fill="auto"/>
            <w:noWrap/>
            <w:vAlign w:val="bottom"/>
            <w:hideMark/>
          </w:tcPr>
          <w:p w:rsidR="009C16D2" w:rsidRPr="009C16D2" w:rsidRDefault="009C16D2" w:rsidP="009C16D2">
            <w:pPr>
              <w:spacing w:after="0" w:line="240" w:lineRule="auto"/>
              <w:jc w:val="right"/>
              <w:rPr>
                <w:rFonts w:ascii="Arial" w:eastAsia="Times New Roman" w:hAnsi="Arial" w:cs="Arial"/>
                <w:sz w:val="20"/>
                <w:szCs w:val="20"/>
                <w:lang w:val="nl-NL" w:eastAsia="nl-NL" w:bidi="ar-SA"/>
              </w:rPr>
            </w:pPr>
            <w:r w:rsidRPr="009C16D2">
              <w:rPr>
                <w:rFonts w:ascii="Arial" w:eastAsia="Times New Roman" w:hAnsi="Arial" w:cs="Arial"/>
                <w:sz w:val="20"/>
                <w:szCs w:val="20"/>
                <w:lang w:val="nl-NL" w:eastAsia="nl-NL" w:bidi="ar-SA"/>
              </w:rPr>
              <w:t>1,211631</w:t>
            </w:r>
          </w:p>
        </w:tc>
        <w:tc>
          <w:tcPr>
            <w:tcW w:w="1026" w:type="dxa"/>
            <w:tcBorders>
              <w:top w:val="nil"/>
              <w:left w:val="nil"/>
              <w:bottom w:val="single" w:sz="4" w:space="0" w:color="auto"/>
              <w:right w:val="single" w:sz="4" w:space="0" w:color="auto"/>
            </w:tcBorders>
            <w:shd w:val="clear" w:color="auto" w:fill="auto"/>
            <w:noWrap/>
            <w:vAlign w:val="bottom"/>
            <w:hideMark/>
          </w:tcPr>
          <w:p w:rsidR="009C16D2" w:rsidRPr="009C16D2" w:rsidRDefault="009C16D2" w:rsidP="009C16D2">
            <w:pPr>
              <w:spacing w:after="0" w:line="240" w:lineRule="auto"/>
              <w:jc w:val="right"/>
              <w:rPr>
                <w:rFonts w:ascii="Arial" w:eastAsia="Times New Roman" w:hAnsi="Arial" w:cs="Arial"/>
                <w:sz w:val="20"/>
                <w:szCs w:val="20"/>
                <w:lang w:val="nl-NL" w:eastAsia="nl-NL" w:bidi="ar-SA"/>
              </w:rPr>
            </w:pPr>
            <w:r w:rsidRPr="009C16D2">
              <w:rPr>
                <w:rFonts w:ascii="Arial" w:eastAsia="Times New Roman" w:hAnsi="Arial" w:cs="Arial"/>
                <w:sz w:val="20"/>
                <w:szCs w:val="20"/>
                <w:lang w:val="nl-NL" w:eastAsia="nl-NL" w:bidi="ar-SA"/>
              </w:rPr>
              <w:t>0,188105</w:t>
            </w:r>
          </w:p>
        </w:tc>
      </w:tr>
      <w:tr w:rsidR="009C16D2" w:rsidRPr="009C16D2" w:rsidTr="009C16D2">
        <w:trPr>
          <w:trHeight w:val="255"/>
        </w:trPr>
        <w:tc>
          <w:tcPr>
            <w:tcW w:w="848" w:type="dxa"/>
            <w:tcBorders>
              <w:top w:val="nil"/>
              <w:left w:val="single" w:sz="4" w:space="0" w:color="auto"/>
              <w:bottom w:val="single" w:sz="4" w:space="0" w:color="auto"/>
              <w:right w:val="single" w:sz="4" w:space="0" w:color="auto"/>
            </w:tcBorders>
            <w:shd w:val="clear" w:color="auto" w:fill="auto"/>
            <w:noWrap/>
            <w:vAlign w:val="bottom"/>
            <w:hideMark/>
          </w:tcPr>
          <w:p w:rsidR="009C16D2" w:rsidRPr="009C16D2" w:rsidRDefault="009C16D2" w:rsidP="009C16D2">
            <w:pPr>
              <w:spacing w:after="0" w:line="240" w:lineRule="auto"/>
              <w:jc w:val="right"/>
              <w:rPr>
                <w:rFonts w:ascii="Arial" w:eastAsia="Times New Roman" w:hAnsi="Arial" w:cs="Arial"/>
                <w:sz w:val="20"/>
                <w:szCs w:val="20"/>
                <w:lang w:val="nl-NL" w:eastAsia="nl-NL" w:bidi="ar-SA"/>
              </w:rPr>
            </w:pPr>
            <w:r w:rsidRPr="009C16D2">
              <w:rPr>
                <w:rFonts w:ascii="Arial" w:eastAsia="Times New Roman" w:hAnsi="Arial" w:cs="Arial"/>
                <w:sz w:val="20"/>
                <w:szCs w:val="20"/>
                <w:lang w:val="nl-NL" w:eastAsia="nl-NL" w:bidi="ar-SA"/>
              </w:rPr>
              <w:t>5</w:t>
            </w:r>
          </w:p>
        </w:tc>
        <w:tc>
          <w:tcPr>
            <w:tcW w:w="1186" w:type="dxa"/>
            <w:tcBorders>
              <w:top w:val="nil"/>
              <w:left w:val="nil"/>
              <w:bottom w:val="single" w:sz="4" w:space="0" w:color="auto"/>
              <w:right w:val="single" w:sz="4" w:space="0" w:color="auto"/>
            </w:tcBorders>
            <w:shd w:val="clear" w:color="auto" w:fill="auto"/>
            <w:noWrap/>
            <w:vAlign w:val="bottom"/>
            <w:hideMark/>
          </w:tcPr>
          <w:p w:rsidR="009C16D2" w:rsidRPr="009C16D2" w:rsidRDefault="009C16D2" w:rsidP="009C16D2">
            <w:pPr>
              <w:spacing w:after="0" w:line="240" w:lineRule="auto"/>
              <w:jc w:val="right"/>
              <w:rPr>
                <w:rFonts w:ascii="Arial" w:eastAsia="Times New Roman" w:hAnsi="Arial" w:cs="Arial"/>
                <w:sz w:val="20"/>
                <w:szCs w:val="20"/>
                <w:lang w:val="nl-NL" w:eastAsia="nl-NL" w:bidi="ar-SA"/>
              </w:rPr>
            </w:pPr>
            <w:r w:rsidRPr="009C16D2">
              <w:rPr>
                <w:rFonts w:ascii="Arial" w:eastAsia="Times New Roman" w:hAnsi="Arial" w:cs="Arial"/>
                <w:sz w:val="20"/>
                <w:szCs w:val="20"/>
                <w:lang w:val="nl-NL" w:eastAsia="nl-NL" w:bidi="ar-SA"/>
              </w:rPr>
              <w:t>-0,000188</w:t>
            </w:r>
          </w:p>
        </w:tc>
        <w:tc>
          <w:tcPr>
            <w:tcW w:w="1186" w:type="dxa"/>
            <w:tcBorders>
              <w:top w:val="nil"/>
              <w:left w:val="nil"/>
              <w:bottom w:val="single" w:sz="4" w:space="0" w:color="auto"/>
              <w:right w:val="single" w:sz="4" w:space="0" w:color="auto"/>
            </w:tcBorders>
            <w:shd w:val="clear" w:color="auto" w:fill="auto"/>
            <w:noWrap/>
            <w:vAlign w:val="bottom"/>
            <w:hideMark/>
          </w:tcPr>
          <w:p w:rsidR="009C16D2" w:rsidRPr="009C16D2" w:rsidRDefault="009C16D2" w:rsidP="009C16D2">
            <w:pPr>
              <w:spacing w:after="0" w:line="240" w:lineRule="auto"/>
              <w:jc w:val="right"/>
              <w:rPr>
                <w:rFonts w:ascii="Arial" w:eastAsia="Times New Roman" w:hAnsi="Arial" w:cs="Arial"/>
                <w:sz w:val="20"/>
                <w:szCs w:val="20"/>
                <w:lang w:val="nl-NL" w:eastAsia="nl-NL" w:bidi="ar-SA"/>
              </w:rPr>
            </w:pPr>
            <w:r w:rsidRPr="009C16D2">
              <w:rPr>
                <w:rFonts w:ascii="Arial" w:eastAsia="Times New Roman" w:hAnsi="Arial" w:cs="Arial"/>
                <w:sz w:val="20"/>
                <w:szCs w:val="20"/>
                <w:lang w:val="nl-NL" w:eastAsia="nl-NL" w:bidi="ar-SA"/>
              </w:rPr>
              <w:t>-0,000107</w:t>
            </w:r>
          </w:p>
        </w:tc>
        <w:tc>
          <w:tcPr>
            <w:tcW w:w="1160" w:type="dxa"/>
            <w:tcBorders>
              <w:top w:val="nil"/>
              <w:left w:val="nil"/>
              <w:bottom w:val="single" w:sz="4" w:space="0" w:color="auto"/>
              <w:right w:val="single" w:sz="4" w:space="0" w:color="auto"/>
            </w:tcBorders>
            <w:shd w:val="clear" w:color="auto" w:fill="auto"/>
            <w:noWrap/>
            <w:vAlign w:val="bottom"/>
            <w:hideMark/>
          </w:tcPr>
          <w:p w:rsidR="009C16D2" w:rsidRPr="009C16D2" w:rsidRDefault="009C16D2" w:rsidP="009C16D2">
            <w:pPr>
              <w:spacing w:after="0" w:line="240" w:lineRule="auto"/>
              <w:jc w:val="right"/>
              <w:rPr>
                <w:rFonts w:ascii="Arial" w:eastAsia="Times New Roman" w:hAnsi="Arial" w:cs="Arial"/>
                <w:sz w:val="20"/>
                <w:szCs w:val="20"/>
                <w:lang w:val="nl-NL" w:eastAsia="nl-NL" w:bidi="ar-SA"/>
              </w:rPr>
            </w:pPr>
            <w:r w:rsidRPr="009C16D2">
              <w:rPr>
                <w:rFonts w:ascii="Arial" w:eastAsia="Times New Roman" w:hAnsi="Arial" w:cs="Arial"/>
                <w:sz w:val="20"/>
                <w:szCs w:val="20"/>
                <w:lang w:val="nl-NL" w:eastAsia="nl-NL" w:bidi="ar-SA"/>
              </w:rPr>
              <w:t>7,77E-05</w:t>
            </w:r>
          </w:p>
        </w:tc>
        <w:tc>
          <w:tcPr>
            <w:tcW w:w="1120" w:type="dxa"/>
            <w:tcBorders>
              <w:top w:val="nil"/>
              <w:left w:val="nil"/>
              <w:bottom w:val="nil"/>
              <w:right w:val="nil"/>
            </w:tcBorders>
            <w:shd w:val="clear" w:color="auto" w:fill="auto"/>
            <w:noWrap/>
            <w:vAlign w:val="bottom"/>
            <w:hideMark/>
          </w:tcPr>
          <w:p w:rsidR="009C16D2" w:rsidRPr="009C16D2" w:rsidRDefault="009C16D2" w:rsidP="009C16D2">
            <w:pPr>
              <w:spacing w:after="0" w:line="240" w:lineRule="auto"/>
              <w:rPr>
                <w:rFonts w:ascii="Arial" w:eastAsia="Times New Roman" w:hAnsi="Arial" w:cs="Arial"/>
                <w:sz w:val="20"/>
                <w:szCs w:val="20"/>
                <w:lang w:val="nl-NL" w:eastAsia="nl-NL" w:bidi="ar-SA"/>
              </w:rPr>
            </w:pPr>
          </w:p>
        </w:tc>
        <w:tc>
          <w:tcPr>
            <w:tcW w:w="789" w:type="dxa"/>
            <w:tcBorders>
              <w:top w:val="nil"/>
              <w:left w:val="single" w:sz="4" w:space="0" w:color="auto"/>
              <w:bottom w:val="single" w:sz="4" w:space="0" w:color="auto"/>
              <w:right w:val="single" w:sz="4" w:space="0" w:color="auto"/>
            </w:tcBorders>
            <w:shd w:val="clear" w:color="auto" w:fill="auto"/>
            <w:noWrap/>
            <w:vAlign w:val="bottom"/>
            <w:hideMark/>
          </w:tcPr>
          <w:p w:rsidR="009C16D2" w:rsidRPr="009C16D2" w:rsidRDefault="009C16D2" w:rsidP="009C16D2">
            <w:pPr>
              <w:spacing w:after="0" w:line="240" w:lineRule="auto"/>
              <w:jc w:val="right"/>
              <w:rPr>
                <w:rFonts w:ascii="Arial" w:eastAsia="Times New Roman" w:hAnsi="Arial" w:cs="Arial"/>
                <w:sz w:val="20"/>
                <w:szCs w:val="20"/>
                <w:lang w:val="nl-NL" w:eastAsia="nl-NL" w:bidi="ar-SA"/>
              </w:rPr>
            </w:pPr>
            <w:r w:rsidRPr="009C16D2">
              <w:rPr>
                <w:rFonts w:ascii="Arial" w:eastAsia="Times New Roman" w:hAnsi="Arial" w:cs="Arial"/>
                <w:sz w:val="20"/>
                <w:szCs w:val="20"/>
                <w:lang w:val="nl-NL" w:eastAsia="nl-NL" w:bidi="ar-SA"/>
              </w:rPr>
              <w:t>5</w:t>
            </w:r>
          </w:p>
        </w:tc>
        <w:tc>
          <w:tcPr>
            <w:tcW w:w="1026" w:type="dxa"/>
            <w:tcBorders>
              <w:top w:val="nil"/>
              <w:left w:val="nil"/>
              <w:bottom w:val="single" w:sz="4" w:space="0" w:color="auto"/>
              <w:right w:val="single" w:sz="4" w:space="0" w:color="auto"/>
            </w:tcBorders>
            <w:shd w:val="clear" w:color="auto" w:fill="auto"/>
            <w:noWrap/>
            <w:vAlign w:val="bottom"/>
            <w:hideMark/>
          </w:tcPr>
          <w:p w:rsidR="009C16D2" w:rsidRPr="009C16D2" w:rsidRDefault="009C16D2" w:rsidP="009C16D2">
            <w:pPr>
              <w:spacing w:after="0" w:line="240" w:lineRule="auto"/>
              <w:jc w:val="right"/>
              <w:rPr>
                <w:rFonts w:ascii="Arial" w:eastAsia="Times New Roman" w:hAnsi="Arial" w:cs="Arial"/>
                <w:sz w:val="20"/>
                <w:szCs w:val="20"/>
                <w:lang w:val="nl-NL" w:eastAsia="nl-NL" w:bidi="ar-SA"/>
              </w:rPr>
            </w:pPr>
            <w:r w:rsidRPr="009C16D2">
              <w:rPr>
                <w:rFonts w:ascii="Arial" w:eastAsia="Times New Roman" w:hAnsi="Arial" w:cs="Arial"/>
                <w:sz w:val="20"/>
                <w:szCs w:val="20"/>
                <w:lang w:val="nl-NL" w:eastAsia="nl-NL" w:bidi="ar-SA"/>
              </w:rPr>
              <w:t>1,204438</w:t>
            </w:r>
          </w:p>
        </w:tc>
        <w:tc>
          <w:tcPr>
            <w:tcW w:w="1026" w:type="dxa"/>
            <w:tcBorders>
              <w:top w:val="nil"/>
              <w:left w:val="nil"/>
              <w:bottom w:val="single" w:sz="4" w:space="0" w:color="auto"/>
              <w:right w:val="single" w:sz="4" w:space="0" w:color="auto"/>
            </w:tcBorders>
            <w:shd w:val="clear" w:color="auto" w:fill="auto"/>
            <w:noWrap/>
            <w:vAlign w:val="bottom"/>
            <w:hideMark/>
          </w:tcPr>
          <w:p w:rsidR="009C16D2" w:rsidRPr="009C16D2" w:rsidRDefault="009C16D2" w:rsidP="009C16D2">
            <w:pPr>
              <w:spacing w:after="0" w:line="240" w:lineRule="auto"/>
              <w:jc w:val="right"/>
              <w:rPr>
                <w:rFonts w:ascii="Arial" w:eastAsia="Times New Roman" w:hAnsi="Arial" w:cs="Arial"/>
                <w:sz w:val="20"/>
                <w:szCs w:val="20"/>
                <w:lang w:val="nl-NL" w:eastAsia="nl-NL" w:bidi="ar-SA"/>
              </w:rPr>
            </w:pPr>
            <w:r w:rsidRPr="009C16D2">
              <w:rPr>
                <w:rFonts w:ascii="Arial" w:eastAsia="Times New Roman" w:hAnsi="Arial" w:cs="Arial"/>
                <w:sz w:val="20"/>
                <w:szCs w:val="20"/>
                <w:lang w:val="nl-NL" w:eastAsia="nl-NL" w:bidi="ar-SA"/>
              </w:rPr>
              <w:t>0,178764</w:t>
            </w:r>
          </w:p>
        </w:tc>
      </w:tr>
      <w:tr w:rsidR="009C16D2" w:rsidRPr="009C16D2" w:rsidTr="009C16D2">
        <w:trPr>
          <w:trHeight w:val="255"/>
        </w:trPr>
        <w:tc>
          <w:tcPr>
            <w:tcW w:w="848" w:type="dxa"/>
            <w:tcBorders>
              <w:top w:val="nil"/>
              <w:left w:val="single" w:sz="4" w:space="0" w:color="auto"/>
              <w:bottom w:val="single" w:sz="4" w:space="0" w:color="auto"/>
              <w:right w:val="single" w:sz="4" w:space="0" w:color="auto"/>
            </w:tcBorders>
            <w:shd w:val="clear" w:color="auto" w:fill="auto"/>
            <w:noWrap/>
            <w:vAlign w:val="bottom"/>
            <w:hideMark/>
          </w:tcPr>
          <w:p w:rsidR="009C16D2" w:rsidRPr="009C16D2" w:rsidRDefault="009C16D2" w:rsidP="009C16D2">
            <w:pPr>
              <w:spacing w:after="0" w:line="240" w:lineRule="auto"/>
              <w:jc w:val="right"/>
              <w:rPr>
                <w:rFonts w:ascii="Arial" w:eastAsia="Times New Roman" w:hAnsi="Arial" w:cs="Arial"/>
                <w:sz w:val="20"/>
                <w:szCs w:val="20"/>
                <w:lang w:val="nl-NL" w:eastAsia="nl-NL" w:bidi="ar-SA"/>
              </w:rPr>
            </w:pPr>
            <w:r w:rsidRPr="009C16D2">
              <w:rPr>
                <w:rFonts w:ascii="Arial" w:eastAsia="Times New Roman" w:hAnsi="Arial" w:cs="Arial"/>
                <w:sz w:val="20"/>
                <w:szCs w:val="20"/>
                <w:lang w:val="nl-NL" w:eastAsia="nl-NL" w:bidi="ar-SA"/>
              </w:rPr>
              <w:t>6</w:t>
            </w:r>
          </w:p>
        </w:tc>
        <w:tc>
          <w:tcPr>
            <w:tcW w:w="1186" w:type="dxa"/>
            <w:tcBorders>
              <w:top w:val="nil"/>
              <w:left w:val="nil"/>
              <w:bottom w:val="single" w:sz="4" w:space="0" w:color="auto"/>
              <w:right w:val="single" w:sz="4" w:space="0" w:color="auto"/>
            </w:tcBorders>
            <w:shd w:val="clear" w:color="auto" w:fill="auto"/>
            <w:noWrap/>
            <w:vAlign w:val="bottom"/>
            <w:hideMark/>
          </w:tcPr>
          <w:p w:rsidR="009C16D2" w:rsidRPr="009C16D2" w:rsidRDefault="009C16D2" w:rsidP="009C16D2">
            <w:pPr>
              <w:spacing w:after="0" w:line="240" w:lineRule="auto"/>
              <w:jc w:val="right"/>
              <w:rPr>
                <w:rFonts w:ascii="Arial" w:eastAsia="Times New Roman" w:hAnsi="Arial" w:cs="Arial"/>
                <w:sz w:val="20"/>
                <w:szCs w:val="20"/>
                <w:lang w:val="nl-NL" w:eastAsia="nl-NL" w:bidi="ar-SA"/>
              </w:rPr>
            </w:pPr>
            <w:r w:rsidRPr="009C16D2">
              <w:rPr>
                <w:rFonts w:ascii="Arial" w:eastAsia="Times New Roman" w:hAnsi="Arial" w:cs="Arial"/>
                <w:sz w:val="20"/>
                <w:szCs w:val="20"/>
                <w:lang w:val="nl-NL" w:eastAsia="nl-NL" w:bidi="ar-SA"/>
              </w:rPr>
              <w:t>-0,000171</w:t>
            </w:r>
          </w:p>
        </w:tc>
        <w:tc>
          <w:tcPr>
            <w:tcW w:w="1186" w:type="dxa"/>
            <w:tcBorders>
              <w:top w:val="nil"/>
              <w:left w:val="nil"/>
              <w:bottom w:val="single" w:sz="4" w:space="0" w:color="auto"/>
              <w:right w:val="single" w:sz="4" w:space="0" w:color="auto"/>
            </w:tcBorders>
            <w:shd w:val="clear" w:color="auto" w:fill="auto"/>
            <w:noWrap/>
            <w:vAlign w:val="bottom"/>
            <w:hideMark/>
          </w:tcPr>
          <w:p w:rsidR="009C16D2" w:rsidRPr="009C16D2" w:rsidRDefault="009C16D2" w:rsidP="009C16D2">
            <w:pPr>
              <w:spacing w:after="0" w:line="240" w:lineRule="auto"/>
              <w:jc w:val="right"/>
              <w:rPr>
                <w:rFonts w:ascii="Arial" w:eastAsia="Times New Roman" w:hAnsi="Arial" w:cs="Arial"/>
                <w:sz w:val="20"/>
                <w:szCs w:val="20"/>
                <w:lang w:val="nl-NL" w:eastAsia="nl-NL" w:bidi="ar-SA"/>
              </w:rPr>
            </w:pPr>
            <w:r w:rsidRPr="009C16D2">
              <w:rPr>
                <w:rFonts w:ascii="Arial" w:eastAsia="Times New Roman" w:hAnsi="Arial" w:cs="Arial"/>
                <w:sz w:val="20"/>
                <w:szCs w:val="20"/>
                <w:lang w:val="nl-NL" w:eastAsia="nl-NL" w:bidi="ar-SA"/>
              </w:rPr>
              <w:t>-8,52E-05</w:t>
            </w:r>
          </w:p>
        </w:tc>
        <w:tc>
          <w:tcPr>
            <w:tcW w:w="1160" w:type="dxa"/>
            <w:tcBorders>
              <w:top w:val="nil"/>
              <w:left w:val="nil"/>
              <w:bottom w:val="single" w:sz="4" w:space="0" w:color="auto"/>
              <w:right w:val="single" w:sz="4" w:space="0" w:color="auto"/>
            </w:tcBorders>
            <w:shd w:val="clear" w:color="auto" w:fill="auto"/>
            <w:noWrap/>
            <w:vAlign w:val="bottom"/>
            <w:hideMark/>
          </w:tcPr>
          <w:p w:rsidR="009C16D2" w:rsidRPr="009C16D2" w:rsidRDefault="009C16D2" w:rsidP="009C16D2">
            <w:pPr>
              <w:spacing w:after="0" w:line="240" w:lineRule="auto"/>
              <w:jc w:val="right"/>
              <w:rPr>
                <w:rFonts w:ascii="Arial" w:eastAsia="Times New Roman" w:hAnsi="Arial" w:cs="Arial"/>
                <w:sz w:val="20"/>
                <w:szCs w:val="20"/>
                <w:lang w:val="nl-NL" w:eastAsia="nl-NL" w:bidi="ar-SA"/>
              </w:rPr>
            </w:pPr>
            <w:r w:rsidRPr="009C16D2">
              <w:rPr>
                <w:rFonts w:ascii="Arial" w:eastAsia="Times New Roman" w:hAnsi="Arial" w:cs="Arial"/>
                <w:sz w:val="20"/>
                <w:szCs w:val="20"/>
                <w:lang w:val="nl-NL" w:eastAsia="nl-NL" w:bidi="ar-SA"/>
              </w:rPr>
              <w:t>9,98E-05</w:t>
            </w:r>
          </w:p>
        </w:tc>
        <w:tc>
          <w:tcPr>
            <w:tcW w:w="1120" w:type="dxa"/>
            <w:tcBorders>
              <w:top w:val="nil"/>
              <w:left w:val="nil"/>
              <w:bottom w:val="nil"/>
              <w:right w:val="nil"/>
            </w:tcBorders>
            <w:shd w:val="clear" w:color="auto" w:fill="auto"/>
            <w:noWrap/>
            <w:vAlign w:val="bottom"/>
            <w:hideMark/>
          </w:tcPr>
          <w:p w:rsidR="009C16D2" w:rsidRPr="009C16D2" w:rsidRDefault="009C16D2" w:rsidP="009C16D2">
            <w:pPr>
              <w:spacing w:after="0" w:line="240" w:lineRule="auto"/>
              <w:rPr>
                <w:rFonts w:ascii="Arial" w:eastAsia="Times New Roman" w:hAnsi="Arial" w:cs="Arial"/>
                <w:sz w:val="20"/>
                <w:szCs w:val="20"/>
                <w:lang w:val="nl-NL" w:eastAsia="nl-NL" w:bidi="ar-SA"/>
              </w:rPr>
            </w:pPr>
          </w:p>
        </w:tc>
        <w:tc>
          <w:tcPr>
            <w:tcW w:w="789" w:type="dxa"/>
            <w:tcBorders>
              <w:top w:val="nil"/>
              <w:left w:val="single" w:sz="4" w:space="0" w:color="auto"/>
              <w:bottom w:val="single" w:sz="4" w:space="0" w:color="auto"/>
              <w:right w:val="single" w:sz="4" w:space="0" w:color="auto"/>
            </w:tcBorders>
            <w:shd w:val="clear" w:color="auto" w:fill="auto"/>
            <w:noWrap/>
            <w:vAlign w:val="bottom"/>
            <w:hideMark/>
          </w:tcPr>
          <w:p w:rsidR="009C16D2" w:rsidRPr="009C16D2" w:rsidRDefault="009C16D2" w:rsidP="009C16D2">
            <w:pPr>
              <w:spacing w:after="0" w:line="240" w:lineRule="auto"/>
              <w:jc w:val="right"/>
              <w:rPr>
                <w:rFonts w:ascii="Arial" w:eastAsia="Times New Roman" w:hAnsi="Arial" w:cs="Arial"/>
                <w:sz w:val="20"/>
                <w:szCs w:val="20"/>
                <w:lang w:val="nl-NL" w:eastAsia="nl-NL" w:bidi="ar-SA"/>
              </w:rPr>
            </w:pPr>
            <w:r w:rsidRPr="009C16D2">
              <w:rPr>
                <w:rFonts w:ascii="Arial" w:eastAsia="Times New Roman" w:hAnsi="Arial" w:cs="Arial"/>
                <w:sz w:val="20"/>
                <w:szCs w:val="20"/>
                <w:lang w:val="nl-NL" w:eastAsia="nl-NL" w:bidi="ar-SA"/>
              </w:rPr>
              <w:t>6</w:t>
            </w:r>
          </w:p>
        </w:tc>
        <w:tc>
          <w:tcPr>
            <w:tcW w:w="1026" w:type="dxa"/>
            <w:tcBorders>
              <w:top w:val="nil"/>
              <w:left w:val="nil"/>
              <w:bottom w:val="single" w:sz="4" w:space="0" w:color="auto"/>
              <w:right w:val="single" w:sz="4" w:space="0" w:color="auto"/>
            </w:tcBorders>
            <w:shd w:val="clear" w:color="auto" w:fill="auto"/>
            <w:noWrap/>
            <w:vAlign w:val="bottom"/>
            <w:hideMark/>
          </w:tcPr>
          <w:p w:rsidR="009C16D2" w:rsidRPr="009C16D2" w:rsidRDefault="009C16D2" w:rsidP="009C16D2">
            <w:pPr>
              <w:spacing w:after="0" w:line="240" w:lineRule="auto"/>
              <w:jc w:val="right"/>
              <w:rPr>
                <w:rFonts w:ascii="Arial" w:eastAsia="Times New Roman" w:hAnsi="Arial" w:cs="Arial"/>
                <w:sz w:val="20"/>
                <w:szCs w:val="20"/>
                <w:lang w:val="nl-NL" w:eastAsia="nl-NL" w:bidi="ar-SA"/>
              </w:rPr>
            </w:pPr>
            <w:r w:rsidRPr="009C16D2">
              <w:rPr>
                <w:rFonts w:ascii="Arial" w:eastAsia="Times New Roman" w:hAnsi="Arial" w:cs="Arial"/>
                <w:sz w:val="20"/>
                <w:szCs w:val="20"/>
                <w:lang w:val="nl-NL" w:eastAsia="nl-NL" w:bidi="ar-SA"/>
              </w:rPr>
              <w:t>1,197269</w:t>
            </w:r>
          </w:p>
        </w:tc>
        <w:tc>
          <w:tcPr>
            <w:tcW w:w="1026" w:type="dxa"/>
            <w:tcBorders>
              <w:top w:val="nil"/>
              <w:left w:val="nil"/>
              <w:bottom w:val="single" w:sz="4" w:space="0" w:color="auto"/>
              <w:right w:val="single" w:sz="4" w:space="0" w:color="auto"/>
            </w:tcBorders>
            <w:shd w:val="clear" w:color="auto" w:fill="auto"/>
            <w:noWrap/>
            <w:vAlign w:val="bottom"/>
            <w:hideMark/>
          </w:tcPr>
          <w:p w:rsidR="009C16D2" w:rsidRPr="009C16D2" w:rsidRDefault="009C16D2" w:rsidP="009C16D2">
            <w:pPr>
              <w:spacing w:after="0" w:line="240" w:lineRule="auto"/>
              <w:jc w:val="right"/>
              <w:rPr>
                <w:rFonts w:ascii="Arial" w:eastAsia="Times New Roman" w:hAnsi="Arial" w:cs="Arial"/>
                <w:sz w:val="20"/>
                <w:szCs w:val="20"/>
                <w:lang w:val="nl-NL" w:eastAsia="nl-NL" w:bidi="ar-SA"/>
              </w:rPr>
            </w:pPr>
            <w:r w:rsidRPr="009C16D2">
              <w:rPr>
                <w:rFonts w:ascii="Arial" w:eastAsia="Times New Roman" w:hAnsi="Arial" w:cs="Arial"/>
                <w:sz w:val="20"/>
                <w:szCs w:val="20"/>
                <w:lang w:val="nl-NL" w:eastAsia="nl-NL" w:bidi="ar-SA"/>
              </w:rPr>
              <w:t>0,170085</w:t>
            </w:r>
          </w:p>
        </w:tc>
      </w:tr>
      <w:tr w:rsidR="009C16D2" w:rsidRPr="009C16D2" w:rsidTr="009C16D2">
        <w:trPr>
          <w:trHeight w:val="255"/>
        </w:trPr>
        <w:tc>
          <w:tcPr>
            <w:tcW w:w="848" w:type="dxa"/>
            <w:tcBorders>
              <w:top w:val="nil"/>
              <w:left w:val="single" w:sz="4" w:space="0" w:color="auto"/>
              <w:bottom w:val="single" w:sz="4" w:space="0" w:color="auto"/>
              <w:right w:val="single" w:sz="4" w:space="0" w:color="auto"/>
            </w:tcBorders>
            <w:shd w:val="clear" w:color="auto" w:fill="auto"/>
            <w:noWrap/>
            <w:vAlign w:val="bottom"/>
            <w:hideMark/>
          </w:tcPr>
          <w:p w:rsidR="009C16D2" w:rsidRPr="009C16D2" w:rsidRDefault="009C16D2" w:rsidP="009C16D2">
            <w:pPr>
              <w:spacing w:after="0" w:line="240" w:lineRule="auto"/>
              <w:jc w:val="right"/>
              <w:rPr>
                <w:rFonts w:ascii="Arial" w:eastAsia="Times New Roman" w:hAnsi="Arial" w:cs="Arial"/>
                <w:sz w:val="20"/>
                <w:szCs w:val="20"/>
                <w:lang w:val="nl-NL" w:eastAsia="nl-NL" w:bidi="ar-SA"/>
              </w:rPr>
            </w:pPr>
            <w:r w:rsidRPr="009C16D2">
              <w:rPr>
                <w:rFonts w:ascii="Arial" w:eastAsia="Times New Roman" w:hAnsi="Arial" w:cs="Arial"/>
                <w:sz w:val="20"/>
                <w:szCs w:val="20"/>
                <w:lang w:val="nl-NL" w:eastAsia="nl-NL" w:bidi="ar-SA"/>
              </w:rPr>
              <w:t>7</w:t>
            </w:r>
          </w:p>
        </w:tc>
        <w:tc>
          <w:tcPr>
            <w:tcW w:w="1186" w:type="dxa"/>
            <w:tcBorders>
              <w:top w:val="nil"/>
              <w:left w:val="nil"/>
              <w:bottom w:val="single" w:sz="4" w:space="0" w:color="auto"/>
              <w:right w:val="single" w:sz="4" w:space="0" w:color="auto"/>
            </w:tcBorders>
            <w:shd w:val="clear" w:color="auto" w:fill="auto"/>
            <w:noWrap/>
            <w:vAlign w:val="bottom"/>
            <w:hideMark/>
          </w:tcPr>
          <w:p w:rsidR="009C16D2" w:rsidRPr="009C16D2" w:rsidRDefault="009C16D2" w:rsidP="009C16D2">
            <w:pPr>
              <w:spacing w:after="0" w:line="240" w:lineRule="auto"/>
              <w:jc w:val="right"/>
              <w:rPr>
                <w:rFonts w:ascii="Arial" w:eastAsia="Times New Roman" w:hAnsi="Arial" w:cs="Arial"/>
                <w:sz w:val="20"/>
                <w:szCs w:val="20"/>
                <w:lang w:val="nl-NL" w:eastAsia="nl-NL" w:bidi="ar-SA"/>
              </w:rPr>
            </w:pPr>
            <w:r w:rsidRPr="009C16D2">
              <w:rPr>
                <w:rFonts w:ascii="Arial" w:eastAsia="Times New Roman" w:hAnsi="Arial" w:cs="Arial"/>
                <w:sz w:val="20"/>
                <w:szCs w:val="20"/>
                <w:lang w:val="nl-NL" w:eastAsia="nl-NL" w:bidi="ar-SA"/>
              </w:rPr>
              <w:t>-0,000154</w:t>
            </w:r>
          </w:p>
        </w:tc>
        <w:tc>
          <w:tcPr>
            <w:tcW w:w="1186" w:type="dxa"/>
            <w:tcBorders>
              <w:top w:val="nil"/>
              <w:left w:val="nil"/>
              <w:bottom w:val="single" w:sz="4" w:space="0" w:color="auto"/>
              <w:right w:val="single" w:sz="4" w:space="0" w:color="auto"/>
            </w:tcBorders>
            <w:shd w:val="clear" w:color="auto" w:fill="auto"/>
            <w:noWrap/>
            <w:vAlign w:val="bottom"/>
            <w:hideMark/>
          </w:tcPr>
          <w:p w:rsidR="009C16D2" w:rsidRPr="009C16D2" w:rsidRDefault="009C16D2" w:rsidP="009C16D2">
            <w:pPr>
              <w:spacing w:after="0" w:line="240" w:lineRule="auto"/>
              <w:jc w:val="right"/>
              <w:rPr>
                <w:rFonts w:ascii="Arial" w:eastAsia="Times New Roman" w:hAnsi="Arial" w:cs="Arial"/>
                <w:sz w:val="20"/>
                <w:szCs w:val="20"/>
                <w:lang w:val="nl-NL" w:eastAsia="nl-NL" w:bidi="ar-SA"/>
              </w:rPr>
            </w:pPr>
            <w:r w:rsidRPr="009C16D2">
              <w:rPr>
                <w:rFonts w:ascii="Arial" w:eastAsia="Times New Roman" w:hAnsi="Arial" w:cs="Arial"/>
                <w:sz w:val="20"/>
                <w:szCs w:val="20"/>
                <w:lang w:val="nl-NL" w:eastAsia="nl-NL" w:bidi="ar-SA"/>
              </w:rPr>
              <w:t>-6,37E-05</w:t>
            </w:r>
          </w:p>
        </w:tc>
        <w:tc>
          <w:tcPr>
            <w:tcW w:w="1160" w:type="dxa"/>
            <w:tcBorders>
              <w:top w:val="nil"/>
              <w:left w:val="nil"/>
              <w:bottom w:val="single" w:sz="4" w:space="0" w:color="auto"/>
              <w:right w:val="single" w:sz="4" w:space="0" w:color="auto"/>
            </w:tcBorders>
            <w:shd w:val="clear" w:color="auto" w:fill="auto"/>
            <w:noWrap/>
            <w:vAlign w:val="bottom"/>
            <w:hideMark/>
          </w:tcPr>
          <w:p w:rsidR="009C16D2" w:rsidRPr="009C16D2" w:rsidRDefault="009C16D2" w:rsidP="009C16D2">
            <w:pPr>
              <w:spacing w:after="0" w:line="240" w:lineRule="auto"/>
              <w:jc w:val="right"/>
              <w:rPr>
                <w:rFonts w:ascii="Arial" w:eastAsia="Times New Roman" w:hAnsi="Arial" w:cs="Arial"/>
                <w:sz w:val="20"/>
                <w:szCs w:val="20"/>
                <w:lang w:val="nl-NL" w:eastAsia="nl-NL" w:bidi="ar-SA"/>
              </w:rPr>
            </w:pPr>
            <w:r w:rsidRPr="009C16D2">
              <w:rPr>
                <w:rFonts w:ascii="Arial" w:eastAsia="Times New Roman" w:hAnsi="Arial" w:cs="Arial"/>
                <w:sz w:val="20"/>
                <w:szCs w:val="20"/>
                <w:lang w:val="nl-NL" w:eastAsia="nl-NL" w:bidi="ar-SA"/>
              </w:rPr>
              <w:t>0,000122</w:t>
            </w:r>
          </w:p>
        </w:tc>
        <w:tc>
          <w:tcPr>
            <w:tcW w:w="1120" w:type="dxa"/>
            <w:tcBorders>
              <w:top w:val="nil"/>
              <w:left w:val="nil"/>
              <w:bottom w:val="nil"/>
              <w:right w:val="nil"/>
            </w:tcBorders>
            <w:shd w:val="clear" w:color="auto" w:fill="auto"/>
            <w:noWrap/>
            <w:vAlign w:val="bottom"/>
            <w:hideMark/>
          </w:tcPr>
          <w:p w:rsidR="009C16D2" w:rsidRPr="009C16D2" w:rsidRDefault="009C16D2" w:rsidP="009C16D2">
            <w:pPr>
              <w:spacing w:after="0" w:line="240" w:lineRule="auto"/>
              <w:rPr>
                <w:rFonts w:ascii="Arial" w:eastAsia="Times New Roman" w:hAnsi="Arial" w:cs="Arial"/>
                <w:sz w:val="20"/>
                <w:szCs w:val="20"/>
                <w:lang w:val="nl-NL" w:eastAsia="nl-NL" w:bidi="ar-SA"/>
              </w:rPr>
            </w:pPr>
          </w:p>
        </w:tc>
        <w:tc>
          <w:tcPr>
            <w:tcW w:w="789" w:type="dxa"/>
            <w:tcBorders>
              <w:top w:val="nil"/>
              <w:left w:val="single" w:sz="4" w:space="0" w:color="auto"/>
              <w:bottom w:val="single" w:sz="4" w:space="0" w:color="auto"/>
              <w:right w:val="single" w:sz="4" w:space="0" w:color="auto"/>
            </w:tcBorders>
            <w:shd w:val="clear" w:color="auto" w:fill="auto"/>
            <w:noWrap/>
            <w:vAlign w:val="bottom"/>
            <w:hideMark/>
          </w:tcPr>
          <w:p w:rsidR="009C16D2" w:rsidRPr="009C16D2" w:rsidRDefault="009C16D2" w:rsidP="009C16D2">
            <w:pPr>
              <w:spacing w:after="0" w:line="240" w:lineRule="auto"/>
              <w:jc w:val="right"/>
              <w:rPr>
                <w:rFonts w:ascii="Arial" w:eastAsia="Times New Roman" w:hAnsi="Arial" w:cs="Arial"/>
                <w:sz w:val="20"/>
                <w:szCs w:val="20"/>
                <w:lang w:val="nl-NL" w:eastAsia="nl-NL" w:bidi="ar-SA"/>
              </w:rPr>
            </w:pPr>
            <w:r w:rsidRPr="009C16D2">
              <w:rPr>
                <w:rFonts w:ascii="Arial" w:eastAsia="Times New Roman" w:hAnsi="Arial" w:cs="Arial"/>
                <w:sz w:val="20"/>
                <w:szCs w:val="20"/>
                <w:lang w:val="nl-NL" w:eastAsia="nl-NL" w:bidi="ar-SA"/>
              </w:rPr>
              <w:t>7</w:t>
            </w:r>
          </w:p>
        </w:tc>
        <w:tc>
          <w:tcPr>
            <w:tcW w:w="1026" w:type="dxa"/>
            <w:tcBorders>
              <w:top w:val="nil"/>
              <w:left w:val="nil"/>
              <w:bottom w:val="single" w:sz="4" w:space="0" w:color="auto"/>
              <w:right w:val="single" w:sz="4" w:space="0" w:color="auto"/>
            </w:tcBorders>
            <w:shd w:val="clear" w:color="auto" w:fill="auto"/>
            <w:noWrap/>
            <w:vAlign w:val="bottom"/>
            <w:hideMark/>
          </w:tcPr>
          <w:p w:rsidR="009C16D2" w:rsidRPr="009C16D2" w:rsidRDefault="009C16D2" w:rsidP="009C16D2">
            <w:pPr>
              <w:spacing w:after="0" w:line="240" w:lineRule="auto"/>
              <w:jc w:val="right"/>
              <w:rPr>
                <w:rFonts w:ascii="Arial" w:eastAsia="Times New Roman" w:hAnsi="Arial" w:cs="Arial"/>
                <w:sz w:val="20"/>
                <w:szCs w:val="20"/>
                <w:lang w:val="nl-NL" w:eastAsia="nl-NL" w:bidi="ar-SA"/>
              </w:rPr>
            </w:pPr>
            <w:r w:rsidRPr="009C16D2">
              <w:rPr>
                <w:rFonts w:ascii="Arial" w:eastAsia="Times New Roman" w:hAnsi="Arial" w:cs="Arial"/>
                <w:sz w:val="20"/>
                <w:szCs w:val="20"/>
                <w:lang w:val="nl-NL" w:eastAsia="nl-NL" w:bidi="ar-SA"/>
              </w:rPr>
              <w:t>1,19012</w:t>
            </w:r>
          </w:p>
        </w:tc>
        <w:tc>
          <w:tcPr>
            <w:tcW w:w="1026" w:type="dxa"/>
            <w:tcBorders>
              <w:top w:val="nil"/>
              <w:left w:val="nil"/>
              <w:bottom w:val="single" w:sz="4" w:space="0" w:color="auto"/>
              <w:right w:val="single" w:sz="4" w:space="0" w:color="auto"/>
            </w:tcBorders>
            <w:shd w:val="clear" w:color="auto" w:fill="auto"/>
            <w:noWrap/>
            <w:vAlign w:val="bottom"/>
            <w:hideMark/>
          </w:tcPr>
          <w:p w:rsidR="009C16D2" w:rsidRPr="009C16D2" w:rsidRDefault="009C16D2" w:rsidP="009C16D2">
            <w:pPr>
              <w:spacing w:after="0" w:line="240" w:lineRule="auto"/>
              <w:jc w:val="right"/>
              <w:rPr>
                <w:rFonts w:ascii="Arial" w:eastAsia="Times New Roman" w:hAnsi="Arial" w:cs="Arial"/>
                <w:sz w:val="20"/>
                <w:szCs w:val="20"/>
                <w:lang w:val="nl-NL" w:eastAsia="nl-NL" w:bidi="ar-SA"/>
              </w:rPr>
            </w:pPr>
            <w:r w:rsidRPr="009C16D2">
              <w:rPr>
                <w:rFonts w:ascii="Arial" w:eastAsia="Times New Roman" w:hAnsi="Arial" w:cs="Arial"/>
                <w:sz w:val="20"/>
                <w:szCs w:val="20"/>
                <w:lang w:val="nl-NL" w:eastAsia="nl-NL" w:bidi="ar-SA"/>
              </w:rPr>
              <w:t>0,161508</w:t>
            </w:r>
          </w:p>
        </w:tc>
      </w:tr>
      <w:tr w:rsidR="009C16D2" w:rsidRPr="009C16D2" w:rsidTr="009C16D2">
        <w:trPr>
          <w:trHeight w:val="255"/>
        </w:trPr>
        <w:tc>
          <w:tcPr>
            <w:tcW w:w="848" w:type="dxa"/>
            <w:tcBorders>
              <w:top w:val="nil"/>
              <w:left w:val="single" w:sz="4" w:space="0" w:color="auto"/>
              <w:bottom w:val="single" w:sz="4" w:space="0" w:color="auto"/>
              <w:right w:val="single" w:sz="4" w:space="0" w:color="auto"/>
            </w:tcBorders>
            <w:shd w:val="clear" w:color="auto" w:fill="auto"/>
            <w:noWrap/>
            <w:vAlign w:val="bottom"/>
            <w:hideMark/>
          </w:tcPr>
          <w:p w:rsidR="009C16D2" w:rsidRPr="009C16D2" w:rsidRDefault="009C16D2" w:rsidP="009C16D2">
            <w:pPr>
              <w:spacing w:after="0" w:line="240" w:lineRule="auto"/>
              <w:jc w:val="right"/>
              <w:rPr>
                <w:rFonts w:ascii="Arial" w:eastAsia="Times New Roman" w:hAnsi="Arial" w:cs="Arial"/>
                <w:sz w:val="20"/>
                <w:szCs w:val="20"/>
                <w:lang w:val="nl-NL" w:eastAsia="nl-NL" w:bidi="ar-SA"/>
              </w:rPr>
            </w:pPr>
            <w:r w:rsidRPr="009C16D2">
              <w:rPr>
                <w:rFonts w:ascii="Arial" w:eastAsia="Times New Roman" w:hAnsi="Arial" w:cs="Arial"/>
                <w:sz w:val="20"/>
                <w:szCs w:val="20"/>
                <w:lang w:val="nl-NL" w:eastAsia="nl-NL" w:bidi="ar-SA"/>
              </w:rPr>
              <w:t>8</w:t>
            </w:r>
          </w:p>
        </w:tc>
        <w:tc>
          <w:tcPr>
            <w:tcW w:w="1186" w:type="dxa"/>
            <w:tcBorders>
              <w:top w:val="nil"/>
              <w:left w:val="nil"/>
              <w:bottom w:val="single" w:sz="4" w:space="0" w:color="auto"/>
              <w:right w:val="single" w:sz="4" w:space="0" w:color="auto"/>
            </w:tcBorders>
            <w:shd w:val="clear" w:color="auto" w:fill="auto"/>
            <w:noWrap/>
            <w:vAlign w:val="bottom"/>
            <w:hideMark/>
          </w:tcPr>
          <w:p w:rsidR="009C16D2" w:rsidRPr="009C16D2" w:rsidRDefault="009C16D2" w:rsidP="009C16D2">
            <w:pPr>
              <w:spacing w:after="0" w:line="240" w:lineRule="auto"/>
              <w:jc w:val="right"/>
              <w:rPr>
                <w:rFonts w:ascii="Arial" w:eastAsia="Times New Roman" w:hAnsi="Arial" w:cs="Arial"/>
                <w:sz w:val="20"/>
                <w:szCs w:val="20"/>
                <w:lang w:val="nl-NL" w:eastAsia="nl-NL" w:bidi="ar-SA"/>
              </w:rPr>
            </w:pPr>
            <w:r w:rsidRPr="009C16D2">
              <w:rPr>
                <w:rFonts w:ascii="Arial" w:eastAsia="Times New Roman" w:hAnsi="Arial" w:cs="Arial"/>
                <w:sz w:val="20"/>
                <w:szCs w:val="20"/>
                <w:lang w:val="nl-NL" w:eastAsia="nl-NL" w:bidi="ar-SA"/>
              </w:rPr>
              <w:t>-0,000136</w:t>
            </w:r>
          </w:p>
        </w:tc>
        <w:tc>
          <w:tcPr>
            <w:tcW w:w="1186" w:type="dxa"/>
            <w:tcBorders>
              <w:top w:val="nil"/>
              <w:left w:val="nil"/>
              <w:bottom w:val="single" w:sz="4" w:space="0" w:color="auto"/>
              <w:right w:val="single" w:sz="4" w:space="0" w:color="auto"/>
            </w:tcBorders>
            <w:shd w:val="clear" w:color="auto" w:fill="auto"/>
            <w:noWrap/>
            <w:vAlign w:val="bottom"/>
            <w:hideMark/>
          </w:tcPr>
          <w:p w:rsidR="009C16D2" w:rsidRPr="009C16D2" w:rsidRDefault="009C16D2" w:rsidP="009C16D2">
            <w:pPr>
              <w:spacing w:after="0" w:line="240" w:lineRule="auto"/>
              <w:jc w:val="right"/>
              <w:rPr>
                <w:rFonts w:ascii="Arial" w:eastAsia="Times New Roman" w:hAnsi="Arial" w:cs="Arial"/>
                <w:sz w:val="20"/>
                <w:szCs w:val="20"/>
                <w:lang w:val="nl-NL" w:eastAsia="nl-NL" w:bidi="ar-SA"/>
              </w:rPr>
            </w:pPr>
            <w:r w:rsidRPr="009C16D2">
              <w:rPr>
                <w:rFonts w:ascii="Arial" w:eastAsia="Times New Roman" w:hAnsi="Arial" w:cs="Arial"/>
                <w:sz w:val="20"/>
                <w:szCs w:val="20"/>
                <w:lang w:val="nl-NL" w:eastAsia="nl-NL" w:bidi="ar-SA"/>
              </w:rPr>
              <w:t>-4,23E-05</w:t>
            </w:r>
          </w:p>
        </w:tc>
        <w:tc>
          <w:tcPr>
            <w:tcW w:w="1160" w:type="dxa"/>
            <w:tcBorders>
              <w:top w:val="nil"/>
              <w:left w:val="nil"/>
              <w:bottom w:val="single" w:sz="4" w:space="0" w:color="auto"/>
              <w:right w:val="single" w:sz="4" w:space="0" w:color="auto"/>
            </w:tcBorders>
            <w:shd w:val="clear" w:color="auto" w:fill="auto"/>
            <w:noWrap/>
            <w:vAlign w:val="bottom"/>
            <w:hideMark/>
          </w:tcPr>
          <w:p w:rsidR="009C16D2" w:rsidRPr="009C16D2" w:rsidRDefault="009C16D2" w:rsidP="009C16D2">
            <w:pPr>
              <w:spacing w:after="0" w:line="240" w:lineRule="auto"/>
              <w:jc w:val="right"/>
              <w:rPr>
                <w:rFonts w:ascii="Arial" w:eastAsia="Times New Roman" w:hAnsi="Arial" w:cs="Arial"/>
                <w:sz w:val="20"/>
                <w:szCs w:val="20"/>
                <w:lang w:val="nl-NL" w:eastAsia="nl-NL" w:bidi="ar-SA"/>
              </w:rPr>
            </w:pPr>
            <w:r w:rsidRPr="009C16D2">
              <w:rPr>
                <w:rFonts w:ascii="Arial" w:eastAsia="Times New Roman" w:hAnsi="Arial" w:cs="Arial"/>
                <w:sz w:val="20"/>
                <w:szCs w:val="20"/>
                <w:lang w:val="nl-NL" w:eastAsia="nl-NL" w:bidi="ar-SA"/>
              </w:rPr>
              <w:t>0,000144</w:t>
            </w:r>
          </w:p>
        </w:tc>
        <w:tc>
          <w:tcPr>
            <w:tcW w:w="1120" w:type="dxa"/>
            <w:tcBorders>
              <w:top w:val="nil"/>
              <w:left w:val="nil"/>
              <w:bottom w:val="nil"/>
              <w:right w:val="nil"/>
            </w:tcBorders>
            <w:shd w:val="clear" w:color="auto" w:fill="auto"/>
            <w:noWrap/>
            <w:vAlign w:val="bottom"/>
            <w:hideMark/>
          </w:tcPr>
          <w:p w:rsidR="009C16D2" w:rsidRPr="009C16D2" w:rsidRDefault="009C16D2" w:rsidP="009C16D2">
            <w:pPr>
              <w:spacing w:after="0" w:line="240" w:lineRule="auto"/>
              <w:rPr>
                <w:rFonts w:ascii="Arial" w:eastAsia="Times New Roman" w:hAnsi="Arial" w:cs="Arial"/>
                <w:sz w:val="20"/>
                <w:szCs w:val="20"/>
                <w:lang w:val="nl-NL" w:eastAsia="nl-NL" w:bidi="ar-SA"/>
              </w:rPr>
            </w:pPr>
          </w:p>
        </w:tc>
        <w:tc>
          <w:tcPr>
            <w:tcW w:w="789" w:type="dxa"/>
            <w:tcBorders>
              <w:top w:val="nil"/>
              <w:left w:val="single" w:sz="4" w:space="0" w:color="auto"/>
              <w:bottom w:val="single" w:sz="4" w:space="0" w:color="auto"/>
              <w:right w:val="single" w:sz="4" w:space="0" w:color="auto"/>
            </w:tcBorders>
            <w:shd w:val="clear" w:color="auto" w:fill="auto"/>
            <w:noWrap/>
            <w:vAlign w:val="bottom"/>
            <w:hideMark/>
          </w:tcPr>
          <w:p w:rsidR="009C16D2" w:rsidRPr="009C16D2" w:rsidRDefault="009C16D2" w:rsidP="009C16D2">
            <w:pPr>
              <w:spacing w:after="0" w:line="240" w:lineRule="auto"/>
              <w:jc w:val="right"/>
              <w:rPr>
                <w:rFonts w:ascii="Arial" w:eastAsia="Times New Roman" w:hAnsi="Arial" w:cs="Arial"/>
                <w:sz w:val="20"/>
                <w:szCs w:val="20"/>
                <w:lang w:val="nl-NL" w:eastAsia="nl-NL" w:bidi="ar-SA"/>
              </w:rPr>
            </w:pPr>
            <w:r w:rsidRPr="009C16D2">
              <w:rPr>
                <w:rFonts w:ascii="Arial" w:eastAsia="Times New Roman" w:hAnsi="Arial" w:cs="Arial"/>
                <w:sz w:val="20"/>
                <w:szCs w:val="20"/>
                <w:lang w:val="nl-NL" w:eastAsia="nl-NL" w:bidi="ar-SA"/>
              </w:rPr>
              <w:t>8</w:t>
            </w:r>
          </w:p>
        </w:tc>
        <w:tc>
          <w:tcPr>
            <w:tcW w:w="1026" w:type="dxa"/>
            <w:tcBorders>
              <w:top w:val="nil"/>
              <w:left w:val="nil"/>
              <w:bottom w:val="single" w:sz="4" w:space="0" w:color="auto"/>
              <w:right w:val="single" w:sz="4" w:space="0" w:color="auto"/>
            </w:tcBorders>
            <w:shd w:val="clear" w:color="auto" w:fill="auto"/>
            <w:noWrap/>
            <w:vAlign w:val="bottom"/>
            <w:hideMark/>
          </w:tcPr>
          <w:p w:rsidR="009C16D2" w:rsidRPr="009C16D2" w:rsidRDefault="009C16D2" w:rsidP="009C16D2">
            <w:pPr>
              <w:spacing w:after="0" w:line="240" w:lineRule="auto"/>
              <w:jc w:val="right"/>
              <w:rPr>
                <w:rFonts w:ascii="Arial" w:eastAsia="Times New Roman" w:hAnsi="Arial" w:cs="Arial"/>
                <w:sz w:val="20"/>
                <w:szCs w:val="20"/>
                <w:lang w:val="nl-NL" w:eastAsia="nl-NL" w:bidi="ar-SA"/>
              </w:rPr>
            </w:pPr>
            <w:r w:rsidRPr="009C16D2">
              <w:rPr>
                <w:rFonts w:ascii="Arial" w:eastAsia="Times New Roman" w:hAnsi="Arial" w:cs="Arial"/>
                <w:sz w:val="20"/>
                <w:szCs w:val="20"/>
                <w:lang w:val="nl-NL" w:eastAsia="nl-NL" w:bidi="ar-SA"/>
              </w:rPr>
              <w:t>1,182992</w:t>
            </w:r>
          </w:p>
        </w:tc>
        <w:tc>
          <w:tcPr>
            <w:tcW w:w="1026" w:type="dxa"/>
            <w:tcBorders>
              <w:top w:val="nil"/>
              <w:left w:val="nil"/>
              <w:bottom w:val="single" w:sz="4" w:space="0" w:color="auto"/>
              <w:right w:val="single" w:sz="4" w:space="0" w:color="auto"/>
            </w:tcBorders>
            <w:shd w:val="clear" w:color="auto" w:fill="auto"/>
            <w:noWrap/>
            <w:vAlign w:val="bottom"/>
            <w:hideMark/>
          </w:tcPr>
          <w:p w:rsidR="009C16D2" w:rsidRPr="009C16D2" w:rsidRDefault="009C16D2" w:rsidP="009C16D2">
            <w:pPr>
              <w:spacing w:after="0" w:line="240" w:lineRule="auto"/>
              <w:jc w:val="right"/>
              <w:rPr>
                <w:rFonts w:ascii="Arial" w:eastAsia="Times New Roman" w:hAnsi="Arial" w:cs="Arial"/>
                <w:sz w:val="20"/>
                <w:szCs w:val="20"/>
                <w:lang w:val="nl-NL" w:eastAsia="nl-NL" w:bidi="ar-SA"/>
              </w:rPr>
            </w:pPr>
            <w:r w:rsidRPr="009C16D2">
              <w:rPr>
                <w:rFonts w:ascii="Arial" w:eastAsia="Times New Roman" w:hAnsi="Arial" w:cs="Arial"/>
                <w:sz w:val="20"/>
                <w:szCs w:val="20"/>
                <w:lang w:val="nl-NL" w:eastAsia="nl-NL" w:bidi="ar-SA"/>
              </w:rPr>
              <w:t>0,152965</w:t>
            </w:r>
          </w:p>
        </w:tc>
      </w:tr>
      <w:tr w:rsidR="009C16D2" w:rsidRPr="009C16D2" w:rsidTr="009C16D2">
        <w:trPr>
          <w:trHeight w:val="255"/>
        </w:trPr>
        <w:tc>
          <w:tcPr>
            <w:tcW w:w="848" w:type="dxa"/>
            <w:tcBorders>
              <w:top w:val="nil"/>
              <w:left w:val="single" w:sz="4" w:space="0" w:color="auto"/>
              <w:bottom w:val="single" w:sz="4" w:space="0" w:color="auto"/>
              <w:right w:val="single" w:sz="4" w:space="0" w:color="auto"/>
            </w:tcBorders>
            <w:shd w:val="clear" w:color="auto" w:fill="auto"/>
            <w:noWrap/>
            <w:vAlign w:val="bottom"/>
            <w:hideMark/>
          </w:tcPr>
          <w:p w:rsidR="009C16D2" w:rsidRPr="009C16D2" w:rsidRDefault="009C16D2" w:rsidP="009C16D2">
            <w:pPr>
              <w:spacing w:after="0" w:line="240" w:lineRule="auto"/>
              <w:jc w:val="right"/>
              <w:rPr>
                <w:rFonts w:ascii="Arial" w:eastAsia="Times New Roman" w:hAnsi="Arial" w:cs="Arial"/>
                <w:sz w:val="20"/>
                <w:szCs w:val="20"/>
                <w:lang w:val="nl-NL" w:eastAsia="nl-NL" w:bidi="ar-SA"/>
              </w:rPr>
            </w:pPr>
            <w:r w:rsidRPr="009C16D2">
              <w:rPr>
                <w:rFonts w:ascii="Arial" w:eastAsia="Times New Roman" w:hAnsi="Arial" w:cs="Arial"/>
                <w:sz w:val="20"/>
                <w:szCs w:val="20"/>
                <w:lang w:val="nl-NL" w:eastAsia="nl-NL" w:bidi="ar-SA"/>
              </w:rPr>
              <w:t>9</w:t>
            </w:r>
          </w:p>
        </w:tc>
        <w:tc>
          <w:tcPr>
            <w:tcW w:w="1186" w:type="dxa"/>
            <w:tcBorders>
              <w:top w:val="nil"/>
              <w:left w:val="nil"/>
              <w:bottom w:val="single" w:sz="4" w:space="0" w:color="auto"/>
              <w:right w:val="single" w:sz="4" w:space="0" w:color="auto"/>
            </w:tcBorders>
            <w:shd w:val="clear" w:color="auto" w:fill="auto"/>
            <w:noWrap/>
            <w:vAlign w:val="bottom"/>
            <w:hideMark/>
          </w:tcPr>
          <w:p w:rsidR="009C16D2" w:rsidRPr="009C16D2" w:rsidRDefault="009C16D2" w:rsidP="009C16D2">
            <w:pPr>
              <w:spacing w:after="0" w:line="240" w:lineRule="auto"/>
              <w:jc w:val="right"/>
              <w:rPr>
                <w:rFonts w:ascii="Arial" w:eastAsia="Times New Roman" w:hAnsi="Arial" w:cs="Arial"/>
                <w:sz w:val="20"/>
                <w:szCs w:val="20"/>
                <w:lang w:val="nl-NL" w:eastAsia="nl-NL" w:bidi="ar-SA"/>
              </w:rPr>
            </w:pPr>
            <w:r w:rsidRPr="009C16D2">
              <w:rPr>
                <w:rFonts w:ascii="Arial" w:eastAsia="Times New Roman" w:hAnsi="Arial" w:cs="Arial"/>
                <w:sz w:val="20"/>
                <w:szCs w:val="20"/>
                <w:lang w:val="nl-NL" w:eastAsia="nl-NL" w:bidi="ar-SA"/>
              </w:rPr>
              <w:t>-0,000119</w:t>
            </w:r>
          </w:p>
        </w:tc>
        <w:tc>
          <w:tcPr>
            <w:tcW w:w="1186" w:type="dxa"/>
            <w:tcBorders>
              <w:top w:val="nil"/>
              <w:left w:val="nil"/>
              <w:bottom w:val="single" w:sz="4" w:space="0" w:color="auto"/>
              <w:right w:val="single" w:sz="4" w:space="0" w:color="auto"/>
            </w:tcBorders>
            <w:shd w:val="clear" w:color="auto" w:fill="auto"/>
            <w:noWrap/>
            <w:vAlign w:val="bottom"/>
            <w:hideMark/>
          </w:tcPr>
          <w:p w:rsidR="009C16D2" w:rsidRPr="009C16D2" w:rsidRDefault="009C16D2" w:rsidP="009C16D2">
            <w:pPr>
              <w:spacing w:after="0" w:line="240" w:lineRule="auto"/>
              <w:jc w:val="right"/>
              <w:rPr>
                <w:rFonts w:ascii="Arial" w:eastAsia="Times New Roman" w:hAnsi="Arial" w:cs="Arial"/>
                <w:sz w:val="20"/>
                <w:szCs w:val="20"/>
                <w:lang w:val="nl-NL" w:eastAsia="nl-NL" w:bidi="ar-SA"/>
              </w:rPr>
            </w:pPr>
            <w:r w:rsidRPr="009C16D2">
              <w:rPr>
                <w:rFonts w:ascii="Arial" w:eastAsia="Times New Roman" w:hAnsi="Arial" w:cs="Arial"/>
                <w:sz w:val="20"/>
                <w:szCs w:val="20"/>
                <w:lang w:val="nl-NL" w:eastAsia="nl-NL" w:bidi="ar-SA"/>
              </w:rPr>
              <w:t>-2,10E-05</w:t>
            </w:r>
          </w:p>
        </w:tc>
        <w:tc>
          <w:tcPr>
            <w:tcW w:w="1160" w:type="dxa"/>
            <w:tcBorders>
              <w:top w:val="nil"/>
              <w:left w:val="nil"/>
              <w:bottom w:val="single" w:sz="4" w:space="0" w:color="auto"/>
              <w:right w:val="single" w:sz="4" w:space="0" w:color="auto"/>
            </w:tcBorders>
            <w:shd w:val="clear" w:color="auto" w:fill="auto"/>
            <w:noWrap/>
            <w:vAlign w:val="bottom"/>
            <w:hideMark/>
          </w:tcPr>
          <w:p w:rsidR="009C16D2" w:rsidRPr="009C16D2" w:rsidRDefault="009C16D2" w:rsidP="009C16D2">
            <w:pPr>
              <w:spacing w:after="0" w:line="240" w:lineRule="auto"/>
              <w:jc w:val="right"/>
              <w:rPr>
                <w:rFonts w:ascii="Arial" w:eastAsia="Times New Roman" w:hAnsi="Arial" w:cs="Arial"/>
                <w:sz w:val="20"/>
                <w:szCs w:val="20"/>
                <w:lang w:val="nl-NL" w:eastAsia="nl-NL" w:bidi="ar-SA"/>
              </w:rPr>
            </w:pPr>
            <w:r w:rsidRPr="009C16D2">
              <w:rPr>
                <w:rFonts w:ascii="Arial" w:eastAsia="Times New Roman" w:hAnsi="Arial" w:cs="Arial"/>
                <w:sz w:val="20"/>
                <w:szCs w:val="20"/>
                <w:lang w:val="nl-NL" w:eastAsia="nl-NL" w:bidi="ar-SA"/>
              </w:rPr>
              <w:t>0,000165</w:t>
            </w:r>
          </w:p>
        </w:tc>
        <w:tc>
          <w:tcPr>
            <w:tcW w:w="1120" w:type="dxa"/>
            <w:tcBorders>
              <w:top w:val="nil"/>
              <w:left w:val="nil"/>
              <w:bottom w:val="nil"/>
              <w:right w:val="nil"/>
            </w:tcBorders>
            <w:shd w:val="clear" w:color="auto" w:fill="auto"/>
            <w:noWrap/>
            <w:vAlign w:val="bottom"/>
            <w:hideMark/>
          </w:tcPr>
          <w:p w:rsidR="009C16D2" w:rsidRPr="009C16D2" w:rsidRDefault="009C16D2" w:rsidP="009C16D2">
            <w:pPr>
              <w:spacing w:after="0" w:line="240" w:lineRule="auto"/>
              <w:rPr>
                <w:rFonts w:ascii="Arial" w:eastAsia="Times New Roman" w:hAnsi="Arial" w:cs="Arial"/>
                <w:sz w:val="20"/>
                <w:szCs w:val="20"/>
                <w:lang w:val="nl-NL" w:eastAsia="nl-NL" w:bidi="ar-SA"/>
              </w:rPr>
            </w:pPr>
          </w:p>
        </w:tc>
        <w:tc>
          <w:tcPr>
            <w:tcW w:w="789" w:type="dxa"/>
            <w:tcBorders>
              <w:top w:val="nil"/>
              <w:left w:val="single" w:sz="4" w:space="0" w:color="auto"/>
              <w:bottom w:val="single" w:sz="4" w:space="0" w:color="auto"/>
              <w:right w:val="single" w:sz="4" w:space="0" w:color="auto"/>
            </w:tcBorders>
            <w:shd w:val="clear" w:color="auto" w:fill="auto"/>
            <w:noWrap/>
            <w:vAlign w:val="bottom"/>
            <w:hideMark/>
          </w:tcPr>
          <w:p w:rsidR="009C16D2" w:rsidRPr="009C16D2" w:rsidRDefault="009C16D2" w:rsidP="009C16D2">
            <w:pPr>
              <w:spacing w:after="0" w:line="240" w:lineRule="auto"/>
              <w:jc w:val="right"/>
              <w:rPr>
                <w:rFonts w:ascii="Arial" w:eastAsia="Times New Roman" w:hAnsi="Arial" w:cs="Arial"/>
                <w:sz w:val="20"/>
                <w:szCs w:val="20"/>
                <w:lang w:val="nl-NL" w:eastAsia="nl-NL" w:bidi="ar-SA"/>
              </w:rPr>
            </w:pPr>
            <w:r w:rsidRPr="009C16D2">
              <w:rPr>
                <w:rFonts w:ascii="Arial" w:eastAsia="Times New Roman" w:hAnsi="Arial" w:cs="Arial"/>
                <w:sz w:val="20"/>
                <w:szCs w:val="20"/>
                <w:lang w:val="nl-NL" w:eastAsia="nl-NL" w:bidi="ar-SA"/>
              </w:rPr>
              <w:t>9</w:t>
            </w:r>
          </w:p>
        </w:tc>
        <w:tc>
          <w:tcPr>
            <w:tcW w:w="1026" w:type="dxa"/>
            <w:tcBorders>
              <w:top w:val="nil"/>
              <w:left w:val="nil"/>
              <w:bottom w:val="single" w:sz="4" w:space="0" w:color="auto"/>
              <w:right w:val="single" w:sz="4" w:space="0" w:color="auto"/>
            </w:tcBorders>
            <w:shd w:val="clear" w:color="auto" w:fill="auto"/>
            <w:noWrap/>
            <w:vAlign w:val="bottom"/>
            <w:hideMark/>
          </w:tcPr>
          <w:p w:rsidR="009C16D2" w:rsidRPr="009C16D2" w:rsidRDefault="009C16D2" w:rsidP="009C16D2">
            <w:pPr>
              <w:spacing w:after="0" w:line="240" w:lineRule="auto"/>
              <w:jc w:val="right"/>
              <w:rPr>
                <w:rFonts w:ascii="Arial" w:eastAsia="Times New Roman" w:hAnsi="Arial" w:cs="Arial"/>
                <w:sz w:val="20"/>
                <w:szCs w:val="20"/>
                <w:lang w:val="nl-NL" w:eastAsia="nl-NL" w:bidi="ar-SA"/>
              </w:rPr>
            </w:pPr>
            <w:r w:rsidRPr="009C16D2">
              <w:rPr>
                <w:rFonts w:ascii="Arial" w:eastAsia="Times New Roman" w:hAnsi="Arial" w:cs="Arial"/>
                <w:sz w:val="20"/>
                <w:szCs w:val="20"/>
                <w:lang w:val="nl-NL" w:eastAsia="nl-NL" w:bidi="ar-SA"/>
              </w:rPr>
              <w:t>1,175885</w:t>
            </w:r>
          </w:p>
        </w:tc>
        <w:tc>
          <w:tcPr>
            <w:tcW w:w="1026" w:type="dxa"/>
            <w:tcBorders>
              <w:top w:val="nil"/>
              <w:left w:val="nil"/>
              <w:bottom w:val="single" w:sz="4" w:space="0" w:color="auto"/>
              <w:right w:val="single" w:sz="4" w:space="0" w:color="auto"/>
            </w:tcBorders>
            <w:shd w:val="clear" w:color="auto" w:fill="auto"/>
            <w:noWrap/>
            <w:vAlign w:val="bottom"/>
            <w:hideMark/>
          </w:tcPr>
          <w:p w:rsidR="009C16D2" w:rsidRPr="009C16D2" w:rsidRDefault="009C16D2" w:rsidP="009C16D2">
            <w:pPr>
              <w:spacing w:after="0" w:line="240" w:lineRule="auto"/>
              <w:jc w:val="right"/>
              <w:rPr>
                <w:rFonts w:ascii="Arial" w:eastAsia="Times New Roman" w:hAnsi="Arial" w:cs="Arial"/>
                <w:sz w:val="20"/>
                <w:szCs w:val="20"/>
                <w:lang w:val="nl-NL" w:eastAsia="nl-NL" w:bidi="ar-SA"/>
              </w:rPr>
            </w:pPr>
            <w:r w:rsidRPr="009C16D2">
              <w:rPr>
                <w:rFonts w:ascii="Arial" w:eastAsia="Times New Roman" w:hAnsi="Arial" w:cs="Arial"/>
                <w:sz w:val="20"/>
                <w:szCs w:val="20"/>
                <w:lang w:val="nl-NL" w:eastAsia="nl-NL" w:bidi="ar-SA"/>
              </w:rPr>
              <w:t>0,144448</w:t>
            </w:r>
          </w:p>
        </w:tc>
      </w:tr>
      <w:tr w:rsidR="009C16D2" w:rsidRPr="009C16D2" w:rsidTr="009C16D2">
        <w:trPr>
          <w:trHeight w:val="255"/>
        </w:trPr>
        <w:tc>
          <w:tcPr>
            <w:tcW w:w="848" w:type="dxa"/>
            <w:tcBorders>
              <w:top w:val="nil"/>
              <w:left w:val="single" w:sz="4" w:space="0" w:color="auto"/>
              <w:bottom w:val="single" w:sz="4" w:space="0" w:color="auto"/>
              <w:right w:val="single" w:sz="4" w:space="0" w:color="auto"/>
            </w:tcBorders>
            <w:shd w:val="clear" w:color="auto" w:fill="auto"/>
            <w:noWrap/>
            <w:vAlign w:val="bottom"/>
            <w:hideMark/>
          </w:tcPr>
          <w:p w:rsidR="009C16D2" w:rsidRPr="009C16D2" w:rsidRDefault="009C16D2" w:rsidP="009C16D2">
            <w:pPr>
              <w:spacing w:after="0" w:line="240" w:lineRule="auto"/>
              <w:jc w:val="right"/>
              <w:rPr>
                <w:rFonts w:ascii="Arial" w:eastAsia="Times New Roman" w:hAnsi="Arial" w:cs="Arial"/>
                <w:sz w:val="20"/>
                <w:szCs w:val="20"/>
                <w:lang w:val="nl-NL" w:eastAsia="nl-NL" w:bidi="ar-SA"/>
              </w:rPr>
            </w:pPr>
            <w:r w:rsidRPr="009C16D2">
              <w:rPr>
                <w:rFonts w:ascii="Arial" w:eastAsia="Times New Roman" w:hAnsi="Arial" w:cs="Arial"/>
                <w:sz w:val="20"/>
                <w:szCs w:val="20"/>
                <w:lang w:val="nl-NL" w:eastAsia="nl-NL" w:bidi="ar-SA"/>
              </w:rPr>
              <w:t>10</w:t>
            </w:r>
          </w:p>
        </w:tc>
        <w:tc>
          <w:tcPr>
            <w:tcW w:w="1186" w:type="dxa"/>
            <w:tcBorders>
              <w:top w:val="nil"/>
              <w:left w:val="nil"/>
              <w:bottom w:val="single" w:sz="4" w:space="0" w:color="auto"/>
              <w:right w:val="single" w:sz="4" w:space="0" w:color="auto"/>
            </w:tcBorders>
            <w:shd w:val="clear" w:color="auto" w:fill="auto"/>
            <w:noWrap/>
            <w:vAlign w:val="bottom"/>
            <w:hideMark/>
          </w:tcPr>
          <w:p w:rsidR="009C16D2" w:rsidRPr="009C16D2" w:rsidRDefault="009C16D2" w:rsidP="009C16D2">
            <w:pPr>
              <w:spacing w:after="0" w:line="240" w:lineRule="auto"/>
              <w:jc w:val="right"/>
              <w:rPr>
                <w:rFonts w:ascii="Arial" w:eastAsia="Times New Roman" w:hAnsi="Arial" w:cs="Arial"/>
                <w:sz w:val="20"/>
                <w:szCs w:val="20"/>
                <w:lang w:val="nl-NL" w:eastAsia="nl-NL" w:bidi="ar-SA"/>
              </w:rPr>
            </w:pPr>
            <w:r w:rsidRPr="009C16D2">
              <w:rPr>
                <w:rFonts w:ascii="Arial" w:eastAsia="Times New Roman" w:hAnsi="Arial" w:cs="Arial"/>
                <w:sz w:val="20"/>
                <w:szCs w:val="20"/>
                <w:lang w:val="nl-NL" w:eastAsia="nl-NL" w:bidi="ar-SA"/>
              </w:rPr>
              <w:t>-0,000102</w:t>
            </w:r>
          </w:p>
        </w:tc>
        <w:tc>
          <w:tcPr>
            <w:tcW w:w="1186" w:type="dxa"/>
            <w:tcBorders>
              <w:top w:val="nil"/>
              <w:left w:val="nil"/>
              <w:bottom w:val="single" w:sz="4" w:space="0" w:color="auto"/>
              <w:right w:val="single" w:sz="4" w:space="0" w:color="auto"/>
            </w:tcBorders>
            <w:shd w:val="clear" w:color="auto" w:fill="auto"/>
            <w:noWrap/>
            <w:vAlign w:val="bottom"/>
            <w:hideMark/>
          </w:tcPr>
          <w:p w:rsidR="009C16D2" w:rsidRPr="009C16D2" w:rsidRDefault="009C16D2" w:rsidP="009C16D2">
            <w:pPr>
              <w:spacing w:after="0" w:line="240" w:lineRule="auto"/>
              <w:jc w:val="right"/>
              <w:rPr>
                <w:rFonts w:ascii="Arial" w:eastAsia="Times New Roman" w:hAnsi="Arial" w:cs="Arial"/>
                <w:sz w:val="20"/>
                <w:szCs w:val="20"/>
                <w:lang w:val="nl-NL" w:eastAsia="nl-NL" w:bidi="ar-SA"/>
              </w:rPr>
            </w:pPr>
            <w:r w:rsidRPr="009C16D2">
              <w:rPr>
                <w:rFonts w:ascii="Arial" w:eastAsia="Times New Roman" w:hAnsi="Arial" w:cs="Arial"/>
                <w:sz w:val="20"/>
                <w:szCs w:val="20"/>
                <w:lang w:val="nl-NL" w:eastAsia="nl-NL" w:bidi="ar-SA"/>
              </w:rPr>
              <w:t>3,05E-07</w:t>
            </w:r>
          </w:p>
        </w:tc>
        <w:tc>
          <w:tcPr>
            <w:tcW w:w="1160" w:type="dxa"/>
            <w:tcBorders>
              <w:top w:val="nil"/>
              <w:left w:val="nil"/>
              <w:bottom w:val="single" w:sz="4" w:space="0" w:color="auto"/>
              <w:right w:val="single" w:sz="4" w:space="0" w:color="auto"/>
            </w:tcBorders>
            <w:shd w:val="clear" w:color="auto" w:fill="auto"/>
            <w:noWrap/>
            <w:vAlign w:val="bottom"/>
            <w:hideMark/>
          </w:tcPr>
          <w:p w:rsidR="009C16D2" w:rsidRPr="009C16D2" w:rsidRDefault="009C16D2" w:rsidP="009C16D2">
            <w:pPr>
              <w:spacing w:after="0" w:line="240" w:lineRule="auto"/>
              <w:jc w:val="right"/>
              <w:rPr>
                <w:rFonts w:ascii="Arial" w:eastAsia="Times New Roman" w:hAnsi="Arial" w:cs="Arial"/>
                <w:sz w:val="20"/>
                <w:szCs w:val="20"/>
                <w:lang w:val="nl-NL" w:eastAsia="nl-NL" w:bidi="ar-SA"/>
              </w:rPr>
            </w:pPr>
            <w:r w:rsidRPr="009C16D2">
              <w:rPr>
                <w:rFonts w:ascii="Arial" w:eastAsia="Times New Roman" w:hAnsi="Arial" w:cs="Arial"/>
                <w:sz w:val="20"/>
                <w:szCs w:val="20"/>
                <w:lang w:val="nl-NL" w:eastAsia="nl-NL" w:bidi="ar-SA"/>
              </w:rPr>
              <w:t>0,000187</w:t>
            </w:r>
          </w:p>
        </w:tc>
        <w:tc>
          <w:tcPr>
            <w:tcW w:w="1120" w:type="dxa"/>
            <w:tcBorders>
              <w:top w:val="nil"/>
              <w:left w:val="nil"/>
              <w:bottom w:val="nil"/>
              <w:right w:val="nil"/>
            </w:tcBorders>
            <w:shd w:val="clear" w:color="auto" w:fill="auto"/>
            <w:noWrap/>
            <w:vAlign w:val="bottom"/>
            <w:hideMark/>
          </w:tcPr>
          <w:p w:rsidR="009C16D2" w:rsidRPr="009C16D2" w:rsidRDefault="009C16D2" w:rsidP="009C16D2">
            <w:pPr>
              <w:spacing w:after="0" w:line="240" w:lineRule="auto"/>
              <w:rPr>
                <w:rFonts w:ascii="Arial" w:eastAsia="Times New Roman" w:hAnsi="Arial" w:cs="Arial"/>
                <w:sz w:val="20"/>
                <w:szCs w:val="20"/>
                <w:lang w:val="nl-NL" w:eastAsia="nl-NL" w:bidi="ar-SA"/>
              </w:rPr>
            </w:pPr>
          </w:p>
        </w:tc>
        <w:tc>
          <w:tcPr>
            <w:tcW w:w="789" w:type="dxa"/>
            <w:tcBorders>
              <w:top w:val="nil"/>
              <w:left w:val="single" w:sz="4" w:space="0" w:color="auto"/>
              <w:bottom w:val="single" w:sz="4" w:space="0" w:color="auto"/>
              <w:right w:val="single" w:sz="4" w:space="0" w:color="auto"/>
            </w:tcBorders>
            <w:shd w:val="clear" w:color="auto" w:fill="auto"/>
            <w:noWrap/>
            <w:vAlign w:val="bottom"/>
            <w:hideMark/>
          </w:tcPr>
          <w:p w:rsidR="009C16D2" w:rsidRPr="009C16D2" w:rsidRDefault="009C16D2" w:rsidP="009C16D2">
            <w:pPr>
              <w:spacing w:after="0" w:line="240" w:lineRule="auto"/>
              <w:jc w:val="right"/>
              <w:rPr>
                <w:rFonts w:ascii="Arial" w:eastAsia="Times New Roman" w:hAnsi="Arial" w:cs="Arial"/>
                <w:sz w:val="20"/>
                <w:szCs w:val="20"/>
                <w:lang w:val="nl-NL" w:eastAsia="nl-NL" w:bidi="ar-SA"/>
              </w:rPr>
            </w:pPr>
            <w:r w:rsidRPr="009C16D2">
              <w:rPr>
                <w:rFonts w:ascii="Arial" w:eastAsia="Times New Roman" w:hAnsi="Arial" w:cs="Arial"/>
                <w:sz w:val="20"/>
                <w:szCs w:val="20"/>
                <w:lang w:val="nl-NL" w:eastAsia="nl-NL" w:bidi="ar-SA"/>
              </w:rPr>
              <w:t>10</w:t>
            </w:r>
          </w:p>
        </w:tc>
        <w:tc>
          <w:tcPr>
            <w:tcW w:w="1026" w:type="dxa"/>
            <w:tcBorders>
              <w:top w:val="nil"/>
              <w:left w:val="nil"/>
              <w:bottom w:val="single" w:sz="4" w:space="0" w:color="auto"/>
              <w:right w:val="single" w:sz="4" w:space="0" w:color="auto"/>
            </w:tcBorders>
            <w:shd w:val="clear" w:color="auto" w:fill="auto"/>
            <w:noWrap/>
            <w:vAlign w:val="bottom"/>
            <w:hideMark/>
          </w:tcPr>
          <w:p w:rsidR="009C16D2" w:rsidRPr="009C16D2" w:rsidRDefault="009C16D2" w:rsidP="009C16D2">
            <w:pPr>
              <w:spacing w:after="0" w:line="240" w:lineRule="auto"/>
              <w:jc w:val="right"/>
              <w:rPr>
                <w:rFonts w:ascii="Arial" w:eastAsia="Times New Roman" w:hAnsi="Arial" w:cs="Arial"/>
                <w:sz w:val="20"/>
                <w:szCs w:val="20"/>
                <w:lang w:val="nl-NL" w:eastAsia="nl-NL" w:bidi="ar-SA"/>
              </w:rPr>
            </w:pPr>
            <w:r w:rsidRPr="009C16D2">
              <w:rPr>
                <w:rFonts w:ascii="Arial" w:eastAsia="Times New Roman" w:hAnsi="Arial" w:cs="Arial"/>
                <w:sz w:val="20"/>
                <w:szCs w:val="20"/>
                <w:lang w:val="nl-NL" w:eastAsia="nl-NL" w:bidi="ar-SA"/>
              </w:rPr>
              <w:t>1,168799</w:t>
            </w:r>
          </w:p>
        </w:tc>
        <w:tc>
          <w:tcPr>
            <w:tcW w:w="1026" w:type="dxa"/>
            <w:tcBorders>
              <w:top w:val="nil"/>
              <w:left w:val="nil"/>
              <w:bottom w:val="single" w:sz="4" w:space="0" w:color="auto"/>
              <w:right w:val="single" w:sz="4" w:space="0" w:color="auto"/>
            </w:tcBorders>
            <w:shd w:val="clear" w:color="auto" w:fill="auto"/>
            <w:noWrap/>
            <w:vAlign w:val="bottom"/>
            <w:hideMark/>
          </w:tcPr>
          <w:p w:rsidR="009C16D2" w:rsidRPr="009C16D2" w:rsidRDefault="009C16D2" w:rsidP="009C16D2">
            <w:pPr>
              <w:spacing w:after="0" w:line="240" w:lineRule="auto"/>
              <w:jc w:val="right"/>
              <w:rPr>
                <w:rFonts w:ascii="Arial" w:eastAsia="Times New Roman" w:hAnsi="Arial" w:cs="Arial"/>
                <w:sz w:val="20"/>
                <w:szCs w:val="20"/>
                <w:lang w:val="nl-NL" w:eastAsia="nl-NL" w:bidi="ar-SA"/>
              </w:rPr>
            </w:pPr>
            <w:r w:rsidRPr="009C16D2">
              <w:rPr>
                <w:rFonts w:ascii="Arial" w:eastAsia="Times New Roman" w:hAnsi="Arial" w:cs="Arial"/>
                <w:sz w:val="20"/>
                <w:szCs w:val="20"/>
                <w:lang w:val="nl-NL" w:eastAsia="nl-NL" w:bidi="ar-SA"/>
              </w:rPr>
              <w:t>0,135956</w:t>
            </w:r>
          </w:p>
        </w:tc>
      </w:tr>
    </w:tbl>
    <w:p w:rsidR="009C16D2" w:rsidRDefault="009C16D2" w:rsidP="009C16D2"/>
    <w:tbl>
      <w:tblPr>
        <w:tblW w:w="4380" w:type="dxa"/>
        <w:tblInd w:w="55" w:type="dxa"/>
        <w:tblCellMar>
          <w:left w:w="70" w:type="dxa"/>
          <w:right w:w="70" w:type="dxa"/>
        </w:tblCellMar>
        <w:tblLook w:val="04A0"/>
      </w:tblPr>
      <w:tblGrid>
        <w:gridCol w:w="838"/>
        <w:gridCol w:w="1191"/>
        <w:gridCol w:w="1191"/>
        <w:gridCol w:w="1160"/>
      </w:tblGrid>
      <w:tr w:rsidR="009C16D2" w:rsidRPr="00122AFE" w:rsidTr="009C16D2">
        <w:trPr>
          <w:trHeight w:val="255"/>
        </w:trPr>
        <w:tc>
          <w:tcPr>
            <w:tcW w:w="3220" w:type="dxa"/>
            <w:gridSpan w:val="3"/>
            <w:tcBorders>
              <w:top w:val="single" w:sz="4" w:space="0" w:color="auto"/>
              <w:left w:val="single" w:sz="4" w:space="0" w:color="auto"/>
              <w:bottom w:val="single" w:sz="4" w:space="0" w:color="auto"/>
              <w:right w:val="nil"/>
            </w:tcBorders>
            <w:shd w:val="clear" w:color="auto" w:fill="auto"/>
            <w:noWrap/>
            <w:vAlign w:val="bottom"/>
            <w:hideMark/>
          </w:tcPr>
          <w:p w:rsidR="009C16D2" w:rsidRPr="00122AFE" w:rsidRDefault="009C16D2" w:rsidP="009C16D2">
            <w:pPr>
              <w:spacing w:after="0" w:line="240" w:lineRule="auto"/>
              <w:rPr>
                <w:rFonts w:ascii="Arial" w:eastAsia="Times New Roman" w:hAnsi="Arial" w:cs="Arial"/>
                <w:sz w:val="20"/>
                <w:szCs w:val="20"/>
                <w:lang w:eastAsia="nl-NL" w:bidi="ar-SA"/>
              </w:rPr>
            </w:pPr>
            <w:r w:rsidRPr="00122AFE">
              <w:rPr>
                <w:rFonts w:ascii="Arial" w:eastAsia="Times New Roman" w:hAnsi="Arial" w:cs="Arial"/>
                <w:sz w:val="20"/>
                <w:szCs w:val="20"/>
                <w:lang w:eastAsia="nl-NL" w:bidi="ar-SA"/>
              </w:rPr>
              <w:t>Response of CHFUSD to sector</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rPr>
                <w:rFonts w:ascii="Arial" w:eastAsia="Times New Roman" w:hAnsi="Arial" w:cs="Arial"/>
                <w:sz w:val="20"/>
                <w:szCs w:val="20"/>
                <w:lang w:eastAsia="nl-NL" w:bidi="ar-SA"/>
              </w:rPr>
            </w:pPr>
            <w:r w:rsidRPr="00122AFE">
              <w:rPr>
                <w:rFonts w:ascii="Arial" w:eastAsia="Times New Roman" w:hAnsi="Arial" w:cs="Arial"/>
                <w:sz w:val="20"/>
                <w:szCs w:val="20"/>
                <w:lang w:eastAsia="nl-NL" w:bidi="ar-SA"/>
              </w:rPr>
              <w:t> </w:t>
            </w:r>
          </w:p>
        </w:tc>
      </w:tr>
      <w:tr w:rsidR="009C16D2" w:rsidRPr="00122AFE" w:rsidTr="009C16D2">
        <w:trPr>
          <w:trHeight w:val="255"/>
        </w:trPr>
        <w:tc>
          <w:tcPr>
            <w:tcW w:w="838" w:type="dxa"/>
            <w:tcBorders>
              <w:top w:val="nil"/>
              <w:left w:val="single" w:sz="4" w:space="0" w:color="auto"/>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rPr>
                <w:rFonts w:ascii="Arial" w:eastAsia="Times New Roman" w:hAnsi="Arial" w:cs="Arial"/>
                <w:sz w:val="20"/>
                <w:szCs w:val="20"/>
                <w:lang w:val="nl-NL" w:eastAsia="nl-NL" w:bidi="ar-SA"/>
              </w:rPr>
            </w:pPr>
            <w:proofErr w:type="spellStart"/>
            <w:r w:rsidRPr="00122AFE">
              <w:rPr>
                <w:rFonts w:ascii="Arial" w:eastAsia="Times New Roman" w:hAnsi="Arial" w:cs="Arial"/>
                <w:sz w:val="20"/>
                <w:szCs w:val="20"/>
                <w:lang w:val="nl-NL" w:eastAsia="nl-NL" w:bidi="ar-SA"/>
              </w:rPr>
              <w:t>Period</w:t>
            </w:r>
            <w:proofErr w:type="spellEnd"/>
          </w:p>
        </w:tc>
        <w:tc>
          <w:tcPr>
            <w:tcW w:w="1191"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USTEL</w:t>
            </w:r>
          </w:p>
        </w:tc>
        <w:tc>
          <w:tcPr>
            <w:tcW w:w="1191"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USOIG</w:t>
            </w:r>
          </w:p>
        </w:tc>
        <w:tc>
          <w:tcPr>
            <w:tcW w:w="116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USBM</w:t>
            </w:r>
          </w:p>
        </w:tc>
      </w:tr>
      <w:tr w:rsidR="009C16D2" w:rsidRPr="00122AFE" w:rsidTr="009C16D2">
        <w:trPr>
          <w:trHeight w:val="255"/>
        </w:trPr>
        <w:tc>
          <w:tcPr>
            <w:tcW w:w="838" w:type="dxa"/>
            <w:tcBorders>
              <w:top w:val="nil"/>
              <w:left w:val="single" w:sz="4" w:space="0" w:color="auto"/>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1</w:t>
            </w:r>
          </w:p>
        </w:tc>
        <w:tc>
          <w:tcPr>
            <w:tcW w:w="1191"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w:t>
            </w:r>
          </w:p>
        </w:tc>
        <w:tc>
          <w:tcPr>
            <w:tcW w:w="1191"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w:t>
            </w:r>
          </w:p>
        </w:tc>
        <w:tc>
          <w:tcPr>
            <w:tcW w:w="116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w:t>
            </w:r>
          </w:p>
        </w:tc>
      </w:tr>
      <w:tr w:rsidR="009C16D2" w:rsidRPr="00122AFE" w:rsidTr="009C16D2">
        <w:trPr>
          <w:trHeight w:val="255"/>
        </w:trPr>
        <w:tc>
          <w:tcPr>
            <w:tcW w:w="838" w:type="dxa"/>
            <w:tcBorders>
              <w:top w:val="nil"/>
              <w:left w:val="single" w:sz="4" w:space="0" w:color="auto"/>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2</w:t>
            </w:r>
          </w:p>
        </w:tc>
        <w:tc>
          <w:tcPr>
            <w:tcW w:w="1191"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0,000109</w:t>
            </w:r>
          </w:p>
        </w:tc>
        <w:tc>
          <w:tcPr>
            <w:tcW w:w="1191"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0,000361</w:t>
            </w:r>
          </w:p>
        </w:tc>
        <w:tc>
          <w:tcPr>
            <w:tcW w:w="116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0,000404</w:t>
            </w:r>
          </w:p>
        </w:tc>
      </w:tr>
      <w:tr w:rsidR="009C16D2" w:rsidRPr="00122AFE" w:rsidTr="009C16D2">
        <w:trPr>
          <w:trHeight w:val="255"/>
        </w:trPr>
        <w:tc>
          <w:tcPr>
            <w:tcW w:w="838" w:type="dxa"/>
            <w:tcBorders>
              <w:top w:val="nil"/>
              <w:left w:val="single" w:sz="4" w:space="0" w:color="auto"/>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3</w:t>
            </w:r>
          </w:p>
        </w:tc>
        <w:tc>
          <w:tcPr>
            <w:tcW w:w="1191"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9,10E-05</w:t>
            </w:r>
          </w:p>
        </w:tc>
        <w:tc>
          <w:tcPr>
            <w:tcW w:w="1191"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0,000311</w:t>
            </w:r>
          </w:p>
        </w:tc>
        <w:tc>
          <w:tcPr>
            <w:tcW w:w="116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0,000374</w:t>
            </w:r>
          </w:p>
        </w:tc>
      </w:tr>
      <w:tr w:rsidR="009C16D2" w:rsidRPr="00122AFE" w:rsidTr="009C16D2">
        <w:trPr>
          <w:trHeight w:val="255"/>
        </w:trPr>
        <w:tc>
          <w:tcPr>
            <w:tcW w:w="838" w:type="dxa"/>
            <w:tcBorders>
              <w:top w:val="nil"/>
              <w:left w:val="single" w:sz="4" w:space="0" w:color="auto"/>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4</w:t>
            </w:r>
          </w:p>
        </w:tc>
        <w:tc>
          <w:tcPr>
            <w:tcW w:w="1191"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8,18E-05</w:t>
            </w:r>
          </w:p>
        </w:tc>
        <w:tc>
          <w:tcPr>
            <w:tcW w:w="1191"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0,000325</w:t>
            </w:r>
          </w:p>
        </w:tc>
        <w:tc>
          <w:tcPr>
            <w:tcW w:w="116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0,000386</w:t>
            </w:r>
          </w:p>
        </w:tc>
      </w:tr>
      <w:tr w:rsidR="009C16D2" w:rsidRPr="00122AFE" w:rsidTr="009C16D2">
        <w:trPr>
          <w:trHeight w:val="255"/>
        </w:trPr>
        <w:tc>
          <w:tcPr>
            <w:tcW w:w="838" w:type="dxa"/>
            <w:tcBorders>
              <w:top w:val="nil"/>
              <w:left w:val="single" w:sz="4" w:space="0" w:color="auto"/>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5</w:t>
            </w:r>
          </w:p>
        </w:tc>
        <w:tc>
          <w:tcPr>
            <w:tcW w:w="1191"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7,19E-05</w:t>
            </w:r>
          </w:p>
        </w:tc>
        <w:tc>
          <w:tcPr>
            <w:tcW w:w="1191"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0,00033</w:t>
            </w:r>
          </w:p>
        </w:tc>
        <w:tc>
          <w:tcPr>
            <w:tcW w:w="116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0,000393</w:t>
            </w:r>
          </w:p>
        </w:tc>
      </w:tr>
      <w:tr w:rsidR="009C16D2" w:rsidRPr="00122AFE" w:rsidTr="009C16D2">
        <w:trPr>
          <w:trHeight w:val="255"/>
        </w:trPr>
        <w:tc>
          <w:tcPr>
            <w:tcW w:w="838" w:type="dxa"/>
            <w:tcBorders>
              <w:top w:val="nil"/>
              <w:left w:val="single" w:sz="4" w:space="0" w:color="auto"/>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6</w:t>
            </w:r>
          </w:p>
        </w:tc>
        <w:tc>
          <w:tcPr>
            <w:tcW w:w="1191"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6,21E-05</w:t>
            </w:r>
          </w:p>
        </w:tc>
        <w:tc>
          <w:tcPr>
            <w:tcW w:w="1191"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0,000336</w:t>
            </w:r>
          </w:p>
        </w:tc>
        <w:tc>
          <w:tcPr>
            <w:tcW w:w="116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0,000401</w:t>
            </w:r>
          </w:p>
        </w:tc>
      </w:tr>
      <w:tr w:rsidR="009C16D2" w:rsidRPr="00122AFE" w:rsidTr="009C16D2">
        <w:trPr>
          <w:trHeight w:val="255"/>
        </w:trPr>
        <w:tc>
          <w:tcPr>
            <w:tcW w:w="838" w:type="dxa"/>
            <w:tcBorders>
              <w:top w:val="nil"/>
              <w:left w:val="single" w:sz="4" w:space="0" w:color="auto"/>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7</w:t>
            </w:r>
          </w:p>
        </w:tc>
        <w:tc>
          <w:tcPr>
            <w:tcW w:w="1191"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5,24E-05</w:t>
            </w:r>
          </w:p>
        </w:tc>
        <w:tc>
          <w:tcPr>
            <w:tcW w:w="1191"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0,000341</w:t>
            </w:r>
          </w:p>
        </w:tc>
        <w:tc>
          <w:tcPr>
            <w:tcW w:w="116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0,000408</w:t>
            </w:r>
          </w:p>
        </w:tc>
      </w:tr>
      <w:tr w:rsidR="009C16D2" w:rsidRPr="00122AFE" w:rsidTr="009C16D2">
        <w:trPr>
          <w:trHeight w:val="255"/>
        </w:trPr>
        <w:tc>
          <w:tcPr>
            <w:tcW w:w="838" w:type="dxa"/>
            <w:tcBorders>
              <w:top w:val="nil"/>
              <w:left w:val="single" w:sz="4" w:space="0" w:color="auto"/>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8</w:t>
            </w:r>
          </w:p>
        </w:tc>
        <w:tc>
          <w:tcPr>
            <w:tcW w:w="1191"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4,26E-05</w:t>
            </w:r>
          </w:p>
        </w:tc>
        <w:tc>
          <w:tcPr>
            <w:tcW w:w="1191"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0,000347</w:t>
            </w:r>
          </w:p>
        </w:tc>
        <w:tc>
          <w:tcPr>
            <w:tcW w:w="116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0,000416</w:t>
            </w:r>
          </w:p>
        </w:tc>
      </w:tr>
      <w:tr w:rsidR="009C16D2" w:rsidRPr="00122AFE" w:rsidTr="009C16D2">
        <w:trPr>
          <w:trHeight w:val="255"/>
        </w:trPr>
        <w:tc>
          <w:tcPr>
            <w:tcW w:w="838" w:type="dxa"/>
            <w:tcBorders>
              <w:top w:val="nil"/>
              <w:left w:val="single" w:sz="4" w:space="0" w:color="auto"/>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9</w:t>
            </w:r>
          </w:p>
        </w:tc>
        <w:tc>
          <w:tcPr>
            <w:tcW w:w="1191"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3,29E-05</w:t>
            </w:r>
          </w:p>
        </w:tc>
        <w:tc>
          <w:tcPr>
            <w:tcW w:w="1191"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0,000353</w:t>
            </w:r>
          </w:p>
        </w:tc>
        <w:tc>
          <w:tcPr>
            <w:tcW w:w="116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0,000423</w:t>
            </w:r>
          </w:p>
        </w:tc>
      </w:tr>
      <w:tr w:rsidR="009C16D2" w:rsidRPr="00122AFE" w:rsidTr="009C16D2">
        <w:trPr>
          <w:trHeight w:val="255"/>
        </w:trPr>
        <w:tc>
          <w:tcPr>
            <w:tcW w:w="838" w:type="dxa"/>
            <w:tcBorders>
              <w:top w:val="nil"/>
              <w:left w:val="single" w:sz="4" w:space="0" w:color="auto"/>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10</w:t>
            </w:r>
          </w:p>
        </w:tc>
        <w:tc>
          <w:tcPr>
            <w:tcW w:w="1191"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2,32E-05</w:t>
            </w:r>
          </w:p>
        </w:tc>
        <w:tc>
          <w:tcPr>
            <w:tcW w:w="1191"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0,000359</w:t>
            </w:r>
          </w:p>
        </w:tc>
        <w:tc>
          <w:tcPr>
            <w:tcW w:w="116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0,000431</w:t>
            </w:r>
          </w:p>
        </w:tc>
      </w:tr>
    </w:tbl>
    <w:p w:rsidR="009C16D2" w:rsidRDefault="009C16D2" w:rsidP="009C16D2"/>
    <w:tbl>
      <w:tblPr>
        <w:tblW w:w="5340" w:type="dxa"/>
        <w:tblInd w:w="55" w:type="dxa"/>
        <w:tblCellMar>
          <w:left w:w="70" w:type="dxa"/>
          <w:right w:w="70" w:type="dxa"/>
        </w:tblCellMar>
        <w:tblLook w:val="04A0"/>
      </w:tblPr>
      <w:tblGrid>
        <w:gridCol w:w="830"/>
        <w:gridCol w:w="1081"/>
        <w:gridCol w:w="1081"/>
        <w:gridCol w:w="1108"/>
        <w:gridCol w:w="1240"/>
      </w:tblGrid>
      <w:tr w:rsidR="009C16D2" w:rsidRPr="00122AFE" w:rsidTr="009C16D2">
        <w:trPr>
          <w:trHeight w:val="255"/>
        </w:trPr>
        <w:tc>
          <w:tcPr>
            <w:tcW w:w="4100" w:type="dxa"/>
            <w:gridSpan w:val="4"/>
            <w:tcBorders>
              <w:top w:val="single" w:sz="4" w:space="0" w:color="auto"/>
              <w:left w:val="single" w:sz="4" w:space="0" w:color="auto"/>
              <w:bottom w:val="single" w:sz="4" w:space="0" w:color="auto"/>
              <w:right w:val="nil"/>
            </w:tcBorders>
            <w:shd w:val="clear" w:color="auto" w:fill="auto"/>
            <w:noWrap/>
            <w:vAlign w:val="bottom"/>
            <w:hideMark/>
          </w:tcPr>
          <w:p w:rsidR="009C16D2" w:rsidRPr="00122AFE" w:rsidRDefault="009C16D2" w:rsidP="009C16D2">
            <w:pPr>
              <w:spacing w:after="0" w:line="240" w:lineRule="auto"/>
              <w:rPr>
                <w:rFonts w:ascii="Arial" w:eastAsia="Times New Roman" w:hAnsi="Arial" w:cs="Arial"/>
                <w:sz w:val="20"/>
                <w:szCs w:val="20"/>
                <w:lang w:eastAsia="nl-NL" w:bidi="ar-SA"/>
              </w:rPr>
            </w:pPr>
            <w:r>
              <w:rPr>
                <w:rFonts w:ascii="Arial" w:eastAsia="Times New Roman" w:hAnsi="Arial" w:cs="Arial"/>
                <w:sz w:val="20"/>
                <w:szCs w:val="20"/>
                <w:lang w:eastAsia="nl-NL" w:bidi="ar-SA"/>
              </w:rPr>
              <w:t>R</w:t>
            </w:r>
            <w:r w:rsidRPr="00122AFE">
              <w:rPr>
                <w:rFonts w:ascii="Arial" w:eastAsia="Times New Roman" w:hAnsi="Arial" w:cs="Arial"/>
                <w:sz w:val="20"/>
                <w:szCs w:val="20"/>
                <w:lang w:eastAsia="nl-NL" w:bidi="ar-SA"/>
              </w:rPr>
              <w:t>esponse of sector to EURUSD</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rPr>
                <w:rFonts w:ascii="Arial" w:eastAsia="Times New Roman" w:hAnsi="Arial" w:cs="Arial"/>
                <w:sz w:val="20"/>
                <w:szCs w:val="20"/>
                <w:lang w:eastAsia="nl-NL" w:bidi="ar-SA"/>
              </w:rPr>
            </w:pPr>
            <w:r w:rsidRPr="00122AFE">
              <w:rPr>
                <w:rFonts w:ascii="Arial" w:eastAsia="Times New Roman" w:hAnsi="Arial" w:cs="Arial"/>
                <w:sz w:val="20"/>
                <w:szCs w:val="20"/>
                <w:lang w:eastAsia="nl-NL" w:bidi="ar-SA"/>
              </w:rPr>
              <w:t> </w:t>
            </w:r>
          </w:p>
        </w:tc>
      </w:tr>
      <w:tr w:rsidR="009C16D2" w:rsidRPr="00122AFE" w:rsidTr="009C16D2">
        <w:trPr>
          <w:trHeight w:val="255"/>
        </w:trPr>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rPr>
                <w:rFonts w:ascii="Arial" w:eastAsia="Times New Roman" w:hAnsi="Arial" w:cs="Arial"/>
                <w:sz w:val="20"/>
                <w:szCs w:val="20"/>
                <w:lang w:val="nl-NL" w:eastAsia="nl-NL" w:bidi="ar-SA"/>
              </w:rPr>
            </w:pPr>
            <w:r w:rsidRPr="00122AFE">
              <w:rPr>
                <w:rFonts w:ascii="Arial" w:eastAsia="Times New Roman" w:hAnsi="Arial" w:cs="Arial"/>
                <w:sz w:val="20"/>
                <w:szCs w:val="20"/>
                <w:lang w:eastAsia="nl-NL" w:bidi="ar-SA"/>
              </w:rPr>
              <w:t xml:space="preserve"> </w:t>
            </w:r>
            <w:proofErr w:type="spellStart"/>
            <w:r w:rsidRPr="00122AFE">
              <w:rPr>
                <w:rFonts w:ascii="Arial" w:eastAsia="Times New Roman" w:hAnsi="Arial" w:cs="Arial"/>
                <w:sz w:val="20"/>
                <w:szCs w:val="20"/>
                <w:lang w:val="nl-NL" w:eastAsia="nl-NL" w:bidi="ar-SA"/>
              </w:rPr>
              <w:t>Period</w:t>
            </w:r>
            <w:proofErr w:type="spellEnd"/>
          </w:p>
        </w:tc>
        <w:tc>
          <w:tcPr>
            <w:tcW w:w="1081"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USOIG</w:t>
            </w:r>
          </w:p>
        </w:tc>
        <w:tc>
          <w:tcPr>
            <w:tcW w:w="1081"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USIND</w:t>
            </w:r>
          </w:p>
        </w:tc>
        <w:tc>
          <w:tcPr>
            <w:tcW w:w="1108"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USCGDS</w:t>
            </w:r>
          </w:p>
        </w:tc>
        <w:tc>
          <w:tcPr>
            <w:tcW w:w="124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USBM</w:t>
            </w:r>
          </w:p>
        </w:tc>
      </w:tr>
      <w:tr w:rsidR="009C16D2" w:rsidRPr="00122AFE" w:rsidTr="009C16D2">
        <w:trPr>
          <w:trHeight w:val="255"/>
        </w:trPr>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1</w:t>
            </w:r>
          </w:p>
        </w:tc>
        <w:tc>
          <w:tcPr>
            <w:tcW w:w="1081"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0,984444</w:t>
            </w:r>
          </w:p>
        </w:tc>
        <w:tc>
          <w:tcPr>
            <w:tcW w:w="1081"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0,151954</w:t>
            </w:r>
          </w:p>
        </w:tc>
        <w:tc>
          <w:tcPr>
            <w:tcW w:w="1108"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0,142504</w:t>
            </w:r>
          </w:p>
        </w:tc>
        <w:tc>
          <w:tcPr>
            <w:tcW w:w="124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0,424194</w:t>
            </w:r>
          </w:p>
        </w:tc>
      </w:tr>
      <w:tr w:rsidR="009C16D2" w:rsidRPr="00122AFE" w:rsidTr="009C16D2">
        <w:trPr>
          <w:trHeight w:val="255"/>
        </w:trPr>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2</w:t>
            </w:r>
          </w:p>
        </w:tc>
        <w:tc>
          <w:tcPr>
            <w:tcW w:w="1081"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0,999475</w:t>
            </w:r>
          </w:p>
        </w:tc>
        <w:tc>
          <w:tcPr>
            <w:tcW w:w="1081"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0,28579</w:t>
            </w:r>
          </w:p>
        </w:tc>
        <w:tc>
          <w:tcPr>
            <w:tcW w:w="1108"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0,205566</w:t>
            </w:r>
          </w:p>
        </w:tc>
        <w:tc>
          <w:tcPr>
            <w:tcW w:w="124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0,559851</w:t>
            </w:r>
          </w:p>
        </w:tc>
      </w:tr>
      <w:tr w:rsidR="009C16D2" w:rsidRPr="00122AFE" w:rsidTr="009C16D2">
        <w:trPr>
          <w:trHeight w:val="255"/>
        </w:trPr>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3</w:t>
            </w:r>
          </w:p>
        </w:tc>
        <w:tc>
          <w:tcPr>
            <w:tcW w:w="1081"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1,009559</w:t>
            </w:r>
          </w:p>
        </w:tc>
        <w:tc>
          <w:tcPr>
            <w:tcW w:w="1081"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0,283381</w:t>
            </w:r>
          </w:p>
        </w:tc>
        <w:tc>
          <w:tcPr>
            <w:tcW w:w="1108"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0,206587</w:t>
            </w:r>
          </w:p>
        </w:tc>
        <w:tc>
          <w:tcPr>
            <w:tcW w:w="124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0,556819</w:t>
            </w:r>
          </w:p>
        </w:tc>
      </w:tr>
      <w:tr w:rsidR="009C16D2" w:rsidRPr="00122AFE" w:rsidTr="009C16D2">
        <w:trPr>
          <w:trHeight w:val="255"/>
        </w:trPr>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4</w:t>
            </w:r>
          </w:p>
        </w:tc>
        <w:tc>
          <w:tcPr>
            <w:tcW w:w="1081"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1,02083</w:t>
            </w:r>
          </w:p>
        </w:tc>
        <w:tc>
          <w:tcPr>
            <w:tcW w:w="1081"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0,286144</w:t>
            </w:r>
          </w:p>
        </w:tc>
        <w:tc>
          <w:tcPr>
            <w:tcW w:w="1108"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0,211486</w:t>
            </w:r>
          </w:p>
        </w:tc>
        <w:tc>
          <w:tcPr>
            <w:tcW w:w="124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0,561619</w:t>
            </w:r>
          </w:p>
        </w:tc>
      </w:tr>
      <w:tr w:rsidR="009C16D2" w:rsidRPr="00122AFE" w:rsidTr="009C16D2">
        <w:trPr>
          <w:trHeight w:val="255"/>
        </w:trPr>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5</w:t>
            </w:r>
          </w:p>
        </w:tc>
        <w:tc>
          <w:tcPr>
            <w:tcW w:w="1081"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1,031891</w:t>
            </w:r>
          </w:p>
        </w:tc>
        <w:tc>
          <w:tcPr>
            <w:tcW w:w="1081"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0,288583</w:t>
            </w:r>
          </w:p>
        </w:tc>
        <w:tc>
          <w:tcPr>
            <w:tcW w:w="1108"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0,216107</w:t>
            </w:r>
          </w:p>
        </w:tc>
        <w:tc>
          <w:tcPr>
            <w:tcW w:w="124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0,56523</w:t>
            </w:r>
          </w:p>
        </w:tc>
      </w:tr>
      <w:tr w:rsidR="009C16D2" w:rsidRPr="00122AFE" w:rsidTr="009C16D2">
        <w:trPr>
          <w:trHeight w:val="255"/>
        </w:trPr>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6</w:t>
            </w:r>
          </w:p>
        </w:tc>
        <w:tc>
          <w:tcPr>
            <w:tcW w:w="1081"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1,042913</w:t>
            </w:r>
          </w:p>
        </w:tc>
        <w:tc>
          <w:tcPr>
            <w:tcW w:w="1081"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0,291029</w:t>
            </w:r>
          </w:p>
        </w:tc>
        <w:tc>
          <w:tcPr>
            <w:tcW w:w="1108"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0,22072</w:t>
            </w:r>
          </w:p>
        </w:tc>
        <w:tc>
          <w:tcPr>
            <w:tcW w:w="124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0,568935</w:t>
            </w:r>
          </w:p>
        </w:tc>
      </w:tr>
      <w:tr w:rsidR="009C16D2" w:rsidRPr="00122AFE" w:rsidTr="009C16D2">
        <w:trPr>
          <w:trHeight w:val="255"/>
        </w:trPr>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7</w:t>
            </w:r>
          </w:p>
        </w:tc>
        <w:tc>
          <w:tcPr>
            <w:tcW w:w="1081"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1,053877</w:t>
            </w:r>
          </w:p>
        </w:tc>
        <w:tc>
          <w:tcPr>
            <w:tcW w:w="1081"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0,293465</w:t>
            </w:r>
          </w:p>
        </w:tc>
        <w:tc>
          <w:tcPr>
            <w:tcW w:w="1108"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0,225307</w:t>
            </w:r>
          </w:p>
        </w:tc>
        <w:tc>
          <w:tcPr>
            <w:tcW w:w="124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0,572608</w:t>
            </w:r>
          </w:p>
        </w:tc>
      </w:tr>
      <w:tr w:rsidR="009C16D2" w:rsidRPr="00122AFE" w:rsidTr="009C16D2">
        <w:trPr>
          <w:trHeight w:val="255"/>
        </w:trPr>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8</w:t>
            </w:r>
          </w:p>
        </w:tc>
        <w:tc>
          <w:tcPr>
            <w:tcW w:w="1081"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1,064784</w:t>
            </w:r>
          </w:p>
        </w:tc>
        <w:tc>
          <w:tcPr>
            <w:tcW w:w="1081"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0,29589</w:t>
            </w:r>
          </w:p>
        </w:tc>
        <w:tc>
          <w:tcPr>
            <w:tcW w:w="1108"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0,229869</w:t>
            </w:r>
          </w:p>
        </w:tc>
        <w:tc>
          <w:tcPr>
            <w:tcW w:w="124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0,576262</w:t>
            </w:r>
          </w:p>
        </w:tc>
      </w:tr>
      <w:tr w:rsidR="009C16D2" w:rsidRPr="00122AFE" w:rsidTr="009C16D2">
        <w:trPr>
          <w:trHeight w:val="255"/>
        </w:trPr>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9</w:t>
            </w:r>
          </w:p>
        </w:tc>
        <w:tc>
          <w:tcPr>
            <w:tcW w:w="1081"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1,075635</w:t>
            </w:r>
          </w:p>
        </w:tc>
        <w:tc>
          <w:tcPr>
            <w:tcW w:w="1081"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0,298306</w:t>
            </w:r>
          </w:p>
        </w:tc>
        <w:tc>
          <w:tcPr>
            <w:tcW w:w="1108"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0,234406</w:t>
            </w:r>
          </w:p>
        </w:tc>
        <w:tc>
          <w:tcPr>
            <w:tcW w:w="124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0,579896</w:t>
            </w:r>
          </w:p>
        </w:tc>
      </w:tr>
      <w:tr w:rsidR="009C16D2" w:rsidRPr="00122AFE" w:rsidTr="009C16D2">
        <w:trPr>
          <w:trHeight w:val="255"/>
        </w:trPr>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10</w:t>
            </w:r>
          </w:p>
        </w:tc>
        <w:tc>
          <w:tcPr>
            <w:tcW w:w="1081"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1,08643</w:t>
            </w:r>
          </w:p>
        </w:tc>
        <w:tc>
          <w:tcPr>
            <w:tcW w:w="1081"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0,300712</w:t>
            </w:r>
          </w:p>
        </w:tc>
        <w:tc>
          <w:tcPr>
            <w:tcW w:w="1108"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0,238919</w:t>
            </w:r>
          </w:p>
        </w:tc>
        <w:tc>
          <w:tcPr>
            <w:tcW w:w="1240" w:type="dxa"/>
            <w:tcBorders>
              <w:top w:val="nil"/>
              <w:left w:val="nil"/>
              <w:bottom w:val="single" w:sz="4" w:space="0" w:color="auto"/>
              <w:right w:val="single" w:sz="4" w:space="0" w:color="auto"/>
            </w:tcBorders>
            <w:shd w:val="clear" w:color="auto" w:fill="auto"/>
            <w:noWrap/>
            <w:vAlign w:val="bottom"/>
            <w:hideMark/>
          </w:tcPr>
          <w:p w:rsidR="009C16D2" w:rsidRPr="00122AFE" w:rsidRDefault="009C16D2" w:rsidP="009C16D2">
            <w:pPr>
              <w:spacing w:after="0" w:line="240" w:lineRule="auto"/>
              <w:jc w:val="right"/>
              <w:rPr>
                <w:rFonts w:ascii="Arial" w:eastAsia="Times New Roman" w:hAnsi="Arial" w:cs="Arial"/>
                <w:sz w:val="20"/>
                <w:szCs w:val="20"/>
                <w:lang w:val="nl-NL" w:eastAsia="nl-NL" w:bidi="ar-SA"/>
              </w:rPr>
            </w:pPr>
            <w:r w:rsidRPr="00122AFE">
              <w:rPr>
                <w:rFonts w:ascii="Arial" w:eastAsia="Times New Roman" w:hAnsi="Arial" w:cs="Arial"/>
                <w:sz w:val="20"/>
                <w:szCs w:val="20"/>
                <w:lang w:val="nl-NL" w:eastAsia="nl-NL" w:bidi="ar-SA"/>
              </w:rPr>
              <w:t>0,58351</w:t>
            </w:r>
          </w:p>
        </w:tc>
      </w:tr>
    </w:tbl>
    <w:p w:rsidR="009C16D2" w:rsidRDefault="009C16D2" w:rsidP="009C16D2"/>
    <w:p w:rsidR="009C16D2" w:rsidRDefault="009C16D2" w:rsidP="009C16D2"/>
    <w:p w:rsidR="009C16D2" w:rsidRDefault="009C16D2" w:rsidP="009C16D2">
      <w:pPr>
        <w:pStyle w:val="NoSpacing"/>
        <w:jc w:val="both"/>
      </w:pPr>
    </w:p>
    <w:p w:rsidR="009C16D2" w:rsidRDefault="009C16D2" w:rsidP="009C16D2">
      <w:pPr>
        <w:pStyle w:val="NoSpacing"/>
        <w:jc w:val="both"/>
      </w:pPr>
    </w:p>
    <w:p w:rsidR="009C16D2" w:rsidRDefault="009C16D2" w:rsidP="009C16D2">
      <w:pPr>
        <w:pStyle w:val="NoSpacing"/>
        <w:jc w:val="both"/>
      </w:pPr>
    </w:p>
    <w:p w:rsidR="009C16D2" w:rsidRDefault="009C16D2" w:rsidP="009C16D2">
      <w:pPr>
        <w:pStyle w:val="NoSpacing"/>
        <w:jc w:val="both"/>
      </w:pPr>
    </w:p>
    <w:p w:rsidR="00960852" w:rsidRDefault="00960852" w:rsidP="0040529F">
      <w:pPr>
        <w:pStyle w:val="NoSpacing"/>
      </w:pPr>
    </w:p>
    <w:p w:rsidR="00960852" w:rsidRDefault="00960852" w:rsidP="0040529F">
      <w:pPr>
        <w:pStyle w:val="NoSpacing"/>
      </w:pPr>
    </w:p>
    <w:p w:rsidR="00CE6D78" w:rsidRDefault="00CE6D78" w:rsidP="0040529F">
      <w:pPr>
        <w:pStyle w:val="NoSpacing"/>
      </w:pPr>
    </w:p>
    <w:p w:rsidR="00CE6D78" w:rsidRDefault="00CE6D78" w:rsidP="0040529F">
      <w:pPr>
        <w:pStyle w:val="NoSpacing"/>
      </w:pPr>
    </w:p>
    <w:p w:rsidR="00CE6D78" w:rsidRDefault="00CE6D78" w:rsidP="0040529F">
      <w:pPr>
        <w:pStyle w:val="NoSpacing"/>
      </w:pPr>
    </w:p>
    <w:p w:rsidR="00CE6D78" w:rsidRDefault="00CE6D78" w:rsidP="0040529F">
      <w:pPr>
        <w:pStyle w:val="NoSpacing"/>
      </w:pPr>
    </w:p>
    <w:p w:rsidR="00CE6D78" w:rsidRDefault="00CE6D78" w:rsidP="0040529F">
      <w:pPr>
        <w:pStyle w:val="NoSpacing"/>
      </w:pPr>
    </w:p>
    <w:p w:rsidR="00CE6D78" w:rsidRDefault="00CE6D78" w:rsidP="0040529F">
      <w:pPr>
        <w:pStyle w:val="NoSpacing"/>
      </w:pPr>
    </w:p>
    <w:p w:rsidR="00CE6D78" w:rsidRDefault="00CE6D78" w:rsidP="0040529F">
      <w:pPr>
        <w:pStyle w:val="NoSpacing"/>
      </w:pPr>
    </w:p>
    <w:p w:rsidR="00CE6D78" w:rsidRDefault="00CE6D78" w:rsidP="0040529F">
      <w:pPr>
        <w:pStyle w:val="NoSpacing"/>
      </w:pPr>
    </w:p>
    <w:p w:rsidR="00CE6D78" w:rsidRDefault="00CE6D78" w:rsidP="0040529F">
      <w:pPr>
        <w:pStyle w:val="NoSpacing"/>
      </w:pPr>
    </w:p>
    <w:p w:rsidR="00CE6D78" w:rsidRDefault="00CE6D78" w:rsidP="0040529F">
      <w:pPr>
        <w:pStyle w:val="NoSpacing"/>
      </w:pPr>
    </w:p>
    <w:p w:rsidR="00CE6D78" w:rsidRDefault="00CE6D78" w:rsidP="0040529F">
      <w:pPr>
        <w:pStyle w:val="NoSpacing"/>
      </w:pPr>
    </w:p>
    <w:p w:rsidR="00CE6D78" w:rsidRDefault="00CE6D78" w:rsidP="0040529F">
      <w:pPr>
        <w:pStyle w:val="NoSpacing"/>
      </w:pPr>
    </w:p>
    <w:p w:rsidR="00CE6D78" w:rsidRDefault="00CE6D78" w:rsidP="0040529F">
      <w:pPr>
        <w:pStyle w:val="NoSpacing"/>
      </w:pPr>
    </w:p>
    <w:p w:rsidR="00CE6D78" w:rsidRDefault="00CE6D78" w:rsidP="0040529F">
      <w:pPr>
        <w:pStyle w:val="NoSpacing"/>
      </w:pPr>
    </w:p>
    <w:p w:rsidR="00CE6D78" w:rsidRDefault="00CE6D78" w:rsidP="0040529F">
      <w:pPr>
        <w:pStyle w:val="NoSpacing"/>
      </w:pPr>
    </w:p>
    <w:p w:rsidR="00CE6D78" w:rsidRDefault="00CE6D78" w:rsidP="0040529F">
      <w:pPr>
        <w:pStyle w:val="NoSpacing"/>
      </w:pPr>
    </w:p>
    <w:p w:rsidR="00CE6D78" w:rsidRDefault="00CE6D78" w:rsidP="0040529F">
      <w:pPr>
        <w:pStyle w:val="NoSpacing"/>
      </w:pPr>
    </w:p>
    <w:p w:rsidR="00CE6D78" w:rsidRDefault="00CE6D78" w:rsidP="0040529F">
      <w:pPr>
        <w:pStyle w:val="NoSpacing"/>
      </w:pPr>
    </w:p>
    <w:sectPr w:rsidR="00CE6D78" w:rsidSect="000A12BE">
      <w:footerReference w:type="default" r:id="rId17"/>
      <w:pgSz w:w="11906" w:h="16838"/>
      <w:pgMar w:top="1417" w:right="1417" w:bottom="1417" w:left="1417" w:header="708" w:footer="708" w:gutter="0"/>
      <w:pgNumType w:start="1" w:chapStyle="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4448" w:rsidRDefault="003D4448" w:rsidP="00597375">
      <w:pPr>
        <w:spacing w:after="0" w:line="240" w:lineRule="auto"/>
      </w:pPr>
      <w:r>
        <w:separator/>
      </w:r>
    </w:p>
  </w:endnote>
  <w:endnote w:type="continuationSeparator" w:id="0">
    <w:p w:rsidR="003D4448" w:rsidRDefault="003D4448" w:rsidP="005973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NewCenturySchoolCE-Italic">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TimesNewRomanPS-ItalicMT">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541219"/>
      <w:docPartObj>
        <w:docPartGallery w:val="Page Numbers (Bottom of Page)"/>
        <w:docPartUnique/>
      </w:docPartObj>
    </w:sdtPr>
    <w:sdtContent>
      <w:p w:rsidR="00CD606C" w:rsidRDefault="00E44EA8">
        <w:pPr>
          <w:pStyle w:val="Footer"/>
          <w:jc w:val="right"/>
        </w:pPr>
        <w:fldSimple w:instr=" PAGE   \* MERGEFORMAT ">
          <w:r w:rsidR="00243DCA">
            <w:rPr>
              <w:noProof/>
            </w:rPr>
            <w:t>1</w:t>
          </w:r>
        </w:fldSimple>
      </w:p>
    </w:sdtContent>
  </w:sdt>
  <w:p w:rsidR="00CD606C" w:rsidRDefault="00CD60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4448" w:rsidRDefault="003D4448" w:rsidP="00597375">
      <w:pPr>
        <w:spacing w:after="0" w:line="240" w:lineRule="auto"/>
      </w:pPr>
      <w:r>
        <w:separator/>
      </w:r>
    </w:p>
  </w:footnote>
  <w:footnote w:type="continuationSeparator" w:id="0">
    <w:p w:rsidR="003D4448" w:rsidRDefault="003D4448" w:rsidP="00597375">
      <w:pPr>
        <w:spacing w:after="0" w:line="240" w:lineRule="auto"/>
      </w:pPr>
      <w:r>
        <w:continuationSeparator/>
      </w:r>
    </w:p>
  </w:footnote>
  <w:footnote w:id="1">
    <w:p w:rsidR="00CD606C" w:rsidRPr="00EE46BD" w:rsidRDefault="00CD606C" w:rsidP="00D6604F">
      <w:pPr>
        <w:pStyle w:val="FootnoteText"/>
      </w:pPr>
      <w:r>
        <w:rPr>
          <w:rStyle w:val="FootnoteReference"/>
        </w:rPr>
        <w:footnoteRef/>
      </w:r>
      <w:r>
        <w:t xml:space="preserve"> </w:t>
      </w:r>
      <w:r w:rsidRPr="00EE46BD">
        <w:t>Bank for International Settlement</w:t>
      </w:r>
    </w:p>
  </w:footnote>
  <w:footnote w:id="2">
    <w:p w:rsidR="00CD606C" w:rsidRPr="00D4118F" w:rsidRDefault="00CD606C">
      <w:pPr>
        <w:pStyle w:val="FootnoteText"/>
      </w:pPr>
      <w:r>
        <w:rPr>
          <w:rStyle w:val="FootnoteReference"/>
        </w:rPr>
        <w:footnoteRef/>
      </w:r>
      <w:r>
        <w:t xml:space="preserve"> </w:t>
      </w:r>
      <w:r w:rsidRPr="00D4118F">
        <w:t>WTO</w:t>
      </w:r>
    </w:p>
  </w:footnote>
  <w:footnote w:id="3">
    <w:p w:rsidR="00CD606C" w:rsidRPr="0078676B" w:rsidRDefault="00CD606C" w:rsidP="00960852">
      <w:pPr>
        <w:pStyle w:val="FootnoteText"/>
      </w:pPr>
      <w:r>
        <w:rPr>
          <w:rStyle w:val="FootnoteReference"/>
        </w:rPr>
        <w:footnoteRef/>
      </w:r>
      <w:r>
        <w:t xml:space="preserve"> </w:t>
      </w:r>
      <w:r w:rsidRPr="0078676B">
        <w:t>Standard and Poor’s</w:t>
      </w:r>
    </w:p>
  </w:footnote>
  <w:footnote w:id="4">
    <w:p w:rsidR="00CD606C" w:rsidRPr="0078676B" w:rsidRDefault="00CD606C" w:rsidP="00960852">
      <w:pPr>
        <w:pStyle w:val="FootnoteText"/>
      </w:pPr>
      <w:r>
        <w:rPr>
          <w:rStyle w:val="FootnoteReference"/>
        </w:rPr>
        <w:footnoteRef/>
      </w:r>
      <w:r>
        <w:t xml:space="preserve"> </w:t>
      </w:r>
      <w:proofErr w:type="spellStart"/>
      <w:r w:rsidRPr="0078676B">
        <w:t>Stoxx</w:t>
      </w:r>
      <w:proofErr w:type="spellEnd"/>
    </w:p>
  </w:footnote>
  <w:footnote w:id="5">
    <w:p w:rsidR="00CD606C" w:rsidRPr="0078676B" w:rsidRDefault="00CD606C" w:rsidP="00960852">
      <w:pPr>
        <w:pStyle w:val="FootnoteText"/>
      </w:pPr>
      <w:r>
        <w:rPr>
          <w:rStyle w:val="FootnoteReference"/>
        </w:rPr>
        <w:footnoteRef/>
      </w:r>
      <w:r>
        <w:t xml:space="preserve"> </w:t>
      </w:r>
      <w:r w:rsidRPr="0078676B">
        <w:t>Bank of International Settlements</w:t>
      </w:r>
    </w:p>
  </w:footnote>
  <w:footnote w:id="6">
    <w:p w:rsidR="00CD606C" w:rsidRPr="00EE5E32" w:rsidRDefault="00CD606C" w:rsidP="00960852">
      <w:pPr>
        <w:pStyle w:val="FootnoteText"/>
      </w:pPr>
      <w:r>
        <w:rPr>
          <w:rStyle w:val="FootnoteReference"/>
        </w:rPr>
        <w:footnoteRef/>
      </w:r>
      <w:r>
        <w:t xml:space="preserve"> </w:t>
      </w:r>
      <w:proofErr w:type="spellStart"/>
      <w:r w:rsidRPr="00EE5E32">
        <w:t>Gerdie</w:t>
      </w:r>
      <w:proofErr w:type="spellEnd"/>
      <w:r w:rsidRPr="00EE5E32">
        <w:t xml:space="preserve"> </w:t>
      </w:r>
      <w:proofErr w:type="spellStart"/>
      <w:r w:rsidRPr="00EE5E32">
        <w:t>Everaert</w:t>
      </w:r>
      <w:proofErr w:type="spellEnd"/>
      <w:r w:rsidRPr="00EE5E32">
        <w:t>, Seminar International Financial Markets, Erasmus University</w:t>
      </w:r>
    </w:p>
  </w:footnote>
  <w:footnote w:id="7">
    <w:p w:rsidR="00CD606C" w:rsidRPr="00243493" w:rsidRDefault="00CD606C" w:rsidP="00314A1E">
      <w:pPr>
        <w:pStyle w:val="FootnoteText"/>
      </w:pPr>
      <w:r>
        <w:rPr>
          <w:rStyle w:val="FootnoteReference"/>
        </w:rPr>
        <w:footnoteRef/>
      </w:r>
      <w:r>
        <w:t xml:space="preserve"> Bank of International Settlement, Triennial Central Bank Survey 2010, all further used facts in this section about exchange rates are from this source</w:t>
      </w:r>
    </w:p>
  </w:footnote>
  <w:footnote w:id="8">
    <w:p w:rsidR="00CD606C" w:rsidRPr="00F67784" w:rsidRDefault="00CD606C" w:rsidP="00314A1E">
      <w:pPr>
        <w:pStyle w:val="FootnoteText"/>
      </w:pPr>
      <w:r>
        <w:rPr>
          <w:rStyle w:val="FootnoteReference"/>
        </w:rPr>
        <w:footnoteRef/>
      </w:r>
      <w:r>
        <w:t xml:space="preserve"> </w:t>
      </w:r>
      <w:r w:rsidRPr="00F67784">
        <w:t xml:space="preserve">All trade figures are from the </w:t>
      </w:r>
      <w:r>
        <w:t xml:space="preserve">World Trade </w:t>
      </w:r>
      <w:proofErr w:type="spellStart"/>
      <w:r>
        <w:t>Organisation</w:t>
      </w:r>
      <w:proofErr w:type="spellEnd"/>
      <w:r>
        <w:t xml:space="preserve"> (2009)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85pt;height:12.4pt;visibility:visible;mso-wrap-style:square" o:bullet="t">
        <v:imagedata r:id="rId1" o:title=""/>
      </v:shape>
    </w:pict>
  </w:numPicBullet>
  <w:abstractNum w:abstractNumId="0">
    <w:nsid w:val="026D479E"/>
    <w:multiLevelType w:val="hybridMultilevel"/>
    <w:tmpl w:val="136ED64A"/>
    <w:lvl w:ilvl="0" w:tplc="81B8F218">
      <w:start w:val="6"/>
      <w:numFmt w:val="bullet"/>
      <w:lvlText w:val="-"/>
      <w:lvlJc w:val="left"/>
      <w:pPr>
        <w:ind w:left="720" w:hanging="360"/>
      </w:pPr>
      <w:rPr>
        <w:rFonts w:ascii="Cambria" w:eastAsiaTheme="minorHAnsi" w:hAnsi="Cambria" w:cstheme="maj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83133EE"/>
    <w:multiLevelType w:val="hybridMultilevel"/>
    <w:tmpl w:val="B7B06664"/>
    <w:lvl w:ilvl="0" w:tplc="82E2A476">
      <w:numFmt w:val="bullet"/>
      <w:lvlText w:val="-"/>
      <w:lvlJc w:val="left"/>
      <w:pPr>
        <w:ind w:left="720" w:hanging="360"/>
      </w:pPr>
      <w:rPr>
        <w:rFonts w:ascii="Cambria" w:eastAsiaTheme="minorHAnsi" w:hAnsi="Cambria" w:cstheme="maj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23FE04D6"/>
    <w:multiLevelType w:val="hybridMultilevel"/>
    <w:tmpl w:val="994C9B5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35024E3D"/>
    <w:multiLevelType w:val="hybridMultilevel"/>
    <w:tmpl w:val="591291B2"/>
    <w:lvl w:ilvl="0" w:tplc="9CBEB30C">
      <w:numFmt w:val="bullet"/>
      <w:lvlText w:val=""/>
      <w:lvlJc w:val="left"/>
      <w:pPr>
        <w:ind w:left="720" w:hanging="360"/>
      </w:pPr>
      <w:rPr>
        <w:rFonts w:ascii="Wingdings" w:eastAsiaTheme="minorHAnsi" w:hAnsi="Wingdings" w:cstheme="maj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36563276"/>
    <w:multiLevelType w:val="hybridMultilevel"/>
    <w:tmpl w:val="512A3FE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3AFA3C37"/>
    <w:multiLevelType w:val="hybridMultilevel"/>
    <w:tmpl w:val="3CC49E92"/>
    <w:lvl w:ilvl="0" w:tplc="5AFCD920">
      <w:numFmt w:val="bullet"/>
      <w:lvlText w:val=""/>
      <w:lvlJc w:val="left"/>
      <w:pPr>
        <w:ind w:left="720" w:hanging="360"/>
      </w:pPr>
      <w:rPr>
        <w:rFonts w:ascii="Wingdings" w:eastAsiaTheme="minorHAnsi" w:hAnsi="Wingdings" w:cstheme="maj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59C05203"/>
    <w:multiLevelType w:val="hybridMultilevel"/>
    <w:tmpl w:val="BBC8597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62CC650F"/>
    <w:multiLevelType w:val="hybridMultilevel"/>
    <w:tmpl w:val="4D9EF564"/>
    <w:lvl w:ilvl="0" w:tplc="B18E1B80">
      <w:start w:val="1"/>
      <w:numFmt w:val="bullet"/>
      <w:lvlText w:val="-"/>
      <w:lvlJc w:val="left"/>
      <w:pPr>
        <w:ind w:left="720" w:hanging="360"/>
      </w:pPr>
      <w:rPr>
        <w:rFonts w:ascii="Cambria" w:eastAsiaTheme="minorHAnsi" w:hAnsi="Cambria" w:cstheme="majorBidi" w:hint="default"/>
      </w:rPr>
    </w:lvl>
    <w:lvl w:ilvl="1" w:tplc="722C9C28" w:tentative="1">
      <w:start w:val="1"/>
      <w:numFmt w:val="bullet"/>
      <w:lvlText w:val="o"/>
      <w:lvlJc w:val="left"/>
      <w:pPr>
        <w:ind w:left="1440" w:hanging="360"/>
      </w:pPr>
      <w:rPr>
        <w:rFonts w:ascii="Courier New" w:hAnsi="Courier New" w:cs="Courier New" w:hint="default"/>
      </w:rPr>
    </w:lvl>
    <w:lvl w:ilvl="2" w:tplc="36301BBA" w:tentative="1">
      <w:start w:val="1"/>
      <w:numFmt w:val="bullet"/>
      <w:lvlText w:val=""/>
      <w:lvlJc w:val="left"/>
      <w:pPr>
        <w:ind w:left="2160" w:hanging="360"/>
      </w:pPr>
      <w:rPr>
        <w:rFonts w:ascii="Wingdings" w:hAnsi="Wingdings" w:hint="default"/>
      </w:rPr>
    </w:lvl>
    <w:lvl w:ilvl="3" w:tplc="1D5EDFA8" w:tentative="1">
      <w:start w:val="1"/>
      <w:numFmt w:val="bullet"/>
      <w:lvlText w:val=""/>
      <w:lvlJc w:val="left"/>
      <w:pPr>
        <w:ind w:left="2880" w:hanging="360"/>
      </w:pPr>
      <w:rPr>
        <w:rFonts w:ascii="Symbol" w:hAnsi="Symbol" w:hint="default"/>
      </w:rPr>
    </w:lvl>
    <w:lvl w:ilvl="4" w:tplc="DF64941E" w:tentative="1">
      <w:start w:val="1"/>
      <w:numFmt w:val="bullet"/>
      <w:lvlText w:val="o"/>
      <w:lvlJc w:val="left"/>
      <w:pPr>
        <w:ind w:left="3600" w:hanging="360"/>
      </w:pPr>
      <w:rPr>
        <w:rFonts w:ascii="Courier New" w:hAnsi="Courier New" w:cs="Courier New" w:hint="default"/>
      </w:rPr>
    </w:lvl>
    <w:lvl w:ilvl="5" w:tplc="B71E886A" w:tentative="1">
      <w:start w:val="1"/>
      <w:numFmt w:val="bullet"/>
      <w:lvlText w:val=""/>
      <w:lvlJc w:val="left"/>
      <w:pPr>
        <w:ind w:left="4320" w:hanging="360"/>
      </w:pPr>
      <w:rPr>
        <w:rFonts w:ascii="Wingdings" w:hAnsi="Wingdings" w:hint="default"/>
      </w:rPr>
    </w:lvl>
    <w:lvl w:ilvl="6" w:tplc="B900D4FC" w:tentative="1">
      <w:start w:val="1"/>
      <w:numFmt w:val="bullet"/>
      <w:lvlText w:val=""/>
      <w:lvlJc w:val="left"/>
      <w:pPr>
        <w:ind w:left="5040" w:hanging="360"/>
      </w:pPr>
      <w:rPr>
        <w:rFonts w:ascii="Symbol" w:hAnsi="Symbol" w:hint="default"/>
      </w:rPr>
    </w:lvl>
    <w:lvl w:ilvl="7" w:tplc="5D4A5CB4" w:tentative="1">
      <w:start w:val="1"/>
      <w:numFmt w:val="bullet"/>
      <w:lvlText w:val="o"/>
      <w:lvlJc w:val="left"/>
      <w:pPr>
        <w:ind w:left="5760" w:hanging="360"/>
      </w:pPr>
      <w:rPr>
        <w:rFonts w:ascii="Courier New" w:hAnsi="Courier New" w:cs="Courier New" w:hint="default"/>
      </w:rPr>
    </w:lvl>
    <w:lvl w:ilvl="8" w:tplc="B93477F4" w:tentative="1">
      <w:start w:val="1"/>
      <w:numFmt w:val="bullet"/>
      <w:lvlText w:val=""/>
      <w:lvlJc w:val="left"/>
      <w:pPr>
        <w:ind w:left="6480" w:hanging="360"/>
      </w:pPr>
      <w:rPr>
        <w:rFonts w:ascii="Wingdings" w:hAnsi="Wingdings" w:hint="default"/>
      </w:rPr>
    </w:lvl>
  </w:abstractNum>
  <w:abstractNum w:abstractNumId="8">
    <w:nsid w:val="63AB625C"/>
    <w:multiLevelType w:val="hybridMultilevel"/>
    <w:tmpl w:val="3BC0947A"/>
    <w:lvl w:ilvl="0" w:tplc="AEFEB8BA">
      <w:numFmt w:val="bullet"/>
      <w:lvlText w:val="-"/>
      <w:lvlJc w:val="left"/>
      <w:pPr>
        <w:ind w:left="720" w:hanging="360"/>
      </w:pPr>
      <w:rPr>
        <w:rFonts w:ascii="Cambria" w:eastAsiaTheme="minorHAnsi" w:hAnsi="Cambria" w:cstheme="maj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64FC5407"/>
    <w:multiLevelType w:val="hybridMultilevel"/>
    <w:tmpl w:val="406E3290"/>
    <w:lvl w:ilvl="0" w:tplc="1E061C26">
      <w:numFmt w:val="bullet"/>
      <w:lvlText w:val=""/>
      <w:lvlJc w:val="left"/>
      <w:pPr>
        <w:ind w:left="720" w:hanging="360"/>
      </w:pPr>
      <w:rPr>
        <w:rFonts w:ascii="Wingdings" w:eastAsiaTheme="minorHAnsi" w:hAnsi="Wingdings" w:cstheme="maj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6B3A6571"/>
    <w:multiLevelType w:val="hybridMultilevel"/>
    <w:tmpl w:val="1750C5F8"/>
    <w:lvl w:ilvl="0" w:tplc="E0360C0A">
      <w:start w:val="1"/>
      <w:numFmt w:val="bullet"/>
      <w:lvlText w:val="-"/>
      <w:lvlJc w:val="left"/>
      <w:pPr>
        <w:ind w:left="720" w:hanging="360"/>
      </w:pPr>
      <w:rPr>
        <w:rFonts w:ascii="Cambria" w:eastAsiaTheme="minorHAnsi" w:hAnsi="Cambria" w:cstheme="maj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72DB0300"/>
    <w:multiLevelType w:val="hybridMultilevel"/>
    <w:tmpl w:val="9BC09B60"/>
    <w:lvl w:ilvl="0" w:tplc="22B4BACE">
      <w:start w:val="1"/>
      <w:numFmt w:val="decimal"/>
      <w:lvlText w:val="%1)"/>
      <w:lvlJc w:val="left"/>
      <w:pPr>
        <w:ind w:left="720" w:hanging="360"/>
      </w:pPr>
      <w:rPr>
        <w:rFonts w:hint="default"/>
      </w:rPr>
    </w:lvl>
    <w:lvl w:ilvl="1" w:tplc="04130003" w:tentative="1">
      <w:start w:val="1"/>
      <w:numFmt w:val="lowerLetter"/>
      <w:lvlText w:val="%2."/>
      <w:lvlJc w:val="left"/>
      <w:pPr>
        <w:ind w:left="1440" w:hanging="360"/>
      </w:pPr>
    </w:lvl>
    <w:lvl w:ilvl="2" w:tplc="04130005" w:tentative="1">
      <w:start w:val="1"/>
      <w:numFmt w:val="lowerRoman"/>
      <w:lvlText w:val="%3."/>
      <w:lvlJc w:val="right"/>
      <w:pPr>
        <w:ind w:left="2160" w:hanging="180"/>
      </w:pPr>
    </w:lvl>
    <w:lvl w:ilvl="3" w:tplc="04130001" w:tentative="1">
      <w:start w:val="1"/>
      <w:numFmt w:val="decimal"/>
      <w:lvlText w:val="%4."/>
      <w:lvlJc w:val="left"/>
      <w:pPr>
        <w:ind w:left="2880" w:hanging="360"/>
      </w:pPr>
    </w:lvl>
    <w:lvl w:ilvl="4" w:tplc="04130003" w:tentative="1">
      <w:start w:val="1"/>
      <w:numFmt w:val="lowerLetter"/>
      <w:lvlText w:val="%5."/>
      <w:lvlJc w:val="left"/>
      <w:pPr>
        <w:ind w:left="3600" w:hanging="360"/>
      </w:pPr>
    </w:lvl>
    <w:lvl w:ilvl="5" w:tplc="04130005" w:tentative="1">
      <w:start w:val="1"/>
      <w:numFmt w:val="lowerRoman"/>
      <w:lvlText w:val="%6."/>
      <w:lvlJc w:val="right"/>
      <w:pPr>
        <w:ind w:left="4320" w:hanging="180"/>
      </w:pPr>
    </w:lvl>
    <w:lvl w:ilvl="6" w:tplc="04130001" w:tentative="1">
      <w:start w:val="1"/>
      <w:numFmt w:val="decimal"/>
      <w:lvlText w:val="%7."/>
      <w:lvlJc w:val="left"/>
      <w:pPr>
        <w:ind w:left="5040" w:hanging="360"/>
      </w:pPr>
    </w:lvl>
    <w:lvl w:ilvl="7" w:tplc="04130003" w:tentative="1">
      <w:start w:val="1"/>
      <w:numFmt w:val="lowerLetter"/>
      <w:lvlText w:val="%8."/>
      <w:lvlJc w:val="left"/>
      <w:pPr>
        <w:ind w:left="5760" w:hanging="360"/>
      </w:pPr>
    </w:lvl>
    <w:lvl w:ilvl="8" w:tplc="04130005" w:tentative="1">
      <w:start w:val="1"/>
      <w:numFmt w:val="lowerRoman"/>
      <w:lvlText w:val="%9."/>
      <w:lvlJc w:val="right"/>
      <w:pPr>
        <w:ind w:left="6480" w:hanging="180"/>
      </w:pPr>
    </w:lvl>
  </w:abstractNum>
  <w:abstractNum w:abstractNumId="12">
    <w:nsid w:val="74D320A7"/>
    <w:multiLevelType w:val="hybridMultilevel"/>
    <w:tmpl w:val="C2B2C4D0"/>
    <w:lvl w:ilvl="0" w:tplc="04130011">
      <w:start w:val="1"/>
      <w:numFmt w:val="bullet"/>
      <w:lvlText w:val=""/>
      <w:lvlJc w:val="left"/>
      <w:pPr>
        <w:ind w:left="1080" w:hanging="360"/>
      </w:pPr>
      <w:rPr>
        <w:rFonts w:ascii="Symbol" w:hAnsi="Symbol" w:hint="default"/>
      </w:rPr>
    </w:lvl>
    <w:lvl w:ilvl="1" w:tplc="04130019" w:tentative="1">
      <w:start w:val="1"/>
      <w:numFmt w:val="bullet"/>
      <w:lvlText w:val="o"/>
      <w:lvlJc w:val="left"/>
      <w:pPr>
        <w:ind w:left="1800" w:hanging="360"/>
      </w:pPr>
      <w:rPr>
        <w:rFonts w:ascii="Courier New" w:hAnsi="Courier New" w:cs="Courier New" w:hint="default"/>
      </w:rPr>
    </w:lvl>
    <w:lvl w:ilvl="2" w:tplc="0413001B" w:tentative="1">
      <w:start w:val="1"/>
      <w:numFmt w:val="bullet"/>
      <w:lvlText w:val=""/>
      <w:lvlJc w:val="left"/>
      <w:pPr>
        <w:ind w:left="2520" w:hanging="360"/>
      </w:pPr>
      <w:rPr>
        <w:rFonts w:ascii="Wingdings" w:hAnsi="Wingdings" w:hint="default"/>
      </w:rPr>
    </w:lvl>
    <w:lvl w:ilvl="3" w:tplc="0413000F" w:tentative="1">
      <w:start w:val="1"/>
      <w:numFmt w:val="bullet"/>
      <w:lvlText w:val=""/>
      <w:lvlJc w:val="left"/>
      <w:pPr>
        <w:ind w:left="3240" w:hanging="360"/>
      </w:pPr>
      <w:rPr>
        <w:rFonts w:ascii="Symbol" w:hAnsi="Symbol" w:hint="default"/>
      </w:rPr>
    </w:lvl>
    <w:lvl w:ilvl="4" w:tplc="04130019" w:tentative="1">
      <w:start w:val="1"/>
      <w:numFmt w:val="bullet"/>
      <w:lvlText w:val="o"/>
      <w:lvlJc w:val="left"/>
      <w:pPr>
        <w:ind w:left="3960" w:hanging="360"/>
      </w:pPr>
      <w:rPr>
        <w:rFonts w:ascii="Courier New" w:hAnsi="Courier New" w:cs="Courier New" w:hint="default"/>
      </w:rPr>
    </w:lvl>
    <w:lvl w:ilvl="5" w:tplc="0413001B" w:tentative="1">
      <w:start w:val="1"/>
      <w:numFmt w:val="bullet"/>
      <w:lvlText w:val=""/>
      <w:lvlJc w:val="left"/>
      <w:pPr>
        <w:ind w:left="4680" w:hanging="360"/>
      </w:pPr>
      <w:rPr>
        <w:rFonts w:ascii="Wingdings" w:hAnsi="Wingdings" w:hint="default"/>
      </w:rPr>
    </w:lvl>
    <w:lvl w:ilvl="6" w:tplc="0413000F" w:tentative="1">
      <w:start w:val="1"/>
      <w:numFmt w:val="bullet"/>
      <w:lvlText w:val=""/>
      <w:lvlJc w:val="left"/>
      <w:pPr>
        <w:ind w:left="5400" w:hanging="360"/>
      </w:pPr>
      <w:rPr>
        <w:rFonts w:ascii="Symbol" w:hAnsi="Symbol" w:hint="default"/>
      </w:rPr>
    </w:lvl>
    <w:lvl w:ilvl="7" w:tplc="04130019" w:tentative="1">
      <w:start w:val="1"/>
      <w:numFmt w:val="bullet"/>
      <w:lvlText w:val="o"/>
      <w:lvlJc w:val="left"/>
      <w:pPr>
        <w:ind w:left="6120" w:hanging="360"/>
      </w:pPr>
      <w:rPr>
        <w:rFonts w:ascii="Courier New" w:hAnsi="Courier New" w:cs="Courier New" w:hint="default"/>
      </w:rPr>
    </w:lvl>
    <w:lvl w:ilvl="8" w:tplc="0413001B" w:tentative="1">
      <w:start w:val="1"/>
      <w:numFmt w:val="bullet"/>
      <w:lvlText w:val=""/>
      <w:lvlJc w:val="left"/>
      <w:pPr>
        <w:ind w:left="6840" w:hanging="360"/>
      </w:pPr>
      <w:rPr>
        <w:rFonts w:ascii="Wingdings" w:hAnsi="Wingdings" w:hint="default"/>
      </w:rPr>
    </w:lvl>
  </w:abstractNum>
  <w:abstractNum w:abstractNumId="13">
    <w:nsid w:val="7615568A"/>
    <w:multiLevelType w:val="hybridMultilevel"/>
    <w:tmpl w:val="5734E80E"/>
    <w:lvl w:ilvl="0" w:tplc="04130001">
      <w:start w:val="1"/>
      <w:numFmt w:val="bullet"/>
      <w:lvlText w:val=""/>
      <w:lvlPicBulletId w:val="0"/>
      <w:lvlJc w:val="left"/>
      <w:pPr>
        <w:tabs>
          <w:tab w:val="num" w:pos="720"/>
        </w:tabs>
        <w:ind w:left="720" w:hanging="360"/>
      </w:pPr>
      <w:rPr>
        <w:rFonts w:ascii="Symbol" w:hAnsi="Symbol" w:hint="default"/>
      </w:rPr>
    </w:lvl>
    <w:lvl w:ilvl="1" w:tplc="04130003" w:tentative="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Symbol" w:hAnsi="Symbol"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
      <w:lvlJc w:val="left"/>
      <w:pPr>
        <w:tabs>
          <w:tab w:val="num" w:pos="3600"/>
        </w:tabs>
        <w:ind w:left="3600" w:hanging="360"/>
      </w:pPr>
      <w:rPr>
        <w:rFonts w:ascii="Symbol" w:hAnsi="Symbol" w:hint="default"/>
      </w:rPr>
    </w:lvl>
    <w:lvl w:ilvl="5" w:tplc="04130005" w:tentative="1">
      <w:start w:val="1"/>
      <w:numFmt w:val="bullet"/>
      <w:lvlText w:val=""/>
      <w:lvlJc w:val="left"/>
      <w:pPr>
        <w:tabs>
          <w:tab w:val="num" w:pos="4320"/>
        </w:tabs>
        <w:ind w:left="4320" w:hanging="360"/>
      </w:pPr>
      <w:rPr>
        <w:rFonts w:ascii="Symbol" w:hAnsi="Symbol"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
      <w:lvlJc w:val="left"/>
      <w:pPr>
        <w:tabs>
          <w:tab w:val="num" w:pos="5760"/>
        </w:tabs>
        <w:ind w:left="5760" w:hanging="360"/>
      </w:pPr>
      <w:rPr>
        <w:rFonts w:ascii="Symbol" w:hAnsi="Symbol" w:hint="default"/>
      </w:rPr>
    </w:lvl>
    <w:lvl w:ilvl="8" w:tplc="04130005" w:tentative="1">
      <w:start w:val="1"/>
      <w:numFmt w:val="bullet"/>
      <w:lvlText w:val=""/>
      <w:lvlJc w:val="left"/>
      <w:pPr>
        <w:tabs>
          <w:tab w:val="num" w:pos="6480"/>
        </w:tabs>
        <w:ind w:left="6480" w:hanging="360"/>
      </w:pPr>
      <w:rPr>
        <w:rFonts w:ascii="Symbol" w:hAnsi="Symbol" w:hint="default"/>
      </w:rPr>
    </w:lvl>
  </w:abstractNum>
  <w:num w:numId="1">
    <w:abstractNumId w:val="3"/>
  </w:num>
  <w:num w:numId="2">
    <w:abstractNumId w:val="11"/>
  </w:num>
  <w:num w:numId="3">
    <w:abstractNumId w:val="7"/>
  </w:num>
  <w:num w:numId="4">
    <w:abstractNumId w:val="2"/>
  </w:num>
  <w:num w:numId="5">
    <w:abstractNumId w:val="13"/>
  </w:num>
  <w:num w:numId="6">
    <w:abstractNumId w:val="1"/>
  </w:num>
  <w:num w:numId="7">
    <w:abstractNumId w:val="5"/>
  </w:num>
  <w:num w:numId="8">
    <w:abstractNumId w:val="4"/>
  </w:num>
  <w:num w:numId="9">
    <w:abstractNumId w:val="12"/>
  </w:num>
  <w:num w:numId="10">
    <w:abstractNumId w:val="10"/>
  </w:num>
  <w:num w:numId="11">
    <w:abstractNumId w:val="9"/>
  </w:num>
  <w:num w:numId="12">
    <w:abstractNumId w:val="0"/>
  </w:num>
  <w:num w:numId="13">
    <w:abstractNumId w:val="8"/>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B1928"/>
    <w:rsid w:val="00003E7E"/>
    <w:rsid w:val="00084EDD"/>
    <w:rsid w:val="000919F4"/>
    <w:rsid w:val="00094399"/>
    <w:rsid w:val="00095F55"/>
    <w:rsid w:val="000A12BE"/>
    <w:rsid w:val="000A16D5"/>
    <w:rsid w:val="000A2496"/>
    <w:rsid w:val="000B0606"/>
    <w:rsid w:val="000C4E25"/>
    <w:rsid w:val="000E18B7"/>
    <w:rsid w:val="000F0A0A"/>
    <w:rsid w:val="00107DB1"/>
    <w:rsid w:val="00110E97"/>
    <w:rsid w:val="00124B57"/>
    <w:rsid w:val="00145FB1"/>
    <w:rsid w:val="0015747A"/>
    <w:rsid w:val="0016653A"/>
    <w:rsid w:val="00177860"/>
    <w:rsid w:val="001A4E02"/>
    <w:rsid w:val="001B03B7"/>
    <w:rsid w:val="001B44BF"/>
    <w:rsid w:val="001D7AD7"/>
    <w:rsid w:val="001E34D7"/>
    <w:rsid w:val="001E4B79"/>
    <w:rsid w:val="001E63DA"/>
    <w:rsid w:val="001E6674"/>
    <w:rsid w:val="001F35A1"/>
    <w:rsid w:val="002009E0"/>
    <w:rsid w:val="00217D72"/>
    <w:rsid w:val="00222DE0"/>
    <w:rsid w:val="00243DCA"/>
    <w:rsid w:val="00255ECA"/>
    <w:rsid w:val="00270D27"/>
    <w:rsid w:val="00291772"/>
    <w:rsid w:val="002A5B8B"/>
    <w:rsid w:val="002C5376"/>
    <w:rsid w:val="002E751B"/>
    <w:rsid w:val="00314A1E"/>
    <w:rsid w:val="003177B8"/>
    <w:rsid w:val="00334923"/>
    <w:rsid w:val="0033613A"/>
    <w:rsid w:val="0033733A"/>
    <w:rsid w:val="003413D8"/>
    <w:rsid w:val="00351D94"/>
    <w:rsid w:val="00361E69"/>
    <w:rsid w:val="00381855"/>
    <w:rsid w:val="0038615C"/>
    <w:rsid w:val="00393130"/>
    <w:rsid w:val="00397075"/>
    <w:rsid w:val="003A25A8"/>
    <w:rsid w:val="003D38FD"/>
    <w:rsid w:val="003D4448"/>
    <w:rsid w:val="003F2B2D"/>
    <w:rsid w:val="0040196C"/>
    <w:rsid w:val="0040529F"/>
    <w:rsid w:val="00417F08"/>
    <w:rsid w:val="0045037E"/>
    <w:rsid w:val="004663D8"/>
    <w:rsid w:val="00483B5D"/>
    <w:rsid w:val="00495DD6"/>
    <w:rsid w:val="004A5A3E"/>
    <w:rsid w:val="004B1928"/>
    <w:rsid w:val="004C126F"/>
    <w:rsid w:val="004C71EC"/>
    <w:rsid w:val="004E1287"/>
    <w:rsid w:val="004E6CFE"/>
    <w:rsid w:val="00506A43"/>
    <w:rsid w:val="00534D6D"/>
    <w:rsid w:val="00542F19"/>
    <w:rsid w:val="00570FA7"/>
    <w:rsid w:val="00572205"/>
    <w:rsid w:val="0058589D"/>
    <w:rsid w:val="00597375"/>
    <w:rsid w:val="005D3DA1"/>
    <w:rsid w:val="00611097"/>
    <w:rsid w:val="00615B19"/>
    <w:rsid w:val="00654255"/>
    <w:rsid w:val="00655205"/>
    <w:rsid w:val="00673386"/>
    <w:rsid w:val="00681730"/>
    <w:rsid w:val="00682ECD"/>
    <w:rsid w:val="006A4A43"/>
    <w:rsid w:val="006A531C"/>
    <w:rsid w:val="006B0500"/>
    <w:rsid w:val="006E1B2A"/>
    <w:rsid w:val="006E6BCF"/>
    <w:rsid w:val="0075497D"/>
    <w:rsid w:val="00790811"/>
    <w:rsid w:val="007A3117"/>
    <w:rsid w:val="007A5A94"/>
    <w:rsid w:val="007A66B1"/>
    <w:rsid w:val="007C31E4"/>
    <w:rsid w:val="007C37CA"/>
    <w:rsid w:val="007C63C2"/>
    <w:rsid w:val="007C73EE"/>
    <w:rsid w:val="007C7D16"/>
    <w:rsid w:val="007D7060"/>
    <w:rsid w:val="00830936"/>
    <w:rsid w:val="0083777B"/>
    <w:rsid w:val="00847AFC"/>
    <w:rsid w:val="00861EA7"/>
    <w:rsid w:val="008967CB"/>
    <w:rsid w:val="008B31A0"/>
    <w:rsid w:val="008D0A55"/>
    <w:rsid w:val="008E35FE"/>
    <w:rsid w:val="00904119"/>
    <w:rsid w:val="00906BE1"/>
    <w:rsid w:val="0091183F"/>
    <w:rsid w:val="00916511"/>
    <w:rsid w:val="00925AF7"/>
    <w:rsid w:val="00932D32"/>
    <w:rsid w:val="00960852"/>
    <w:rsid w:val="009929F7"/>
    <w:rsid w:val="009B225F"/>
    <w:rsid w:val="009C16D2"/>
    <w:rsid w:val="009D0421"/>
    <w:rsid w:val="009E3DD9"/>
    <w:rsid w:val="009E6938"/>
    <w:rsid w:val="009F5C22"/>
    <w:rsid w:val="00A06755"/>
    <w:rsid w:val="00A36E34"/>
    <w:rsid w:val="00A40B21"/>
    <w:rsid w:val="00A61DFC"/>
    <w:rsid w:val="00A73719"/>
    <w:rsid w:val="00A953F7"/>
    <w:rsid w:val="00AA1173"/>
    <w:rsid w:val="00AC67AC"/>
    <w:rsid w:val="00AD1854"/>
    <w:rsid w:val="00AE3C72"/>
    <w:rsid w:val="00B31912"/>
    <w:rsid w:val="00B47846"/>
    <w:rsid w:val="00B479B9"/>
    <w:rsid w:val="00B51EAA"/>
    <w:rsid w:val="00B66259"/>
    <w:rsid w:val="00B74EA0"/>
    <w:rsid w:val="00BA5F9C"/>
    <w:rsid w:val="00BB151F"/>
    <w:rsid w:val="00BD1C19"/>
    <w:rsid w:val="00BF49CF"/>
    <w:rsid w:val="00C0559C"/>
    <w:rsid w:val="00C35A12"/>
    <w:rsid w:val="00C50D17"/>
    <w:rsid w:val="00C56B9D"/>
    <w:rsid w:val="00C76179"/>
    <w:rsid w:val="00C97ABB"/>
    <w:rsid w:val="00CB445C"/>
    <w:rsid w:val="00CC32A8"/>
    <w:rsid w:val="00CC41EA"/>
    <w:rsid w:val="00CD606C"/>
    <w:rsid w:val="00CE6D78"/>
    <w:rsid w:val="00CF23F6"/>
    <w:rsid w:val="00CF75A3"/>
    <w:rsid w:val="00CF7DB4"/>
    <w:rsid w:val="00D01972"/>
    <w:rsid w:val="00D24C4B"/>
    <w:rsid w:val="00D2718D"/>
    <w:rsid w:val="00D3722D"/>
    <w:rsid w:val="00D37B63"/>
    <w:rsid w:val="00D4118F"/>
    <w:rsid w:val="00D510D6"/>
    <w:rsid w:val="00D61126"/>
    <w:rsid w:val="00D6604F"/>
    <w:rsid w:val="00D86759"/>
    <w:rsid w:val="00DA7F40"/>
    <w:rsid w:val="00DB031F"/>
    <w:rsid w:val="00DE37DC"/>
    <w:rsid w:val="00E00EA7"/>
    <w:rsid w:val="00E429C8"/>
    <w:rsid w:val="00E44EA8"/>
    <w:rsid w:val="00E86166"/>
    <w:rsid w:val="00EB1C40"/>
    <w:rsid w:val="00EB3708"/>
    <w:rsid w:val="00EC4D87"/>
    <w:rsid w:val="00EC69FF"/>
    <w:rsid w:val="00EE46BD"/>
    <w:rsid w:val="00EF4CAC"/>
    <w:rsid w:val="00F0011B"/>
    <w:rsid w:val="00F072E0"/>
    <w:rsid w:val="00F367F6"/>
    <w:rsid w:val="00F71AE5"/>
    <w:rsid w:val="00F820E3"/>
    <w:rsid w:val="00FA575A"/>
    <w:rsid w:val="00FB1F30"/>
    <w:rsid w:val="00FE2AD6"/>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BE1"/>
  </w:style>
  <w:style w:type="paragraph" w:styleId="Heading1">
    <w:name w:val="heading 1"/>
    <w:basedOn w:val="Normal"/>
    <w:next w:val="Normal"/>
    <w:link w:val="Heading1Char"/>
    <w:uiPriority w:val="9"/>
    <w:qFormat/>
    <w:rsid w:val="00906BE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906BE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906BE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906BE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906BE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906BE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906BE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906BE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906BE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6BE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906BE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906BE1"/>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906BE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906BE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906BE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906BE1"/>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906BE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906BE1"/>
    <w:rPr>
      <w:rFonts w:asciiTheme="majorHAnsi" w:eastAsiaTheme="majorEastAsia" w:hAnsiTheme="majorHAnsi" w:cstheme="majorBidi"/>
      <w:i/>
      <w:iCs/>
      <w:spacing w:val="5"/>
      <w:sz w:val="20"/>
      <w:szCs w:val="20"/>
    </w:rPr>
  </w:style>
  <w:style w:type="paragraph" w:styleId="TOC1">
    <w:name w:val="toc 1"/>
    <w:basedOn w:val="Normal"/>
    <w:next w:val="Normal"/>
    <w:autoRedefine/>
    <w:uiPriority w:val="39"/>
    <w:unhideWhenUsed/>
    <w:qFormat/>
    <w:rsid w:val="0015747A"/>
  </w:style>
  <w:style w:type="paragraph" w:styleId="TOC2">
    <w:name w:val="toc 2"/>
    <w:basedOn w:val="Normal"/>
    <w:next w:val="Normal"/>
    <w:autoRedefine/>
    <w:uiPriority w:val="39"/>
    <w:unhideWhenUsed/>
    <w:qFormat/>
    <w:rsid w:val="0015747A"/>
    <w:pPr>
      <w:tabs>
        <w:tab w:val="right" w:leader="dot" w:pos="9062"/>
      </w:tabs>
      <w:ind w:left="220"/>
    </w:pPr>
    <w:rPr>
      <w:b/>
      <w:noProof/>
    </w:rPr>
  </w:style>
  <w:style w:type="paragraph" w:styleId="TOC3">
    <w:name w:val="toc 3"/>
    <w:basedOn w:val="Normal"/>
    <w:next w:val="Normal"/>
    <w:autoRedefine/>
    <w:uiPriority w:val="39"/>
    <w:unhideWhenUsed/>
    <w:qFormat/>
    <w:rsid w:val="0015747A"/>
    <w:pPr>
      <w:ind w:left="440"/>
    </w:pPr>
  </w:style>
  <w:style w:type="paragraph" w:styleId="Caption">
    <w:name w:val="caption"/>
    <w:basedOn w:val="Normal"/>
    <w:next w:val="Normal"/>
    <w:uiPriority w:val="35"/>
    <w:unhideWhenUsed/>
    <w:qFormat/>
    <w:rsid w:val="0015747A"/>
    <w:rPr>
      <w:caps/>
      <w:spacing w:val="10"/>
      <w:sz w:val="18"/>
      <w:szCs w:val="18"/>
    </w:rPr>
  </w:style>
  <w:style w:type="paragraph" w:styleId="Title">
    <w:name w:val="Title"/>
    <w:basedOn w:val="Normal"/>
    <w:next w:val="Normal"/>
    <w:link w:val="TitleChar"/>
    <w:uiPriority w:val="10"/>
    <w:qFormat/>
    <w:rsid w:val="00906BE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906BE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906BE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06BE1"/>
    <w:rPr>
      <w:rFonts w:asciiTheme="majorHAnsi" w:eastAsiaTheme="majorEastAsia" w:hAnsiTheme="majorHAnsi" w:cstheme="majorBidi"/>
      <w:i/>
      <w:iCs/>
      <w:spacing w:val="13"/>
      <w:sz w:val="24"/>
      <w:szCs w:val="24"/>
    </w:rPr>
  </w:style>
  <w:style w:type="character" w:styleId="Strong">
    <w:name w:val="Strong"/>
    <w:uiPriority w:val="22"/>
    <w:qFormat/>
    <w:rsid w:val="00906BE1"/>
    <w:rPr>
      <w:b/>
      <w:bCs/>
    </w:rPr>
  </w:style>
  <w:style w:type="character" w:styleId="Emphasis">
    <w:name w:val="Emphasis"/>
    <w:uiPriority w:val="20"/>
    <w:qFormat/>
    <w:rsid w:val="00906BE1"/>
    <w:rPr>
      <w:b/>
      <w:bCs/>
      <w:i/>
      <w:iCs/>
      <w:spacing w:val="10"/>
      <w:bdr w:val="none" w:sz="0" w:space="0" w:color="auto"/>
      <w:shd w:val="clear" w:color="auto" w:fill="auto"/>
    </w:rPr>
  </w:style>
  <w:style w:type="paragraph" w:styleId="NoSpacing">
    <w:name w:val="No Spacing"/>
    <w:basedOn w:val="Normal"/>
    <w:link w:val="NoSpacingChar"/>
    <w:uiPriority w:val="1"/>
    <w:qFormat/>
    <w:rsid w:val="00906BE1"/>
    <w:pPr>
      <w:spacing w:after="0" w:line="240" w:lineRule="auto"/>
    </w:pPr>
  </w:style>
  <w:style w:type="character" w:customStyle="1" w:styleId="NoSpacingChar">
    <w:name w:val="No Spacing Char"/>
    <w:basedOn w:val="DefaultParagraphFont"/>
    <w:link w:val="NoSpacing"/>
    <w:uiPriority w:val="1"/>
    <w:rsid w:val="0015747A"/>
  </w:style>
  <w:style w:type="paragraph" w:styleId="ListParagraph">
    <w:name w:val="List Paragraph"/>
    <w:basedOn w:val="Normal"/>
    <w:uiPriority w:val="34"/>
    <w:qFormat/>
    <w:rsid w:val="00906BE1"/>
    <w:pPr>
      <w:ind w:left="720"/>
      <w:contextualSpacing/>
    </w:pPr>
  </w:style>
  <w:style w:type="paragraph" w:styleId="Quote">
    <w:name w:val="Quote"/>
    <w:basedOn w:val="Normal"/>
    <w:next w:val="Normal"/>
    <w:link w:val="QuoteChar"/>
    <w:uiPriority w:val="29"/>
    <w:qFormat/>
    <w:rsid w:val="00906BE1"/>
    <w:pPr>
      <w:spacing w:before="200" w:after="0"/>
      <w:ind w:left="360" w:right="360"/>
    </w:pPr>
    <w:rPr>
      <w:i/>
      <w:iCs/>
    </w:rPr>
  </w:style>
  <w:style w:type="character" w:customStyle="1" w:styleId="QuoteChar">
    <w:name w:val="Quote Char"/>
    <w:basedOn w:val="DefaultParagraphFont"/>
    <w:link w:val="Quote"/>
    <w:uiPriority w:val="29"/>
    <w:rsid w:val="00906BE1"/>
    <w:rPr>
      <w:i/>
      <w:iCs/>
    </w:rPr>
  </w:style>
  <w:style w:type="paragraph" w:styleId="IntenseQuote">
    <w:name w:val="Intense Quote"/>
    <w:basedOn w:val="Normal"/>
    <w:next w:val="Normal"/>
    <w:link w:val="IntenseQuoteChar"/>
    <w:uiPriority w:val="30"/>
    <w:qFormat/>
    <w:rsid w:val="00906BE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06BE1"/>
    <w:rPr>
      <w:b/>
      <w:bCs/>
      <w:i/>
      <w:iCs/>
    </w:rPr>
  </w:style>
  <w:style w:type="character" w:styleId="SubtleEmphasis">
    <w:name w:val="Subtle Emphasis"/>
    <w:uiPriority w:val="19"/>
    <w:qFormat/>
    <w:rsid w:val="00906BE1"/>
    <w:rPr>
      <w:i/>
      <w:iCs/>
    </w:rPr>
  </w:style>
  <w:style w:type="character" w:styleId="IntenseEmphasis">
    <w:name w:val="Intense Emphasis"/>
    <w:uiPriority w:val="21"/>
    <w:qFormat/>
    <w:rsid w:val="00906BE1"/>
    <w:rPr>
      <w:b/>
      <w:bCs/>
    </w:rPr>
  </w:style>
  <w:style w:type="character" w:styleId="SubtleReference">
    <w:name w:val="Subtle Reference"/>
    <w:uiPriority w:val="31"/>
    <w:qFormat/>
    <w:rsid w:val="00906BE1"/>
    <w:rPr>
      <w:smallCaps/>
    </w:rPr>
  </w:style>
  <w:style w:type="character" w:styleId="IntenseReference">
    <w:name w:val="Intense Reference"/>
    <w:uiPriority w:val="32"/>
    <w:qFormat/>
    <w:rsid w:val="00906BE1"/>
    <w:rPr>
      <w:smallCaps/>
      <w:spacing w:val="5"/>
      <w:u w:val="single"/>
    </w:rPr>
  </w:style>
  <w:style w:type="character" w:styleId="BookTitle">
    <w:name w:val="Book Title"/>
    <w:uiPriority w:val="33"/>
    <w:qFormat/>
    <w:rsid w:val="00906BE1"/>
    <w:rPr>
      <w:i/>
      <w:iCs/>
      <w:smallCaps/>
      <w:spacing w:val="5"/>
    </w:rPr>
  </w:style>
  <w:style w:type="paragraph" w:styleId="TOCHeading">
    <w:name w:val="TOC Heading"/>
    <w:basedOn w:val="Heading1"/>
    <w:next w:val="Normal"/>
    <w:uiPriority w:val="39"/>
    <w:unhideWhenUsed/>
    <w:qFormat/>
    <w:rsid w:val="00906BE1"/>
    <w:pPr>
      <w:outlineLvl w:val="9"/>
    </w:pPr>
  </w:style>
  <w:style w:type="paragraph" w:styleId="FootnoteText">
    <w:name w:val="footnote text"/>
    <w:basedOn w:val="Normal"/>
    <w:link w:val="FootnoteTextChar"/>
    <w:uiPriority w:val="99"/>
    <w:semiHidden/>
    <w:unhideWhenUsed/>
    <w:rsid w:val="005973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7375"/>
    <w:rPr>
      <w:sz w:val="20"/>
      <w:szCs w:val="20"/>
    </w:rPr>
  </w:style>
  <w:style w:type="character" w:styleId="FootnoteReference">
    <w:name w:val="footnote reference"/>
    <w:basedOn w:val="DefaultParagraphFont"/>
    <w:uiPriority w:val="99"/>
    <w:semiHidden/>
    <w:unhideWhenUsed/>
    <w:rsid w:val="00597375"/>
    <w:rPr>
      <w:vertAlign w:val="superscript"/>
    </w:rPr>
  </w:style>
  <w:style w:type="character" w:styleId="Hyperlink">
    <w:name w:val="Hyperlink"/>
    <w:basedOn w:val="DefaultParagraphFont"/>
    <w:uiPriority w:val="99"/>
    <w:unhideWhenUsed/>
    <w:rsid w:val="001E63DA"/>
    <w:rPr>
      <w:color w:val="0000FF"/>
      <w:u w:val="single"/>
    </w:rPr>
  </w:style>
  <w:style w:type="paragraph" w:styleId="NormalWeb">
    <w:name w:val="Normal (Web)"/>
    <w:basedOn w:val="Normal"/>
    <w:uiPriority w:val="99"/>
    <w:semiHidden/>
    <w:unhideWhenUsed/>
    <w:rsid w:val="001E63DA"/>
    <w:pPr>
      <w:spacing w:before="100" w:beforeAutospacing="1" w:after="100" w:afterAutospacing="1" w:line="240" w:lineRule="auto"/>
    </w:pPr>
    <w:rPr>
      <w:rFonts w:ascii="Times New Roman" w:eastAsia="Times New Roman" w:hAnsi="Times New Roman" w:cs="Times New Roman"/>
      <w:sz w:val="24"/>
      <w:szCs w:val="24"/>
      <w:lang w:val="nl-NL" w:eastAsia="nl-NL" w:bidi="ar-SA"/>
    </w:rPr>
  </w:style>
  <w:style w:type="character" w:styleId="PlaceholderText">
    <w:name w:val="Placeholder Text"/>
    <w:basedOn w:val="DefaultParagraphFont"/>
    <w:uiPriority w:val="99"/>
    <w:semiHidden/>
    <w:rsid w:val="0075497D"/>
    <w:rPr>
      <w:color w:val="808080"/>
    </w:rPr>
  </w:style>
  <w:style w:type="paragraph" w:styleId="BalloonText">
    <w:name w:val="Balloon Text"/>
    <w:basedOn w:val="Normal"/>
    <w:link w:val="BalloonTextChar"/>
    <w:uiPriority w:val="99"/>
    <w:semiHidden/>
    <w:unhideWhenUsed/>
    <w:rsid w:val="007549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497D"/>
    <w:rPr>
      <w:rFonts w:ascii="Tahoma" w:hAnsi="Tahoma" w:cs="Tahoma"/>
      <w:sz w:val="16"/>
      <w:szCs w:val="16"/>
    </w:rPr>
  </w:style>
  <w:style w:type="table" w:styleId="TableGrid">
    <w:name w:val="Table Grid"/>
    <w:basedOn w:val="TableNormal"/>
    <w:uiPriority w:val="59"/>
    <w:rsid w:val="009608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906BE1"/>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906BE1"/>
  </w:style>
  <w:style w:type="paragraph" w:styleId="Footer">
    <w:name w:val="footer"/>
    <w:basedOn w:val="Normal"/>
    <w:link w:val="FooterChar"/>
    <w:uiPriority w:val="99"/>
    <w:unhideWhenUsed/>
    <w:rsid w:val="00906BE1"/>
    <w:pPr>
      <w:tabs>
        <w:tab w:val="center" w:pos="4536"/>
        <w:tab w:val="right" w:pos="9072"/>
      </w:tabs>
      <w:spacing w:after="0" w:line="240" w:lineRule="auto"/>
    </w:pPr>
  </w:style>
  <w:style w:type="character" w:customStyle="1" w:styleId="FooterChar">
    <w:name w:val="Footer Char"/>
    <w:basedOn w:val="DefaultParagraphFont"/>
    <w:link w:val="Footer"/>
    <w:uiPriority w:val="99"/>
    <w:rsid w:val="00906BE1"/>
  </w:style>
</w:styles>
</file>

<file path=word/webSettings.xml><?xml version="1.0" encoding="utf-8"?>
<w:webSettings xmlns:r="http://schemas.openxmlformats.org/officeDocument/2006/relationships" xmlns:w="http://schemas.openxmlformats.org/wordprocessingml/2006/main">
  <w:divs>
    <w:div w:id="565721203">
      <w:bodyDiv w:val="1"/>
      <w:marLeft w:val="0"/>
      <w:marRight w:val="0"/>
      <w:marTop w:val="0"/>
      <w:marBottom w:val="0"/>
      <w:divBdr>
        <w:top w:val="none" w:sz="0" w:space="0" w:color="auto"/>
        <w:left w:val="none" w:sz="0" w:space="0" w:color="auto"/>
        <w:bottom w:val="none" w:sz="0" w:space="0" w:color="auto"/>
        <w:right w:val="none" w:sz="0" w:space="0" w:color="auto"/>
      </w:divBdr>
      <w:divsChild>
        <w:div w:id="344866371">
          <w:marLeft w:val="0"/>
          <w:marRight w:val="0"/>
          <w:marTop w:val="0"/>
          <w:marBottom w:val="0"/>
          <w:divBdr>
            <w:top w:val="none" w:sz="0" w:space="0" w:color="auto"/>
            <w:left w:val="none" w:sz="0" w:space="0" w:color="auto"/>
            <w:bottom w:val="none" w:sz="0" w:space="0" w:color="auto"/>
            <w:right w:val="none" w:sz="0" w:space="0" w:color="auto"/>
          </w:divBdr>
        </w:div>
      </w:divsChild>
    </w:div>
    <w:div w:id="647898207">
      <w:bodyDiv w:val="1"/>
      <w:marLeft w:val="0"/>
      <w:marRight w:val="0"/>
      <w:marTop w:val="0"/>
      <w:marBottom w:val="0"/>
      <w:divBdr>
        <w:top w:val="none" w:sz="0" w:space="0" w:color="auto"/>
        <w:left w:val="none" w:sz="0" w:space="0" w:color="auto"/>
        <w:bottom w:val="none" w:sz="0" w:space="0" w:color="auto"/>
        <w:right w:val="none" w:sz="0" w:space="0" w:color="auto"/>
      </w:divBdr>
      <w:divsChild>
        <w:div w:id="1862283135">
          <w:marLeft w:val="0"/>
          <w:marRight w:val="74"/>
          <w:marTop w:val="0"/>
          <w:marBottom w:val="0"/>
          <w:divBdr>
            <w:top w:val="none" w:sz="0" w:space="0" w:color="auto"/>
            <w:left w:val="single" w:sz="6" w:space="2" w:color="DDDDDD"/>
            <w:bottom w:val="single" w:sz="6" w:space="2" w:color="DDDDDD"/>
            <w:right w:val="none" w:sz="0" w:space="0" w:color="auto"/>
          </w:divBdr>
          <w:divsChild>
            <w:div w:id="1370378549">
              <w:marLeft w:val="0"/>
              <w:marRight w:val="0"/>
              <w:marTop w:val="0"/>
              <w:marBottom w:val="0"/>
              <w:divBdr>
                <w:top w:val="single" w:sz="6" w:space="7" w:color="A6B5C7"/>
                <w:left w:val="single" w:sz="6" w:space="7" w:color="A6B5C7"/>
                <w:bottom w:val="single" w:sz="6" w:space="7" w:color="A6B5C7"/>
                <w:right w:val="single" w:sz="6" w:space="7" w:color="A6B5C7"/>
              </w:divBdr>
              <w:divsChild>
                <w:div w:id="224800019">
                  <w:marLeft w:val="0"/>
                  <w:marRight w:val="0"/>
                  <w:marTop w:val="0"/>
                  <w:marBottom w:val="0"/>
                  <w:divBdr>
                    <w:top w:val="single" w:sz="6" w:space="4" w:color="E4E4E4"/>
                    <w:left w:val="single" w:sz="6" w:space="19" w:color="E4E4E4"/>
                    <w:bottom w:val="single" w:sz="6" w:space="7" w:color="E4E4E4"/>
                    <w:right w:val="single" w:sz="6" w:space="15" w:color="E4E4E4"/>
                  </w:divBdr>
                </w:div>
              </w:divsChild>
            </w:div>
          </w:divsChild>
        </w:div>
      </w:divsChild>
    </w:div>
    <w:div w:id="1307469369">
      <w:bodyDiv w:val="1"/>
      <w:marLeft w:val="0"/>
      <w:marRight w:val="0"/>
      <w:marTop w:val="0"/>
      <w:marBottom w:val="0"/>
      <w:divBdr>
        <w:top w:val="none" w:sz="0" w:space="0" w:color="auto"/>
        <w:left w:val="none" w:sz="0" w:space="0" w:color="auto"/>
        <w:bottom w:val="none" w:sz="0" w:space="0" w:color="auto"/>
        <w:right w:val="none" w:sz="0" w:space="0" w:color="auto"/>
      </w:divBdr>
      <w:divsChild>
        <w:div w:id="2125340960">
          <w:marLeft w:val="0"/>
          <w:marRight w:val="0"/>
          <w:marTop w:val="0"/>
          <w:marBottom w:val="0"/>
          <w:divBdr>
            <w:top w:val="none" w:sz="0" w:space="0" w:color="auto"/>
            <w:left w:val="none" w:sz="0" w:space="0" w:color="auto"/>
            <w:bottom w:val="none" w:sz="0" w:space="0" w:color="auto"/>
            <w:right w:val="none" w:sz="0" w:space="0" w:color="auto"/>
          </w:divBdr>
          <w:divsChild>
            <w:div w:id="164535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55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emf"/><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image" Target="media/image8.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5C1E1-4F69-438E-9728-A2B9AF6BF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15076</Words>
  <Characters>85935</Characters>
  <Application>Microsoft Office Word</Application>
  <DocSecurity>0</DocSecurity>
  <Lines>716</Lines>
  <Paragraphs>201</Paragraphs>
  <ScaleCrop>false</ScaleCrop>
  <HeadingPairs>
    <vt:vector size="2" baseType="variant">
      <vt:variant>
        <vt:lpstr>Titel</vt:lpstr>
      </vt:variant>
      <vt:variant>
        <vt:i4>1</vt:i4>
      </vt:variant>
    </vt:vector>
  </HeadingPairs>
  <TitlesOfParts>
    <vt:vector size="1" baseType="lpstr">
      <vt:lpstr/>
    </vt:vector>
  </TitlesOfParts>
  <Company>Erasmus Universiteit Rotterdam</Company>
  <LinksUpToDate>false</LinksUpToDate>
  <CharactersWithSpaces>100810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Sjoerd</dc:creator>
  <cp:lastModifiedBy>S van Bogaert</cp:lastModifiedBy>
  <cp:revision>2</cp:revision>
  <dcterms:created xsi:type="dcterms:W3CDTF">2011-08-10T10:29:00Z</dcterms:created>
  <dcterms:modified xsi:type="dcterms:W3CDTF">2011-08-10T10:29:00Z</dcterms:modified>
</cp:coreProperties>
</file>