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7C03" w:rsidRPr="004447E6" w:rsidRDefault="00977C03" w:rsidP="002A5479">
      <w:pPr>
        <w:spacing w:line="360" w:lineRule="auto"/>
        <w:rPr>
          <w:rFonts w:eastAsia="Calibri" w:cs="Arial"/>
        </w:rPr>
      </w:pPr>
      <w:r w:rsidRPr="004447E6">
        <w:rPr>
          <w:rFonts w:eastAsia="Calibri" w:cs="Arial"/>
          <w:b/>
          <w:sz w:val="28"/>
          <w:szCs w:val="28"/>
        </w:rPr>
        <w:t>ERASMUS UNIVERSITEIT ROTTERDAM</w:t>
      </w:r>
      <w:r w:rsidRPr="004447E6">
        <w:rPr>
          <w:rFonts w:eastAsia="Calibri" w:cs="Arial"/>
        </w:rPr>
        <w:t xml:space="preserve"> </w:t>
      </w:r>
      <w:r w:rsidRPr="004447E6">
        <w:rPr>
          <w:rFonts w:eastAsia="Calibri" w:cs="Arial"/>
        </w:rPr>
        <w:tab/>
        <w:t xml:space="preserve">          </w:t>
      </w:r>
      <w:r w:rsidR="001433E8" w:rsidRPr="004447E6">
        <w:rPr>
          <w:rFonts w:eastAsia="Calibri" w:cs="Arial"/>
        </w:rPr>
        <w:tab/>
      </w:r>
      <w:r w:rsidR="001433E8" w:rsidRPr="004447E6">
        <w:rPr>
          <w:rFonts w:eastAsia="Calibri" w:cs="Arial"/>
        </w:rPr>
        <w:tab/>
      </w:r>
      <w:r w:rsidR="004447E6">
        <w:rPr>
          <w:rFonts w:eastAsia="Calibri" w:cs="Arial"/>
        </w:rPr>
        <w:tab/>
      </w:r>
      <w:r w:rsidRPr="004447E6">
        <w:rPr>
          <w:rFonts w:eastAsia="Calibri" w:cs="Arial"/>
          <w:sz w:val="24"/>
          <w:szCs w:val="24"/>
        </w:rPr>
        <w:t>Nadruk verboden</w:t>
      </w:r>
      <w:r w:rsidRPr="004447E6">
        <w:rPr>
          <w:rFonts w:cs="Arial"/>
        </w:rPr>
        <w:br/>
      </w:r>
      <w:r w:rsidRPr="004447E6">
        <w:rPr>
          <w:rFonts w:cs="Arial"/>
          <w:sz w:val="24"/>
          <w:szCs w:val="24"/>
        </w:rPr>
        <w:br/>
      </w:r>
      <w:r w:rsidRPr="004447E6">
        <w:rPr>
          <w:rFonts w:eastAsia="Calibri" w:cs="Arial"/>
          <w:b/>
          <w:sz w:val="24"/>
          <w:szCs w:val="24"/>
        </w:rPr>
        <w:t xml:space="preserve">Erasmus School of </w:t>
      </w:r>
      <w:proofErr w:type="spellStart"/>
      <w:r w:rsidRPr="004447E6">
        <w:rPr>
          <w:rFonts w:eastAsia="Calibri" w:cs="Arial"/>
          <w:b/>
          <w:sz w:val="24"/>
          <w:szCs w:val="24"/>
        </w:rPr>
        <w:t>Economics</w:t>
      </w:r>
      <w:proofErr w:type="spellEnd"/>
      <w:r w:rsidRPr="004447E6">
        <w:rPr>
          <w:rFonts w:cs="Arial"/>
          <w:sz w:val="24"/>
          <w:szCs w:val="24"/>
        </w:rPr>
        <w:br/>
      </w:r>
      <w:r w:rsidRPr="004447E6">
        <w:rPr>
          <w:rFonts w:cs="Arial"/>
          <w:sz w:val="24"/>
          <w:szCs w:val="24"/>
        </w:rPr>
        <w:br/>
      </w:r>
      <w:r w:rsidRPr="004447E6">
        <w:rPr>
          <w:rFonts w:eastAsia="Calibri" w:cs="Arial"/>
          <w:b/>
          <w:sz w:val="24"/>
          <w:szCs w:val="24"/>
        </w:rPr>
        <w:t>Bachelorscriptie</w:t>
      </w:r>
    </w:p>
    <w:p w:rsidR="00977C03" w:rsidRPr="004447E6" w:rsidRDefault="00977C03" w:rsidP="002A5479">
      <w:pPr>
        <w:spacing w:line="360" w:lineRule="auto"/>
        <w:jc w:val="center"/>
        <w:rPr>
          <w:rFonts w:eastAsia="Calibri" w:cs="Arial"/>
        </w:rPr>
      </w:pPr>
    </w:p>
    <w:p w:rsidR="00977C03" w:rsidRPr="004447E6" w:rsidRDefault="00977C03" w:rsidP="002A5479">
      <w:pPr>
        <w:pStyle w:val="Inhopg1"/>
        <w:tabs>
          <w:tab w:val="right" w:leader="dot" w:pos="9062"/>
        </w:tabs>
        <w:spacing w:before="0" w:after="0" w:line="360" w:lineRule="auto"/>
        <w:rPr>
          <w:rFonts w:asciiTheme="minorHAnsi" w:hAnsiTheme="minorHAnsi" w:cs="Arial"/>
          <w:sz w:val="24"/>
          <w:szCs w:val="24"/>
        </w:rPr>
      </w:pPr>
    </w:p>
    <w:p w:rsidR="00977C03" w:rsidRPr="004447E6" w:rsidRDefault="00977C03" w:rsidP="002A5479">
      <w:pPr>
        <w:pStyle w:val="Inhopg1"/>
        <w:tabs>
          <w:tab w:val="right" w:leader="dot" w:pos="9062"/>
        </w:tabs>
        <w:spacing w:before="0" w:after="0" w:line="360" w:lineRule="auto"/>
        <w:rPr>
          <w:rFonts w:asciiTheme="minorHAnsi" w:hAnsiTheme="minorHAnsi" w:cs="Arial"/>
          <w:sz w:val="24"/>
          <w:szCs w:val="24"/>
        </w:rPr>
      </w:pPr>
    </w:p>
    <w:p w:rsidR="00977C03" w:rsidRPr="004447E6" w:rsidRDefault="00977C03" w:rsidP="002A5479">
      <w:pPr>
        <w:pStyle w:val="Inhopg1"/>
        <w:tabs>
          <w:tab w:val="right" w:leader="dot" w:pos="9062"/>
        </w:tabs>
        <w:spacing w:before="0" w:after="0" w:line="360" w:lineRule="auto"/>
        <w:rPr>
          <w:rFonts w:asciiTheme="minorHAnsi" w:hAnsiTheme="minorHAnsi" w:cs="Arial"/>
          <w:sz w:val="24"/>
          <w:szCs w:val="24"/>
        </w:rPr>
      </w:pPr>
    </w:p>
    <w:p w:rsidR="00977C03" w:rsidRPr="004447E6" w:rsidRDefault="00977C03" w:rsidP="002A5479">
      <w:pPr>
        <w:pStyle w:val="Inhopg1"/>
        <w:tabs>
          <w:tab w:val="right" w:leader="dot" w:pos="9062"/>
        </w:tabs>
        <w:spacing w:before="0" w:after="0" w:line="360" w:lineRule="auto"/>
        <w:rPr>
          <w:rFonts w:asciiTheme="minorHAnsi" w:hAnsiTheme="minorHAnsi" w:cs="Arial"/>
          <w:sz w:val="24"/>
          <w:szCs w:val="24"/>
        </w:rPr>
      </w:pPr>
    </w:p>
    <w:p w:rsidR="00977C03" w:rsidRPr="004447E6" w:rsidRDefault="00977C03" w:rsidP="002A5479">
      <w:pPr>
        <w:pStyle w:val="Inhopg1"/>
        <w:tabs>
          <w:tab w:val="right" w:leader="dot" w:pos="9062"/>
        </w:tabs>
        <w:spacing w:before="0" w:after="0" w:line="360" w:lineRule="auto"/>
        <w:rPr>
          <w:rFonts w:asciiTheme="minorHAnsi" w:hAnsiTheme="minorHAnsi" w:cs="Arial"/>
          <w:sz w:val="24"/>
          <w:szCs w:val="24"/>
        </w:rPr>
      </w:pPr>
    </w:p>
    <w:p w:rsidR="00977C03" w:rsidRPr="004447E6" w:rsidRDefault="00977C03" w:rsidP="002A5479">
      <w:pPr>
        <w:pStyle w:val="Inhopg1"/>
        <w:tabs>
          <w:tab w:val="right" w:leader="dot" w:pos="9062"/>
        </w:tabs>
        <w:spacing w:before="0" w:after="0" w:line="360" w:lineRule="auto"/>
        <w:rPr>
          <w:rFonts w:asciiTheme="minorHAnsi" w:hAnsiTheme="minorHAnsi" w:cs="Arial"/>
          <w:sz w:val="24"/>
          <w:szCs w:val="24"/>
        </w:rPr>
      </w:pPr>
    </w:p>
    <w:p w:rsidR="00977C03" w:rsidRPr="004447E6" w:rsidRDefault="00977C03" w:rsidP="002A5479">
      <w:pPr>
        <w:pStyle w:val="Inhopg1"/>
        <w:tabs>
          <w:tab w:val="right" w:leader="dot" w:pos="9062"/>
        </w:tabs>
        <w:spacing w:before="0" w:after="0" w:line="360" w:lineRule="auto"/>
        <w:rPr>
          <w:rFonts w:asciiTheme="minorHAnsi" w:hAnsiTheme="minorHAnsi" w:cs="Arial"/>
          <w:sz w:val="24"/>
          <w:szCs w:val="24"/>
        </w:rPr>
      </w:pPr>
    </w:p>
    <w:p w:rsidR="00977C03" w:rsidRPr="004447E6" w:rsidRDefault="00977C03" w:rsidP="002A5479">
      <w:pPr>
        <w:pStyle w:val="Inhopg1"/>
        <w:tabs>
          <w:tab w:val="right" w:leader="dot" w:pos="9062"/>
        </w:tabs>
        <w:spacing w:before="0" w:after="0" w:line="360" w:lineRule="auto"/>
        <w:rPr>
          <w:rFonts w:asciiTheme="minorHAnsi" w:hAnsiTheme="minorHAnsi" w:cs="Arial"/>
          <w:sz w:val="24"/>
          <w:szCs w:val="24"/>
        </w:rPr>
      </w:pPr>
    </w:p>
    <w:p w:rsidR="00977C03" w:rsidRPr="004447E6" w:rsidRDefault="004447E6" w:rsidP="002A5479">
      <w:pPr>
        <w:spacing w:line="360" w:lineRule="auto"/>
        <w:jc w:val="center"/>
        <w:rPr>
          <w:rFonts w:eastAsia="Calibri" w:cs="Times New Roman"/>
          <w:b/>
          <w:sz w:val="32"/>
          <w:szCs w:val="32"/>
        </w:rPr>
      </w:pPr>
      <w:r w:rsidRPr="004447E6">
        <w:rPr>
          <w:rFonts w:eastAsia="Calibri" w:cs="Times New Roman"/>
          <w:b/>
          <w:sz w:val="32"/>
          <w:szCs w:val="32"/>
        </w:rPr>
        <w:t>Vermogenswinsten in de ondernemingssfeer: hoe te belasten?</w:t>
      </w:r>
    </w:p>
    <w:p w:rsidR="00977C03" w:rsidRPr="004447E6" w:rsidRDefault="004447E6" w:rsidP="002A5479">
      <w:pPr>
        <w:spacing w:line="360" w:lineRule="auto"/>
        <w:jc w:val="center"/>
        <w:rPr>
          <w:rFonts w:eastAsia="Calibri" w:cs="Arial"/>
          <w:b/>
          <w:sz w:val="24"/>
          <w:szCs w:val="24"/>
        </w:rPr>
      </w:pPr>
      <w:r w:rsidRPr="004447E6">
        <w:rPr>
          <w:rFonts w:eastAsia="Calibri" w:cs="Arial"/>
          <w:b/>
          <w:sz w:val="24"/>
          <w:szCs w:val="24"/>
        </w:rPr>
        <w:t>Vermogenswinstbelasting versus vermogensaanwasbelasting</w:t>
      </w:r>
    </w:p>
    <w:p w:rsidR="00977C03" w:rsidRPr="004447E6" w:rsidRDefault="00977C03" w:rsidP="002A5479">
      <w:pPr>
        <w:spacing w:line="360" w:lineRule="auto"/>
        <w:jc w:val="center"/>
        <w:rPr>
          <w:rFonts w:eastAsia="Calibri" w:cs="Arial"/>
        </w:rPr>
      </w:pPr>
    </w:p>
    <w:p w:rsidR="00977C03" w:rsidRPr="004447E6" w:rsidRDefault="00977C03" w:rsidP="002A5479">
      <w:pPr>
        <w:spacing w:line="360" w:lineRule="auto"/>
        <w:jc w:val="center"/>
        <w:rPr>
          <w:rFonts w:eastAsia="Calibri" w:cs="Arial"/>
        </w:rPr>
      </w:pPr>
    </w:p>
    <w:p w:rsidR="00977C03" w:rsidRPr="004447E6" w:rsidRDefault="00977C03" w:rsidP="002A5479">
      <w:pPr>
        <w:spacing w:line="360" w:lineRule="auto"/>
        <w:jc w:val="center"/>
        <w:rPr>
          <w:rFonts w:eastAsia="Calibri" w:cs="Arial"/>
        </w:rPr>
      </w:pPr>
    </w:p>
    <w:p w:rsidR="00977C03" w:rsidRPr="004447E6" w:rsidRDefault="00977C03" w:rsidP="002A5479">
      <w:pPr>
        <w:pStyle w:val="Inhopg1"/>
        <w:tabs>
          <w:tab w:val="right" w:leader="dot" w:pos="9062"/>
        </w:tabs>
        <w:spacing w:before="0" w:after="0" w:line="360" w:lineRule="auto"/>
        <w:rPr>
          <w:rFonts w:asciiTheme="minorHAnsi" w:hAnsiTheme="minorHAnsi" w:cs="Arial"/>
          <w:sz w:val="24"/>
          <w:szCs w:val="24"/>
        </w:rPr>
      </w:pPr>
    </w:p>
    <w:p w:rsidR="00977C03" w:rsidRPr="004447E6" w:rsidRDefault="00977C03" w:rsidP="002A5479">
      <w:pPr>
        <w:pStyle w:val="Inhopg1"/>
        <w:tabs>
          <w:tab w:val="right" w:leader="dot" w:pos="9062"/>
        </w:tabs>
        <w:spacing w:before="0" w:after="0" w:line="360" w:lineRule="auto"/>
        <w:rPr>
          <w:rFonts w:asciiTheme="minorHAnsi" w:hAnsiTheme="minorHAnsi" w:cs="Arial"/>
          <w:sz w:val="24"/>
          <w:szCs w:val="24"/>
        </w:rPr>
      </w:pPr>
    </w:p>
    <w:p w:rsidR="00977C03" w:rsidRPr="004447E6" w:rsidRDefault="00977C03" w:rsidP="002A5479">
      <w:pPr>
        <w:pStyle w:val="Inhopg1"/>
        <w:tabs>
          <w:tab w:val="right" w:leader="dot" w:pos="9062"/>
        </w:tabs>
        <w:spacing w:before="0" w:after="0" w:line="360" w:lineRule="auto"/>
        <w:rPr>
          <w:rFonts w:asciiTheme="minorHAnsi" w:hAnsiTheme="minorHAnsi" w:cs="Arial"/>
          <w:sz w:val="24"/>
          <w:szCs w:val="24"/>
        </w:rPr>
      </w:pPr>
    </w:p>
    <w:p w:rsidR="00977C03" w:rsidRPr="004447E6" w:rsidRDefault="00977C03" w:rsidP="002A5479">
      <w:pPr>
        <w:pStyle w:val="Inhopg1"/>
        <w:tabs>
          <w:tab w:val="right" w:leader="dot" w:pos="9062"/>
        </w:tabs>
        <w:spacing w:before="0" w:after="0" w:line="360" w:lineRule="auto"/>
        <w:rPr>
          <w:rFonts w:asciiTheme="minorHAnsi" w:hAnsiTheme="minorHAnsi" w:cs="Arial"/>
          <w:sz w:val="24"/>
          <w:szCs w:val="24"/>
        </w:rPr>
      </w:pPr>
    </w:p>
    <w:p w:rsidR="00977C03" w:rsidRPr="004447E6" w:rsidRDefault="00977C03" w:rsidP="002A5479">
      <w:pPr>
        <w:spacing w:line="360" w:lineRule="auto"/>
        <w:rPr>
          <w:rFonts w:eastAsia="Calibri" w:cs="Arial"/>
          <w:sz w:val="24"/>
          <w:szCs w:val="24"/>
        </w:rPr>
      </w:pPr>
      <w:r w:rsidRPr="004447E6">
        <w:rPr>
          <w:rFonts w:cs="Arial"/>
          <w:sz w:val="24"/>
          <w:szCs w:val="24"/>
        </w:rPr>
        <w:t xml:space="preserve">Naam student: M.C.W. </w:t>
      </w:r>
      <w:proofErr w:type="spellStart"/>
      <w:r w:rsidRPr="004447E6">
        <w:rPr>
          <w:rFonts w:cs="Arial"/>
          <w:sz w:val="24"/>
          <w:szCs w:val="24"/>
        </w:rPr>
        <w:t>Mampaeij</w:t>
      </w:r>
      <w:proofErr w:type="spellEnd"/>
      <w:r w:rsidRPr="004447E6">
        <w:rPr>
          <w:rFonts w:cs="Arial"/>
          <w:sz w:val="24"/>
          <w:szCs w:val="24"/>
        </w:rPr>
        <w:br/>
      </w:r>
      <w:r w:rsidRPr="004447E6">
        <w:rPr>
          <w:rFonts w:eastAsia="Calibri" w:cs="Arial"/>
          <w:sz w:val="24"/>
          <w:szCs w:val="24"/>
        </w:rPr>
        <w:t>Studentnummer:</w:t>
      </w:r>
      <w:r w:rsidRPr="004447E6">
        <w:rPr>
          <w:rFonts w:cs="Arial"/>
          <w:sz w:val="24"/>
          <w:szCs w:val="24"/>
        </w:rPr>
        <w:t xml:space="preserve"> 318632</w:t>
      </w:r>
      <w:r w:rsidRPr="004447E6">
        <w:rPr>
          <w:rFonts w:cs="Arial"/>
          <w:sz w:val="24"/>
          <w:szCs w:val="24"/>
        </w:rPr>
        <w:br/>
        <w:t>Begeleider: Drs. Y.M. Tigelaar-Klootwijk</w:t>
      </w:r>
      <w:r w:rsidRPr="004447E6">
        <w:rPr>
          <w:rFonts w:cs="Arial"/>
          <w:sz w:val="24"/>
          <w:szCs w:val="24"/>
        </w:rPr>
        <w:br/>
      </w:r>
      <w:r w:rsidRPr="004447E6">
        <w:rPr>
          <w:rFonts w:eastAsia="Calibri" w:cs="Arial"/>
          <w:sz w:val="24"/>
          <w:szCs w:val="24"/>
        </w:rPr>
        <w:t>Rotterdam, 29 juli 2011</w:t>
      </w:r>
    </w:p>
    <w:p w:rsidR="00977C03" w:rsidRDefault="00977C03" w:rsidP="002A5479">
      <w:pPr>
        <w:spacing w:line="360" w:lineRule="auto"/>
        <w:ind w:left="180" w:hanging="180"/>
        <w:rPr>
          <w:rFonts w:ascii="Calibri" w:eastAsia="Calibri" w:hAnsi="Calibri" w:cs="Times New Roman"/>
          <w:b/>
        </w:rPr>
      </w:pPr>
    </w:p>
    <w:sdt>
      <w:sdtPr>
        <w:rPr>
          <w:rFonts w:asciiTheme="minorHAnsi" w:eastAsiaTheme="minorHAnsi" w:hAnsiTheme="minorHAnsi" w:cstheme="minorBidi"/>
          <w:b w:val="0"/>
          <w:bCs w:val="0"/>
          <w:color w:val="auto"/>
          <w:sz w:val="22"/>
          <w:szCs w:val="22"/>
        </w:rPr>
        <w:id w:val="7324053"/>
        <w:docPartObj>
          <w:docPartGallery w:val="Table of Contents"/>
          <w:docPartUnique/>
        </w:docPartObj>
      </w:sdtPr>
      <w:sdtContent>
        <w:bookmarkStart w:id="0" w:name="_Toc299729080" w:displacedByCustomXml="prev"/>
        <w:bookmarkStart w:id="1" w:name="_Toc299726081" w:displacedByCustomXml="prev"/>
        <w:bookmarkStart w:id="2" w:name="_Toc299740199" w:displacedByCustomXml="prev"/>
        <w:p w:rsidR="00D71507" w:rsidRDefault="00152F58" w:rsidP="00D431C7">
          <w:pPr>
            <w:pStyle w:val="Kopvaninhoudsopgave"/>
            <w:spacing w:line="360" w:lineRule="auto"/>
            <w:outlineLvl w:val="0"/>
            <w:rPr>
              <w:noProof/>
            </w:rPr>
          </w:pPr>
          <w:r>
            <w:t>Inhoud</w:t>
          </w:r>
          <w:r w:rsidR="00D35051">
            <w:t>sopgave</w:t>
          </w:r>
          <w:bookmarkEnd w:id="2"/>
          <w:bookmarkEnd w:id="1"/>
          <w:bookmarkEnd w:id="0"/>
          <w:r w:rsidR="00054C53" w:rsidRPr="00054C53">
            <w:fldChar w:fldCharType="begin"/>
          </w:r>
          <w:r>
            <w:instrText xml:space="preserve"> TOC \o "1-3" \h \z \u </w:instrText>
          </w:r>
          <w:r w:rsidR="00054C53" w:rsidRPr="00054C53">
            <w:fldChar w:fldCharType="separate"/>
          </w:r>
        </w:p>
        <w:p w:rsidR="00053514" w:rsidRDefault="00053514">
          <w:pPr>
            <w:pStyle w:val="Inhopg1"/>
            <w:tabs>
              <w:tab w:val="left" w:pos="1765"/>
              <w:tab w:val="right" w:pos="9062"/>
            </w:tabs>
          </w:pPr>
        </w:p>
        <w:p w:rsidR="00D71507" w:rsidRDefault="00054C53">
          <w:pPr>
            <w:pStyle w:val="Inhopg1"/>
            <w:tabs>
              <w:tab w:val="left" w:pos="1765"/>
              <w:tab w:val="right" w:pos="9062"/>
            </w:tabs>
            <w:rPr>
              <w:rFonts w:asciiTheme="minorHAnsi" w:eastAsiaTheme="minorEastAsia" w:hAnsiTheme="minorHAnsi" w:cstheme="minorBidi"/>
              <w:b w:val="0"/>
              <w:bCs w:val="0"/>
              <w:caps w:val="0"/>
              <w:noProof/>
              <w:sz w:val="22"/>
              <w:szCs w:val="22"/>
            </w:rPr>
          </w:pPr>
          <w:hyperlink w:anchor="_Toc299740200" w:history="1">
            <w:r w:rsidR="00D71507" w:rsidRPr="00A340E3">
              <w:rPr>
                <w:rStyle w:val="Hyperlink"/>
                <w:noProof/>
              </w:rPr>
              <w:t>Hoofdstuk 1 -</w:t>
            </w:r>
            <w:r w:rsidR="00D71507">
              <w:rPr>
                <w:rFonts w:asciiTheme="minorHAnsi" w:eastAsiaTheme="minorEastAsia" w:hAnsiTheme="minorHAnsi" w:cstheme="minorBidi"/>
                <w:b w:val="0"/>
                <w:bCs w:val="0"/>
                <w:caps w:val="0"/>
                <w:noProof/>
                <w:sz w:val="22"/>
                <w:szCs w:val="22"/>
              </w:rPr>
              <w:tab/>
            </w:r>
            <w:r w:rsidR="00D71507" w:rsidRPr="00A340E3">
              <w:rPr>
                <w:rStyle w:val="Hyperlink"/>
                <w:noProof/>
              </w:rPr>
              <w:t>Inleiding</w:t>
            </w:r>
            <w:r w:rsidR="00D71507">
              <w:rPr>
                <w:noProof/>
                <w:webHidden/>
              </w:rPr>
              <w:tab/>
            </w:r>
            <w:r>
              <w:rPr>
                <w:noProof/>
                <w:webHidden/>
              </w:rPr>
              <w:fldChar w:fldCharType="begin"/>
            </w:r>
            <w:r w:rsidR="00D71507">
              <w:rPr>
                <w:noProof/>
                <w:webHidden/>
              </w:rPr>
              <w:instrText xml:space="preserve"> PAGEREF _Toc299740200 \h </w:instrText>
            </w:r>
            <w:r>
              <w:rPr>
                <w:noProof/>
                <w:webHidden/>
              </w:rPr>
            </w:r>
            <w:r>
              <w:rPr>
                <w:noProof/>
                <w:webHidden/>
              </w:rPr>
              <w:fldChar w:fldCharType="separate"/>
            </w:r>
            <w:r w:rsidR="00053514">
              <w:rPr>
                <w:noProof/>
                <w:webHidden/>
              </w:rPr>
              <w:t>- 4 -</w:t>
            </w:r>
            <w:r>
              <w:rPr>
                <w:noProof/>
                <w:webHidden/>
              </w:rPr>
              <w:fldChar w:fldCharType="end"/>
            </w:r>
          </w:hyperlink>
        </w:p>
        <w:p w:rsidR="00D71507" w:rsidRDefault="00054C53">
          <w:pPr>
            <w:pStyle w:val="Inhopg2"/>
            <w:tabs>
              <w:tab w:val="left" w:pos="880"/>
              <w:tab w:val="right" w:pos="9062"/>
            </w:tabs>
            <w:rPr>
              <w:rFonts w:eastAsiaTheme="minorEastAsia"/>
              <w:noProof/>
              <w:lang w:eastAsia="nl-NL"/>
            </w:rPr>
          </w:pPr>
          <w:hyperlink w:anchor="_Toc299740201" w:history="1">
            <w:r w:rsidR="00D71507" w:rsidRPr="00A340E3">
              <w:rPr>
                <w:rStyle w:val="Hyperlink"/>
                <w:noProof/>
              </w:rPr>
              <w:t>1.1</w:t>
            </w:r>
            <w:r w:rsidR="00D71507">
              <w:rPr>
                <w:rFonts w:eastAsiaTheme="minorEastAsia"/>
                <w:noProof/>
                <w:lang w:eastAsia="nl-NL"/>
              </w:rPr>
              <w:tab/>
            </w:r>
            <w:r w:rsidR="00D71507" w:rsidRPr="00A340E3">
              <w:rPr>
                <w:rStyle w:val="Hyperlink"/>
                <w:noProof/>
              </w:rPr>
              <w:t>Aanleiding</w:t>
            </w:r>
            <w:r w:rsidR="00D71507">
              <w:rPr>
                <w:noProof/>
                <w:webHidden/>
              </w:rPr>
              <w:tab/>
            </w:r>
            <w:r>
              <w:rPr>
                <w:noProof/>
                <w:webHidden/>
              </w:rPr>
              <w:fldChar w:fldCharType="begin"/>
            </w:r>
            <w:r w:rsidR="00D71507">
              <w:rPr>
                <w:noProof/>
                <w:webHidden/>
              </w:rPr>
              <w:instrText xml:space="preserve"> PAGEREF _Toc299740201 \h </w:instrText>
            </w:r>
            <w:r>
              <w:rPr>
                <w:noProof/>
                <w:webHidden/>
              </w:rPr>
            </w:r>
            <w:r>
              <w:rPr>
                <w:noProof/>
                <w:webHidden/>
              </w:rPr>
              <w:fldChar w:fldCharType="separate"/>
            </w:r>
            <w:r w:rsidR="00053514">
              <w:rPr>
                <w:noProof/>
                <w:webHidden/>
              </w:rPr>
              <w:t>- 4 -</w:t>
            </w:r>
            <w:r>
              <w:rPr>
                <w:noProof/>
                <w:webHidden/>
              </w:rPr>
              <w:fldChar w:fldCharType="end"/>
            </w:r>
          </w:hyperlink>
        </w:p>
        <w:p w:rsidR="00D71507" w:rsidRDefault="00054C53">
          <w:pPr>
            <w:pStyle w:val="Inhopg2"/>
            <w:tabs>
              <w:tab w:val="left" w:pos="880"/>
              <w:tab w:val="right" w:pos="9062"/>
            </w:tabs>
            <w:rPr>
              <w:rFonts w:eastAsiaTheme="minorEastAsia"/>
              <w:noProof/>
              <w:lang w:eastAsia="nl-NL"/>
            </w:rPr>
          </w:pPr>
          <w:hyperlink w:anchor="_Toc299740202" w:history="1">
            <w:r w:rsidR="00D71507" w:rsidRPr="00A340E3">
              <w:rPr>
                <w:rStyle w:val="Hyperlink"/>
                <w:noProof/>
              </w:rPr>
              <w:t>1.2</w:t>
            </w:r>
            <w:r w:rsidR="00D71507">
              <w:rPr>
                <w:rFonts w:eastAsiaTheme="minorEastAsia"/>
                <w:noProof/>
                <w:lang w:eastAsia="nl-NL"/>
              </w:rPr>
              <w:tab/>
            </w:r>
            <w:r w:rsidR="00D71507" w:rsidRPr="00A340E3">
              <w:rPr>
                <w:rStyle w:val="Hyperlink"/>
                <w:noProof/>
              </w:rPr>
              <w:t>Probleemstelling en toetsingskader</w:t>
            </w:r>
            <w:r w:rsidR="00D71507">
              <w:rPr>
                <w:noProof/>
                <w:webHidden/>
              </w:rPr>
              <w:tab/>
            </w:r>
            <w:r>
              <w:rPr>
                <w:noProof/>
                <w:webHidden/>
              </w:rPr>
              <w:fldChar w:fldCharType="begin"/>
            </w:r>
            <w:r w:rsidR="00D71507">
              <w:rPr>
                <w:noProof/>
                <w:webHidden/>
              </w:rPr>
              <w:instrText xml:space="preserve"> PAGEREF _Toc299740202 \h </w:instrText>
            </w:r>
            <w:r>
              <w:rPr>
                <w:noProof/>
                <w:webHidden/>
              </w:rPr>
            </w:r>
            <w:r>
              <w:rPr>
                <w:noProof/>
                <w:webHidden/>
              </w:rPr>
              <w:fldChar w:fldCharType="separate"/>
            </w:r>
            <w:r w:rsidR="00053514">
              <w:rPr>
                <w:noProof/>
                <w:webHidden/>
              </w:rPr>
              <w:t>- 5 -</w:t>
            </w:r>
            <w:r>
              <w:rPr>
                <w:noProof/>
                <w:webHidden/>
              </w:rPr>
              <w:fldChar w:fldCharType="end"/>
            </w:r>
          </w:hyperlink>
        </w:p>
        <w:p w:rsidR="00D71507" w:rsidRDefault="00054C53">
          <w:pPr>
            <w:pStyle w:val="Inhopg2"/>
            <w:tabs>
              <w:tab w:val="left" w:pos="880"/>
              <w:tab w:val="right" w:pos="9062"/>
            </w:tabs>
            <w:rPr>
              <w:rFonts w:eastAsiaTheme="minorEastAsia"/>
              <w:noProof/>
              <w:lang w:eastAsia="nl-NL"/>
            </w:rPr>
          </w:pPr>
          <w:hyperlink w:anchor="_Toc299740203" w:history="1">
            <w:r w:rsidR="00D71507" w:rsidRPr="00A340E3">
              <w:rPr>
                <w:rStyle w:val="Hyperlink"/>
                <w:noProof/>
              </w:rPr>
              <w:t>1.3</w:t>
            </w:r>
            <w:r w:rsidR="00D71507">
              <w:rPr>
                <w:rFonts w:eastAsiaTheme="minorEastAsia"/>
                <w:noProof/>
                <w:lang w:eastAsia="nl-NL"/>
              </w:rPr>
              <w:tab/>
            </w:r>
            <w:r w:rsidR="00D71507" w:rsidRPr="00A340E3">
              <w:rPr>
                <w:rStyle w:val="Hyperlink"/>
                <w:noProof/>
              </w:rPr>
              <w:t>Opzet</w:t>
            </w:r>
            <w:r w:rsidR="00D71507">
              <w:rPr>
                <w:noProof/>
                <w:webHidden/>
              </w:rPr>
              <w:tab/>
            </w:r>
            <w:r>
              <w:rPr>
                <w:noProof/>
                <w:webHidden/>
              </w:rPr>
              <w:fldChar w:fldCharType="begin"/>
            </w:r>
            <w:r w:rsidR="00D71507">
              <w:rPr>
                <w:noProof/>
                <w:webHidden/>
              </w:rPr>
              <w:instrText xml:space="preserve"> PAGEREF _Toc299740203 \h </w:instrText>
            </w:r>
            <w:r>
              <w:rPr>
                <w:noProof/>
                <w:webHidden/>
              </w:rPr>
            </w:r>
            <w:r>
              <w:rPr>
                <w:noProof/>
                <w:webHidden/>
              </w:rPr>
              <w:fldChar w:fldCharType="separate"/>
            </w:r>
            <w:r w:rsidR="00053514">
              <w:rPr>
                <w:noProof/>
                <w:webHidden/>
              </w:rPr>
              <w:t>- 5 -</w:t>
            </w:r>
            <w:r>
              <w:rPr>
                <w:noProof/>
                <w:webHidden/>
              </w:rPr>
              <w:fldChar w:fldCharType="end"/>
            </w:r>
          </w:hyperlink>
        </w:p>
        <w:p w:rsidR="00F75A3E" w:rsidRDefault="00F75A3E">
          <w:pPr>
            <w:pStyle w:val="Inhopg1"/>
            <w:tabs>
              <w:tab w:val="left" w:pos="1765"/>
              <w:tab w:val="right" w:pos="9062"/>
            </w:tabs>
          </w:pPr>
        </w:p>
        <w:p w:rsidR="00D71507" w:rsidRDefault="00054C53">
          <w:pPr>
            <w:pStyle w:val="Inhopg1"/>
            <w:tabs>
              <w:tab w:val="left" w:pos="1765"/>
              <w:tab w:val="right" w:pos="9062"/>
            </w:tabs>
            <w:rPr>
              <w:rFonts w:asciiTheme="minorHAnsi" w:eastAsiaTheme="minorEastAsia" w:hAnsiTheme="minorHAnsi" w:cstheme="minorBidi"/>
              <w:b w:val="0"/>
              <w:bCs w:val="0"/>
              <w:caps w:val="0"/>
              <w:noProof/>
              <w:sz w:val="22"/>
              <w:szCs w:val="22"/>
            </w:rPr>
          </w:pPr>
          <w:hyperlink w:anchor="_Toc299740204" w:history="1">
            <w:r w:rsidR="00D71507" w:rsidRPr="00A340E3">
              <w:rPr>
                <w:rStyle w:val="Hyperlink"/>
                <w:noProof/>
              </w:rPr>
              <w:t>Hoofdstuk 2 -</w:t>
            </w:r>
            <w:r w:rsidR="00D71507">
              <w:rPr>
                <w:rFonts w:asciiTheme="minorHAnsi" w:eastAsiaTheme="minorEastAsia" w:hAnsiTheme="minorHAnsi" w:cstheme="minorBidi"/>
                <w:b w:val="0"/>
                <w:bCs w:val="0"/>
                <w:caps w:val="0"/>
                <w:noProof/>
                <w:sz w:val="22"/>
                <w:szCs w:val="22"/>
              </w:rPr>
              <w:tab/>
            </w:r>
            <w:r w:rsidR="00D71507" w:rsidRPr="00A340E3">
              <w:rPr>
                <w:rStyle w:val="Hyperlink"/>
                <w:noProof/>
              </w:rPr>
              <w:t>Economische theorie over het te belasten inkomen</w:t>
            </w:r>
            <w:r w:rsidR="00D71507">
              <w:rPr>
                <w:noProof/>
                <w:webHidden/>
              </w:rPr>
              <w:tab/>
            </w:r>
            <w:r>
              <w:rPr>
                <w:noProof/>
                <w:webHidden/>
              </w:rPr>
              <w:fldChar w:fldCharType="begin"/>
            </w:r>
            <w:r w:rsidR="00D71507">
              <w:rPr>
                <w:noProof/>
                <w:webHidden/>
              </w:rPr>
              <w:instrText xml:space="preserve"> PAGEREF _Toc299740204 \h </w:instrText>
            </w:r>
            <w:r>
              <w:rPr>
                <w:noProof/>
                <w:webHidden/>
              </w:rPr>
            </w:r>
            <w:r>
              <w:rPr>
                <w:noProof/>
                <w:webHidden/>
              </w:rPr>
              <w:fldChar w:fldCharType="separate"/>
            </w:r>
            <w:r w:rsidR="00053514">
              <w:rPr>
                <w:noProof/>
                <w:webHidden/>
              </w:rPr>
              <w:t>- 6 -</w:t>
            </w:r>
            <w:r>
              <w:rPr>
                <w:noProof/>
                <w:webHidden/>
              </w:rPr>
              <w:fldChar w:fldCharType="end"/>
            </w:r>
          </w:hyperlink>
        </w:p>
        <w:p w:rsidR="00D71507" w:rsidRDefault="00054C53">
          <w:pPr>
            <w:pStyle w:val="Inhopg2"/>
            <w:tabs>
              <w:tab w:val="left" w:pos="880"/>
              <w:tab w:val="right" w:pos="9062"/>
            </w:tabs>
            <w:rPr>
              <w:rFonts w:eastAsiaTheme="minorEastAsia"/>
              <w:noProof/>
              <w:lang w:eastAsia="nl-NL"/>
            </w:rPr>
          </w:pPr>
          <w:hyperlink w:anchor="_Toc299740205" w:history="1">
            <w:r w:rsidR="00D71507" w:rsidRPr="00A340E3">
              <w:rPr>
                <w:rStyle w:val="Hyperlink"/>
                <w:noProof/>
              </w:rPr>
              <w:t>2.1</w:t>
            </w:r>
            <w:r w:rsidR="00D71507">
              <w:rPr>
                <w:rFonts w:eastAsiaTheme="minorEastAsia"/>
                <w:noProof/>
                <w:lang w:eastAsia="nl-NL"/>
              </w:rPr>
              <w:tab/>
            </w:r>
            <w:r w:rsidR="00D71507" w:rsidRPr="00A340E3">
              <w:rPr>
                <w:rStyle w:val="Hyperlink"/>
                <w:noProof/>
              </w:rPr>
              <w:t>Inleiding</w:t>
            </w:r>
            <w:r w:rsidR="00D71507">
              <w:rPr>
                <w:noProof/>
                <w:webHidden/>
              </w:rPr>
              <w:tab/>
            </w:r>
            <w:r>
              <w:rPr>
                <w:noProof/>
                <w:webHidden/>
              </w:rPr>
              <w:fldChar w:fldCharType="begin"/>
            </w:r>
            <w:r w:rsidR="00D71507">
              <w:rPr>
                <w:noProof/>
                <w:webHidden/>
              </w:rPr>
              <w:instrText xml:space="preserve"> PAGEREF _Toc299740205 \h </w:instrText>
            </w:r>
            <w:r>
              <w:rPr>
                <w:noProof/>
                <w:webHidden/>
              </w:rPr>
            </w:r>
            <w:r>
              <w:rPr>
                <w:noProof/>
                <w:webHidden/>
              </w:rPr>
              <w:fldChar w:fldCharType="separate"/>
            </w:r>
            <w:r w:rsidR="00053514">
              <w:rPr>
                <w:noProof/>
                <w:webHidden/>
              </w:rPr>
              <w:t>- 6 -</w:t>
            </w:r>
            <w:r>
              <w:rPr>
                <w:noProof/>
                <w:webHidden/>
              </w:rPr>
              <w:fldChar w:fldCharType="end"/>
            </w:r>
          </w:hyperlink>
        </w:p>
        <w:p w:rsidR="00D71507" w:rsidRDefault="00054C53">
          <w:pPr>
            <w:pStyle w:val="Inhopg2"/>
            <w:tabs>
              <w:tab w:val="left" w:pos="880"/>
              <w:tab w:val="right" w:pos="9062"/>
            </w:tabs>
            <w:rPr>
              <w:rFonts w:eastAsiaTheme="minorEastAsia"/>
              <w:noProof/>
              <w:lang w:eastAsia="nl-NL"/>
            </w:rPr>
          </w:pPr>
          <w:hyperlink w:anchor="_Toc299740206" w:history="1">
            <w:r w:rsidR="00D71507" w:rsidRPr="00A340E3">
              <w:rPr>
                <w:rStyle w:val="Hyperlink"/>
                <w:noProof/>
              </w:rPr>
              <w:t>2.2</w:t>
            </w:r>
            <w:r w:rsidR="00D71507">
              <w:rPr>
                <w:rFonts w:eastAsiaTheme="minorEastAsia"/>
                <w:noProof/>
                <w:lang w:eastAsia="nl-NL"/>
              </w:rPr>
              <w:tab/>
            </w:r>
            <w:r w:rsidR="00D71507" w:rsidRPr="00A340E3">
              <w:rPr>
                <w:rStyle w:val="Hyperlink"/>
                <w:noProof/>
              </w:rPr>
              <w:t>Ontstaan en grondleggers SHS-Inkomensbegrip</w:t>
            </w:r>
            <w:r w:rsidR="00D71507">
              <w:rPr>
                <w:noProof/>
                <w:webHidden/>
              </w:rPr>
              <w:tab/>
            </w:r>
            <w:r>
              <w:rPr>
                <w:noProof/>
                <w:webHidden/>
              </w:rPr>
              <w:fldChar w:fldCharType="begin"/>
            </w:r>
            <w:r w:rsidR="00D71507">
              <w:rPr>
                <w:noProof/>
                <w:webHidden/>
              </w:rPr>
              <w:instrText xml:space="preserve"> PAGEREF _Toc299740206 \h </w:instrText>
            </w:r>
            <w:r>
              <w:rPr>
                <w:noProof/>
                <w:webHidden/>
              </w:rPr>
            </w:r>
            <w:r>
              <w:rPr>
                <w:noProof/>
                <w:webHidden/>
              </w:rPr>
              <w:fldChar w:fldCharType="separate"/>
            </w:r>
            <w:r w:rsidR="00053514">
              <w:rPr>
                <w:noProof/>
                <w:webHidden/>
              </w:rPr>
              <w:t>- 6 -</w:t>
            </w:r>
            <w:r>
              <w:rPr>
                <w:noProof/>
                <w:webHidden/>
              </w:rPr>
              <w:fldChar w:fldCharType="end"/>
            </w:r>
          </w:hyperlink>
        </w:p>
        <w:p w:rsidR="00D71507" w:rsidRDefault="00054C53">
          <w:pPr>
            <w:pStyle w:val="Inhopg3"/>
            <w:tabs>
              <w:tab w:val="left" w:pos="1320"/>
              <w:tab w:val="right" w:pos="9062"/>
            </w:tabs>
            <w:rPr>
              <w:rFonts w:eastAsiaTheme="minorEastAsia"/>
              <w:noProof/>
              <w:lang w:eastAsia="nl-NL"/>
            </w:rPr>
          </w:pPr>
          <w:hyperlink w:anchor="_Toc299740207" w:history="1">
            <w:r w:rsidR="00D71507" w:rsidRPr="00A340E3">
              <w:rPr>
                <w:rStyle w:val="Hyperlink"/>
                <w:noProof/>
              </w:rPr>
              <w:t>2.2.1</w:t>
            </w:r>
            <w:r w:rsidR="00D71507">
              <w:rPr>
                <w:rFonts w:eastAsiaTheme="minorEastAsia"/>
                <w:noProof/>
                <w:lang w:eastAsia="nl-NL"/>
              </w:rPr>
              <w:tab/>
            </w:r>
            <w:r w:rsidR="00D71507" w:rsidRPr="00A340E3">
              <w:rPr>
                <w:rStyle w:val="Hyperlink"/>
                <w:noProof/>
              </w:rPr>
              <w:t>Georg von Schanz</w:t>
            </w:r>
            <w:r w:rsidR="00D71507">
              <w:rPr>
                <w:noProof/>
                <w:webHidden/>
              </w:rPr>
              <w:tab/>
            </w:r>
            <w:r>
              <w:rPr>
                <w:noProof/>
                <w:webHidden/>
              </w:rPr>
              <w:fldChar w:fldCharType="begin"/>
            </w:r>
            <w:r w:rsidR="00D71507">
              <w:rPr>
                <w:noProof/>
                <w:webHidden/>
              </w:rPr>
              <w:instrText xml:space="preserve"> PAGEREF _Toc299740207 \h </w:instrText>
            </w:r>
            <w:r>
              <w:rPr>
                <w:noProof/>
                <w:webHidden/>
              </w:rPr>
            </w:r>
            <w:r>
              <w:rPr>
                <w:noProof/>
                <w:webHidden/>
              </w:rPr>
              <w:fldChar w:fldCharType="separate"/>
            </w:r>
            <w:r w:rsidR="00053514">
              <w:rPr>
                <w:noProof/>
                <w:webHidden/>
              </w:rPr>
              <w:t>- 6 -</w:t>
            </w:r>
            <w:r>
              <w:rPr>
                <w:noProof/>
                <w:webHidden/>
              </w:rPr>
              <w:fldChar w:fldCharType="end"/>
            </w:r>
          </w:hyperlink>
        </w:p>
        <w:p w:rsidR="00D71507" w:rsidRDefault="00054C53">
          <w:pPr>
            <w:pStyle w:val="Inhopg3"/>
            <w:tabs>
              <w:tab w:val="left" w:pos="1320"/>
              <w:tab w:val="right" w:pos="9062"/>
            </w:tabs>
            <w:rPr>
              <w:rFonts w:eastAsiaTheme="minorEastAsia"/>
              <w:noProof/>
              <w:lang w:eastAsia="nl-NL"/>
            </w:rPr>
          </w:pPr>
          <w:hyperlink w:anchor="_Toc299740208" w:history="1">
            <w:r w:rsidR="00D71507" w:rsidRPr="00A340E3">
              <w:rPr>
                <w:rStyle w:val="Hyperlink"/>
                <w:noProof/>
              </w:rPr>
              <w:t>2.2.2</w:t>
            </w:r>
            <w:r w:rsidR="00D71507">
              <w:rPr>
                <w:rFonts w:eastAsiaTheme="minorEastAsia"/>
                <w:noProof/>
                <w:lang w:eastAsia="nl-NL"/>
              </w:rPr>
              <w:tab/>
            </w:r>
            <w:r w:rsidR="00D71507" w:rsidRPr="00A340E3">
              <w:rPr>
                <w:rStyle w:val="Hyperlink"/>
                <w:noProof/>
              </w:rPr>
              <w:t>Robert Murray Haig</w:t>
            </w:r>
            <w:r w:rsidR="00D71507">
              <w:rPr>
                <w:noProof/>
                <w:webHidden/>
              </w:rPr>
              <w:tab/>
            </w:r>
            <w:r>
              <w:rPr>
                <w:noProof/>
                <w:webHidden/>
              </w:rPr>
              <w:fldChar w:fldCharType="begin"/>
            </w:r>
            <w:r w:rsidR="00D71507">
              <w:rPr>
                <w:noProof/>
                <w:webHidden/>
              </w:rPr>
              <w:instrText xml:space="preserve"> PAGEREF _Toc299740208 \h </w:instrText>
            </w:r>
            <w:r>
              <w:rPr>
                <w:noProof/>
                <w:webHidden/>
              </w:rPr>
            </w:r>
            <w:r>
              <w:rPr>
                <w:noProof/>
                <w:webHidden/>
              </w:rPr>
              <w:fldChar w:fldCharType="separate"/>
            </w:r>
            <w:r w:rsidR="00053514">
              <w:rPr>
                <w:noProof/>
                <w:webHidden/>
              </w:rPr>
              <w:t>- 7 -</w:t>
            </w:r>
            <w:r>
              <w:rPr>
                <w:noProof/>
                <w:webHidden/>
              </w:rPr>
              <w:fldChar w:fldCharType="end"/>
            </w:r>
          </w:hyperlink>
        </w:p>
        <w:p w:rsidR="00D71507" w:rsidRDefault="00054C53">
          <w:pPr>
            <w:pStyle w:val="Inhopg3"/>
            <w:tabs>
              <w:tab w:val="left" w:pos="1320"/>
              <w:tab w:val="right" w:pos="9062"/>
            </w:tabs>
            <w:rPr>
              <w:rFonts w:eastAsiaTheme="minorEastAsia"/>
              <w:noProof/>
              <w:lang w:eastAsia="nl-NL"/>
            </w:rPr>
          </w:pPr>
          <w:hyperlink w:anchor="_Toc299740209" w:history="1">
            <w:r w:rsidR="00D71507" w:rsidRPr="00A340E3">
              <w:rPr>
                <w:rStyle w:val="Hyperlink"/>
                <w:noProof/>
              </w:rPr>
              <w:t>2.2.3</w:t>
            </w:r>
            <w:r w:rsidR="00D71507">
              <w:rPr>
                <w:rFonts w:eastAsiaTheme="minorEastAsia"/>
                <w:noProof/>
                <w:lang w:eastAsia="nl-NL"/>
              </w:rPr>
              <w:tab/>
            </w:r>
            <w:r w:rsidR="00D71507" w:rsidRPr="00A340E3">
              <w:rPr>
                <w:rStyle w:val="Hyperlink"/>
                <w:noProof/>
              </w:rPr>
              <w:t>Henry C. Simons</w:t>
            </w:r>
            <w:r w:rsidR="00D71507">
              <w:rPr>
                <w:noProof/>
                <w:webHidden/>
              </w:rPr>
              <w:tab/>
            </w:r>
            <w:r>
              <w:rPr>
                <w:noProof/>
                <w:webHidden/>
              </w:rPr>
              <w:fldChar w:fldCharType="begin"/>
            </w:r>
            <w:r w:rsidR="00D71507">
              <w:rPr>
                <w:noProof/>
                <w:webHidden/>
              </w:rPr>
              <w:instrText xml:space="preserve"> PAGEREF _Toc299740209 \h </w:instrText>
            </w:r>
            <w:r>
              <w:rPr>
                <w:noProof/>
                <w:webHidden/>
              </w:rPr>
            </w:r>
            <w:r>
              <w:rPr>
                <w:noProof/>
                <w:webHidden/>
              </w:rPr>
              <w:fldChar w:fldCharType="separate"/>
            </w:r>
            <w:r w:rsidR="00053514">
              <w:rPr>
                <w:noProof/>
                <w:webHidden/>
              </w:rPr>
              <w:t>- 8 -</w:t>
            </w:r>
            <w:r>
              <w:rPr>
                <w:noProof/>
                <w:webHidden/>
              </w:rPr>
              <w:fldChar w:fldCharType="end"/>
            </w:r>
          </w:hyperlink>
        </w:p>
        <w:p w:rsidR="00D71507" w:rsidRDefault="00054C53">
          <w:pPr>
            <w:pStyle w:val="Inhopg2"/>
            <w:tabs>
              <w:tab w:val="left" w:pos="880"/>
              <w:tab w:val="right" w:pos="9062"/>
            </w:tabs>
            <w:rPr>
              <w:rFonts w:eastAsiaTheme="minorEastAsia"/>
              <w:noProof/>
              <w:lang w:eastAsia="nl-NL"/>
            </w:rPr>
          </w:pPr>
          <w:hyperlink w:anchor="_Toc299740210" w:history="1">
            <w:r w:rsidR="00D71507" w:rsidRPr="00A340E3">
              <w:rPr>
                <w:rStyle w:val="Hyperlink"/>
                <w:noProof/>
              </w:rPr>
              <w:t>2.3</w:t>
            </w:r>
            <w:r w:rsidR="00D71507">
              <w:rPr>
                <w:rFonts w:eastAsiaTheme="minorEastAsia"/>
                <w:noProof/>
                <w:lang w:eastAsia="nl-NL"/>
              </w:rPr>
              <w:tab/>
            </w:r>
            <w:r w:rsidR="00D71507" w:rsidRPr="00A340E3">
              <w:rPr>
                <w:rStyle w:val="Hyperlink"/>
                <w:noProof/>
              </w:rPr>
              <w:t>Bestanddelen SHS-inkomensbegrip</w:t>
            </w:r>
            <w:r w:rsidR="00D71507">
              <w:rPr>
                <w:noProof/>
                <w:webHidden/>
              </w:rPr>
              <w:tab/>
            </w:r>
            <w:r>
              <w:rPr>
                <w:noProof/>
                <w:webHidden/>
              </w:rPr>
              <w:fldChar w:fldCharType="begin"/>
            </w:r>
            <w:r w:rsidR="00D71507">
              <w:rPr>
                <w:noProof/>
                <w:webHidden/>
              </w:rPr>
              <w:instrText xml:space="preserve"> PAGEREF _Toc299740210 \h </w:instrText>
            </w:r>
            <w:r>
              <w:rPr>
                <w:noProof/>
                <w:webHidden/>
              </w:rPr>
            </w:r>
            <w:r>
              <w:rPr>
                <w:noProof/>
                <w:webHidden/>
              </w:rPr>
              <w:fldChar w:fldCharType="separate"/>
            </w:r>
            <w:r w:rsidR="00053514">
              <w:rPr>
                <w:noProof/>
                <w:webHidden/>
              </w:rPr>
              <w:t>- 8 -</w:t>
            </w:r>
            <w:r>
              <w:rPr>
                <w:noProof/>
                <w:webHidden/>
              </w:rPr>
              <w:fldChar w:fldCharType="end"/>
            </w:r>
          </w:hyperlink>
        </w:p>
        <w:p w:rsidR="00D71507" w:rsidRDefault="00054C53">
          <w:pPr>
            <w:pStyle w:val="Inhopg2"/>
            <w:tabs>
              <w:tab w:val="left" w:pos="880"/>
              <w:tab w:val="right" w:pos="9062"/>
            </w:tabs>
            <w:rPr>
              <w:rFonts w:eastAsiaTheme="minorEastAsia"/>
              <w:noProof/>
              <w:lang w:eastAsia="nl-NL"/>
            </w:rPr>
          </w:pPr>
          <w:hyperlink w:anchor="_Toc299740211" w:history="1">
            <w:r w:rsidR="00D71507" w:rsidRPr="00A340E3">
              <w:rPr>
                <w:rStyle w:val="Hyperlink"/>
                <w:noProof/>
              </w:rPr>
              <w:t>2.4</w:t>
            </w:r>
            <w:r w:rsidR="00D71507">
              <w:rPr>
                <w:rFonts w:eastAsiaTheme="minorEastAsia"/>
                <w:noProof/>
                <w:lang w:eastAsia="nl-NL"/>
              </w:rPr>
              <w:tab/>
            </w:r>
            <w:r w:rsidR="00D71507" w:rsidRPr="00A340E3">
              <w:rPr>
                <w:rStyle w:val="Hyperlink"/>
                <w:noProof/>
              </w:rPr>
              <w:t>Vermogensaanwasbelasting</w:t>
            </w:r>
            <w:r w:rsidR="00D71507">
              <w:rPr>
                <w:noProof/>
                <w:webHidden/>
              </w:rPr>
              <w:tab/>
            </w:r>
            <w:r>
              <w:rPr>
                <w:noProof/>
                <w:webHidden/>
              </w:rPr>
              <w:fldChar w:fldCharType="begin"/>
            </w:r>
            <w:r w:rsidR="00D71507">
              <w:rPr>
                <w:noProof/>
                <w:webHidden/>
              </w:rPr>
              <w:instrText xml:space="preserve"> PAGEREF _Toc299740211 \h </w:instrText>
            </w:r>
            <w:r>
              <w:rPr>
                <w:noProof/>
                <w:webHidden/>
              </w:rPr>
            </w:r>
            <w:r>
              <w:rPr>
                <w:noProof/>
                <w:webHidden/>
              </w:rPr>
              <w:fldChar w:fldCharType="separate"/>
            </w:r>
            <w:r w:rsidR="00053514">
              <w:rPr>
                <w:noProof/>
                <w:webHidden/>
              </w:rPr>
              <w:t>- 9 -</w:t>
            </w:r>
            <w:r>
              <w:rPr>
                <w:noProof/>
                <w:webHidden/>
              </w:rPr>
              <w:fldChar w:fldCharType="end"/>
            </w:r>
          </w:hyperlink>
        </w:p>
        <w:p w:rsidR="00D71507" w:rsidRDefault="00054C53">
          <w:pPr>
            <w:pStyle w:val="Inhopg2"/>
            <w:tabs>
              <w:tab w:val="left" w:pos="880"/>
              <w:tab w:val="right" w:pos="9062"/>
            </w:tabs>
            <w:rPr>
              <w:rFonts w:eastAsiaTheme="minorEastAsia"/>
              <w:noProof/>
              <w:lang w:eastAsia="nl-NL"/>
            </w:rPr>
          </w:pPr>
          <w:hyperlink w:anchor="_Toc299740212" w:history="1">
            <w:r w:rsidR="00D71507" w:rsidRPr="00A340E3">
              <w:rPr>
                <w:rStyle w:val="Hyperlink"/>
                <w:noProof/>
              </w:rPr>
              <w:t>2.5</w:t>
            </w:r>
            <w:r w:rsidR="00D71507">
              <w:rPr>
                <w:rFonts w:eastAsiaTheme="minorEastAsia"/>
                <w:noProof/>
                <w:lang w:eastAsia="nl-NL"/>
              </w:rPr>
              <w:tab/>
            </w:r>
            <w:r w:rsidR="00D71507" w:rsidRPr="00A340E3">
              <w:rPr>
                <w:rStyle w:val="Hyperlink"/>
                <w:noProof/>
              </w:rPr>
              <w:t>Voor- en nadelen vermogensaanwasbelasting</w:t>
            </w:r>
            <w:r w:rsidR="00D71507">
              <w:rPr>
                <w:noProof/>
                <w:webHidden/>
              </w:rPr>
              <w:tab/>
            </w:r>
            <w:r>
              <w:rPr>
                <w:noProof/>
                <w:webHidden/>
              </w:rPr>
              <w:fldChar w:fldCharType="begin"/>
            </w:r>
            <w:r w:rsidR="00D71507">
              <w:rPr>
                <w:noProof/>
                <w:webHidden/>
              </w:rPr>
              <w:instrText xml:space="preserve"> PAGEREF _Toc299740212 \h </w:instrText>
            </w:r>
            <w:r>
              <w:rPr>
                <w:noProof/>
                <w:webHidden/>
              </w:rPr>
            </w:r>
            <w:r>
              <w:rPr>
                <w:noProof/>
                <w:webHidden/>
              </w:rPr>
              <w:fldChar w:fldCharType="separate"/>
            </w:r>
            <w:r w:rsidR="00053514">
              <w:rPr>
                <w:noProof/>
                <w:webHidden/>
              </w:rPr>
              <w:t>- 11 -</w:t>
            </w:r>
            <w:r>
              <w:rPr>
                <w:noProof/>
                <w:webHidden/>
              </w:rPr>
              <w:fldChar w:fldCharType="end"/>
            </w:r>
          </w:hyperlink>
        </w:p>
        <w:p w:rsidR="00D71507" w:rsidRDefault="00054C53">
          <w:pPr>
            <w:pStyle w:val="Inhopg2"/>
            <w:tabs>
              <w:tab w:val="left" w:pos="880"/>
              <w:tab w:val="right" w:pos="9062"/>
            </w:tabs>
            <w:rPr>
              <w:rFonts w:eastAsiaTheme="minorEastAsia"/>
              <w:noProof/>
              <w:lang w:eastAsia="nl-NL"/>
            </w:rPr>
          </w:pPr>
          <w:hyperlink w:anchor="_Toc299740213" w:history="1">
            <w:r w:rsidR="00D71507" w:rsidRPr="00A340E3">
              <w:rPr>
                <w:rStyle w:val="Hyperlink"/>
                <w:noProof/>
              </w:rPr>
              <w:t>2.6</w:t>
            </w:r>
            <w:r w:rsidR="00D71507">
              <w:rPr>
                <w:rFonts w:eastAsiaTheme="minorEastAsia"/>
                <w:noProof/>
                <w:lang w:eastAsia="nl-NL"/>
              </w:rPr>
              <w:tab/>
            </w:r>
            <w:r w:rsidR="00D71507" w:rsidRPr="00A340E3">
              <w:rPr>
                <w:rStyle w:val="Hyperlink"/>
                <w:noProof/>
              </w:rPr>
              <w:t>Conclusie/samenvatting</w:t>
            </w:r>
            <w:r w:rsidR="00D71507">
              <w:rPr>
                <w:noProof/>
                <w:webHidden/>
              </w:rPr>
              <w:tab/>
            </w:r>
            <w:r>
              <w:rPr>
                <w:noProof/>
                <w:webHidden/>
              </w:rPr>
              <w:fldChar w:fldCharType="begin"/>
            </w:r>
            <w:r w:rsidR="00D71507">
              <w:rPr>
                <w:noProof/>
                <w:webHidden/>
              </w:rPr>
              <w:instrText xml:space="preserve"> PAGEREF _Toc299740213 \h </w:instrText>
            </w:r>
            <w:r>
              <w:rPr>
                <w:noProof/>
                <w:webHidden/>
              </w:rPr>
            </w:r>
            <w:r>
              <w:rPr>
                <w:noProof/>
                <w:webHidden/>
              </w:rPr>
              <w:fldChar w:fldCharType="separate"/>
            </w:r>
            <w:r w:rsidR="00053514">
              <w:rPr>
                <w:noProof/>
                <w:webHidden/>
              </w:rPr>
              <w:t>- 12 -</w:t>
            </w:r>
            <w:r>
              <w:rPr>
                <w:noProof/>
                <w:webHidden/>
              </w:rPr>
              <w:fldChar w:fldCharType="end"/>
            </w:r>
          </w:hyperlink>
        </w:p>
        <w:p w:rsidR="00F75A3E" w:rsidRDefault="00F75A3E">
          <w:pPr>
            <w:pStyle w:val="Inhopg1"/>
            <w:tabs>
              <w:tab w:val="left" w:pos="1765"/>
              <w:tab w:val="right" w:pos="9062"/>
            </w:tabs>
          </w:pPr>
        </w:p>
        <w:p w:rsidR="00D71507" w:rsidRDefault="00054C53">
          <w:pPr>
            <w:pStyle w:val="Inhopg1"/>
            <w:tabs>
              <w:tab w:val="left" w:pos="1765"/>
              <w:tab w:val="right" w:pos="9062"/>
            </w:tabs>
            <w:rPr>
              <w:rFonts w:asciiTheme="minorHAnsi" w:eastAsiaTheme="minorEastAsia" w:hAnsiTheme="minorHAnsi" w:cstheme="minorBidi"/>
              <w:b w:val="0"/>
              <w:bCs w:val="0"/>
              <w:caps w:val="0"/>
              <w:noProof/>
              <w:sz w:val="22"/>
              <w:szCs w:val="22"/>
            </w:rPr>
          </w:pPr>
          <w:hyperlink w:anchor="_Toc299740214" w:history="1">
            <w:r w:rsidR="00D71507" w:rsidRPr="00A340E3">
              <w:rPr>
                <w:rStyle w:val="Hyperlink"/>
                <w:noProof/>
              </w:rPr>
              <w:t>Hoofdstuk 3 -</w:t>
            </w:r>
            <w:r w:rsidR="00D71507">
              <w:rPr>
                <w:rFonts w:asciiTheme="minorHAnsi" w:eastAsiaTheme="minorEastAsia" w:hAnsiTheme="minorHAnsi" w:cstheme="minorBidi"/>
                <w:b w:val="0"/>
                <w:bCs w:val="0"/>
                <w:caps w:val="0"/>
                <w:noProof/>
                <w:sz w:val="22"/>
                <w:szCs w:val="22"/>
              </w:rPr>
              <w:tab/>
            </w:r>
            <w:r w:rsidR="00D71507" w:rsidRPr="00A340E3">
              <w:rPr>
                <w:rStyle w:val="Hyperlink"/>
                <w:noProof/>
              </w:rPr>
              <w:t>Vermogenswinsten in de ondernemingssfeer onder het huidige systeem</w:t>
            </w:r>
            <w:r w:rsidR="00D71507">
              <w:rPr>
                <w:noProof/>
                <w:webHidden/>
              </w:rPr>
              <w:tab/>
            </w:r>
            <w:r>
              <w:rPr>
                <w:noProof/>
                <w:webHidden/>
              </w:rPr>
              <w:fldChar w:fldCharType="begin"/>
            </w:r>
            <w:r w:rsidR="00D71507">
              <w:rPr>
                <w:noProof/>
                <w:webHidden/>
              </w:rPr>
              <w:instrText xml:space="preserve"> PAGEREF _Toc299740214 \h </w:instrText>
            </w:r>
            <w:r>
              <w:rPr>
                <w:noProof/>
                <w:webHidden/>
              </w:rPr>
            </w:r>
            <w:r>
              <w:rPr>
                <w:noProof/>
                <w:webHidden/>
              </w:rPr>
              <w:fldChar w:fldCharType="separate"/>
            </w:r>
            <w:r w:rsidR="00053514">
              <w:rPr>
                <w:noProof/>
                <w:webHidden/>
              </w:rPr>
              <w:t>- 13 -</w:t>
            </w:r>
            <w:r>
              <w:rPr>
                <w:noProof/>
                <w:webHidden/>
              </w:rPr>
              <w:fldChar w:fldCharType="end"/>
            </w:r>
          </w:hyperlink>
        </w:p>
        <w:p w:rsidR="00D71507" w:rsidRDefault="00054C53">
          <w:pPr>
            <w:pStyle w:val="Inhopg2"/>
            <w:tabs>
              <w:tab w:val="left" w:pos="880"/>
              <w:tab w:val="right" w:pos="9062"/>
            </w:tabs>
            <w:rPr>
              <w:rFonts w:eastAsiaTheme="minorEastAsia"/>
              <w:noProof/>
              <w:lang w:eastAsia="nl-NL"/>
            </w:rPr>
          </w:pPr>
          <w:hyperlink w:anchor="_Toc299740215" w:history="1">
            <w:r w:rsidR="00D71507" w:rsidRPr="00A340E3">
              <w:rPr>
                <w:rStyle w:val="Hyperlink"/>
                <w:noProof/>
              </w:rPr>
              <w:t>3.1</w:t>
            </w:r>
            <w:r w:rsidR="00D71507">
              <w:rPr>
                <w:rFonts w:eastAsiaTheme="minorEastAsia"/>
                <w:noProof/>
                <w:lang w:eastAsia="nl-NL"/>
              </w:rPr>
              <w:tab/>
            </w:r>
            <w:r w:rsidR="00D71507" w:rsidRPr="00A340E3">
              <w:rPr>
                <w:rStyle w:val="Hyperlink"/>
                <w:noProof/>
              </w:rPr>
              <w:t>Inleiding</w:t>
            </w:r>
            <w:r w:rsidR="00D71507">
              <w:rPr>
                <w:noProof/>
                <w:webHidden/>
              </w:rPr>
              <w:tab/>
            </w:r>
            <w:r>
              <w:rPr>
                <w:noProof/>
                <w:webHidden/>
              </w:rPr>
              <w:fldChar w:fldCharType="begin"/>
            </w:r>
            <w:r w:rsidR="00D71507">
              <w:rPr>
                <w:noProof/>
                <w:webHidden/>
              </w:rPr>
              <w:instrText xml:space="preserve"> PAGEREF _Toc299740215 \h </w:instrText>
            </w:r>
            <w:r>
              <w:rPr>
                <w:noProof/>
                <w:webHidden/>
              </w:rPr>
            </w:r>
            <w:r>
              <w:rPr>
                <w:noProof/>
                <w:webHidden/>
              </w:rPr>
              <w:fldChar w:fldCharType="separate"/>
            </w:r>
            <w:r w:rsidR="00053514">
              <w:rPr>
                <w:noProof/>
                <w:webHidden/>
              </w:rPr>
              <w:t>- 13 -</w:t>
            </w:r>
            <w:r>
              <w:rPr>
                <w:noProof/>
                <w:webHidden/>
              </w:rPr>
              <w:fldChar w:fldCharType="end"/>
            </w:r>
          </w:hyperlink>
        </w:p>
        <w:p w:rsidR="00D71507" w:rsidRDefault="00054C53">
          <w:pPr>
            <w:pStyle w:val="Inhopg2"/>
            <w:tabs>
              <w:tab w:val="left" w:pos="880"/>
              <w:tab w:val="right" w:pos="9062"/>
            </w:tabs>
            <w:rPr>
              <w:rFonts w:eastAsiaTheme="minorEastAsia"/>
              <w:noProof/>
              <w:lang w:eastAsia="nl-NL"/>
            </w:rPr>
          </w:pPr>
          <w:hyperlink w:anchor="_Toc299740216" w:history="1">
            <w:r w:rsidR="00D71507" w:rsidRPr="00A340E3">
              <w:rPr>
                <w:rStyle w:val="Hyperlink"/>
                <w:noProof/>
              </w:rPr>
              <w:t>3.2</w:t>
            </w:r>
            <w:r w:rsidR="00D71507">
              <w:rPr>
                <w:rFonts w:eastAsiaTheme="minorEastAsia"/>
                <w:noProof/>
                <w:lang w:eastAsia="nl-NL"/>
              </w:rPr>
              <w:tab/>
            </w:r>
            <w:r w:rsidR="00D71507" w:rsidRPr="00A340E3">
              <w:rPr>
                <w:rStyle w:val="Hyperlink"/>
                <w:noProof/>
              </w:rPr>
              <w:t>Inkomen uit aanmerkelijk belang</w:t>
            </w:r>
            <w:r w:rsidR="00D71507">
              <w:rPr>
                <w:noProof/>
                <w:webHidden/>
              </w:rPr>
              <w:tab/>
            </w:r>
            <w:r>
              <w:rPr>
                <w:noProof/>
                <w:webHidden/>
              </w:rPr>
              <w:fldChar w:fldCharType="begin"/>
            </w:r>
            <w:r w:rsidR="00D71507">
              <w:rPr>
                <w:noProof/>
                <w:webHidden/>
              </w:rPr>
              <w:instrText xml:space="preserve"> PAGEREF _Toc299740216 \h </w:instrText>
            </w:r>
            <w:r>
              <w:rPr>
                <w:noProof/>
                <w:webHidden/>
              </w:rPr>
            </w:r>
            <w:r>
              <w:rPr>
                <w:noProof/>
                <w:webHidden/>
              </w:rPr>
              <w:fldChar w:fldCharType="separate"/>
            </w:r>
            <w:r w:rsidR="00053514">
              <w:rPr>
                <w:noProof/>
                <w:webHidden/>
              </w:rPr>
              <w:t>- 13 -</w:t>
            </w:r>
            <w:r>
              <w:rPr>
                <w:noProof/>
                <w:webHidden/>
              </w:rPr>
              <w:fldChar w:fldCharType="end"/>
            </w:r>
          </w:hyperlink>
        </w:p>
        <w:p w:rsidR="00D71507" w:rsidRDefault="00054C53">
          <w:pPr>
            <w:pStyle w:val="Inhopg3"/>
            <w:tabs>
              <w:tab w:val="left" w:pos="1320"/>
              <w:tab w:val="right" w:pos="9062"/>
            </w:tabs>
            <w:rPr>
              <w:rFonts w:eastAsiaTheme="minorEastAsia"/>
              <w:noProof/>
              <w:lang w:eastAsia="nl-NL"/>
            </w:rPr>
          </w:pPr>
          <w:hyperlink w:anchor="_Toc299740217" w:history="1">
            <w:r w:rsidR="00D71507" w:rsidRPr="00A340E3">
              <w:rPr>
                <w:rStyle w:val="Hyperlink"/>
                <w:noProof/>
              </w:rPr>
              <w:t>3.2.1</w:t>
            </w:r>
            <w:r w:rsidR="00D71507">
              <w:rPr>
                <w:rFonts w:eastAsiaTheme="minorEastAsia"/>
                <w:noProof/>
                <w:lang w:eastAsia="nl-NL"/>
              </w:rPr>
              <w:tab/>
            </w:r>
            <w:r w:rsidR="00D71507" w:rsidRPr="00A340E3">
              <w:rPr>
                <w:rStyle w:val="Hyperlink"/>
                <w:noProof/>
              </w:rPr>
              <w:t>Aanmerkelijk belang</w:t>
            </w:r>
            <w:r w:rsidR="00D71507">
              <w:rPr>
                <w:noProof/>
                <w:webHidden/>
              </w:rPr>
              <w:tab/>
            </w:r>
            <w:r>
              <w:rPr>
                <w:noProof/>
                <w:webHidden/>
              </w:rPr>
              <w:fldChar w:fldCharType="begin"/>
            </w:r>
            <w:r w:rsidR="00D71507">
              <w:rPr>
                <w:noProof/>
                <w:webHidden/>
              </w:rPr>
              <w:instrText xml:space="preserve"> PAGEREF _Toc299740217 \h </w:instrText>
            </w:r>
            <w:r>
              <w:rPr>
                <w:noProof/>
                <w:webHidden/>
              </w:rPr>
            </w:r>
            <w:r>
              <w:rPr>
                <w:noProof/>
                <w:webHidden/>
              </w:rPr>
              <w:fldChar w:fldCharType="separate"/>
            </w:r>
            <w:r w:rsidR="00053514">
              <w:rPr>
                <w:noProof/>
                <w:webHidden/>
              </w:rPr>
              <w:t>- 13 -</w:t>
            </w:r>
            <w:r>
              <w:rPr>
                <w:noProof/>
                <w:webHidden/>
              </w:rPr>
              <w:fldChar w:fldCharType="end"/>
            </w:r>
          </w:hyperlink>
        </w:p>
        <w:p w:rsidR="00D71507" w:rsidRDefault="00054C53">
          <w:pPr>
            <w:pStyle w:val="Inhopg3"/>
            <w:tabs>
              <w:tab w:val="left" w:pos="1320"/>
              <w:tab w:val="right" w:pos="9062"/>
            </w:tabs>
            <w:rPr>
              <w:rFonts w:eastAsiaTheme="minorEastAsia"/>
              <w:noProof/>
              <w:lang w:eastAsia="nl-NL"/>
            </w:rPr>
          </w:pPr>
          <w:hyperlink w:anchor="_Toc299740218" w:history="1">
            <w:r w:rsidR="00D71507" w:rsidRPr="00A340E3">
              <w:rPr>
                <w:rStyle w:val="Hyperlink"/>
                <w:noProof/>
              </w:rPr>
              <w:t>3.2.2</w:t>
            </w:r>
            <w:r w:rsidR="00D71507">
              <w:rPr>
                <w:rFonts w:eastAsiaTheme="minorEastAsia"/>
                <w:noProof/>
                <w:lang w:eastAsia="nl-NL"/>
              </w:rPr>
              <w:tab/>
            </w:r>
            <w:r w:rsidR="00D71507" w:rsidRPr="00A340E3">
              <w:rPr>
                <w:rStyle w:val="Hyperlink"/>
                <w:noProof/>
              </w:rPr>
              <w:t>Reguliere voordelen</w:t>
            </w:r>
            <w:r w:rsidR="00D71507">
              <w:rPr>
                <w:noProof/>
                <w:webHidden/>
              </w:rPr>
              <w:tab/>
            </w:r>
            <w:r>
              <w:rPr>
                <w:noProof/>
                <w:webHidden/>
              </w:rPr>
              <w:fldChar w:fldCharType="begin"/>
            </w:r>
            <w:r w:rsidR="00D71507">
              <w:rPr>
                <w:noProof/>
                <w:webHidden/>
              </w:rPr>
              <w:instrText xml:space="preserve"> PAGEREF _Toc299740218 \h </w:instrText>
            </w:r>
            <w:r>
              <w:rPr>
                <w:noProof/>
                <w:webHidden/>
              </w:rPr>
            </w:r>
            <w:r>
              <w:rPr>
                <w:noProof/>
                <w:webHidden/>
              </w:rPr>
              <w:fldChar w:fldCharType="separate"/>
            </w:r>
            <w:r w:rsidR="00053514">
              <w:rPr>
                <w:noProof/>
                <w:webHidden/>
              </w:rPr>
              <w:t>- 14 -</w:t>
            </w:r>
            <w:r>
              <w:rPr>
                <w:noProof/>
                <w:webHidden/>
              </w:rPr>
              <w:fldChar w:fldCharType="end"/>
            </w:r>
          </w:hyperlink>
        </w:p>
        <w:p w:rsidR="00D71507" w:rsidRDefault="00054C53">
          <w:pPr>
            <w:pStyle w:val="Inhopg3"/>
            <w:tabs>
              <w:tab w:val="left" w:pos="1320"/>
              <w:tab w:val="right" w:pos="9062"/>
            </w:tabs>
            <w:rPr>
              <w:rFonts w:eastAsiaTheme="minorEastAsia"/>
              <w:noProof/>
              <w:lang w:eastAsia="nl-NL"/>
            </w:rPr>
          </w:pPr>
          <w:hyperlink w:anchor="_Toc299740219" w:history="1">
            <w:r w:rsidR="00D71507" w:rsidRPr="00A340E3">
              <w:rPr>
                <w:rStyle w:val="Hyperlink"/>
                <w:noProof/>
              </w:rPr>
              <w:t>3.2.3</w:t>
            </w:r>
            <w:r w:rsidR="00D71507">
              <w:rPr>
                <w:rFonts w:eastAsiaTheme="minorEastAsia"/>
                <w:noProof/>
                <w:lang w:eastAsia="nl-NL"/>
              </w:rPr>
              <w:tab/>
            </w:r>
            <w:r w:rsidR="00D71507" w:rsidRPr="00A340E3">
              <w:rPr>
                <w:rStyle w:val="Hyperlink"/>
                <w:noProof/>
              </w:rPr>
              <w:t>Vervreemdingsvoordelen</w:t>
            </w:r>
            <w:r w:rsidR="00D71507">
              <w:rPr>
                <w:noProof/>
                <w:webHidden/>
              </w:rPr>
              <w:tab/>
            </w:r>
            <w:r>
              <w:rPr>
                <w:noProof/>
                <w:webHidden/>
              </w:rPr>
              <w:fldChar w:fldCharType="begin"/>
            </w:r>
            <w:r w:rsidR="00D71507">
              <w:rPr>
                <w:noProof/>
                <w:webHidden/>
              </w:rPr>
              <w:instrText xml:space="preserve"> PAGEREF _Toc299740219 \h </w:instrText>
            </w:r>
            <w:r>
              <w:rPr>
                <w:noProof/>
                <w:webHidden/>
              </w:rPr>
            </w:r>
            <w:r>
              <w:rPr>
                <w:noProof/>
                <w:webHidden/>
              </w:rPr>
              <w:fldChar w:fldCharType="separate"/>
            </w:r>
            <w:r w:rsidR="00053514">
              <w:rPr>
                <w:noProof/>
                <w:webHidden/>
              </w:rPr>
              <w:t>- 14 -</w:t>
            </w:r>
            <w:r>
              <w:rPr>
                <w:noProof/>
                <w:webHidden/>
              </w:rPr>
              <w:fldChar w:fldCharType="end"/>
            </w:r>
          </w:hyperlink>
        </w:p>
        <w:p w:rsidR="00D71507" w:rsidRDefault="00054C53">
          <w:pPr>
            <w:pStyle w:val="Inhopg3"/>
            <w:tabs>
              <w:tab w:val="left" w:pos="1320"/>
              <w:tab w:val="right" w:pos="9062"/>
            </w:tabs>
            <w:rPr>
              <w:rFonts w:eastAsiaTheme="minorEastAsia"/>
              <w:noProof/>
              <w:lang w:eastAsia="nl-NL"/>
            </w:rPr>
          </w:pPr>
          <w:hyperlink w:anchor="_Toc299740220" w:history="1">
            <w:r w:rsidR="00D71507" w:rsidRPr="00A340E3">
              <w:rPr>
                <w:rStyle w:val="Hyperlink"/>
                <w:noProof/>
              </w:rPr>
              <w:t>3.2.4</w:t>
            </w:r>
            <w:r w:rsidR="00D71507">
              <w:rPr>
                <w:rFonts w:eastAsiaTheme="minorEastAsia"/>
                <w:noProof/>
                <w:lang w:eastAsia="nl-NL"/>
              </w:rPr>
              <w:tab/>
            </w:r>
            <w:r w:rsidR="00D71507" w:rsidRPr="00A340E3">
              <w:rPr>
                <w:rStyle w:val="Hyperlink"/>
                <w:noProof/>
              </w:rPr>
              <w:t>Holdingstructuur</w:t>
            </w:r>
            <w:r w:rsidR="00D71507">
              <w:rPr>
                <w:noProof/>
                <w:webHidden/>
              </w:rPr>
              <w:tab/>
            </w:r>
            <w:r>
              <w:rPr>
                <w:noProof/>
                <w:webHidden/>
              </w:rPr>
              <w:fldChar w:fldCharType="begin"/>
            </w:r>
            <w:r w:rsidR="00D71507">
              <w:rPr>
                <w:noProof/>
                <w:webHidden/>
              </w:rPr>
              <w:instrText xml:space="preserve"> PAGEREF _Toc299740220 \h </w:instrText>
            </w:r>
            <w:r>
              <w:rPr>
                <w:noProof/>
                <w:webHidden/>
              </w:rPr>
            </w:r>
            <w:r>
              <w:rPr>
                <w:noProof/>
                <w:webHidden/>
              </w:rPr>
              <w:fldChar w:fldCharType="separate"/>
            </w:r>
            <w:r w:rsidR="00053514">
              <w:rPr>
                <w:noProof/>
                <w:webHidden/>
              </w:rPr>
              <w:t>- 15 -</w:t>
            </w:r>
            <w:r>
              <w:rPr>
                <w:noProof/>
                <w:webHidden/>
              </w:rPr>
              <w:fldChar w:fldCharType="end"/>
            </w:r>
          </w:hyperlink>
        </w:p>
        <w:p w:rsidR="00D71507" w:rsidRDefault="00054C53">
          <w:pPr>
            <w:pStyle w:val="Inhopg2"/>
            <w:tabs>
              <w:tab w:val="left" w:pos="880"/>
              <w:tab w:val="right" w:pos="9062"/>
            </w:tabs>
            <w:rPr>
              <w:rFonts w:eastAsiaTheme="minorEastAsia"/>
              <w:noProof/>
              <w:lang w:eastAsia="nl-NL"/>
            </w:rPr>
          </w:pPr>
          <w:hyperlink w:anchor="_Toc299740221" w:history="1">
            <w:r w:rsidR="00D71507" w:rsidRPr="00A340E3">
              <w:rPr>
                <w:rStyle w:val="Hyperlink"/>
                <w:noProof/>
              </w:rPr>
              <w:t>3.3</w:t>
            </w:r>
            <w:r w:rsidR="00D71507">
              <w:rPr>
                <w:rFonts w:eastAsiaTheme="minorEastAsia"/>
                <w:noProof/>
                <w:lang w:eastAsia="nl-NL"/>
              </w:rPr>
              <w:tab/>
            </w:r>
            <w:r w:rsidR="00D71507" w:rsidRPr="00A340E3">
              <w:rPr>
                <w:rStyle w:val="Hyperlink"/>
                <w:noProof/>
              </w:rPr>
              <w:t>Waardering aanmerkelijkbelangaandelen</w:t>
            </w:r>
            <w:r w:rsidR="00D71507">
              <w:rPr>
                <w:noProof/>
                <w:webHidden/>
              </w:rPr>
              <w:tab/>
            </w:r>
            <w:r>
              <w:rPr>
                <w:noProof/>
                <w:webHidden/>
              </w:rPr>
              <w:fldChar w:fldCharType="begin"/>
            </w:r>
            <w:r w:rsidR="00D71507">
              <w:rPr>
                <w:noProof/>
                <w:webHidden/>
              </w:rPr>
              <w:instrText xml:space="preserve"> PAGEREF _Toc299740221 \h </w:instrText>
            </w:r>
            <w:r>
              <w:rPr>
                <w:noProof/>
                <w:webHidden/>
              </w:rPr>
            </w:r>
            <w:r>
              <w:rPr>
                <w:noProof/>
                <w:webHidden/>
              </w:rPr>
              <w:fldChar w:fldCharType="separate"/>
            </w:r>
            <w:r w:rsidR="00053514">
              <w:rPr>
                <w:noProof/>
                <w:webHidden/>
              </w:rPr>
              <w:t>- 16 -</w:t>
            </w:r>
            <w:r>
              <w:rPr>
                <w:noProof/>
                <w:webHidden/>
              </w:rPr>
              <w:fldChar w:fldCharType="end"/>
            </w:r>
          </w:hyperlink>
        </w:p>
        <w:p w:rsidR="00D71507" w:rsidRDefault="00054C53">
          <w:pPr>
            <w:pStyle w:val="Inhopg3"/>
            <w:tabs>
              <w:tab w:val="left" w:pos="1320"/>
              <w:tab w:val="right" w:pos="9062"/>
            </w:tabs>
            <w:rPr>
              <w:rFonts w:eastAsiaTheme="minorEastAsia"/>
              <w:noProof/>
              <w:lang w:eastAsia="nl-NL"/>
            </w:rPr>
          </w:pPr>
          <w:hyperlink w:anchor="_Toc299740222" w:history="1">
            <w:r w:rsidR="00D71507" w:rsidRPr="00A340E3">
              <w:rPr>
                <w:rStyle w:val="Hyperlink"/>
                <w:noProof/>
              </w:rPr>
              <w:t>3.3.1</w:t>
            </w:r>
            <w:r w:rsidR="00D71507">
              <w:rPr>
                <w:rFonts w:eastAsiaTheme="minorEastAsia"/>
                <w:noProof/>
                <w:lang w:eastAsia="nl-NL"/>
              </w:rPr>
              <w:tab/>
            </w:r>
            <w:r w:rsidR="00D71507" w:rsidRPr="00A340E3">
              <w:rPr>
                <w:rStyle w:val="Hyperlink"/>
                <w:noProof/>
              </w:rPr>
              <w:t>Waarde in het economische verkeer</w:t>
            </w:r>
            <w:r w:rsidR="00D71507">
              <w:rPr>
                <w:noProof/>
                <w:webHidden/>
              </w:rPr>
              <w:tab/>
            </w:r>
            <w:r>
              <w:rPr>
                <w:noProof/>
                <w:webHidden/>
              </w:rPr>
              <w:fldChar w:fldCharType="begin"/>
            </w:r>
            <w:r w:rsidR="00D71507">
              <w:rPr>
                <w:noProof/>
                <w:webHidden/>
              </w:rPr>
              <w:instrText xml:space="preserve"> PAGEREF _Toc299740222 \h </w:instrText>
            </w:r>
            <w:r>
              <w:rPr>
                <w:noProof/>
                <w:webHidden/>
              </w:rPr>
            </w:r>
            <w:r>
              <w:rPr>
                <w:noProof/>
                <w:webHidden/>
              </w:rPr>
              <w:fldChar w:fldCharType="separate"/>
            </w:r>
            <w:r w:rsidR="00053514">
              <w:rPr>
                <w:noProof/>
                <w:webHidden/>
              </w:rPr>
              <w:t>- 16 -</w:t>
            </w:r>
            <w:r>
              <w:rPr>
                <w:noProof/>
                <w:webHidden/>
              </w:rPr>
              <w:fldChar w:fldCharType="end"/>
            </w:r>
          </w:hyperlink>
        </w:p>
        <w:p w:rsidR="00D71507" w:rsidRDefault="00054C53">
          <w:pPr>
            <w:pStyle w:val="Inhopg3"/>
            <w:tabs>
              <w:tab w:val="left" w:pos="1320"/>
              <w:tab w:val="right" w:pos="9062"/>
            </w:tabs>
            <w:rPr>
              <w:rFonts w:eastAsiaTheme="minorEastAsia"/>
              <w:noProof/>
              <w:lang w:eastAsia="nl-NL"/>
            </w:rPr>
          </w:pPr>
          <w:hyperlink w:anchor="_Toc299740223" w:history="1">
            <w:r w:rsidR="00D71507" w:rsidRPr="00A340E3">
              <w:rPr>
                <w:rStyle w:val="Hyperlink"/>
                <w:noProof/>
              </w:rPr>
              <w:t>3.3.2</w:t>
            </w:r>
            <w:r w:rsidR="00D71507">
              <w:rPr>
                <w:rFonts w:eastAsiaTheme="minorEastAsia"/>
                <w:noProof/>
                <w:lang w:eastAsia="nl-NL"/>
              </w:rPr>
              <w:tab/>
            </w:r>
            <w:r w:rsidR="00D71507" w:rsidRPr="00A340E3">
              <w:rPr>
                <w:rStyle w:val="Hyperlink"/>
                <w:noProof/>
              </w:rPr>
              <w:t>Stille Reserves</w:t>
            </w:r>
            <w:r w:rsidR="00D71507">
              <w:rPr>
                <w:noProof/>
                <w:webHidden/>
              </w:rPr>
              <w:tab/>
            </w:r>
            <w:r>
              <w:rPr>
                <w:noProof/>
                <w:webHidden/>
              </w:rPr>
              <w:fldChar w:fldCharType="begin"/>
            </w:r>
            <w:r w:rsidR="00D71507">
              <w:rPr>
                <w:noProof/>
                <w:webHidden/>
              </w:rPr>
              <w:instrText xml:space="preserve"> PAGEREF _Toc299740223 \h </w:instrText>
            </w:r>
            <w:r>
              <w:rPr>
                <w:noProof/>
                <w:webHidden/>
              </w:rPr>
            </w:r>
            <w:r>
              <w:rPr>
                <w:noProof/>
                <w:webHidden/>
              </w:rPr>
              <w:fldChar w:fldCharType="separate"/>
            </w:r>
            <w:r w:rsidR="00053514">
              <w:rPr>
                <w:noProof/>
                <w:webHidden/>
              </w:rPr>
              <w:t>- 16 -</w:t>
            </w:r>
            <w:r>
              <w:rPr>
                <w:noProof/>
                <w:webHidden/>
              </w:rPr>
              <w:fldChar w:fldCharType="end"/>
            </w:r>
          </w:hyperlink>
        </w:p>
        <w:p w:rsidR="00D71507" w:rsidRDefault="00054C53">
          <w:pPr>
            <w:pStyle w:val="Inhopg3"/>
            <w:tabs>
              <w:tab w:val="left" w:pos="1320"/>
              <w:tab w:val="right" w:pos="9062"/>
            </w:tabs>
            <w:rPr>
              <w:rFonts w:eastAsiaTheme="minorEastAsia"/>
              <w:noProof/>
              <w:lang w:eastAsia="nl-NL"/>
            </w:rPr>
          </w:pPr>
          <w:hyperlink w:anchor="_Toc299740224" w:history="1">
            <w:r w:rsidR="00D71507" w:rsidRPr="00A340E3">
              <w:rPr>
                <w:rStyle w:val="Hyperlink"/>
                <w:noProof/>
              </w:rPr>
              <w:t>3.3.3</w:t>
            </w:r>
            <w:r w:rsidR="00D71507">
              <w:rPr>
                <w:rFonts w:eastAsiaTheme="minorEastAsia"/>
                <w:noProof/>
                <w:lang w:eastAsia="nl-NL"/>
              </w:rPr>
              <w:tab/>
            </w:r>
            <w:r w:rsidR="00D71507" w:rsidRPr="00A340E3">
              <w:rPr>
                <w:rStyle w:val="Hyperlink"/>
                <w:noProof/>
              </w:rPr>
              <w:t>Fiscale Reserves</w:t>
            </w:r>
            <w:r w:rsidR="00D71507">
              <w:rPr>
                <w:noProof/>
                <w:webHidden/>
              </w:rPr>
              <w:tab/>
            </w:r>
            <w:r>
              <w:rPr>
                <w:noProof/>
                <w:webHidden/>
              </w:rPr>
              <w:fldChar w:fldCharType="begin"/>
            </w:r>
            <w:r w:rsidR="00D71507">
              <w:rPr>
                <w:noProof/>
                <w:webHidden/>
              </w:rPr>
              <w:instrText xml:space="preserve"> PAGEREF _Toc299740224 \h </w:instrText>
            </w:r>
            <w:r>
              <w:rPr>
                <w:noProof/>
                <w:webHidden/>
              </w:rPr>
            </w:r>
            <w:r>
              <w:rPr>
                <w:noProof/>
                <w:webHidden/>
              </w:rPr>
              <w:fldChar w:fldCharType="separate"/>
            </w:r>
            <w:r w:rsidR="00053514">
              <w:rPr>
                <w:noProof/>
                <w:webHidden/>
              </w:rPr>
              <w:t>- 16 -</w:t>
            </w:r>
            <w:r>
              <w:rPr>
                <w:noProof/>
                <w:webHidden/>
              </w:rPr>
              <w:fldChar w:fldCharType="end"/>
            </w:r>
          </w:hyperlink>
        </w:p>
        <w:p w:rsidR="00D71507" w:rsidRDefault="00054C53">
          <w:pPr>
            <w:pStyle w:val="Inhopg3"/>
            <w:tabs>
              <w:tab w:val="left" w:pos="1320"/>
              <w:tab w:val="right" w:pos="9062"/>
            </w:tabs>
            <w:rPr>
              <w:rFonts w:eastAsiaTheme="minorEastAsia"/>
              <w:noProof/>
              <w:lang w:eastAsia="nl-NL"/>
            </w:rPr>
          </w:pPr>
          <w:hyperlink w:anchor="_Toc299740225" w:history="1">
            <w:r w:rsidR="00D71507" w:rsidRPr="00A340E3">
              <w:rPr>
                <w:rStyle w:val="Hyperlink"/>
                <w:noProof/>
              </w:rPr>
              <w:t>3.3.4</w:t>
            </w:r>
            <w:r w:rsidR="00D71507">
              <w:rPr>
                <w:rFonts w:eastAsiaTheme="minorEastAsia"/>
                <w:noProof/>
                <w:lang w:eastAsia="nl-NL"/>
              </w:rPr>
              <w:tab/>
            </w:r>
            <w:r w:rsidR="00D71507" w:rsidRPr="00A340E3">
              <w:rPr>
                <w:rStyle w:val="Hyperlink"/>
                <w:noProof/>
              </w:rPr>
              <w:t>Goodwill</w:t>
            </w:r>
            <w:r w:rsidR="00D71507">
              <w:rPr>
                <w:noProof/>
                <w:webHidden/>
              </w:rPr>
              <w:tab/>
            </w:r>
            <w:r>
              <w:rPr>
                <w:noProof/>
                <w:webHidden/>
              </w:rPr>
              <w:fldChar w:fldCharType="begin"/>
            </w:r>
            <w:r w:rsidR="00D71507">
              <w:rPr>
                <w:noProof/>
                <w:webHidden/>
              </w:rPr>
              <w:instrText xml:space="preserve"> PAGEREF _Toc299740225 \h </w:instrText>
            </w:r>
            <w:r>
              <w:rPr>
                <w:noProof/>
                <w:webHidden/>
              </w:rPr>
            </w:r>
            <w:r>
              <w:rPr>
                <w:noProof/>
                <w:webHidden/>
              </w:rPr>
              <w:fldChar w:fldCharType="separate"/>
            </w:r>
            <w:r w:rsidR="00053514">
              <w:rPr>
                <w:noProof/>
                <w:webHidden/>
              </w:rPr>
              <w:t>- 17 -</w:t>
            </w:r>
            <w:r>
              <w:rPr>
                <w:noProof/>
                <w:webHidden/>
              </w:rPr>
              <w:fldChar w:fldCharType="end"/>
            </w:r>
          </w:hyperlink>
        </w:p>
        <w:p w:rsidR="00D71507" w:rsidRDefault="00054C53">
          <w:pPr>
            <w:pStyle w:val="Inhopg3"/>
            <w:tabs>
              <w:tab w:val="left" w:pos="1320"/>
              <w:tab w:val="right" w:pos="9062"/>
            </w:tabs>
            <w:rPr>
              <w:rFonts w:eastAsiaTheme="minorEastAsia"/>
              <w:noProof/>
              <w:lang w:eastAsia="nl-NL"/>
            </w:rPr>
          </w:pPr>
          <w:hyperlink w:anchor="_Toc299740226" w:history="1">
            <w:r w:rsidR="00D71507" w:rsidRPr="00A340E3">
              <w:rPr>
                <w:rStyle w:val="Hyperlink"/>
                <w:noProof/>
              </w:rPr>
              <w:t>3.3.5</w:t>
            </w:r>
            <w:r w:rsidR="00D71507">
              <w:rPr>
                <w:rFonts w:eastAsiaTheme="minorEastAsia"/>
                <w:noProof/>
                <w:lang w:eastAsia="nl-NL"/>
              </w:rPr>
              <w:tab/>
            </w:r>
            <w:r w:rsidR="00D71507" w:rsidRPr="00A340E3">
              <w:rPr>
                <w:rStyle w:val="Hyperlink"/>
                <w:noProof/>
              </w:rPr>
              <w:t>Belastinglatenties</w:t>
            </w:r>
            <w:r w:rsidR="00D71507">
              <w:rPr>
                <w:noProof/>
                <w:webHidden/>
              </w:rPr>
              <w:tab/>
            </w:r>
            <w:r>
              <w:rPr>
                <w:noProof/>
                <w:webHidden/>
              </w:rPr>
              <w:fldChar w:fldCharType="begin"/>
            </w:r>
            <w:r w:rsidR="00D71507">
              <w:rPr>
                <w:noProof/>
                <w:webHidden/>
              </w:rPr>
              <w:instrText xml:space="preserve"> PAGEREF _Toc299740226 \h </w:instrText>
            </w:r>
            <w:r>
              <w:rPr>
                <w:noProof/>
                <w:webHidden/>
              </w:rPr>
            </w:r>
            <w:r>
              <w:rPr>
                <w:noProof/>
                <w:webHidden/>
              </w:rPr>
              <w:fldChar w:fldCharType="separate"/>
            </w:r>
            <w:r w:rsidR="00053514">
              <w:rPr>
                <w:noProof/>
                <w:webHidden/>
              </w:rPr>
              <w:t>- 18 -</w:t>
            </w:r>
            <w:r>
              <w:rPr>
                <w:noProof/>
                <w:webHidden/>
              </w:rPr>
              <w:fldChar w:fldCharType="end"/>
            </w:r>
          </w:hyperlink>
        </w:p>
        <w:p w:rsidR="00D71507" w:rsidRDefault="00054C53">
          <w:pPr>
            <w:pStyle w:val="Inhopg2"/>
            <w:tabs>
              <w:tab w:val="left" w:pos="880"/>
              <w:tab w:val="right" w:pos="9062"/>
            </w:tabs>
            <w:rPr>
              <w:rFonts w:eastAsiaTheme="minorEastAsia"/>
              <w:noProof/>
              <w:lang w:eastAsia="nl-NL"/>
            </w:rPr>
          </w:pPr>
          <w:hyperlink w:anchor="_Toc299740227" w:history="1">
            <w:r w:rsidR="00D71507" w:rsidRPr="00A340E3">
              <w:rPr>
                <w:rStyle w:val="Hyperlink"/>
                <w:noProof/>
              </w:rPr>
              <w:t>3.4</w:t>
            </w:r>
            <w:r w:rsidR="00D71507">
              <w:rPr>
                <w:rFonts w:eastAsiaTheme="minorEastAsia"/>
                <w:noProof/>
                <w:lang w:eastAsia="nl-NL"/>
              </w:rPr>
              <w:tab/>
            </w:r>
            <w:r w:rsidR="00D71507" w:rsidRPr="00A340E3">
              <w:rPr>
                <w:rStyle w:val="Hyperlink"/>
                <w:noProof/>
              </w:rPr>
              <w:t>Nadelen van het huidige AB-regime</w:t>
            </w:r>
            <w:r w:rsidR="00D71507">
              <w:rPr>
                <w:noProof/>
                <w:webHidden/>
              </w:rPr>
              <w:tab/>
            </w:r>
            <w:r>
              <w:rPr>
                <w:noProof/>
                <w:webHidden/>
              </w:rPr>
              <w:fldChar w:fldCharType="begin"/>
            </w:r>
            <w:r w:rsidR="00D71507">
              <w:rPr>
                <w:noProof/>
                <w:webHidden/>
              </w:rPr>
              <w:instrText xml:space="preserve"> PAGEREF _Toc299740227 \h </w:instrText>
            </w:r>
            <w:r>
              <w:rPr>
                <w:noProof/>
                <w:webHidden/>
              </w:rPr>
            </w:r>
            <w:r>
              <w:rPr>
                <w:noProof/>
                <w:webHidden/>
              </w:rPr>
              <w:fldChar w:fldCharType="separate"/>
            </w:r>
            <w:r w:rsidR="00053514">
              <w:rPr>
                <w:noProof/>
                <w:webHidden/>
              </w:rPr>
              <w:t>- 18 -</w:t>
            </w:r>
            <w:r>
              <w:rPr>
                <w:noProof/>
                <w:webHidden/>
              </w:rPr>
              <w:fldChar w:fldCharType="end"/>
            </w:r>
          </w:hyperlink>
        </w:p>
        <w:p w:rsidR="00D71507" w:rsidRDefault="00054C53">
          <w:pPr>
            <w:pStyle w:val="Inhopg2"/>
            <w:tabs>
              <w:tab w:val="left" w:pos="880"/>
              <w:tab w:val="right" w:pos="9062"/>
            </w:tabs>
            <w:rPr>
              <w:rFonts w:eastAsiaTheme="minorEastAsia"/>
              <w:noProof/>
              <w:lang w:eastAsia="nl-NL"/>
            </w:rPr>
          </w:pPr>
          <w:hyperlink w:anchor="_Toc299740228" w:history="1">
            <w:r w:rsidR="00D71507" w:rsidRPr="00A340E3">
              <w:rPr>
                <w:rStyle w:val="Hyperlink"/>
                <w:noProof/>
              </w:rPr>
              <w:t>3.5</w:t>
            </w:r>
            <w:r w:rsidR="00D71507">
              <w:rPr>
                <w:rFonts w:eastAsiaTheme="minorEastAsia"/>
                <w:noProof/>
                <w:lang w:eastAsia="nl-NL"/>
              </w:rPr>
              <w:tab/>
            </w:r>
            <w:r w:rsidR="00D71507" w:rsidRPr="00A340E3">
              <w:rPr>
                <w:rStyle w:val="Hyperlink"/>
                <w:noProof/>
              </w:rPr>
              <w:t>Conclusie/Samenvatting</w:t>
            </w:r>
            <w:r w:rsidR="00D71507">
              <w:rPr>
                <w:noProof/>
                <w:webHidden/>
              </w:rPr>
              <w:tab/>
            </w:r>
            <w:r>
              <w:rPr>
                <w:noProof/>
                <w:webHidden/>
              </w:rPr>
              <w:fldChar w:fldCharType="begin"/>
            </w:r>
            <w:r w:rsidR="00D71507">
              <w:rPr>
                <w:noProof/>
                <w:webHidden/>
              </w:rPr>
              <w:instrText xml:space="preserve"> PAGEREF _Toc299740228 \h </w:instrText>
            </w:r>
            <w:r>
              <w:rPr>
                <w:noProof/>
                <w:webHidden/>
              </w:rPr>
            </w:r>
            <w:r>
              <w:rPr>
                <w:noProof/>
                <w:webHidden/>
              </w:rPr>
              <w:fldChar w:fldCharType="separate"/>
            </w:r>
            <w:r w:rsidR="00053514">
              <w:rPr>
                <w:noProof/>
                <w:webHidden/>
              </w:rPr>
              <w:t>- 19 -</w:t>
            </w:r>
            <w:r>
              <w:rPr>
                <w:noProof/>
                <w:webHidden/>
              </w:rPr>
              <w:fldChar w:fldCharType="end"/>
            </w:r>
          </w:hyperlink>
        </w:p>
        <w:p w:rsidR="00F75A3E" w:rsidRDefault="00F75A3E">
          <w:pPr>
            <w:pStyle w:val="Inhopg1"/>
            <w:tabs>
              <w:tab w:val="left" w:pos="1765"/>
              <w:tab w:val="right" w:pos="9062"/>
            </w:tabs>
          </w:pPr>
        </w:p>
        <w:p w:rsidR="00D71507" w:rsidRDefault="00054C53">
          <w:pPr>
            <w:pStyle w:val="Inhopg1"/>
            <w:tabs>
              <w:tab w:val="left" w:pos="1765"/>
              <w:tab w:val="right" w:pos="9062"/>
            </w:tabs>
            <w:rPr>
              <w:rFonts w:asciiTheme="minorHAnsi" w:eastAsiaTheme="minorEastAsia" w:hAnsiTheme="minorHAnsi" w:cstheme="minorBidi"/>
              <w:b w:val="0"/>
              <w:bCs w:val="0"/>
              <w:caps w:val="0"/>
              <w:noProof/>
              <w:sz w:val="22"/>
              <w:szCs w:val="22"/>
            </w:rPr>
          </w:pPr>
          <w:hyperlink w:anchor="_Toc299740229" w:history="1">
            <w:r w:rsidR="00D71507" w:rsidRPr="00A340E3">
              <w:rPr>
                <w:rStyle w:val="Hyperlink"/>
                <w:noProof/>
              </w:rPr>
              <w:t>Hoofdstuk 4 -</w:t>
            </w:r>
            <w:r w:rsidR="00D71507">
              <w:rPr>
                <w:rFonts w:asciiTheme="minorHAnsi" w:eastAsiaTheme="minorEastAsia" w:hAnsiTheme="minorHAnsi" w:cstheme="minorBidi"/>
                <w:b w:val="0"/>
                <w:bCs w:val="0"/>
                <w:caps w:val="0"/>
                <w:noProof/>
                <w:sz w:val="22"/>
                <w:szCs w:val="22"/>
              </w:rPr>
              <w:tab/>
            </w:r>
            <w:r w:rsidR="00D71507" w:rsidRPr="00A340E3">
              <w:rPr>
                <w:rStyle w:val="Hyperlink"/>
                <w:noProof/>
              </w:rPr>
              <w:t>Model</w:t>
            </w:r>
            <w:r w:rsidR="00D71507">
              <w:rPr>
                <w:noProof/>
                <w:webHidden/>
              </w:rPr>
              <w:tab/>
            </w:r>
            <w:r>
              <w:rPr>
                <w:noProof/>
                <w:webHidden/>
              </w:rPr>
              <w:fldChar w:fldCharType="begin"/>
            </w:r>
            <w:r w:rsidR="00D71507">
              <w:rPr>
                <w:noProof/>
                <w:webHidden/>
              </w:rPr>
              <w:instrText xml:space="preserve"> PAGEREF _Toc299740229 \h </w:instrText>
            </w:r>
            <w:r>
              <w:rPr>
                <w:noProof/>
                <w:webHidden/>
              </w:rPr>
            </w:r>
            <w:r>
              <w:rPr>
                <w:noProof/>
                <w:webHidden/>
              </w:rPr>
              <w:fldChar w:fldCharType="separate"/>
            </w:r>
            <w:r w:rsidR="00053514">
              <w:rPr>
                <w:noProof/>
                <w:webHidden/>
              </w:rPr>
              <w:t>- 21 -</w:t>
            </w:r>
            <w:r>
              <w:rPr>
                <w:noProof/>
                <w:webHidden/>
              </w:rPr>
              <w:fldChar w:fldCharType="end"/>
            </w:r>
          </w:hyperlink>
        </w:p>
        <w:p w:rsidR="00D71507" w:rsidRDefault="00054C53">
          <w:pPr>
            <w:pStyle w:val="Inhopg2"/>
            <w:tabs>
              <w:tab w:val="left" w:pos="880"/>
              <w:tab w:val="right" w:pos="9062"/>
            </w:tabs>
            <w:rPr>
              <w:rFonts w:eastAsiaTheme="minorEastAsia"/>
              <w:noProof/>
              <w:lang w:eastAsia="nl-NL"/>
            </w:rPr>
          </w:pPr>
          <w:hyperlink w:anchor="_Toc299740230" w:history="1">
            <w:r w:rsidR="00D71507" w:rsidRPr="00A340E3">
              <w:rPr>
                <w:rStyle w:val="Hyperlink"/>
                <w:noProof/>
              </w:rPr>
              <w:t>4.1</w:t>
            </w:r>
            <w:r w:rsidR="00D71507">
              <w:rPr>
                <w:rFonts w:eastAsiaTheme="minorEastAsia"/>
                <w:noProof/>
                <w:lang w:eastAsia="nl-NL"/>
              </w:rPr>
              <w:tab/>
            </w:r>
            <w:r w:rsidR="00D71507" w:rsidRPr="00A340E3">
              <w:rPr>
                <w:rStyle w:val="Hyperlink"/>
                <w:noProof/>
              </w:rPr>
              <w:t>Inleiding</w:t>
            </w:r>
            <w:r w:rsidR="00D71507">
              <w:rPr>
                <w:noProof/>
                <w:webHidden/>
              </w:rPr>
              <w:tab/>
            </w:r>
            <w:r>
              <w:rPr>
                <w:noProof/>
                <w:webHidden/>
              </w:rPr>
              <w:fldChar w:fldCharType="begin"/>
            </w:r>
            <w:r w:rsidR="00D71507">
              <w:rPr>
                <w:noProof/>
                <w:webHidden/>
              </w:rPr>
              <w:instrText xml:space="preserve"> PAGEREF _Toc299740230 \h </w:instrText>
            </w:r>
            <w:r>
              <w:rPr>
                <w:noProof/>
                <w:webHidden/>
              </w:rPr>
            </w:r>
            <w:r>
              <w:rPr>
                <w:noProof/>
                <w:webHidden/>
              </w:rPr>
              <w:fldChar w:fldCharType="separate"/>
            </w:r>
            <w:r w:rsidR="00053514">
              <w:rPr>
                <w:noProof/>
                <w:webHidden/>
              </w:rPr>
              <w:t>- 21 -</w:t>
            </w:r>
            <w:r>
              <w:rPr>
                <w:noProof/>
                <w:webHidden/>
              </w:rPr>
              <w:fldChar w:fldCharType="end"/>
            </w:r>
          </w:hyperlink>
        </w:p>
        <w:p w:rsidR="00D71507" w:rsidRDefault="00054C53">
          <w:pPr>
            <w:pStyle w:val="Inhopg2"/>
            <w:tabs>
              <w:tab w:val="left" w:pos="880"/>
              <w:tab w:val="right" w:pos="9062"/>
            </w:tabs>
            <w:rPr>
              <w:rFonts w:eastAsiaTheme="minorEastAsia"/>
              <w:noProof/>
              <w:lang w:eastAsia="nl-NL"/>
            </w:rPr>
          </w:pPr>
          <w:hyperlink w:anchor="_Toc299740231" w:history="1">
            <w:r w:rsidR="00D71507" w:rsidRPr="00A340E3">
              <w:rPr>
                <w:rStyle w:val="Hyperlink"/>
                <w:noProof/>
              </w:rPr>
              <w:t>4.2</w:t>
            </w:r>
            <w:r w:rsidR="00D71507">
              <w:rPr>
                <w:rFonts w:eastAsiaTheme="minorEastAsia"/>
                <w:noProof/>
                <w:lang w:eastAsia="nl-NL"/>
              </w:rPr>
              <w:tab/>
            </w:r>
            <w:r w:rsidR="00D71507" w:rsidRPr="00A340E3">
              <w:rPr>
                <w:rStyle w:val="Hyperlink"/>
                <w:noProof/>
              </w:rPr>
              <w:t>Casus</w:t>
            </w:r>
            <w:r w:rsidR="00D71507">
              <w:rPr>
                <w:noProof/>
                <w:webHidden/>
              </w:rPr>
              <w:tab/>
            </w:r>
            <w:r>
              <w:rPr>
                <w:noProof/>
                <w:webHidden/>
              </w:rPr>
              <w:fldChar w:fldCharType="begin"/>
            </w:r>
            <w:r w:rsidR="00D71507">
              <w:rPr>
                <w:noProof/>
                <w:webHidden/>
              </w:rPr>
              <w:instrText xml:space="preserve"> PAGEREF _Toc299740231 \h </w:instrText>
            </w:r>
            <w:r>
              <w:rPr>
                <w:noProof/>
                <w:webHidden/>
              </w:rPr>
            </w:r>
            <w:r>
              <w:rPr>
                <w:noProof/>
                <w:webHidden/>
              </w:rPr>
              <w:fldChar w:fldCharType="separate"/>
            </w:r>
            <w:r w:rsidR="00053514">
              <w:rPr>
                <w:noProof/>
                <w:webHidden/>
              </w:rPr>
              <w:t>- 21 -</w:t>
            </w:r>
            <w:r>
              <w:rPr>
                <w:noProof/>
                <w:webHidden/>
              </w:rPr>
              <w:fldChar w:fldCharType="end"/>
            </w:r>
          </w:hyperlink>
        </w:p>
        <w:p w:rsidR="00D71507" w:rsidRDefault="00054C53">
          <w:pPr>
            <w:pStyle w:val="Inhopg3"/>
            <w:tabs>
              <w:tab w:val="left" w:pos="1320"/>
              <w:tab w:val="right" w:pos="9062"/>
            </w:tabs>
            <w:rPr>
              <w:rFonts w:eastAsiaTheme="minorEastAsia"/>
              <w:noProof/>
              <w:lang w:eastAsia="nl-NL"/>
            </w:rPr>
          </w:pPr>
          <w:hyperlink w:anchor="_Toc299740232" w:history="1">
            <w:r w:rsidR="00D71507" w:rsidRPr="00A340E3">
              <w:rPr>
                <w:rStyle w:val="Hyperlink"/>
                <w:noProof/>
              </w:rPr>
              <w:t>4.2.1</w:t>
            </w:r>
            <w:r w:rsidR="00D71507">
              <w:rPr>
                <w:rFonts w:eastAsiaTheme="minorEastAsia"/>
                <w:noProof/>
                <w:lang w:eastAsia="nl-NL"/>
              </w:rPr>
              <w:tab/>
            </w:r>
            <w:r w:rsidR="00D71507" w:rsidRPr="00A340E3">
              <w:rPr>
                <w:rStyle w:val="Hyperlink"/>
                <w:noProof/>
              </w:rPr>
              <w:t>Introductie van de casus</w:t>
            </w:r>
            <w:r w:rsidR="00D71507">
              <w:rPr>
                <w:noProof/>
                <w:webHidden/>
              </w:rPr>
              <w:tab/>
            </w:r>
            <w:r>
              <w:rPr>
                <w:noProof/>
                <w:webHidden/>
              </w:rPr>
              <w:fldChar w:fldCharType="begin"/>
            </w:r>
            <w:r w:rsidR="00D71507">
              <w:rPr>
                <w:noProof/>
                <w:webHidden/>
              </w:rPr>
              <w:instrText xml:space="preserve"> PAGEREF _Toc299740232 \h </w:instrText>
            </w:r>
            <w:r>
              <w:rPr>
                <w:noProof/>
                <w:webHidden/>
              </w:rPr>
            </w:r>
            <w:r>
              <w:rPr>
                <w:noProof/>
                <w:webHidden/>
              </w:rPr>
              <w:fldChar w:fldCharType="separate"/>
            </w:r>
            <w:r w:rsidR="00053514">
              <w:rPr>
                <w:noProof/>
                <w:webHidden/>
              </w:rPr>
              <w:t>- 21 -</w:t>
            </w:r>
            <w:r>
              <w:rPr>
                <w:noProof/>
                <w:webHidden/>
              </w:rPr>
              <w:fldChar w:fldCharType="end"/>
            </w:r>
          </w:hyperlink>
        </w:p>
        <w:p w:rsidR="00D71507" w:rsidRDefault="00054C53">
          <w:pPr>
            <w:pStyle w:val="Inhopg3"/>
            <w:tabs>
              <w:tab w:val="left" w:pos="1320"/>
              <w:tab w:val="right" w:pos="9062"/>
            </w:tabs>
            <w:rPr>
              <w:rFonts w:eastAsiaTheme="minorEastAsia"/>
              <w:noProof/>
              <w:lang w:eastAsia="nl-NL"/>
            </w:rPr>
          </w:pPr>
          <w:hyperlink w:anchor="_Toc299740233" w:history="1">
            <w:r w:rsidR="00D71507" w:rsidRPr="00A340E3">
              <w:rPr>
                <w:rStyle w:val="Hyperlink"/>
                <w:noProof/>
              </w:rPr>
              <w:t>4.2.2</w:t>
            </w:r>
            <w:r w:rsidR="00D71507">
              <w:rPr>
                <w:rFonts w:eastAsiaTheme="minorEastAsia"/>
                <w:noProof/>
                <w:lang w:eastAsia="nl-NL"/>
              </w:rPr>
              <w:tab/>
            </w:r>
            <w:r w:rsidR="00D71507" w:rsidRPr="00A340E3">
              <w:rPr>
                <w:rStyle w:val="Hyperlink"/>
                <w:noProof/>
              </w:rPr>
              <w:t>Afschrijvingen en vermogenswinsten</w:t>
            </w:r>
            <w:r w:rsidR="00D71507">
              <w:rPr>
                <w:noProof/>
                <w:webHidden/>
              </w:rPr>
              <w:tab/>
            </w:r>
            <w:r>
              <w:rPr>
                <w:noProof/>
                <w:webHidden/>
              </w:rPr>
              <w:fldChar w:fldCharType="begin"/>
            </w:r>
            <w:r w:rsidR="00D71507">
              <w:rPr>
                <w:noProof/>
                <w:webHidden/>
              </w:rPr>
              <w:instrText xml:space="preserve"> PAGEREF _Toc299740233 \h </w:instrText>
            </w:r>
            <w:r>
              <w:rPr>
                <w:noProof/>
                <w:webHidden/>
              </w:rPr>
            </w:r>
            <w:r>
              <w:rPr>
                <w:noProof/>
                <w:webHidden/>
              </w:rPr>
              <w:fldChar w:fldCharType="separate"/>
            </w:r>
            <w:r w:rsidR="00053514">
              <w:rPr>
                <w:noProof/>
                <w:webHidden/>
              </w:rPr>
              <w:t>- 22 -</w:t>
            </w:r>
            <w:r>
              <w:rPr>
                <w:noProof/>
                <w:webHidden/>
              </w:rPr>
              <w:fldChar w:fldCharType="end"/>
            </w:r>
          </w:hyperlink>
        </w:p>
        <w:p w:rsidR="00D71507" w:rsidRDefault="00054C53">
          <w:pPr>
            <w:pStyle w:val="Inhopg3"/>
            <w:tabs>
              <w:tab w:val="left" w:pos="1320"/>
              <w:tab w:val="right" w:pos="9062"/>
            </w:tabs>
            <w:rPr>
              <w:rFonts w:eastAsiaTheme="minorEastAsia"/>
              <w:noProof/>
              <w:lang w:eastAsia="nl-NL"/>
            </w:rPr>
          </w:pPr>
          <w:hyperlink w:anchor="_Toc299740234" w:history="1">
            <w:r w:rsidR="00D71507" w:rsidRPr="00A340E3">
              <w:rPr>
                <w:rStyle w:val="Hyperlink"/>
                <w:noProof/>
              </w:rPr>
              <w:t>4.2.3</w:t>
            </w:r>
            <w:r w:rsidR="00D71507">
              <w:rPr>
                <w:rFonts w:eastAsiaTheme="minorEastAsia"/>
                <w:noProof/>
                <w:lang w:eastAsia="nl-NL"/>
              </w:rPr>
              <w:tab/>
            </w:r>
            <w:r w:rsidR="00D71507" w:rsidRPr="00A340E3">
              <w:rPr>
                <w:rStyle w:val="Hyperlink"/>
                <w:noProof/>
              </w:rPr>
              <w:t>Belastingtarief en latenties</w:t>
            </w:r>
            <w:r w:rsidR="00D71507">
              <w:rPr>
                <w:noProof/>
                <w:webHidden/>
              </w:rPr>
              <w:tab/>
            </w:r>
            <w:r>
              <w:rPr>
                <w:noProof/>
                <w:webHidden/>
              </w:rPr>
              <w:fldChar w:fldCharType="begin"/>
            </w:r>
            <w:r w:rsidR="00D71507">
              <w:rPr>
                <w:noProof/>
                <w:webHidden/>
              </w:rPr>
              <w:instrText xml:space="preserve"> PAGEREF _Toc299740234 \h </w:instrText>
            </w:r>
            <w:r>
              <w:rPr>
                <w:noProof/>
                <w:webHidden/>
              </w:rPr>
            </w:r>
            <w:r>
              <w:rPr>
                <w:noProof/>
                <w:webHidden/>
              </w:rPr>
              <w:fldChar w:fldCharType="separate"/>
            </w:r>
            <w:r w:rsidR="00053514">
              <w:rPr>
                <w:noProof/>
                <w:webHidden/>
              </w:rPr>
              <w:t>- 23 -</w:t>
            </w:r>
            <w:r>
              <w:rPr>
                <w:noProof/>
                <w:webHidden/>
              </w:rPr>
              <w:fldChar w:fldCharType="end"/>
            </w:r>
          </w:hyperlink>
        </w:p>
        <w:p w:rsidR="00D71507" w:rsidRDefault="00054C53">
          <w:pPr>
            <w:pStyle w:val="Inhopg2"/>
            <w:tabs>
              <w:tab w:val="left" w:pos="880"/>
              <w:tab w:val="right" w:pos="9062"/>
            </w:tabs>
            <w:rPr>
              <w:rFonts w:eastAsiaTheme="minorEastAsia"/>
              <w:noProof/>
              <w:lang w:eastAsia="nl-NL"/>
            </w:rPr>
          </w:pPr>
          <w:hyperlink w:anchor="_Toc299740235" w:history="1">
            <w:r w:rsidR="00D71507" w:rsidRPr="00A340E3">
              <w:rPr>
                <w:rStyle w:val="Hyperlink"/>
                <w:noProof/>
              </w:rPr>
              <w:t>4.3</w:t>
            </w:r>
            <w:r w:rsidR="00D71507">
              <w:rPr>
                <w:rFonts w:eastAsiaTheme="minorEastAsia"/>
                <w:noProof/>
                <w:lang w:eastAsia="nl-NL"/>
              </w:rPr>
              <w:tab/>
            </w:r>
            <w:r w:rsidR="00D71507" w:rsidRPr="00A340E3">
              <w:rPr>
                <w:rStyle w:val="Hyperlink"/>
                <w:noProof/>
              </w:rPr>
              <w:t>Vermogensaanwasbelasting</w:t>
            </w:r>
            <w:r w:rsidR="00D71507">
              <w:rPr>
                <w:noProof/>
                <w:webHidden/>
              </w:rPr>
              <w:tab/>
            </w:r>
            <w:r>
              <w:rPr>
                <w:noProof/>
                <w:webHidden/>
              </w:rPr>
              <w:fldChar w:fldCharType="begin"/>
            </w:r>
            <w:r w:rsidR="00D71507">
              <w:rPr>
                <w:noProof/>
                <w:webHidden/>
              </w:rPr>
              <w:instrText xml:space="preserve"> PAGEREF _Toc299740235 \h </w:instrText>
            </w:r>
            <w:r>
              <w:rPr>
                <w:noProof/>
                <w:webHidden/>
              </w:rPr>
            </w:r>
            <w:r>
              <w:rPr>
                <w:noProof/>
                <w:webHidden/>
              </w:rPr>
              <w:fldChar w:fldCharType="separate"/>
            </w:r>
            <w:r w:rsidR="00053514">
              <w:rPr>
                <w:noProof/>
                <w:webHidden/>
              </w:rPr>
              <w:t>- 24 -</w:t>
            </w:r>
            <w:r>
              <w:rPr>
                <w:noProof/>
                <w:webHidden/>
              </w:rPr>
              <w:fldChar w:fldCharType="end"/>
            </w:r>
          </w:hyperlink>
        </w:p>
        <w:p w:rsidR="00D71507" w:rsidRDefault="00054C53">
          <w:pPr>
            <w:pStyle w:val="Inhopg2"/>
            <w:tabs>
              <w:tab w:val="left" w:pos="880"/>
              <w:tab w:val="right" w:pos="9062"/>
            </w:tabs>
            <w:rPr>
              <w:rFonts w:eastAsiaTheme="minorEastAsia"/>
              <w:noProof/>
              <w:lang w:eastAsia="nl-NL"/>
            </w:rPr>
          </w:pPr>
          <w:hyperlink w:anchor="_Toc299740236" w:history="1">
            <w:r w:rsidR="00D71507" w:rsidRPr="00A340E3">
              <w:rPr>
                <w:rStyle w:val="Hyperlink"/>
                <w:noProof/>
              </w:rPr>
              <w:t>4.4</w:t>
            </w:r>
            <w:r w:rsidR="00D71507">
              <w:rPr>
                <w:rFonts w:eastAsiaTheme="minorEastAsia"/>
                <w:noProof/>
                <w:lang w:eastAsia="nl-NL"/>
              </w:rPr>
              <w:tab/>
            </w:r>
            <w:r w:rsidR="00D71507" w:rsidRPr="00A340E3">
              <w:rPr>
                <w:rStyle w:val="Hyperlink"/>
                <w:noProof/>
              </w:rPr>
              <w:t>Vermogenswinstbelasting (huidig systeem)</w:t>
            </w:r>
            <w:r w:rsidR="00D71507">
              <w:rPr>
                <w:noProof/>
                <w:webHidden/>
              </w:rPr>
              <w:tab/>
            </w:r>
            <w:r>
              <w:rPr>
                <w:noProof/>
                <w:webHidden/>
              </w:rPr>
              <w:fldChar w:fldCharType="begin"/>
            </w:r>
            <w:r w:rsidR="00D71507">
              <w:rPr>
                <w:noProof/>
                <w:webHidden/>
              </w:rPr>
              <w:instrText xml:space="preserve"> PAGEREF _Toc299740236 \h </w:instrText>
            </w:r>
            <w:r>
              <w:rPr>
                <w:noProof/>
                <w:webHidden/>
              </w:rPr>
            </w:r>
            <w:r>
              <w:rPr>
                <w:noProof/>
                <w:webHidden/>
              </w:rPr>
              <w:fldChar w:fldCharType="separate"/>
            </w:r>
            <w:r w:rsidR="00053514">
              <w:rPr>
                <w:noProof/>
                <w:webHidden/>
              </w:rPr>
              <w:t>- 25 -</w:t>
            </w:r>
            <w:r>
              <w:rPr>
                <w:noProof/>
                <w:webHidden/>
              </w:rPr>
              <w:fldChar w:fldCharType="end"/>
            </w:r>
          </w:hyperlink>
        </w:p>
        <w:p w:rsidR="00D71507" w:rsidRDefault="00054C53">
          <w:pPr>
            <w:pStyle w:val="Inhopg2"/>
            <w:tabs>
              <w:tab w:val="left" w:pos="880"/>
              <w:tab w:val="right" w:pos="9062"/>
            </w:tabs>
            <w:rPr>
              <w:rFonts w:eastAsiaTheme="minorEastAsia"/>
              <w:noProof/>
              <w:lang w:eastAsia="nl-NL"/>
            </w:rPr>
          </w:pPr>
          <w:hyperlink w:anchor="_Toc299740237" w:history="1">
            <w:r w:rsidR="00D71507" w:rsidRPr="00A340E3">
              <w:rPr>
                <w:rStyle w:val="Hyperlink"/>
                <w:noProof/>
              </w:rPr>
              <w:t>4.5</w:t>
            </w:r>
            <w:r w:rsidR="00D71507">
              <w:rPr>
                <w:rFonts w:eastAsiaTheme="minorEastAsia"/>
                <w:noProof/>
                <w:lang w:eastAsia="nl-NL"/>
              </w:rPr>
              <w:tab/>
            </w:r>
            <w:r w:rsidR="00D71507" w:rsidRPr="00A340E3">
              <w:rPr>
                <w:rStyle w:val="Hyperlink"/>
                <w:noProof/>
              </w:rPr>
              <w:t>Vergelijking</w:t>
            </w:r>
            <w:r w:rsidR="00D71507">
              <w:rPr>
                <w:noProof/>
                <w:webHidden/>
              </w:rPr>
              <w:tab/>
            </w:r>
            <w:r>
              <w:rPr>
                <w:noProof/>
                <w:webHidden/>
              </w:rPr>
              <w:fldChar w:fldCharType="begin"/>
            </w:r>
            <w:r w:rsidR="00D71507">
              <w:rPr>
                <w:noProof/>
                <w:webHidden/>
              </w:rPr>
              <w:instrText xml:space="preserve"> PAGEREF _Toc299740237 \h </w:instrText>
            </w:r>
            <w:r>
              <w:rPr>
                <w:noProof/>
                <w:webHidden/>
              </w:rPr>
            </w:r>
            <w:r>
              <w:rPr>
                <w:noProof/>
                <w:webHidden/>
              </w:rPr>
              <w:fldChar w:fldCharType="separate"/>
            </w:r>
            <w:r w:rsidR="00053514">
              <w:rPr>
                <w:noProof/>
                <w:webHidden/>
              </w:rPr>
              <w:t>- 26 -</w:t>
            </w:r>
            <w:r>
              <w:rPr>
                <w:noProof/>
                <w:webHidden/>
              </w:rPr>
              <w:fldChar w:fldCharType="end"/>
            </w:r>
          </w:hyperlink>
        </w:p>
        <w:p w:rsidR="00D71507" w:rsidRDefault="00054C53">
          <w:pPr>
            <w:pStyle w:val="Inhopg2"/>
            <w:tabs>
              <w:tab w:val="left" w:pos="880"/>
              <w:tab w:val="right" w:pos="9062"/>
            </w:tabs>
            <w:rPr>
              <w:rFonts w:eastAsiaTheme="minorEastAsia"/>
              <w:noProof/>
              <w:lang w:eastAsia="nl-NL"/>
            </w:rPr>
          </w:pPr>
          <w:hyperlink w:anchor="_Toc299740238" w:history="1">
            <w:r w:rsidR="00D71507" w:rsidRPr="00A340E3">
              <w:rPr>
                <w:rStyle w:val="Hyperlink"/>
                <w:noProof/>
              </w:rPr>
              <w:t>4.6</w:t>
            </w:r>
            <w:r w:rsidR="00D71507">
              <w:rPr>
                <w:rFonts w:eastAsiaTheme="minorEastAsia"/>
                <w:noProof/>
                <w:lang w:eastAsia="nl-NL"/>
              </w:rPr>
              <w:tab/>
            </w:r>
            <w:r w:rsidR="00D71507" w:rsidRPr="00A340E3">
              <w:rPr>
                <w:rStyle w:val="Hyperlink"/>
                <w:noProof/>
              </w:rPr>
              <w:t>Conclusie</w:t>
            </w:r>
            <w:r w:rsidR="00D71507">
              <w:rPr>
                <w:noProof/>
                <w:webHidden/>
              </w:rPr>
              <w:tab/>
            </w:r>
            <w:r>
              <w:rPr>
                <w:noProof/>
                <w:webHidden/>
              </w:rPr>
              <w:fldChar w:fldCharType="begin"/>
            </w:r>
            <w:r w:rsidR="00D71507">
              <w:rPr>
                <w:noProof/>
                <w:webHidden/>
              </w:rPr>
              <w:instrText xml:space="preserve"> PAGEREF _Toc299740238 \h </w:instrText>
            </w:r>
            <w:r>
              <w:rPr>
                <w:noProof/>
                <w:webHidden/>
              </w:rPr>
            </w:r>
            <w:r>
              <w:rPr>
                <w:noProof/>
                <w:webHidden/>
              </w:rPr>
              <w:fldChar w:fldCharType="separate"/>
            </w:r>
            <w:r w:rsidR="00053514">
              <w:rPr>
                <w:noProof/>
                <w:webHidden/>
              </w:rPr>
              <w:t>- 26 -</w:t>
            </w:r>
            <w:r>
              <w:rPr>
                <w:noProof/>
                <w:webHidden/>
              </w:rPr>
              <w:fldChar w:fldCharType="end"/>
            </w:r>
          </w:hyperlink>
        </w:p>
        <w:p w:rsidR="00F75A3E" w:rsidRDefault="00F75A3E">
          <w:pPr>
            <w:pStyle w:val="Inhopg1"/>
            <w:tabs>
              <w:tab w:val="left" w:pos="1765"/>
              <w:tab w:val="right" w:pos="9062"/>
            </w:tabs>
          </w:pPr>
        </w:p>
        <w:p w:rsidR="00D71507" w:rsidRDefault="00054C53">
          <w:pPr>
            <w:pStyle w:val="Inhopg1"/>
            <w:tabs>
              <w:tab w:val="left" w:pos="1765"/>
              <w:tab w:val="right" w:pos="9062"/>
            </w:tabs>
            <w:rPr>
              <w:rFonts w:asciiTheme="minorHAnsi" w:eastAsiaTheme="minorEastAsia" w:hAnsiTheme="minorHAnsi" w:cstheme="minorBidi"/>
              <w:b w:val="0"/>
              <w:bCs w:val="0"/>
              <w:caps w:val="0"/>
              <w:noProof/>
              <w:sz w:val="22"/>
              <w:szCs w:val="22"/>
            </w:rPr>
          </w:pPr>
          <w:hyperlink w:anchor="_Toc299740239" w:history="1">
            <w:r w:rsidR="00D71507" w:rsidRPr="00A340E3">
              <w:rPr>
                <w:rStyle w:val="Hyperlink"/>
                <w:noProof/>
              </w:rPr>
              <w:t>Hoofdstuk 5 -</w:t>
            </w:r>
            <w:r w:rsidR="00D71507">
              <w:rPr>
                <w:rFonts w:asciiTheme="minorHAnsi" w:eastAsiaTheme="minorEastAsia" w:hAnsiTheme="minorHAnsi" w:cstheme="minorBidi"/>
                <w:b w:val="0"/>
                <w:bCs w:val="0"/>
                <w:caps w:val="0"/>
                <w:noProof/>
                <w:sz w:val="22"/>
                <w:szCs w:val="22"/>
              </w:rPr>
              <w:tab/>
            </w:r>
            <w:r w:rsidR="00D71507" w:rsidRPr="00A340E3">
              <w:rPr>
                <w:rStyle w:val="Hyperlink"/>
                <w:noProof/>
              </w:rPr>
              <w:t>Conclusie/Samenvatting</w:t>
            </w:r>
            <w:r w:rsidR="00D71507">
              <w:rPr>
                <w:noProof/>
                <w:webHidden/>
              </w:rPr>
              <w:tab/>
            </w:r>
            <w:r>
              <w:rPr>
                <w:noProof/>
                <w:webHidden/>
              </w:rPr>
              <w:fldChar w:fldCharType="begin"/>
            </w:r>
            <w:r w:rsidR="00D71507">
              <w:rPr>
                <w:noProof/>
                <w:webHidden/>
              </w:rPr>
              <w:instrText xml:space="preserve"> PAGEREF _Toc299740239 \h </w:instrText>
            </w:r>
            <w:r>
              <w:rPr>
                <w:noProof/>
                <w:webHidden/>
              </w:rPr>
            </w:r>
            <w:r>
              <w:rPr>
                <w:noProof/>
                <w:webHidden/>
              </w:rPr>
              <w:fldChar w:fldCharType="separate"/>
            </w:r>
            <w:r w:rsidR="00053514">
              <w:rPr>
                <w:noProof/>
                <w:webHidden/>
              </w:rPr>
              <w:t>- 28 -</w:t>
            </w:r>
            <w:r>
              <w:rPr>
                <w:noProof/>
                <w:webHidden/>
              </w:rPr>
              <w:fldChar w:fldCharType="end"/>
            </w:r>
          </w:hyperlink>
        </w:p>
        <w:p w:rsidR="00F75A3E" w:rsidRDefault="00F75A3E">
          <w:pPr>
            <w:pStyle w:val="Inhopg1"/>
            <w:tabs>
              <w:tab w:val="right" w:pos="9062"/>
            </w:tabs>
          </w:pPr>
        </w:p>
        <w:p w:rsidR="00D71507" w:rsidRDefault="00054C53">
          <w:pPr>
            <w:pStyle w:val="Inhopg1"/>
            <w:tabs>
              <w:tab w:val="right" w:pos="9062"/>
            </w:tabs>
            <w:rPr>
              <w:rFonts w:asciiTheme="minorHAnsi" w:eastAsiaTheme="minorEastAsia" w:hAnsiTheme="minorHAnsi" w:cstheme="minorBidi"/>
              <w:b w:val="0"/>
              <w:bCs w:val="0"/>
              <w:caps w:val="0"/>
              <w:noProof/>
              <w:sz w:val="22"/>
              <w:szCs w:val="22"/>
            </w:rPr>
          </w:pPr>
          <w:hyperlink w:anchor="_Toc299740240" w:history="1">
            <w:r w:rsidR="00D71507" w:rsidRPr="00A340E3">
              <w:rPr>
                <w:rStyle w:val="Hyperlink"/>
                <w:noProof/>
              </w:rPr>
              <w:t>Literatuurlijst</w:t>
            </w:r>
            <w:r w:rsidR="00D71507">
              <w:rPr>
                <w:noProof/>
                <w:webHidden/>
              </w:rPr>
              <w:tab/>
            </w:r>
            <w:r>
              <w:rPr>
                <w:noProof/>
                <w:webHidden/>
              </w:rPr>
              <w:fldChar w:fldCharType="begin"/>
            </w:r>
            <w:r w:rsidR="00D71507">
              <w:rPr>
                <w:noProof/>
                <w:webHidden/>
              </w:rPr>
              <w:instrText xml:space="preserve"> PAGEREF _Toc299740240 \h </w:instrText>
            </w:r>
            <w:r>
              <w:rPr>
                <w:noProof/>
                <w:webHidden/>
              </w:rPr>
            </w:r>
            <w:r>
              <w:rPr>
                <w:noProof/>
                <w:webHidden/>
              </w:rPr>
              <w:fldChar w:fldCharType="separate"/>
            </w:r>
            <w:r w:rsidR="00053514">
              <w:rPr>
                <w:noProof/>
                <w:webHidden/>
              </w:rPr>
              <w:t>- 31 -</w:t>
            </w:r>
            <w:r>
              <w:rPr>
                <w:noProof/>
                <w:webHidden/>
              </w:rPr>
              <w:fldChar w:fldCharType="end"/>
            </w:r>
          </w:hyperlink>
        </w:p>
        <w:p w:rsidR="00F75A3E" w:rsidRDefault="00F75A3E">
          <w:pPr>
            <w:pStyle w:val="Inhopg1"/>
            <w:tabs>
              <w:tab w:val="left" w:pos="1540"/>
              <w:tab w:val="right" w:pos="9062"/>
            </w:tabs>
          </w:pPr>
        </w:p>
        <w:p w:rsidR="00D71507" w:rsidRDefault="00054C53">
          <w:pPr>
            <w:pStyle w:val="Inhopg1"/>
            <w:tabs>
              <w:tab w:val="left" w:pos="1540"/>
              <w:tab w:val="right" w:pos="9062"/>
            </w:tabs>
            <w:rPr>
              <w:rFonts w:asciiTheme="minorHAnsi" w:eastAsiaTheme="minorEastAsia" w:hAnsiTheme="minorHAnsi" w:cstheme="minorBidi"/>
              <w:b w:val="0"/>
              <w:bCs w:val="0"/>
              <w:caps w:val="0"/>
              <w:noProof/>
              <w:sz w:val="22"/>
              <w:szCs w:val="22"/>
            </w:rPr>
          </w:pPr>
          <w:hyperlink w:anchor="_Toc299740241" w:history="1">
            <w:r w:rsidR="00D71507" w:rsidRPr="00A340E3">
              <w:rPr>
                <w:rStyle w:val="Hyperlink"/>
                <w:noProof/>
              </w:rPr>
              <w:t>Bijlage I -</w:t>
            </w:r>
            <w:r w:rsidR="00D71507">
              <w:rPr>
                <w:rFonts w:asciiTheme="minorHAnsi" w:eastAsiaTheme="minorEastAsia" w:hAnsiTheme="minorHAnsi" w:cstheme="minorBidi"/>
                <w:b w:val="0"/>
                <w:bCs w:val="0"/>
                <w:caps w:val="0"/>
                <w:noProof/>
                <w:sz w:val="22"/>
                <w:szCs w:val="22"/>
              </w:rPr>
              <w:tab/>
            </w:r>
            <w:r w:rsidR="00D71507" w:rsidRPr="00A340E3">
              <w:rPr>
                <w:rStyle w:val="Hyperlink"/>
                <w:noProof/>
              </w:rPr>
              <w:t>Afschrijvingen en vermogenswinsten</w:t>
            </w:r>
            <w:r w:rsidR="00D71507">
              <w:rPr>
                <w:noProof/>
                <w:webHidden/>
              </w:rPr>
              <w:tab/>
            </w:r>
            <w:r>
              <w:rPr>
                <w:noProof/>
                <w:webHidden/>
              </w:rPr>
              <w:fldChar w:fldCharType="begin"/>
            </w:r>
            <w:r w:rsidR="00D71507">
              <w:rPr>
                <w:noProof/>
                <w:webHidden/>
              </w:rPr>
              <w:instrText xml:space="preserve"> PAGEREF _Toc299740241 \h </w:instrText>
            </w:r>
            <w:r>
              <w:rPr>
                <w:noProof/>
                <w:webHidden/>
              </w:rPr>
            </w:r>
            <w:r>
              <w:rPr>
                <w:noProof/>
                <w:webHidden/>
              </w:rPr>
              <w:fldChar w:fldCharType="separate"/>
            </w:r>
            <w:r w:rsidR="00053514">
              <w:rPr>
                <w:noProof/>
                <w:webHidden/>
              </w:rPr>
              <w:t>- 33 -</w:t>
            </w:r>
            <w:r>
              <w:rPr>
                <w:noProof/>
                <w:webHidden/>
              </w:rPr>
              <w:fldChar w:fldCharType="end"/>
            </w:r>
          </w:hyperlink>
        </w:p>
        <w:p w:rsidR="00F75A3E" w:rsidRDefault="00F75A3E">
          <w:pPr>
            <w:pStyle w:val="Inhopg1"/>
            <w:tabs>
              <w:tab w:val="left" w:pos="1540"/>
              <w:tab w:val="right" w:pos="9062"/>
            </w:tabs>
          </w:pPr>
        </w:p>
        <w:p w:rsidR="00D71507" w:rsidRDefault="00054C53">
          <w:pPr>
            <w:pStyle w:val="Inhopg1"/>
            <w:tabs>
              <w:tab w:val="left" w:pos="1540"/>
              <w:tab w:val="right" w:pos="9062"/>
            </w:tabs>
            <w:rPr>
              <w:rFonts w:asciiTheme="minorHAnsi" w:eastAsiaTheme="minorEastAsia" w:hAnsiTheme="minorHAnsi" w:cstheme="minorBidi"/>
              <w:b w:val="0"/>
              <w:bCs w:val="0"/>
              <w:caps w:val="0"/>
              <w:noProof/>
              <w:sz w:val="22"/>
              <w:szCs w:val="22"/>
            </w:rPr>
          </w:pPr>
          <w:hyperlink w:anchor="_Toc299740242" w:history="1">
            <w:r w:rsidR="00D71507" w:rsidRPr="00A340E3">
              <w:rPr>
                <w:rStyle w:val="Hyperlink"/>
                <w:noProof/>
              </w:rPr>
              <w:t>Bijlage II -</w:t>
            </w:r>
            <w:r w:rsidR="00D71507">
              <w:rPr>
                <w:rFonts w:asciiTheme="minorHAnsi" w:eastAsiaTheme="minorEastAsia" w:hAnsiTheme="minorHAnsi" w:cstheme="minorBidi"/>
                <w:b w:val="0"/>
                <w:bCs w:val="0"/>
                <w:caps w:val="0"/>
                <w:noProof/>
                <w:sz w:val="22"/>
                <w:szCs w:val="22"/>
              </w:rPr>
              <w:tab/>
            </w:r>
            <w:r w:rsidR="00D71507" w:rsidRPr="00A340E3">
              <w:rPr>
                <w:rStyle w:val="Hyperlink"/>
                <w:noProof/>
              </w:rPr>
              <w:t>Belastingtarief</w:t>
            </w:r>
            <w:r w:rsidR="00D71507">
              <w:rPr>
                <w:noProof/>
                <w:webHidden/>
              </w:rPr>
              <w:tab/>
            </w:r>
            <w:r>
              <w:rPr>
                <w:noProof/>
                <w:webHidden/>
              </w:rPr>
              <w:fldChar w:fldCharType="begin"/>
            </w:r>
            <w:r w:rsidR="00D71507">
              <w:rPr>
                <w:noProof/>
                <w:webHidden/>
              </w:rPr>
              <w:instrText xml:space="preserve"> PAGEREF _Toc299740242 \h </w:instrText>
            </w:r>
            <w:r>
              <w:rPr>
                <w:noProof/>
                <w:webHidden/>
              </w:rPr>
            </w:r>
            <w:r>
              <w:rPr>
                <w:noProof/>
                <w:webHidden/>
              </w:rPr>
              <w:fldChar w:fldCharType="separate"/>
            </w:r>
            <w:r w:rsidR="00053514">
              <w:rPr>
                <w:noProof/>
                <w:webHidden/>
              </w:rPr>
              <w:t>- 36 -</w:t>
            </w:r>
            <w:r>
              <w:rPr>
                <w:noProof/>
                <w:webHidden/>
              </w:rPr>
              <w:fldChar w:fldCharType="end"/>
            </w:r>
          </w:hyperlink>
        </w:p>
        <w:p w:rsidR="00F75A3E" w:rsidRDefault="00F75A3E">
          <w:pPr>
            <w:pStyle w:val="Inhopg1"/>
            <w:tabs>
              <w:tab w:val="left" w:pos="1540"/>
              <w:tab w:val="right" w:pos="9062"/>
            </w:tabs>
          </w:pPr>
        </w:p>
        <w:p w:rsidR="00D71507" w:rsidRDefault="00054C53">
          <w:pPr>
            <w:pStyle w:val="Inhopg1"/>
            <w:tabs>
              <w:tab w:val="left" w:pos="1540"/>
              <w:tab w:val="right" w:pos="9062"/>
            </w:tabs>
            <w:rPr>
              <w:rFonts w:asciiTheme="minorHAnsi" w:eastAsiaTheme="minorEastAsia" w:hAnsiTheme="minorHAnsi" w:cstheme="minorBidi"/>
              <w:b w:val="0"/>
              <w:bCs w:val="0"/>
              <w:caps w:val="0"/>
              <w:noProof/>
              <w:sz w:val="22"/>
              <w:szCs w:val="22"/>
            </w:rPr>
          </w:pPr>
          <w:hyperlink w:anchor="_Toc299740243" w:history="1">
            <w:r w:rsidR="00D71507" w:rsidRPr="00A340E3">
              <w:rPr>
                <w:rStyle w:val="Hyperlink"/>
                <w:noProof/>
              </w:rPr>
              <w:t>Bijlage III -</w:t>
            </w:r>
            <w:r w:rsidR="00D71507">
              <w:rPr>
                <w:rFonts w:asciiTheme="minorHAnsi" w:eastAsiaTheme="minorEastAsia" w:hAnsiTheme="minorHAnsi" w:cstheme="minorBidi"/>
                <w:b w:val="0"/>
                <w:bCs w:val="0"/>
                <w:caps w:val="0"/>
                <w:noProof/>
                <w:sz w:val="22"/>
                <w:szCs w:val="22"/>
              </w:rPr>
              <w:tab/>
            </w:r>
            <w:r w:rsidR="00D71507" w:rsidRPr="00A340E3">
              <w:rPr>
                <w:rStyle w:val="Hyperlink"/>
                <w:noProof/>
              </w:rPr>
              <w:t>Vermogensaanwasbelasting</w:t>
            </w:r>
            <w:r w:rsidR="00D71507">
              <w:rPr>
                <w:noProof/>
                <w:webHidden/>
              </w:rPr>
              <w:tab/>
            </w:r>
            <w:r>
              <w:rPr>
                <w:noProof/>
                <w:webHidden/>
              </w:rPr>
              <w:fldChar w:fldCharType="begin"/>
            </w:r>
            <w:r w:rsidR="00D71507">
              <w:rPr>
                <w:noProof/>
                <w:webHidden/>
              </w:rPr>
              <w:instrText xml:space="preserve"> PAGEREF _Toc299740243 \h </w:instrText>
            </w:r>
            <w:r>
              <w:rPr>
                <w:noProof/>
                <w:webHidden/>
              </w:rPr>
            </w:r>
            <w:r>
              <w:rPr>
                <w:noProof/>
                <w:webHidden/>
              </w:rPr>
              <w:fldChar w:fldCharType="separate"/>
            </w:r>
            <w:r w:rsidR="00053514">
              <w:rPr>
                <w:noProof/>
                <w:webHidden/>
              </w:rPr>
              <w:t>- 37 -</w:t>
            </w:r>
            <w:r>
              <w:rPr>
                <w:noProof/>
                <w:webHidden/>
              </w:rPr>
              <w:fldChar w:fldCharType="end"/>
            </w:r>
          </w:hyperlink>
        </w:p>
        <w:p w:rsidR="00152F58" w:rsidRDefault="00054C53" w:rsidP="002A5479">
          <w:pPr>
            <w:spacing w:line="360" w:lineRule="auto"/>
          </w:pPr>
          <w:r>
            <w:fldChar w:fldCharType="end"/>
          </w:r>
        </w:p>
      </w:sdtContent>
    </w:sdt>
    <w:p w:rsidR="00192A8C" w:rsidRPr="0018363D" w:rsidRDefault="00192A8C" w:rsidP="00D76E91">
      <w:pPr>
        <w:pStyle w:val="Kop1"/>
      </w:pPr>
      <w:bookmarkStart w:id="3" w:name="_Toc299740200"/>
      <w:r w:rsidRPr="0018363D">
        <w:lastRenderedPageBreak/>
        <w:t>Inleiding</w:t>
      </w:r>
      <w:bookmarkEnd w:id="3"/>
    </w:p>
    <w:p w:rsidR="00192A8C" w:rsidRPr="005470D5" w:rsidRDefault="00192A8C" w:rsidP="002A5479">
      <w:pPr>
        <w:pStyle w:val="Kop2"/>
        <w:spacing w:line="360" w:lineRule="auto"/>
      </w:pPr>
      <w:bookmarkStart w:id="4" w:name="_Toc299740201"/>
      <w:r w:rsidRPr="005470D5">
        <w:t>Aanleiding</w:t>
      </w:r>
      <w:bookmarkEnd w:id="4"/>
    </w:p>
    <w:p w:rsidR="00192A8C" w:rsidRDefault="00192A8C" w:rsidP="008C5D80">
      <w:pPr>
        <w:spacing w:line="360" w:lineRule="auto"/>
        <w:contextualSpacing/>
        <w:jc w:val="both"/>
      </w:pPr>
      <w:r>
        <w:t>Jaarlijks worden er duizenden bedrijven overgedragen. Vanwege de vergrijzing gaan de komende jaren steeds meer ondernemers met pensioen, dus het aantal bedrijfsoverdrachten</w:t>
      </w:r>
      <w:r w:rsidR="00B2426B">
        <w:t xml:space="preserve"> wordt</w:t>
      </w:r>
      <w:r>
        <w:t xml:space="preserve"> per jaar steeds groter. Het vervreemden van aanmerkelijkbelangaandelen of het staken van een IB-onderneming leidt onder een vermogenswinstbelasting echter tot een belastingclaim. Er moet worden afgerekend over de meerwaarde van die aandelen of de onderneming. </w:t>
      </w:r>
      <w:r w:rsidR="00B2426B">
        <w:t xml:space="preserve">Om te voorkomen dat bedrijven failliet gaan doordat belastinggelden aan de onderneming worden onttrokken, zijn verschillende faciliteiten in de wet opgenomen. Op deze manier wordt de continuïteit van de bedrijven gewaarborgd. </w:t>
      </w:r>
    </w:p>
    <w:p w:rsidR="00192A8C" w:rsidRDefault="00B2426B" w:rsidP="008C5D80">
      <w:pPr>
        <w:spacing w:line="360" w:lineRule="auto"/>
        <w:contextualSpacing/>
        <w:jc w:val="both"/>
      </w:pPr>
      <w:r>
        <w:t xml:space="preserve">Momenteel bestaan er voor de IB-ondernemer doorschuifbepalingen bij overlijden, bij de overdracht aan medeondernemers en werknemers en voor de inbreng in een NV of BV. </w:t>
      </w:r>
      <w:r w:rsidR="00192A8C">
        <w:t xml:space="preserve">Daarnaast kan er ook worden doorgeschoven naar een andere onderneming van de belastingplichtige. </w:t>
      </w:r>
      <w:r>
        <w:t>Voor de AB-houder geldt dat</w:t>
      </w:r>
      <w:r w:rsidR="00192A8C">
        <w:t xml:space="preserve"> kan worden doorgeschoven bij overlijden, bij schenking en bij</w:t>
      </w:r>
      <w:r>
        <w:t xml:space="preserve"> een</w:t>
      </w:r>
      <w:r w:rsidR="00192A8C">
        <w:t xml:space="preserve"> aandelenfusie, juridische fusie of juridische splitsing. Daarnaast is er de bedrijfsopvolgingsregeling in de Successiewet. Deze zorgt (onder voorwaarden) voor een vrijstelling van (een deel van) de waarde van het bedrijf. Tot slot is er een vrijstelling voor de overdrachtsbelasting bij</w:t>
      </w:r>
      <w:r>
        <w:t xml:space="preserve"> een</w:t>
      </w:r>
      <w:r w:rsidR="00192A8C">
        <w:t xml:space="preserve"> bedrijfsopvolging. </w:t>
      </w:r>
    </w:p>
    <w:p w:rsidR="00192A8C" w:rsidRDefault="00192A8C" w:rsidP="008C5D80">
      <w:pPr>
        <w:spacing w:line="360" w:lineRule="auto"/>
        <w:contextualSpacing/>
        <w:jc w:val="both"/>
      </w:pPr>
    </w:p>
    <w:p w:rsidR="00192A8C" w:rsidRDefault="00B2426B" w:rsidP="008C5D80">
      <w:pPr>
        <w:spacing w:line="360" w:lineRule="auto"/>
        <w:contextualSpacing/>
        <w:jc w:val="both"/>
      </w:pPr>
      <w:r>
        <w:t xml:space="preserve">Tegenover de vermogenswinstbelasting, die in het huidige systeem wordt gebruikt, staat een vermogensaanwasbelasting. Hierbij wordt jaarlijks elke vermogensmutatie belast. Elk jaar zal over zowel de gerealiseerde als de ongerealiseerde winst belasting betaald moeten worden.  Op deze manier is bovenstaande problematiek niet aan de orde.  Bij verkoop wordt er niet afgerekend, dit is al gebeurd tijdens het bezit van het vermogensbestanddeel. </w:t>
      </w:r>
    </w:p>
    <w:p w:rsidR="00B2426B" w:rsidRDefault="00B2426B" w:rsidP="008C5D80">
      <w:pPr>
        <w:spacing w:line="360" w:lineRule="auto"/>
        <w:contextualSpacing/>
        <w:jc w:val="both"/>
      </w:pPr>
    </w:p>
    <w:p w:rsidR="002270F3" w:rsidRDefault="002270F3" w:rsidP="008C5D80">
      <w:pPr>
        <w:spacing w:line="360" w:lineRule="auto"/>
        <w:contextualSpacing/>
        <w:jc w:val="both"/>
      </w:pPr>
      <w:r>
        <w:t>Wetgeving kan voor bepaalde marktverstoringen zorgen. Dit houdt in dat de allocatie van goederen en diensten door omstandigheden inefficiënt is. De keuze voor een vermogenswinstbelasting zorgt mogelijk voor marktverstoringen. Daarnaast kan het belasten van inflatie zorgen voor een marktverstoring. Inflatie zou namelijk niet belast mogen worden, maar  dat gebeurt op dit moment wel. Een deel van de winst zorgt namelijk niet voor een grotere draagkracht, omdat het algemeen prijspeil ook stijgt. Het belasten van inflatie zou het gedrag van mensen kunnen beïnvloeden.</w:t>
      </w:r>
    </w:p>
    <w:p w:rsidR="00577B9E" w:rsidRDefault="00577B9E" w:rsidP="008C5D80">
      <w:pPr>
        <w:spacing w:line="360" w:lineRule="auto"/>
        <w:contextualSpacing/>
        <w:jc w:val="both"/>
      </w:pPr>
    </w:p>
    <w:p w:rsidR="00192A8C" w:rsidRPr="005470D5" w:rsidRDefault="00192A8C" w:rsidP="002A5479">
      <w:pPr>
        <w:pStyle w:val="Kop2"/>
        <w:spacing w:line="360" w:lineRule="auto"/>
      </w:pPr>
      <w:bookmarkStart w:id="5" w:name="_Toc299740202"/>
      <w:r w:rsidRPr="005470D5">
        <w:lastRenderedPageBreak/>
        <w:t>Probleemstelling</w:t>
      </w:r>
      <w:r>
        <w:t xml:space="preserve"> en toetsingskader</w:t>
      </w:r>
      <w:bookmarkEnd w:id="5"/>
    </w:p>
    <w:p w:rsidR="00192A8C" w:rsidRDefault="00192A8C" w:rsidP="008C5D80">
      <w:pPr>
        <w:spacing w:line="360" w:lineRule="auto"/>
        <w:contextualSpacing/>
        <w:jc w:val="both"/>
      </w:pPr>
      <w:r>
        <w:t>Het voorgaande leidt tot de volgende probleemstelling:</w:t>
      </w:r>
    </w:p>
    <w:p w:rsidR="00192A8C" w:rsidRDefault="00192A8C" w:rsidP="008C5D80">
      <w:pPr>
        <w:spacing w:line="360" w:lineRule="auto"/>
        <w:contextualSpacing/>
        <w:jc w:val="both"/>
      </w:pPr>
    </w:p>
    <w:p w:rsidR="00192A8C" w:rsidRPr="004C2007" w:rsidRDefault="00192A8C" w:rsidP="008C5D80">
      <w:pPr>
        <w:spacing w:line="360" w:lineRule="auto"/>
        <w:contextualSpacing/>
        <w:jc w:val="center"/>
        <w:rPr>
          <w:b/>
        </w:rPr>
      </w:pPr>
      <w:r>
        <w:rPr>
          <w:b/>
        </w:rPr>
        <w:t>“Welke marktverstoringen treden op door bestaand overheidsingrijpen en  zijn er faciliteiten nodig om dit te corrigeren?”</w:t>
      </w:r>
    </w:p>
    <w:p w:rsidR="008B4EB6" w:rsidRDefault="00192A8C" w:rsidP="008C5D80">
      <w:pPr>
        <w:spacing w:line="360" w:lineRule="auto"/>
        <w:contextualSpacing/>
        <w:jc w:val="both"/>
      </w:pPr>
      <w:r>
        <w:t xml:space="preserve"> </w:t>
      </w:r>
    </w:p>
    <w:p w:rsidR="00192A8C" w:rsidRDefault="00192A8C" w:rsidP="008C5D80">
      <w:pPr>
        <w:spacing w:line="360" w:lineRule="auto"/>
        <w:contextualSpacing/>
        <w:jc w:val="both"/>
      </w:pPr>
      <w:r>
        <w:t xml:space="preserve">Om deze probleemstelling te kunnen beantwoorden maak ik gebruik van </w:t>
      </w:r>
      <w:r w:rsidRPr="00AB2AAE">
        <w:rPr>
          <w:u w:val="single"/>
        </w:rPr>
        <w:t>drie deelvragen</w:t>
      </w:r>
      <w:r>
        <w:t>:</w:t>
      </w:r>
    </w:p>
    <w:p w:rsidR="00192A8C" w:rsidRDefault="00192A8C" w:rsidP="008C5D80">
      <w:pPr>
        <w:pStyle w:val="Lijstalinea"/>
        <w:numPr>
          <w:ilvl w:val="0"/>
          <w:numId w:val="1"/>
        </w:numPr>
        <w:spacing w:line="360" w:lineRule="auto"/>
        <w:jc w:val="both"/>
      </w:pPr>
      <w:r>
        <w:t>Welke inzichten geeft de economische theorie over het belasten van inkomen?</w:t>
      </w:r>
    </w:p>
    <w:p w:rsidR="00192A8C" w:rsidRDefault="00192A8C" w:rsidP="008C5D80">
      <w:pPr>
        <w:pStyle w:val="Lijstalinea"/>
        <w:numPr>
          <w:ilvl w:val="0"/>
          <w:numId w:val="1"/>
        </w:numPr>
        <w:spacing w:line="360" w:lineRule="auto"/>
        <w:jc w:val="both"/>
      </w:pPr>
      <w:r>
        <w:t>Hoe worden vermogenswinsten in de ondernemingssfeer nu belast?</w:t>
      </w:r>
    </w:p>
    <w:p w:rsidR="00192A8C" w:rsidRDefault="00192A8C" w:rsidP="008C5D80">
      <w:pPr>
        <w:pStyle w:val="Lijstalinea"/>
        <w:numPr>
          <w:ilvl w:val="0"/>
          <w:numId w:val="1"/>
        </w:numPr>
        <w:spacing w:line="360" w:lineRule="auto"/>
        <w:jc w:val="both"/>
      </w:pPr>
      <w:r>
        <w:t>Wat zijn de verschillen tussen hoe vermogenswinsten op grond van de economische theorie belast zouden moeten worden en hoe ze onder de huidige wetgeving belast worden?</w:t>
      </w:r>
    </w:p>
    <w:p w:rsidR="00192A8C" w:rsidRDefault="00192A8C" w:rsidP="008C5D80">
      <w:pPr>
        <w:spacing w:line="360" w:lineRule="auto"/>
        <w:jc w:val="both"/>
      </w:pPr>
      <w:r>
        <w:t>Bij het beantwoorden van de vraag of bepaalde maatregelen van de overheid gerechtvaardigd zijn, moet worden beoordeeld of die maatregel</w:t>
      </w:r>
      <w:r w:rsidR="006A00FC">
        <w:t>en</w:t>
      </w:r>
      <w:r>
        <w:t xml:space="preserve"> legitiem zijn. Legitimiteit betekent dat de overheid reden heeft om in te grijpen. Indien sprake is van </w:t>
      </w:r>
      <w:proofErr w:type="spellStart"/>
      <w:r>
        <w:t>marktfalen</w:t>
      </w:r>
      <w:proofErr w:type="spellEnd"/>
      <w:r>
        <w:t xml:space="preserve">, zoals bij asymmetrische informatie, is het legitiem voor de overheid om in te grijpen. Hier zal ik echter niet op ingaan in deze scriptie. </w:t>
      </w:r>
    </w:p>
    <w:p w:rsidR="00192A8C" w:rsidRDefault="00192A8C" w:rsidP="008C5D80">
      <w:pPr>
        <w:spacing w:line="360" w:lineRule="auto"/>
        <w:jc w:val="both"/>
      </w:pPr>
      <w:r>
        <w:t xml:space="preserve">In deze scriptie zullen alleen de in mijn ogen twee belangrijkste marktverstoringen worden </w:t>
      </w:r>
      <w:r w:rsidR="00172ABE">
        <w:t>besproken</w:t>
      </w:r>
      <w:r>
        <w:t xml:space="preserve">, namelijk inflatie en de manier van belastingheffing (vermogenswinstbelasting). Daarnaast wordt in deze scriptie toegespitst de aanmerkelijkbelanghouder en zal slechts een eenvoudige structuur met een holding en een werkmaatschappij worden meegenomen. </w:t>
      </w:r>
    </w:p>
    <w:p w:rsidR="00192A8C" w:rsidRPr="005470D5" w:rsidRDefault="00192A8C" w:rsidP="008C5D80">
      <w:pPr>
        <w:pStyle w:val="Kop2"/>
        <w:spacing w:line="360" w:lineRule="auto"/>
        <w:jc w:val="both"/>
      </w:pPr>
      <w:bookmarkStart w:id="6" w:name="_Toc299740203"/>
      <w:r w:rsidRPr="005470D5">
        <w:t>Opzet</w:t>
      </w:r>
      <w:bookmarkEnd w:id="6"/>
    </w:p>
    <w:p w:rsidR="003C7640" w:rsidRDefault="00192A8C" w:rsidP="008C5D80">
      <w:pPr>
        <w:spacing w:line="360" w:lineRule="auto"/>
        <w:contextualSpacing/>
        <w:jc w:val="both"/>
      </w:pPr>
      <w:r>
        <w:t>In hoofdstuk twee zal ik aan de hand van het</w:t>
      </w:r>
      <w:r w:rsidR="00655AA8">
        <w:t xml:space="preserve"> uit de economie bekende</w:t>
      </w:r>
      <w:r>
        <w:t xml:space="preserve"> </w:t>
      </w:r>
      <w:proofErr w:type="spellStart"/>
      <w:r>
        <w:t>SHS-inkomensbegrip</w:t>
      </w:r>
      <w:proofErr w:type="spellEnd"/>
      <w:r>
        <w:t xml:space="preserve"> (</w:t>
      </w:r>
      <w:proofErr w:type="spellStart"/>
      <w:r>
        <w:t>Schanz-Haig-Simons</w:t>
      </w:r>
      <w:proofErr w:type="spellEnd"/>
      <w:r>
        <w:t xml:space="preserve"> inkomensbegrip), analyseren hoe inkomen belast zou moeten worden. Aangezien dit een breed inkomensbegrip is, lijkt de belastingheffing in combinatie met dit begrip op een vermogensaanwasbelasting. </w:t>
      </w:r>
      <w:r w:rsidR="006079D4">
        <w:t>O</w:t>
      </w:r>
      <w:r w:rsidR="00C835DD">
        <w:t>ok d</w:t>
      </w:r>
      <w:r>
        <w:t>e voor- en nadelen van deze vorm van belastingheffing komen in dit hoofdstuk aan bod.</w:t>
      </w:r>
    </w:p>
    <w:p w:rsidR="00C835DD" w:rsidRDefault="00C835DD" w:rsidP="008C5D80">
      <w:pPr>
        <w:spacing w:line="360" w:lineRule="auto"/>
        <w:contextualSpacing/>
        <w:jc w:val="both"/>
      </w:pPr>
      <w:r>
        <w:t xml:space="preserve">Hoofdstuk 3 gaat over hoe vermogenswinsten in het huidige systeem belast worden. Daartoe wordt eerst kort het AB-regime besproken, waarna de componenten van de waardering van aanmerkelijkbelangaandelen uitgelegd worden. </w:t>
      </w:r>
    </w:p>
    <w:p w:rsidR="00C835DD" w:rsidRDefault="00C835DD" w:rsidP="008C5D80">
      <w:pPr>
        <w:spacing w:line="360" w:lineRule="auto"/>
        <w:contextualSpacing/>
        <w:jc w:val="both"/>
      </w:pPr>
      <w:r>
        <w:t xml:space="preserve">In hoofdstuk 4 wordt met behulp van een model het, in mijn ogen, ideale systeem (vermogensaanwasbelasting) vergeleken met het huidige systeem (vermogenswinstbelasting). Eerst </w:t>
      </w:r>
      <w:r w:rsidR="006079D4">
        <w:t xml:space="preserve">wordt een casus geschetst. Vervolgens wordt de verschuldigde belasting in beide systemen berekend, waarna deze uitkomsten worden vergeleken.  </w:t>
      </w:r>
      <w:r>
        <w:t xml:space="preserve">  </w:t>
      </w:r>
    </w:p>
    <w:p w:rsidR="006861A0" w:rsidRDefault="006861A0" w:rsidP="002A5479">
      <w:pPr>
        <w:pStyle w:val="Kop1"/>
        <w:spacing w:line="360" w:lineRule="auto"/>
      </w:pPr>
      <w:bookmarkStart w:id="7" w:name="_Toc299740204"/>
      <w:r w:rsidRPr="00590A9E">
        <w:lastRenderedPageBreak/>
        <w:t>Economische theorie over</w:t>
      </w:r>
      <w:r>
        <w:t xml:space="preserve"> het te </w:t>
      </w:r>
      <w:r w:rsidRPr="00D35051">
        <w:t>belasten</w:t>
      </w:r>
      <w:r w:rsidRPr="00590A9E">
        <w:t xml:space="preserve"> inkomen</w:t>
      </w:r>
      <w:bookmarkEnd w:id="7"/>
    </w:p>
    <w:p w:rsidR="006861A0" w:rsidRDefault="006861A0" w:rsidP="003C7640">
      <w:pPr>
        <w:pStyle w:val="Kop2"/>
        <w:spacing w:line="360" w:lineRule="auto"/>
        <w:jc w:val="both"/>
      </w:pPr>
      <w:bookmarkStart w:id="8" w:name="_Toc299740205"/>
      <w:r w:rsidRPr="00884677">
        <w:t>Inleiding</w:t>
      </w:r>
      <w:bookmarkEnd w:id="8"/>
      <w:r>
        <w:t xml:space="preserve"> </w:t>
      </w:r>
    </w:p>
    <w:p w:rsidR="006861A0" w:rsidRPr="00FC57BD" w:rsidRDefault="006861A0" w:rsidP="003C7640">
      <w:pPr>
        <w:spacing w:line="360" w:lineRule="auto"/>
        <w:contextualSpacing/>
        <w:jc w:val="both"/>
      </w:pPr>
      <w:r>
        <w:t xml:space="preserve">De wetgever wenst inkomen te belasten. </w:t>
      </w:r>
      <w:r w:rsidR="002270F3">
        <w:t xml:space="preserve">In dit hoofdstuk staat centraal hoe inkomen, volgens de economische theorie, belast zou moeten worden. </w:t>
      </w:r>
      <w:r>
        <w:t>In dit hoofdstuk zal eerst het SHS-inkomensbegrip aan bod komen, waarna de vertaalslag wordt gemaakt naar de vermogensaanwasbelasting. Om tot een conclusie te komen of  een vermogensaanwasbelasting bruikbaar is, worden ook de voor- en nadelen op een rijtje gezet.</w:t>
      </w:r>
    </w:p>
    <w:p w:rsidR="006861A0" w:rsidRDefault="006861A0" w:rsidP="003C7640">
      <w:pPr>
        <w:spacing w:line="360" w:lineRule="auto"/>
        <w:contextualSpacing/>
        <w:jc w:val="both"/>
      </w:pPr>
    </w:p>
    <w:p w:rsidR="002270F3" w:rsidRDefault="002270F3" w:rsidP="003C7640">
      <w:pPr>
        <w:spacing w:line="360" w:lineRule="auto"/>
        <w:contextualSpacing/>
        <w:jc w:val="both"/>
      </w:pPr>
      <w:r>
        <w:t xml:space="preserve">In de (fiscaal)economische literatuur wordt vaak het </w:t>
      </w:r>
      <w:proofErr w:type="spellStart"/>
      <w:r>
        <w:t>SHS-inkomensbegrip</w:t>
      </w:r>
      <w:proofErr w:type="spellEnd"/>
      <w:r>
        <w:t xml:space="preserve"> (</w:t>
      </w:r>
      <w:proofErr w:type="spellStart"/>
      <w:r>
        <w:t>Schanz-Haig-Simons</w:t>
      </w:r>
      <w:proofErr w:type="spellEnd"/>
      <w:r>
        <w:t>) genoemd als de beste grondslag voor een inkomstenbelasting.</w:t>
      </w:r>
      <w:r>
        <w:rPr>
          <w:rStyle w:val="Voetnootmarkering"/>
        </w:rPr>
        <w:footnoteReference w:id="1"/>
      </w:r>
      <w:r>
        <w:t xml:space="preserve"> Dit is een breed inkomensbegrip, aangezien alle waardemutaties belast worden, ongeacht of deze gerealiseerd zijn. De oorzaak van de waardemutatie is niet van belang. </w:t>
      </w:r>
    </w:p>
    <w:p w:rsidR="006861A0" w:rsidRDefault="006861A0" w:rsidP="003C7640">
      <w:pPr>
        <w:spacing w:line="360" w:lineRule="auto"/>
        <w:contextualSpacing/>
        <w:jc w:val="both"/>
      </w:pPr>
    </w:p>
    <w:p w:rsidR="006861A0" w:rsidRDefault="006861A0" w:rsidP="003C7640">
      <w:pPr>
        <w:spacing w:line="360" w:lineRule="auto"/>
        <w:contextualSpacing/>
        <w:jc w:val="both"/>
      </w:pPr>
      <w:r>
        <w:t>In formulevorm ziet dit inkomensbegrip</w:t>
      </w:r>
      <w:r w:rsidR="002270F3">
        <w:t xml:space="preserve"> er</w:t>
      </w:r>
      <w:r>
        <w:t xml:space="preserve"> als volgt uit:</w:t>
      </w:r>
    </w:p>
    <w:p w:rsidR="006861A0" w:rsidRPr="00003DF7" w:rsidRDefault="006861A0" w:rsidP="003C7640">
      <w:pPr>
        <w:spacing w:line="360" w:lineRule="auto"/>
        <w:contextualSpacing/>
        <w:jc w:val="both"/>
        <w:rPr>
          <w:b/>
          <w:i/>
          <w:sz w:val="28"/>
          <w:szCs w:val="28"/>
        </w:rPr>
      </w:pPr>
    </w:p>
    <w:p w:rsidR="006861A0" w:rsidRDefault="006861A0" w:rsidP="003C7640">
      <w:pPr>
        <w:spacing w:line="360" w:lineRule="auto"/>
        <w:contextualSpacing/>
        <w:jc w:val="both"/>
        <w:rPr>
          <w:b/>
          <w:sz w:val="28"/>
          <w:szCs w:val="28"/>
        </w:rPr>
      </w:pPr>
      <m:oMathPara>
        <m:oMath>
          <m:r>
            <m:rPr>
              <m:sty m:val="bi"/>
            </m:rPr>
            <w:rPr>
              <w:rFonts w:ascii="Cambria Math" w:hAnsi="Cambria Math"/>
              <w:sz w:val="28"/>
              <w:szCs w:val="28"/>
            </w:rPr>
            <m:t>I=C+ ∆V</m:t>
          </m:r>
        </m:oMath>
      </m:oMathPara>
    </w:p>
    <w:p w:rsidR="008B4EB6" w:rsidRDefault="008B4EB6" w:rsidP="003C7640">
      <w:pPr>
        <w:spacing w:line="360" w:lineRule="auto"/>
        <w:contextualSpacing/>
        <w:jc w:val="both"/>
      </w:pPr>
    </w:p>
    <w:p w:rsidR="006861A0" w:rsidRDefault="006861A0" w:rsidP="003C7640">
      <w:pPr>
        <w:spacing w:line="360" w:lineRule="auto"/>
        <w:contextualSpacing/>
        <w:jc w:val="both"/>
      </w:pPr>
      <w:r>
        <w:t xml:space="preserve">Hierbij is I het inkomen, C de consumptie en ΔV de verandering in het vermogen. </w:t>
      </w:r>
    </w:p>
    <w:p w:rsidR="006861A0" w:rsidRDefault="006861A0" w:rsidP="003C7640">
      <w:pPr>
        <w:spacing w:line="360" w:lineRule="auto"/>
        <w:contextualSpacing/>
        <w:jc w:val="both"/>
      </w:pPr>
    </w:p>
    <w:p w:rsidR="002270F3" w:rsidRDefault="002270F3" w:rsidP="003C7640">
      <w:pPr>
        <w:spacing w:line="360" w:lineRule="auto"/>
        <w:contextualSpacing/>
        <w:jc w:val="both"/>
      </w:pPr>
      <w:r>
        <w:t xml:space="preserve">Volgens het SHS-inkomensbegrip hangt het inkomen af van wat potentieel geconsumeerd zou kunnen worden. De daadwerkelijke consumptie is niet van belang. Er mag volgens de grondleggers van het SHS-inkomensbegrip geen verschil zijn tussen sparen en consumeren. </w:t>
      </w:r>
    </w:p>
    <w:p w:rsidR="00152F58" w:rsidRDefault="00152F58" w:rsidP="003C7640">
      <w:pPr>
        <w:pStyle w:val="Kop2"/>
        <w:spacing w:line="360" w:lineRule="auto"/>
        <w:jc w:val="both"/>
      </w:pPr>
      <w:bookmarkStart w:id="9" w:name="_Toc299740206"/>
      <w:r w:rsidRPr="00152F58">
        <w:t>Ontstaan en grondleggers SHS-Inkomensbegrip</w:t>
      </w:r>
      <w:bookmarkEnd w:id="9"/>
      <w:r>
        <w:t xml:space="preserve"> </w:t>
      </w:r>
    </w:p>
    <w:p w:rsidR="006861A0" w:rsidRDefault="006861A0" w:rsidP="003C7640">
      <w:pPr>
        <w:spacing w:line="360" w:lineRule="auto"/>
        <w:contextualSpacing/>
        <w:jc w:val="both"/>
      </w:pPr>
      <w:r>
        <w:t xml:space="preserve">Het SHS-inkomensbegrip is gebaseerd op de theorieën van George </w:t>
      </w:r>
      <w:proofErr w:type="spellStart"/>
      <w:r>
        <w:t>von</w:t>
      </w:r>
      <w:proofErr w:type="spellEnd"/>
      <w:r>
        <w:t xml:space="preserve"> </w:t>
      </w:r>
      <w:proofErr w:type="spellStart"/>
      <w:r>
        <w:t>Schanz</w:t>
      </w:r>
      <w:proofErr w:type="spellEnd"/>
      <w:r>
        <w:t xml:space="preserve">, Robert </w:t>
      </w:r>
      <w:proofErr w:type="spellStart"/>
      <w:r>
        <w:t>Murray</w:t>
      </w:r>
      <w:proofErr w:type="spellEnd"/>
      <w:r>
        <w:t xml:space="preserve"> </w:t>
      </w:r>
      <w:proofErr w:type="spellStart"/>
      <w:r>
        <w:t>Haig</w:t>
      </w:r>
      <w:proofErr w:type="spellEnd"/>
      <w:r>
        <w:t xml:space="preserve"> en Henry C. Simons.  Zij worden beschouwd als de grondleggers van dit begrip.</w:t>
      </w:r>
    </w:p>
    <w:p w:rsidR="006861A0" w:rsidRPr="00655740" w:rsidRDefault="006861A0" w:rsidP="003C7640">
      <w:pPr>
        <w:pStyle w:val="Kop3"/>
        <w:spacing w:line="360" w:lineRule="auto"/>
        <w:jc w:val="both"/>
      </w:pPr>
      <w:bookmarkStart w:id="10" w:name="_Toc299740207"/>
      <w:r w:rsidRPr="00655740">
        <w:t xml:space="preserve">Georg </w:t>
      </w:r>
      <w:proofErr w:type="spellStart"/>
      <w:r w:rsidRPr="00655740">
        <w:t>von</w:t>
      </w:r>
      <w:proofErr w:type="spellEnd"/>
      <w:r w:rsidRPr="00655740">
        <w:t xml:space="preserve"> </w:t>
      </w:r>
      <w:proofErr w:type="spellStart"/>
      <w:r w:rsidRPr="00655740">
        <w:t>Schanz</w:t>
      </w:r>
      <w:bookmarkEnd w:id="10"/>
      <w:proofErr w:type="spellEnd"/>
    </w:p>
    <w:p w:rsidR="002270F3" w:rsidRPr="00632908" w:rsidRDefault="002270F3" w:rsidP="003C7640">
      <w:pPr>
        <w:spacing w:line="360" w:lineRule="auto"/>
        <w:contextualSpacing/>
        <w:jc w:val="both"/>
      </w:pPr>
      <w:r>
        <w:t xml:space="preserve">Georg </w:t>
      </w:r>
      <w:proofErr w:type="spellStart"/>
      <w:r>
        <w:t>von</w:t>
      </w:r>
      <w:proofErr w:type="spellEnd"/>
      <w:r>
        <w:t xml:space="preserve"> </w:t>
      </w:r>
      <w:proofErr w:type="spellStart"/>
      <w:r>
        <w:t>Schanz</w:t>
      </w:r>
      <w:proofErr w:type="spellEnd"/>
      <w:r>
        <w:t>, staatsrechtwetenschapper van origine, publiceerde halverwege de 19</w:t>
      </w:r>
      <w:r w:rsidRPr="00632908">
        <w:t>e</w:t>
      </w:r>
      <w:r>
        <w:t xml:space="preserve"> eeuw in het tijdschrift “</w:t>
      </w:r>
      <w:proofErr w:type="spellStart"/>
      <w:r>
        <w:t>Finanzarchiv</w:t>
      </w:r>
      <w:proofErr w:type="spellEnd"/>
      <w:r>
        <w:t xml:space="preserve">” het artikel </w:t>
      </w:r>
      <w:r w:rsidRPr="00632908">
        <w:t xml:space="preserve">"Der </w:t>
      </w:r>
      <w:proofErr w:type="spellStart"/>
      <w:r w:rsidRPr="00632908">
        <w:t>Einkommensbegriff</w:t>
      </w:r>
      <w:proofErr w:type="spellEnd"/>
      <w:r w:rsidRPr="00632908">
        <w:t xml:space="preserve"> </w:t>
      </w:r>
      <w:proofErr w:type="spellStart"/>
      <w:r w:rsidRPr="00632908">
        <w:t>und</w:t>
      </w:r>
      <w:proofErr w:type="spellEnd"/>
      <w:r w:rsidRPr="00632908">
        <w:t xml:space="preserve"> die </w:t>
      </w:r>
      <w:proofErr w:type="spellStart"/>
      <w:r w:rsidRPr="00632908">
        <w:t>Einkommensteuergesetze</w:t>
      </w:r>
      <w:proofErr w:type="spellEnd"/>
      <w:r w:rsidRPr="00632908">
        <w:t xml:space="preserve">" </w:t>
      </w:r>
      <w:r w:rsidRPr="00632908">
        <w:lastRenderedPageBreak/>
        <w:t>(</w:t>
      </w:r>
      <w:proofErr w:type="spellStart"/>
      <w:r w:rsidRPr="00632908">
        <w:t>Finanzarchiv</w:t>
      </w:r>
      <w:proofErr w:type="spellEnd"/>
      <w:r w:rsidRPr="00632908">
        <w:t xml:space="preserve"> 1896 S. 1–87). Hierin beschreef hij het begrip ‘inkomen’. Dit zou later de basis blijken van het SHS-inkomensbegrip. In het artikel beschrijft hij dit als volgt:</w:t>
      </w:r>
    </w:p>
    <w:p w:rsidR="008B4EB6" w:rsidRDefault="008B4EB6" w:rsidP="003C7640">
      <w:pPr>
        <w:spacing w:line="360" w:lineRule="auto"/>
        <w:contextualSpacing/>
        <w:jc w:val="both"/>
        <w:rPr>
          <w:rFonts w:ascii="Calibri" w:eastAsia="Calibri" w:hAnsi="Calibri" w:cs="Calibri"/>
        </w:rPr>
      </w:pPr>
    </w:p>
    <w:p w:rsidR="006861A0" w:rsidRDefault="006861A0" w:rsidP="003C7640">
      <w:pPr>
        <w:spacing w:line="360" w:lineRule="auto"/>
        <w:ind w:left="708"/>
        <w:contextualSpacing/>
        <w:jc w:val="both"/>
        <w:rPr>
          <w:rFonts w:ascii="Calibri" w:eastAsia="Calibri" w:hAnsi="Calibri" w:cs="Calibri"/>
          <w:i/>
        </w:rPr>
      </w:pPr>
      <w:r>
        <w:rPr>
          <w:rFonts w:ascii="Calibri" w:eastAsia="Calibri" w:hAnsi="Calibri" w:cs="Calibri"/>
          <w:i/>
        </w:rPr>
        <w:t>"</w:t>
      </w:r>
      <w:proofErr w:type="spellStart"/>
      <w:r>
        <w:rPr>
          <w:rFonts w:ascii="Calibri" w:eastAsia="Calibri" w:hAnsi="Calibri" w:cs="Calibri"/>
          <w:i/>
        </w:rPr>
        <w:t>Wir</w:t>
      </w:r>
      <w:proofErr w:type="spellEnd"/>
      <w:r>
        <w:rPr>
          <w:rFonts w:ascii="Calibri" w:eastAsia="Calibri" w:hAnsi="Calibri" w:cs="Calibri"/>
          <w:i/>
        </w:rPr>
        <w:t xml:space="preserve"> </w:t>
      </w:r>
      <w:proofErr w:type="spellStart"/>
      <w:r>
        <w:rPr>
          <w:rFonts w:ascii="Calibri" w:eastAsia="Calibri" w:hAnsi="Calibri" w:cs="Calibri"/>
          <w:i/>
        </w:rPr>
        <w:t>rechnen</w:t>
      </w:r>
      <w:proofErr w:type="spellEnd"/>
      <w:r>
        <w:rPr>
          <w:rFonts w:ascii="Calibri" w:eastAsia="Calibri" w:hAnsi="Calibri" w:cs="Calibri"/>
          <w:i/>
        </w:rPr>
        <w:t xml:space="preserve"> </w:t>
      </w:r>
      <w:proofErr w:type="spellStart"/>
      <w:r>
        <w:rPr>
          <w:rFonts w:ascii="Calibri" w:eastAsia="Calibri" w:hAnsi="Calibri" w:cs="Calibri"/>
          <w:i/>
        </w:rPr>
        <w:t>also</w:t>
      </w:r>
      <w:proofErr w:type="spellEnd"/>
      <w:r>
        <w:rPr>
          <w:rFonts w:ascii="Calibri" w:eastAsia="Calibri" w:hAnsi="Calibri" w:cs="Calibri"/>
          <w:i/>
        </w:rPr>
        <w:t xml:space="preserve"> </w:t>
      </w:r>
      <w:proofErr w:type="spellStart"/>
      <w:r>
        <w:rPr>
          <w:rFonts w:ascii="Calibri" w:eastAsia="Calibri" w:hAnsi="Calibri" w:cs="Calibri"/>
          <w:i/>
        </w:rPr>
        <w:t>zum</w:t>
      </w:r>
      <w:proofErr w:type="spellEnd"/>
      <w:r>
        <w:rPr>
          <w:rFonts w:ascii="Calibri" w:eastAsia="Calibri" w:hAnsi="Calibri" w:cs="Calibri"/>
          <w:i/>
        </w:rPr>
        <w:t xml:space="preserve"> </w:t>
      </w:r>
      <w:proofErr w:type="spellStart"/>
      <w:r>
        <w:rPr>
          <w:rFonts w:ascii="Calibri" w:eastAsia="Calibri" w:hAnsi="Calibri" w:cs="Calibri"/>
          <w:i/>
        </w:rPr>
        <w:t>Einkommen</w:t>
      </w:r>
      <w:proofErr w:type="spellEnd"/>
      <w:r>
        <w:rPr>
          <w:rFonts w:ascii="Calibri" w:eastAsia="Calibri" w:hAnsi="Calibri" w:cs="Calibri"/>
          <w:i/>
        </w:rPr>
        <w:t xml:space="preserve"> alle </w:t>
      </w:r>
      <w:proofErr w:type="spellStart"/>
      <w:r>
        <w:rPr>
          <w:rFonts w:ascii="Calibri" w:eastAsia="Calibri" w:hAnsi="Calibri" w:cs="Calibri"/>
          <w:i/>
        </w:rPr>
        <w:t>reinerträge</w:t>
      </w:r>
      <w:proofErr w:type="spellEnd"/>
      <w:r>
        <w:rPr>
          <w:rFonts w:ascii="Calibri" w:eastAsia="Calibri" w:hAnsi="Calibri" w:cs="Calibri"/>
          <w:i/>
        </w:rPr>
        <w:t xml:space="preserve"> </w:t>
      </w:r>
      <w:proofErr w:type="spellStart"/>
      <w:r>
        <w:rPr>
          <w:rFonts w:ascii="Calibri" w:eastAsia="Calibri" w:hAnsi="Calibri" w:cs="Calibri"/>
          <w:i/>
        </w:rPr>
        <w:t>und</w:t>
      </w:r>
      <w:proofErr w:type="spellEnd"/>
      <w:r>
        <w:rPr>
          <w:rFonts w:ascii="Calibri" w:eastAsia="Calibri" w:hAnsi="Calibri" w:cs="Calibri"/>
          <w:i/>
        </w:rPr>
        <w:t xml:space="preserve"> </w:t>
      </w:r>
      <w:proofErr w:type="spellStart"/>
      <w:r>
        <w:rPr>
          <w:rFonts w:ascii="Calibri" w:eastAsia="Calibri" w:hAnsi="Calibri" w:cs="Calibri"/>
          <w:i/>
        </w:rPr>
        <w:t>Nutzungen</w:t>
      </w:r>
      <w:proofErr w:type="spellEnd"/>
      <w:r>
        <w:rPr>
          <w:rFonts w:ascii="Calibri" w:eastAsia="Calibri" w:hAnsi="Calibri" w:cs="Calibri"/>
          <w:i/>
        </w:rPr>
        <w:t xml:space="preserve">, </w:t>
      </w:r>
      <w:proofErr w:type="spellStart"/>
      <w:r>
        <w:rPr>
          <w:rFonts w:ascii="Calibri" w:eastAsia="Calibri" w:hAnsi="Calibri" w:cs="Calibri"/>
          <w:i/>
        </w:rPr>
        <w:t>geldwerte</w:t>
      </w:r>
      <w:proofErr w:type="spellEnd"/>
      <w:r>
        <w:rPr>
          <w:rFonts w:ascii="Calibri" w:eastAsia="Calibri" w:hAnsi="Calibri" w:cs="Calibri"/>
          <w:i/>
        </w:rPr>
        <w:t xml:space="preserve"> </w:t>
      </w:r>
      <w:proofErr w:type="spellStart"/>
      <w:r>
        <w:rPr>
          <w:rFonts w:ascii="Calibri" w:eastAsia="Calibri" w:hAnsi="Calibri" w:cs="Calibri"/>
          <w:i/>
        </w:rPr>
        <w:t>Leistungen</w:t>
      </w:r>
      <w:proofErr w:type="spellEnd"/>
      <w:r>
        <w:rPr>
          <w:rFonts w:ascii="Calibri" w:eastAsia="Calibri" w:hAnsi="Calibri" w:cs="Calibri"/>
          <w:i/>
        </w:rPr>
        <w:t xml:space="preserve"> </w:t>
      </w:r>
      <w:proofErr w:type="spellStart"/>
      <w:r>
        <w:rPr>
          <w:rFonts w:ascii="Calibri" w:eastAsia="Calibri" w:hAnsi="Calibri" w:cs="Calibri"/>
          <w:i/>
        </w:rPr>
        <w:t>Dritter</w:t>
      </w:r>
      <w:proofErr w:type="spellEnd"/>
      <w:r>
        <w:rPr>
          <w:rFonts w:ascii="Calibri" w:eastAsia="Calibri" w:hAnsi="Calibri" w:cs="Calibri"/>
          <w:i/>
        </w:rPr>
        <w:t xml:space="preserve">, alle Geschenke, </w:t>
      </w:r>
      <w:proofErr w:type="spellStart"/>
      <w:r>
        <w:rPr>
          <w:rFonts w:ascii="Calibri" w:eastAsia="Calibri" w:hAnsi="Calibri" w:cs="Calibri"/>
          <w:i/>
        </w:rPr>
        <w:t>Erbschaften</w:t>
      </w:r>
      <w:proofErr w:type="spellEnd"/>
      <w:r>
        <w:rPr>
          <w:rFonts w:ascii="Calibri" w:eastAsia="Calibri" w:hAnsi="Calibri" w:cs="Calibri"/>
          <w:i/>
        </w:rPr>
        <w:t xml:space="preserve">, </w:t>
      </w:r>
      <w:proofErr w:type="spellStart"/>
      <w:r>
        <w:rPr>
          <w:rFonts w:ascii="Calibri" w:eastAsia="Calibri" w:hAnsi="Calibri" w:cs="Calibri"/>
          <w:i/>
        </w:rPr>
        <w:t>Legate</w:t>
      </w:r>
      <w:proofErr w:type="spellEnd"/>
      <w:r>
        <w:rPr>
          <w:rFonts w:ascii="Calibri" w:eastAsia="Calibri" w:hAnsi="Calibri" w:cs="Calibri"/>
          <w:i/>
        </w:rPr>
        <w:t xml:space="preserve">, </w:t>
      </w:r>
      <w:proofErr w:type="spellStart"/>
      <w:r>
        <w:rPr>
          <w:rFonts w:ascii="Calibri" w:eastAsia="Calibri" w:hAnsi="Calibri" w:cs="Calibri"/>
          <w:i/>
        </w:rPr>
        <w:t>Lotteriegewinne</w:t>
      </w:r>
      <w:proofErr w:type="spellEnd"/>
      <w:r>
        <w:rPr>
          <w:rFonts w:ascii="Calibri" w:eastAsia="Calibri" w:hAnsi="Calibri" w:cs="Calibri"/>
          <w:i/>
        </w:rPr>
        <w:t xml:space="preserve">, </w:t>
      </w:r>
      <w:proofErr w:type="spellStart"/>
      <w:r>
        <w:rPr>
          <w:rFonts w:ascii="Calibri" w:eastAsia="Calibri" w:hAnsi="Calibri" w:cs="Calibri"/>
          <w:i/>
        </w:rPr>
        <w:t>Versicherungskapitalien</w:t>
      </w:r>
      <w:proofErr w:type="spellEnd"/>
      <w:r>
        <w:rPr>
          <w:rFonts w:ascii="Calibri" w:eastAsia="Calibri" w:hAnsi="Calibri" w:cs="Calibri"/>
          <w:i/>
        </w:rPr>
        <w:t xml:space="preserve">, </w:t>
      </w:r>
      <w:proofErr w:type="spellStart"/>
      <w:r>
        <w:rPr>
          <w:rFonts w:ascii="Calibri" w:eastAsia="Calibri" w:hAnsi="Calibri" w:cs="Calibri"/>
          <w:i/>
        </w:rPr>
        <w:t>Versicherungsrenten</w:t>
      </w:r>
      <w:proofErr w:type="spellEnd"/>
      <w:r>
        <w:rPr>
          <w:rFonts w:ascii="Calibri" w:eastAsia="Calibri" w:hAnsi="Calibri" w:cs="Calibri"/>
          <w:i/>
        </w:rPr>
        <w:t xml:space="preserve">, </w:t>
      </w:r>
      <w:proofErr w:type="spellStart"/>
      <w:r>
        <w:rPr>
          <w:rFonts w:ascii="Calibri" w:eastAsia="Calibri" w:hAnsi="Calibri" w:cs="Calibri"/>
          <w:i/>
        </w:rPr>
        <w:t>Konjunkturengewinne</w:t>
      </w:r>
      <w:proofErr w:type="spellEnd"/>
      <w:r>
        <w:rPr>
          <w:rFonts w:ascii="Calibri" w:eastAsia="Calibri" w:hAnsi="Calibri" w:cs="Calibri"/>
          <w:i/>
        </w:rPr>
        <w:t xml:space="preserve"> </w:t>
      </w:r>
      <w:proofErr w:type="spellStart"/>
      <w:r>
        <w:rPr>
          <w:rFonts w:ascii="Calibri" w:eastAsia="Calibri" w:hAnsi="Calibri" w:cs="Calibri"/>
          <w:i/>
        </w:rPr>
        <w:t>jeder</w:t>
      </w:r>
      <w:proofErr w:type="spellEnd"/>
      <w:r>
        <w:rPr>
          <w:rFonts w:ascii="Calibri" w:eastAsia="Calibri" w:hAnsi="Calibri" w:cs="Calibri"/>
          <w:i/>
        </w:rPr>
        <w:t xml:space="preserve"> Art, </w:t>
      </w:r>
      <w:proofErr w:type="spellStart"/>
      <w:r>
        <w:rPr>
          <w:rFonts w:ascii="Calibri" w:eastAsia="Calibri" w:hAnsi="Calibri" w:cs="Calibri"/>
          <w:i/>
        </w:rPr>
        <w:t>mit</w:t>
      </w:r>
      <w:proofErr w:type="spellEnd"/>
      <w:r>
        <w:rPr>
          <w:rFonts w:ascii="Calibri" w:eastAsia="Calibri" w:hAnsi="Calibri" w:cs="Calibri"/>
          <w:i/>
        </w:rPr>
        <w:t xml:space="preserve"> </w:t>
      </w:r>
      <w:proofErr w:type="spellStart"/>
      <w:r>
        <w:rPr>
          <w:rFonts w:ascii="Calibri" w:eastAsia="Calibri" w:hAnsi="Calibri" w:cs="Calibri"/>
          <w:i/>
        </w:rPr>
        <w:t>rechnen</w:t>
      </w:r>
      <w:proofErr w:type="spellEnd"/>
      <w:r>
        <w:rPr>
          <w:rFonts w:ascii="Calibri" w:eastAsia="Calibri" w:hAnsi="Calibri" w:cs="Calibri"/>
          <w:i/>
        </w:rPr>
        <w:t xml:space="preserve"> </w:t>
      </w:r>
      <w:proofErr w:type="spellStart"/>
      <w:r>
        <w:rPr>
          <w:rFonts w:ascii="Calibri" w:eastAsia="Calibri" w:hAnsi="Calibri" w:cs="Calibri"/>
          <w:i/>
        </w:rPr>
        <w:t>ab</w:t>
      </w:r>
      <w:proofErr w:type="spellEnd"/>
      <w:r>
        <w:rPr>
          <w:rFonts w:ascii="Calibri" w:eastAsia="Calibri" w:hAnsi="Calibri" w:cs="Calibri"/>
          <w:i/>
        </w:rPr>
        <w:t xml:space="preserve"> alle </w:t>
      </w:r>
      <w:proofErr w:type="spellStart"/>
      <w:r>
        <w:rPr>
          <w:rFonts w:ascii="Calibri" w:eastAsia="Calibri" w:hAnsi="Calibri" w:cs="Calibri"/>
          <w:i/>
        </w:rPr>
        <w:t>Schuldzinsen</w:t>
      </w:r>
      <w:proofErr w:type="spellEnd"/>
      <w:r>
        <w:rPr>
          <w:rFonts w:ascii="Calibri" w:eastAsia="Calibri" w:hAnsi="Calibri" w:cs="Calibri"/>
          <w:i/>
        </w:rPr>
        <w:t xml:space="preserve"> </w:t>
      </w:r>
      <w:proofErr w:type="spellStart"/>
      <w:r>
        <w:rPr>
          <w:rFonts w:ascii="Calibri" w:eastAsia="Calibri" w:hAnsi="Calibri" w:cs="Calibri"/>
          <w:i/>
        </w:rPr>
        <w:t>und</w:t>
      </w:r>
      <w:proofErr w:type="spellEnd"/>
      <w:r>
        <w:rPr>
          <w:rFonts w:ascii="Calibri" w:eastAsia="Calibri" w:hAnsi="Calibri" w:cs="Calibri"/>
          <w:i/>
        </w:rPr>
        <w:t xml:space="preserve"> </w:t>
      </w:r>
      <w:proofErr w:type="spellStart"/>
      <w:r>
        <w:rPr>
          <w:rFonts w:ascii="Calibri" w:eastAsia="Calibri" w:hAnsi="Calibri" w:cs="Calibri"/>
          <w:i/>
        </w:rPr>
        <w:t>Vermögensverluste</w:t>
      </w:r>
      <w:proofErr w:type="spellEnd"/>
      <w:r>
        <w:rPr>
          <w:rFonts w:ascii="Calibri" w:eastAsia="Calibri" w:hAnsi="Calibri" w:cs="Calibri"/>
          <w:i/>
        </w:rPr>
        <w:t xml:space="preserve">. Was </w:t>
      </w:r>
      <w:proofErr w:type="spellStart"/>
      <w:r>
        <w:rPr>
          <w:rFonts w:ascii="Calibri" w:eastAsia="Calibri" w:hAnsi="Calibri" w:cs="Calibri"/>
          <w:i/>
        </w:rPr>
        <w:t>erüberigt</w:t>
      </w:r>
      <w:proofErr w:type="spellEnd"/>
      <w:r>
        <w:rPr>
          <w:rFonts w:ascii="Calibri" w:eastAsia="Calibri" w:hAnsi="Calibri" w:cs="Calibri"/>
          <w:i/>
        </w:rPr>
        <w:t xml:space="preserve">, </w:t>
      </w:r>
      <w:proofErr w:type="spellStart"/>
      <w:r>
        <w:rPr>
          <w:rFonts w:ascii="Calibri" w:eastAsia="Calibri" w:hAnsi="Calibri" w:cs="Calibri"/>
          <w:i/>
        </w:rPr>
        <w:t>steht</w:t>
      </w:r>
      <w:proofErr w:type="spellEnd"/>
      <w:r>
        <w:rPr>
          <w:rFonts w:ascii="Calibri" w:eastAsia="Calibri" w:hAnsi="Calibri" w:cs="Calibri"/>
          <w:i/>
        </w:rPr>
        <w:t xml:space="preserve"> </w:t>
      </w:r>
      <w:proofErr w:type="spellStart"/>
      <w:r>
        <w:rPr>
          <w:rFonts w:ascii="Calibri" w:eastAsia="Calibri" w:hAnsi="Calibri" w:cs="Calibri"/>
          <w:i/>
        </w:rPr>
        <w:t>neu</w:t>
      </w:r>
      <w:proofErr w:type="spellEnd"/>
      <w:r>
        <w:rPr>
          <w:rFonts w:ascii="Calibri" w:eastAsia="Calibri" w:hAnsi="Calibri" w:cs="Calibri"/>
          <w:i/>
        </w:rPr>
        <w:t xml:space="preserve"> </w:t>
      </w:r>
      <w:proofErr w:type="spellStart"/>
      <w:r>
        <w:rPr>
          <w:rFonts w:ascii="Calibri" w:eastAsia="Calibri" w:hAnsi="Calibri" w:cs="Calibri"/>
          <w:i/>
        </w:rPr>
        <w:t>zur</w:t>
      </w:r>
      <w:proofErr w:type="spellEnd"/>
      <w:r>
        <w:rPr>
          <w:rFonts w:ascii="Calibri" w:eastAsia="Calibri" w:hAnsi="Calibri" w:cs="Calibri"/>
          <w:i/>
        </w:rPr>
        <w:t xml:space="preserve"> </w:t>
      </w:r>
      <w:proofErr w:type="spellStart"/>
      <w:r>
        <w:rPr>
          <w:rFonts w:ascii="Calibri" w:eastAsia="Calibri" w:hAnsi="Calibri" w:cs="Calibri"/>
          <w:i/>
        </w:rPr>
        <w:t>Disposition</w:t>
      </w:r>
      <w:proofErr w:type="spellEnd"/>
      <w:r>
        <w:rPr>
          <w:rFonts w:ascii="Calibri" w:eastAsia="Calibri" w:hAnsi="Calibri" w:cs="Calibri"/>
          <w:i/>
        </w:rPr>
        <w:t xml:space="preserve"> des </w:t>
      </w:r>
      <w:proofErr w:type="spellStart"/>
      <w:r>
        <w:rPr>
          <w:rFonts w:ascii="Calibri" w:eastAsia="Calibri" w:hAnsi="Calibri" w:cs="Calibri"/>
          <w:i/>
        </w:rPr>
        <w:t>Empfängers</w:t>
      </w:r>
      <w:proofErr w:type="spellEnd"/>
      <w:r>
        <w:rPr>
          <w:rFonts w:ascii="Calibri" w:eastAsia="Calibri" w:hAnsi="Calibri" w:cs="Calibri"/>
          <w:i/>
        </w:rPr>
        <w:t xml:space="preserve">, </w:t>
      </w:r>
      <w:proofErr w:type="spellStart"/>
      <w:r>
        <w:rPr>
          <w:rFonts w:ascii="Calibri" w:eastAsia="Calibri" w:hAnsi="Calibri" w:cs="Calibri"/>
          <w:i/>
        </w:rPr>
        <w:t>gehört</w:t>
      </w:r>
      <w:proofErr w:type="spellEnd"/>
      <w:r>
        <w:rPr>
          <w:rFonts w:ascii="Calibri" w:eastAsia="Calibri" w:hAnsi="Calibri" w:cs="Calibri"/>
          <w:i/>
        </w:rPr>
        <w:t xml:space="preserve"> nicht </w:t>
      </w:r>
      <w:proofErr w:type="spellStart"/>
      <w:r>
        <w:rPr>
          <w:rFonts w:ascii="Calibri" w:eastAsia="Calibri" w:hAnsi="Calibri" w:cs="Calibri"/>
          <w:i/>
        </w:rPr>
        <w:t>zu</w:t>
      </w:r>
      <w:proofErr w:type="spellEnd"/>
      <w:r>
        <w:rPr>
          <w:rFonts w:ascii="Calibri" w:eastAsia="Calibri" w:hAnsi="Calibri" w:cs="Calibri"/>
          <w:i/>
        </w:rPr>
        <w:t xml:space="preserve"> </w:t>
      </w:r>
      <w:proofErr w:type="spellStart"/>
      <w:r>
        <w:rPr>
          <w:rFonts w:ascii="Calibri" w:eastAsia="Calibri" w:hAnsi="Calibri" w:cs="Calibri"/>
          <w:i/>
        </w:rPr>
        <w:t>dem</w:t>
      </w:r>
      <w:proofErr w:type="spellEnd"/>
      <w:r>
        <w:rPr>
          <w:rFonts w:ascii="Calibri" w:eastAsia="Calibri" w:hAnsi="Calibri" w:cs="Calibri"/>
          <w:i/>
        </w:rPr>
        <w:t xml:space="preserve"> </w:t>
      </w:r>
      <w:proofErr w:type="spellStart"/>
      <w:r>
        <w:rPr>
          <w:rFonts w:ascii="Calibri" w:eastAsia="Calibri" w:hAnsi="Calibri" w:cs="Calibri"/>
          <w:i/>
        </w:rPr>
        <w:t>bereits</w:t>
      </w:r>
      <w:proofErr w:type="spellEnd"/>
      <w:r>
        <w:rPr>
          <w:rFonts w:ascii="Calibri" w:eastAsia="Calibri" w:hAnsi="Calibri" w:cs="Calibri"/>
          <w:i/>
        </w:rPr>
        <w:t xml:space="preserve"> </w:t>
      </w:r>
      <w:proofErr w:type="spellStart"/>
      <w:r>
        <w:rPr>
          <w:rFonts w:ascii="Calibri" w:eastAsia="Calibri" w:hAnsi="Calibri" w:cs="Calibri"/>
          <w:i/>
        </w:rPr>
        <w:t>vorhandenen</w:t>
      </w:r>
      <w:proofErr w:type="spellEnd"/>
      <w:r>
        <w:rPr>
          <w:rFonts w:ascii="Calibri" w:eastAsia="Calibri" w:hAnsi="Calibri" w:cs="Calibri"/>
          <w:i/>
        </w:rPr>
        <w:t xml:space="preserve"> </w:t>
      </w:r>
      <w:proofErr w:type="spellStart"/>
      <w:r>
        <w:rPr>
          <w:rFonts w:ascii="Calibri" w:eastAsia="Calibri" w:hAnsi="Calibri" w:cs="Calibri"/>
          <w:i/>
        </w:rPr>
        <w:t>Stammvermögen</w:t>
      </w:r>
      <w:proofErr w:type="spellEnd"/>
      <w:r>
        <w:rPr>
          <w:rFonts w:ascii="Calibri" w:eastAsia="Calibri" w:hAnsi="Calibri" w:cs="Calibri"/>
          <w:i/>
        </w:rPr>
        <w:t xml:space="preserve">, </w:t>
      </w:r>
      <w:proofErr w:type="spellStart"/>
      <w:r>
        <w:rPr>
          <w:rFonts w:ascii="Calibri" w:eastAsia="Calibri" w:hAnsi="Calibri" w:cs="Calibri"/>
          <w:i/>
        </w:rPr>
        <w:t>tritt</w:t>
      </w:r>
      <w:proofErr w:type="spellEnd"/>
      <w:r>
        <w:rPr>
          <w:rFonts w:ascii="Calibri" w:eastAsia="Calibri" w:hAnsi="Calibri" w:cs="Calibri"/>
          <w:i/>
        </w:rPr>
        <w:t xml:space="preserve"> </w:t>
      </w:r>
      <w:proofErr w:type="spellStart"/>
      <w:r>
        <w:rPr>
          <w:rFonts w:ascii="Calibri" w:eastAsia="Calibri" w:hAnsi="Calibri" w:cs="Calibri"/>
          <w:i/>
        </w:rPr>
        <w:t>erst</w:t>
      </w:r>
      <w:proofErr w:type="spellEnd"/>
      <w:r>
        <w:rPr>
          <w:rFonts w:ascii="Calibri" w:eastAsia="Calibri" w:hAnsi="Calibri" w:cs="Calibri"/>
          <w:i/>
        </w:rPr>
        <w:t xml:space="preserve"> </w:t>
      </w:r>
      <w:proofErr w:type="spellStart"/>
      <w:r>
        <w:rPr>
          <w:rFonts w:ascii="Calibri" w:eastAsia="Calibri" w:hAnsi="Calibri" w:cs="Calibri"/>
          <w:i/>
        </w:rPr>
        <w:t>zu</w:t>
      </w:r>
      <w:proofErr w:type="spellEnd"/>
      <w:r>
        <w:rPr>
          <w:rFonts w:ascii="Calibri" w:eastAsia="Calibri" w:hAnsi="Calibri" w:cs="Calibri"/>
          <w:i/>
        </w:rPr>
        <w:t xml:space="preserve"> </w:t>
      </w:r>
      <w:proofErr w:type="spellStart"/>
      <w:r>
        <w:rPr>
          <w:rFonts w:ascii="Calibri" w:eastAsia="Calibri" w:hAnsi="Calibri" w:cs="Calibri"/>
          <w:i/>
        </w:rPr>
        <w:t>dem</w:t>
      </w:r>
      <w:proofErr w:type="spellEnd"/>
      <w:r>
        <w:rPr>
          <w:rFonts w:ascii="Calibri" w:eastAsia="Calibri" w:hAnsi="Calibri" w:cs="Calibri"/>
          <w:i/>
        </w:rPr>
        <w:t xml:space="preserve"> bisheriger </w:t>
      </w:r>
      <w:proofErr w:type="spellStart"/>
      <w:r>
        <w:rPr>
          <w:rFonts w:ascii="Calibri" w:eastAsia="Calibri" w:hAnsi="Calibri" w:cs="Calibri"/>
          <w:i/>
        </w:rPr>
        <w:t>Vermögen</w:t>
      </w:r>
      <w:proofErr w:type="spellEnd"/>
      <w:r>
        <w:rPr>
          <w:rFonts w:ascii="Calibri" w:eastAsia="Calibri" w:hAnsi="Calibri" w:cs="Calibri"/>
          <w:i/>
        </w:rPr>
        <w:t xml:space="preserve"> - das </w:t>
      </w:r>
      <w:proofErr w:type="spellStart"/>
      <w:r>
        <w:rPr>
          <w:rFonts w:ascii="Calibri" w:eastAsia="Calibri" w:hAnsi="Calibri" w:cs="Calibri"/>
          <w:i/>
        </w:rPr>
        <w:t>natürlich</w:t>
      </w:r>
      <w:proofErr w:type="spellEnd"/>
      <w:r>
        <w:rPr>
          <w:rFonts w:ascii="Calibri" w:eastAsia="Calibri" w:hAnsi="Calibri" w:cs="Calibri"/>
          <w:i/>
        </w:rPr>
        <w:t xml:space="preserve"> </w:t>
      </w:r>
      <w:proofErr w:type="spellStart"/>
      <w:r>
        <w:rPr>
          <w:rFonts w:ascii="Calibri" w:eastAsia="Calibri" w:hAnsi="Calibri" w:cs="Calibri"/>
          <w:i/>
        </w:rPr>
        <w:t>auch</w:t>
      </w:r>
      <w:proofErr w:type="spellEnd"/>
      <w:r>
        <w:rPr>
          <w:rFonts w:ascii="Calibri" w:eastAsia="Calibri" w:hAnsi="Calibri" w:cs="Calibri"/>
          <w:i/>
        </w:rPr>
        <w:t xml:space="preserve"> </w:t>
      </w:r>
      <w:proofErr w:type="spellStart"/>
      <w:r>
        <w:rPr>
          <w:rFonts w:ascii="Calibri" w:eastAsia="Calibri" w:hAnsi="Calibri" w:cs="Calibri"/>
          <w:i/>
        </w:rPr>
        <w:t>fast</w:t>
      </w:r>
      <w:proofErr w:type="spellEnd"/>
      <w:r>
        <w:rPr>
          <w:rFonts w:ascii="Calibri" w:eastAsia="Calibri" w:hAnsi="Calibri" w:cs="Calibri"/>
          <w:i/>
        </w:rPr>
        <w:t xml:space="preserve"> </w:t>
      </w:r>
      <w:proofErr w:type="spellStart"/>
      <w:r>
        <w:rPr>
          <w:rFonts w:ascii="Calibri" w:eastAsia="Calibri" w:hAnsi="Calibri" w:cs="Calibri"/>
          <w:i/>
        </w:rPr>
        <w:t>Null</w:t>
      </w:r>
      <w:proofErr w:type="spellEnd"/>
      <w:r>
        <w:rPr>
          <w:rFonts w:ascii="Calibri" w:eastAsia="Calibri" w:hAnsi="Calibri" w:cs="Calibri"/>
          <w:i/>
        </w:rPr>
        <w:t xml:space="preserve"> sein </w:t>
      </w:r>
      <w:proofErr w:type="spellStart"/>
      <w:r>
        <w:rPr>
          <w:rFonts w:ascii="Calibri" w:eastAsia="Calibri" w:hAnsi="Calibri" w:cs="Calibri"/>
          <w:i/>
        </w:rPr>
        <w:t>kann</w:t>
      </w:r>
      <w:proofErr w:type="spellEnd"/>
      <w:r>
        <w:rPr>
          <w:rFonts w:ascii="Calibri" w:eastAsia="Calibri" w:hAnsi="Calibri" w:cs="Calibri"/>
          <w:i/>
        </w:rPr>
        <w:t xml:space="preserve"> - </w:t>
      </w:r>
      <w:proofErr w:type="spellStart"/>
      <w:r>
        <w:rPr>
          <w:rFonts w:ascii="Calibri" w:eastAsia="Calibri" w:hAnsi="Calibri" w:cs="Calibri"/>
          <w:i/>
        </w:rPr>
        <w:t>hinzu</w:t>
      </w:r>
      <w:proofErr w:type="spellEnd"/>
      <w:r>
        <w:rPr>
          <w:rFonts w:ascii="Calibri" w:eastAsia="Calibri" w:hAnsi="Calibri" w:cs="Calibri"/>
          <w:i/>
        </w:rPr>
        <w:t>."</w:t>
      </w:r>
    </w:p>
    <w:p w:rsidR="006861A0" w:rsidRDefault="006861A0" w:rsidP="003C7640">
      <w:pPr>
        <w:spacing w:line="360" w:lineRule="auto"/>
        <w:ind w:left="708"/>
        <w:contextualSpacing/>
        <w:jc w:val="both"/>
        <w:rPr>
          <w:rFonts w:ascii="Calibri" w:eastAsia="Calibri" w:hAnsi="Calibri" w:cs="Calibri"/>
        </w:rPr>
      </w:pPr>
    </w:p>
    <w:p w:rsidR="006861A0" w:rsidRDefault="006861A0" w:rsidP="003C7640">
      <w:pPr>
        <w:spacing w:line="360" w:lineRule="auto"/>
        <w:contextualSpacing/>
        <w:jc w:val="both"/>
      </w:pPr>
      <w:r w:rsidRPr="001D08A5">
        <w:t xml:space="preserve">Volgens </w:t>
      </w:r>
      <w:proofErr w:type="spellStart"/>
      <w:r w:rsidRPr="001D08A5">
        <w:t>Schanz</w:t>
      </w:r>
      <w:proofErr w:type="spellEnd"/>
      <w:r w:rsidRPr="001D08A5">
        <w:t xml:space="preserve"> moet alles wat tot behoeftebevrediging leidt (of kan leiden) tot het inkomen worden gerekend.</w:t>
      </w:r>
      <w:r>
        <w:rPr>
          <w:rStyle w:val="Voetnootmarkering"/>
        </w:rPr>
        <w:footnoteReference w:id="2"/>
      </w:r>
      <w:r w:rsidRPr="001D08A5">
        <w:t xml:space="preserve"> Het maakt in zijn ogen niet uit of dit gerealiseerd of ongerealiseerd is. Het maakt eveneens niet uit of dit in geld of in natura is verkregen.</w:t>
      </w:r>
      <w:r>
        <w:t xml:space="preserve"> In het laatste geval moet de waarde worden geschat.</w:t>
      </w:r>
      <w:r w:rsidRPr="001D08A5">
        <w:t xml:space="preserve"> </w:t>
      </w:r>
      <w:r w:rsidR="002270F3" w:rsidRPr="001D08A5">
        <w:t xml:space="preserve">Volgens </w:t>
      </w:r>
      <w:proofErr w:type="spellStart"/>
      <w:r w:rsidR="002270F3" w:rsidRPr="001D08A5">
        <w:t>Schanz</w:t>
      </w:r>
      <w:proofErr w:type="spellEnd"/>
      <w:r w:rsidR="002270F3" w:rsidRPr="001D08A5">
        <w:t xml:space="preserve"> horen ook giften, erfenissen, loterijprijzen en </w:t>
      </w:r>
      <w:r w:rsidR="002270F3">
        <w:t>schenkingen</w:t>
      </w:r>
      <w:r w:rsidR="002270F3" w:rsidRPr="001D08A5">
        <w:t xml:space="preserve"> bij het inkomen. Verliezen zijn aftrekbaar, </w:t>
      </w:r>
      <w:r w:rsidR="002270F3">
        <w:t>omdat</w:t>
      </w:r>
      <w:r w:rsidR="002270F3" w:rsidRPr="001D08A5">
        <w:t xml:space="preserve"> d</w:t>
      </w:r>
      <w:r w:rsidR="002270F3">
        <w:t>eze</w:t>
      </w:r>
      <w:r w:rsidR="002270F3" w:rsidRPr="001D08A5">
        <w:t xml:space="preserve"> tot </w:t>
      </w:r>
      <w:r w:rsidR="002270F3">
        <w:t>minder behoeftebevrediging leiden</w:t>
      </w:r>
      <w:r w:rsidR="002270F3" w:rsidRPr="001D08A5">
        <w:t>.</w:t>
      </w:r>
    </w:p>
    <w:p w:rsidR="006861A0" w:rsidRPr="00655740" w:rsidRDefault="006861A0" w:rsidP="003C7640">
      <w:pPr>
        <w:pStyle w:val="Kop3"/>
        <w:spacing w:line="360" w:lineRule="auto"/>
        <w:jc w:val="both"/>
      </w:pPr>
      <w:bookmarkStart w:id="11" w:name="_Toc299740208"/>
      <w:r w:rsidRPr="00655740">
        <w:t xml:space="preserve">Robert </w:t>
      </w:r>
      <w:proofErr w:type="spellStart"/>
      <w:r w:rsidRPr="00655740">
        <w:t>Murray</w:t>
      </w:r>
      <w:proofErr w:type="spellEnd"/>
      <w:r w:rsidRPr="00655740">
        <w:t xml:space="preserve"> </w:t>
      </w:r>
      <w:proofErr w:type="spellStart"/>
      <w:r w:rsidRPr="00655740">
        <w:t>Haig</w:t>
      </w:r>
      <w:bookmarkEnd w:id="11"/>
      <w:proofErr w:type="spellEnd"/>
    </w:p>
    <w:p w:rsidR="006861A0" w:rsidRPr="00307B40" w:rsidRDefault="006861A0" w:rsidP="003C7640">
      <w:pPr>
        <w:spacing w:line="360" w:lineRule="auto"/>
        <w:contextualSpacing/>
        <w:jc w:val="both"/>
        <w:rPr>
          <w:lang w:val="en-US"/>
        </w:rPr>
      </w:pPr>
      <w:r w:rsidRPr="00307B40">
        <w:rPr>
          <w:lang w:val="en-US"/>
        </w:rPr>
        <w:t xml:space="preserve">Robert Murray Haig </w:t>
      </w:r>
      <w:proofErr w:type="spellStart"/>
      <w:r w:rsidR="002270F3">
        <w:rPr>
          <w:lang w:val="en-US"/>
        </w:rPr>
        <w:t>g</w:t>
      </w:r>
      <w:r w:rsidRPr="00307B40">
        <w:rPr>
          <w:lang w:val="en-US"/>
        </w:rPr>
        <w:t>eeft</w:t>
      </w:r>
      <w:proofErr w:type="spellEnd"/>
      <w:r w:rsidRPr="00307B40">
        <w:rPr>
          <w:lang w:val="en-US"/>
        </w:rPr>
        <w:t xml:space="preserve"> in “The Concept of Income—Economic and Legal Aspects</w:t>
      </w:r>
      <w:r>
        <w:rPr>
          <w:lang w:val="en-US"/>
        </w:rPr>
        <w:t>”</w:t>
      </w:r>
      <w:r>
        <w:rPr>
          <w:rStyle w:val="Voetnootmarkering"/>
          <w:lang w:val="en-US"/>
        </w:rPr>
        <w:footnoteReference w:id="3"/>
      </w:r>
      <w:r>
        <w:rPr>
          <w:lang w:val="en-US"/>
        </w:rPr>
        <w:t xml:space="preserve"> </w:t>
      </w:r>
      <w:proofErr w:type="spellStart"/>
      <w:r w:rsidR="002270F3">
        <w:rPr>
          <w:lang w:val="en-US"/>
        </w:rPr>
        <w:t>zijn</w:t>
      </w:r>
      <w:proofErr w:type="spellEnd"/>
      <w:r w:rsidR="002270F3">
        <w:rPr>
          <w:lang w:val="en-US"/>
        </w:rPr>
        <w:t xml:space="preserve"> </w:t>
      </w:r>
      <w:proofErr w:type="spellStart"/>
      <w:r w:rsidR="002270F3">
        <w:rPr>
          <w:lang w:val="en-US"/>
        </w:rPr>
        <w:t>visie</w:t>
      </w:r>
      <w:proofErr w:type="spellEnd"/>
      <w:r w:rsidR="002270F3">
        <w:rPr>
          <w:lang w:val="en-US"/>
        </w:rPr>
        <w:t xml:space="preserve"> op </w:t>
      </w:r>
      <w:proofErr w:type="spellStart"/>
      <w:r w:rsidR="002270F3">
        <w:rPr>
          <w:lang w:val="en-US"/>
        </w:rPr>
        <w:t>inkomen</w:t>
      </w:r>
      <w:proofErr w:type="spellEnd"/>
      <w:r>
        <w:rPr>
          <w:lang w:val="en-US"/>
        </w:rPr>
        <w:t>:</w:t>
      </w:r>
    </w:p>
    <w:p w:rsidR="006861A0" w:rsidRPr="00307B40" w:rsidRDefault="006861A0" w:rsidP="003C7640">
      <w:pPr>
        <w:spacing w:line="360" w:lineRule="auto"/>
        <w:contextualSpacing/>
        <w:jc w:val="both"/>
        <w:rPr>
          <w:lang w:val="en-US"/>
        </w:rPr>
      </w:pPr>
    </w:p>
    <w:p w:rsidR="006861A0" w:rsidRPr="00307B40" w:rsidRDefault="006861A0" w:rsidP="003C7640">
      <w:pPr>
        <w:spacing w:line="360" w:lineRule="auto"/>
        <w:ind w:left="708"/>
        <w:contextualSpacing/>
        <w:jc w:val="both"/>
        <w:rPr>
          <w:i/>
          <w:lang w:val="en-US"/>
        </w:rPr>
      </w:pPr>
      <w:r w:rsidRPr="00307B40">
        <w:rPr>
          <w:i/>
          <w:lang w:val="en-US"/>
        </w:rPr>
        <w:t>“Income is the money value of the net accretion to economic power between two points of time.”</w:t>
      </w:r>
    </w:p>
    <w:p w:rsidR="008B4EB6" w:rsidRPr="00747E54" w:rsidRDefault="008B4EB6" w:rsidP="003C7640">
      <w:pPr>
        <w:spacing w:line="360" w:lineRule="auto"/>
        <w:contextualSpacing/>
        <w:jc w:val="both"/>
        <w:rPr>
          <w:lang w:val="en-US"/>
        </w:rPr>
      </w:pPr>
    </w:p>
    <w:p w:rsidR="002270F3" w:rsidRDefault="002270F3" w:rsidP="003C7640">
      <w:pPr>
        <w:spacing w:line="360" w:lineRule="auto"/>
        <w:contextualSpacing/>
        <w:jc w:val="both"/>
        <w:rPr>
          <w:rFonts w:ascii="Calibri" w:eastAsia="Calibri" w:hAnsi="Calibri" w:cs="Calibri"/>
        </w:rPr>
      </w:pPr>
      <w:r>
        <w:t>“</w:t>
      </w:r>
      <w:proofErr w:type="spellStart"/>
      <w:r>
        <w:t>Economic</w:t>
      </w:r>
      <w:proofErr w:type="spellEnd"/>
      <w:r>
        <w:t xml:space="preserve"> Power” vertegenwoordigt de mate waarin iemand in staat is om nut te verkrijgen (de koopkracht). </w:t>
      </w:r>
      <w:r w:rsidRPr="00632908">
        <w:t xml:space="preserve">Deze definitie sluit volgens </w:t>
      </w:r>
      <w:proofErr w:type="spellStart"/>
      <w:r w:rsidRPr="00632908">
        <w:t>Haig</w:t>
      </w:r>
      <w:proofErr w:type="spellEnd"/>
      <w:r w:rsidRPr="00632908">
        <w:t xml:space="preserve"> het meeste aan bij het werkelijke inkomen, namelijk het nut dat men heeft gehad of zou kunnen hebben.  Volgens </w:t>
      </w:r>
      <w:proofErr w:type="spellStart"/>
      <w:r w:rsidRPr="00632908">
        <w:t>Haig</w:t>
      </w:r>
      <w:proofErr w:type="spellEnd"/>
      <w:r w:rsidRPr="00632908">
        <w:t xml:space="preserve"> is dit inkomen uit te drukken in geld. </w:t>
      </w:r>
      <w:proofErr w:type="spellStart"/>
      <w:r w:rsidRPr="00632908">
        <w:t>Haig</w:t>
      </w:r>
      <w:proofErr w:type="spellEnd"/>
      <w:r w:rsidRPr="00632908">
        <w:t xml:space="preserve"> betoogde dat het niet gerealiseerd hoeft te zijn, maar dat er wel een mogelijkheid moet zijn om het te realiseren.</w:t>
      </w:r>
      <w:r>
        <w:rPr>
          <w:rStyle w:val="Voetnootmarkering"/>
          <w:rFonts w:ascii="Calibri" w:eastAsia="Calibri" w:hAnsi="Calibri" w:cs="Calibri"/>
        </w:rPr>
        <w:footnoteReference w:id="4"/>
      </w:r>
    </w:p>
    <w:p w:rsidR="002270F3" w:rsidRPr="00632908" w:rsidRDefault="002270F3" w:rsidP="003C7640">
      <w:pPr>
        <w:spacing w:line="360" w:lineRule="auto"/>
        <w:contextualSpacing/>
        <w:jc w:val="both"/>
      </w:pPr>
      <w:r w:rsidRPr="00632908">
        <w:t xml:space="preserve">Volgens </w:t>
      </w:r>
      <w:proofErr w:type="spellStart"/>
      <w:r w:rsidRPr="00632908">
        <w:t>Haig</w:t>
      </w:r>
      <w:proofErr w:type="spellEnd"/>
      <w:r w:rsidRPr="00632908">
        <w:t xml:space="preserve"> behoren naast regulier inkomen (zoals arbeidsinkomen), giften en waardemutaties, ook inkomsten in natura tot het inkomen. Dit geldt tevens voor de door een persoon zelf geproduceerde goederen. Deze leveren hem nut op en zal hun geldelijke waarde als inkomen worden gezien. Waardemutaties als gevolg van inflatie behoren niet tot het inkomen, omdat zij de koopkracht en </w:t>
      </w:r>
      <w:r w:rsidRPr="00632908">
        <w:lastRenderedPageBreak/>
        <w:t>economische positie van de persoon niet verbeteren. Uitgaven met betrekking tot het verkrijgen van het inkomen zijn aftrekbaar.</w:t>
      </w:r>
    </w:p>
    <w:p w:rsidR="006861A0" w:rsidRPr="000D0E0C" w:rsidRDefault="006861A0" w:rsidP="003C7640">
      <w:pPr>
        <w:pStyle w:val="Kop3"/>
        <w:spacing w:line="360" w:lineRule="auto"/>
        <w:jc w:val="both"/>
      </w:pPr>
      <w:bookmarkStart w:id="12" w:name="_Toc299740209"/>
      <w:r w:rsidRPr="000D0E0C">
        <w:t>Henry C. Simons</w:t>
      </w:r>
      <w:bookmarkEnd w:id="12"/>
    </w:p>
    <w:p w:rsidR="006861A0" w:rsidRPr="00E67614" w:rsidRDefault="006861A0" w:rsidP="003C7640">
      <w:pPr>
        <w:spacing w:line="360" w:lineRule="auto"/>
        <w:contextualSpacing/>
        <w:jc w:val="both"/>
      </w:pPr>
      <w:r>
        <w:t xml:space="preserve">Ook Henry C. Simons heeft een definitie van inkomen gepubliceerd. Deze wordt beschouwd als een verduidelijking van de definitie van </w:t>
      </w:r>
      <w:proofErr w:type="spellStart"/>
      <w:r>
        <w:t>Haig</w:t>
      </w:r>
      <w:proofErr w:type="spellEnd"/>
      <w:r>
        <w:rPr>
          <w:rStyle w:val="Voetnootmarkering"/>
        </w:rPr>
        <w:footnoteReference w:id="5"/>
      </w:r>
      <w:r>
        <w:t xml:space="preserve"> </w:t>
      </w:r>
      <w:r w:rsidRPr="00E67614">
        <w:t>en luid</w:t>
      </w:r>
      <w:r>
        <w:t>t</w:t>
      </w:r>
      <w:r w:rsidRPr="00E67614">
        <w:t xml:space="preserve"> als volgt</w:t>
      </w:r>
      <w:r>
        <w:rPr>
          <w:rStyle w:val="Voetnootmarkering"/>
        </w:rPr>
        <w:footnoteReference w:id="6"/>
      </w:r>
      <w:r w:rsidRPr="00E67614">
        <w:t>:</w:t>
      </w:r>
    </w:p>
    <w:p w:rsidR="006861A0" w:rsidRPr="00E67614" w:rsidRDefault="006861A0" w:rsidP="003C7640">
      <w:pPr>
        <w:spacing w:line="360" w:lineRule="auto"/>
        <w:contextualSpacing/>
        <w:jc w:val="both"/>
      </w:pPr>
    </w:p>
    <w:p w:rsidR="006861A0" w:rsidRDefault="006861A0" w:rsidP="003C7640">
      <w:pPr>
        <w:spacing w:line="360" w:lineRule="auto"/>
        <w:ind w:left="708"/>
        <w:contextualSpacing/>
        <w:jc w:val="both"/>
        <w:rPr>
          <w:i/>
          <w:lang w:val="en-US"/>
        </w:rPr>
      </w:pPr>
      <w:r>
        <w:rPr>
          <w:i/>
          <w:lang w:val="en-US"/>
        </w:rPr>
        <w:t xml:space="preserve">“ </w:t>
      </w:r>
      <w:r w:rsidRPr="00DA316D">
        <w:rPr>
          <w:i/>
          <w:lang w:val="en-US"/>
        </w:rPr>
        <w:t>Personal income may be defined as "the algebraic sum of (1) the market value of rights exercised in consumption and (2) the change in the value of the store of property rights between the beginning an</w:t>
      </w:r>
      <w:r>
        <w:rPr>
          <w:i/>
          <w:lang w:val="en-US"/>
        </w:rPr>
        <w:t xml:space="preserve">d end of the period in question.“ </w:t>
      </w:r>
    </w:p>
    <w:p w:rsidR="006861A0" w:rsidRDefault="006861A0" w:rsidP="003C7640">
      <w:pPr>
        <w:spacing w:line="360" w:lineRule="auto"/>
        <w:contextualSpacing/>
        <w:jc w:val="both"/>
        <w:rPr>
          <w:lang w:val="en-US"/>
        </w:rPr>
      </w:pPr>
    </w:p>
    <w:p w:rsidR="00152F58" w:rsidRDefault="002270F3" w:rsidP="003C7640">
      <w:pPr>
        <w:spacing w:line="360" w:lineRule="auto"/>
        <w:contextualSpacing/>
        <w:jc w:val="both"/>
        <w:rPr>
          <w:rFonts w:ascii="Calibri" w:eastAsia="Calibri" w:hAnsi="Calibri" w:cs="Calibri"/>
        </w:rPr>
      </w:pPr>
      <w:r>
        <w:t>Simons stelt dat het inkomen bepaald wordt door de verandering van het vermogen tussen het begin en het eind van de betreffende periode</w:t>
      </w:r>
      <w:r w:rsidR="009A18BB">
        <w:t xml:space="preserve"> vermeerderd met de marktwaarde van de consumptie.</w:t>
      </w:r>
      <w:r w:rsidR="006861A0" w:rsidRPr="00632908">
        <w:t xml:space="preserve"> In tegenstelling tot </w:t>
      </w:r>
      <w:proofErr w:type="spellStart"/>
      <w:r w:rsidR="006861A0" w:rsidRPr="00632908">
        <w:t>Haig</w:t>
      </w:r>
      <w:proofErr w:type="spellEnd"/>
      <w:r w:rsidR="006861A0" w:rsidRPr="00632908">
        <w:t xml:space="preserve"> pleit hij er echter wel voor om inkomsten in natura buiten de grondslag voor inkomensbelasting te </w:t>
      </w:r>
      <w:r w:rsidR="009A18BB" w:rsidRPr="00632908">
        <w:t>houden.</w:t>
      </w:r>
      <w:r w:rsidR="006861A0" w:rsidRPr="00632908">
        <w:t xml:space="preserve"> </w:t>
      </w:r>
      <w:r w:rsidR="009A18BB" w:rsidRPr="00632908">
        <w:t>is volgens Van den Dool uit praktische overwegingen.</w:t>
      </w:r>
      <w:r w:rsidR="006861A0">
        <w:rPr>
          <w:rStyle w:val="Voetnootmarkering"/>
          <w:rFonts w:ascii="Calibri" w:eastAsia="Calibri" w:hAnsi="Calibri" w:cs="Calibri"/>
        </w:rPr>
        <w:footnoteReference w:id="7"/>
      </w:r>
      <w:r w:rsidR="006861A0">
        <w:rPr>
          <w:rFonts w:ascii="Calibri" w:eastAsia="Calibri" w:hAnsi="Calibri" w:cs="Calibri"/>
        </w:rPr>
        <w:t xml:space="preserve"> </w:t>
      </w:r>
      <w:r w:rsidR="006861A0" w:rsidRPr="00632908">
        <w:t>In principe was Simons wel van mening da</w:t>
      </w:r>
      <w:r w:rsidR="00152F58" w:rsidRPr="00632908">
        <w:t>t dit tot het inkomen behoort.</w:t>
      </w:r>
    </w:p>
    <w:p w:rsidR="000D0E0C" w:rsidRPr="000D0E0C" w:rsidRDefault="000D0E0C" w:rsidP="003C7640">
      <w:pPr>
        <w:pStyle w:val="Kop2"/>
        <w:spacing w:line="360" w:lineRule="auto"/>
        <w:jc w:val="both"/>
      </w:pPr>
      <w:bookmarkStart w:id="13" w:name="_Toc299740210"/>
      <w:r w:rsidRPr="000D0E0C">
        <w:t>Bestanddelen SHS-inkomensbegrip</w:t>
      </w:r>
      <w:bookmarkEnd w:id="13"/>
    </w:p>
    <w:p w:rsidR="006861A0" w:rsidRDefault="006861A0" w:rsidP="003C7640">
      <w:pPr>
        <w:spacing w:line="360" w:lineRule="auto"/>
        <w:contextualSpacing/>
        <w:jc w:val="both"/>
      </w:pPr>
      <w:r>
        <w:t xml:space="preserve">Zoals reeds aangegeven is het SHS-inkomensbegrip erg breed. Alle inkomsten worden hierbij betrokken. </w:t>
      </w:r>
      <w:r w:rsidR="009A18BB">
        <w:t>Zo behoren de inkomsten die in het huidige stelsel belast worden hiertoe</w:t>
      </w:r>
      <w:r>
        <w:t>: salaris, winst uit onderneming, uitkeringen van de overheid (bijvoorbeeld de werkeloosheidsuitkering) en dividend. Onder salaris vallen ook de extra’s die een werknemer krijgt van de werkgever, zoals het gebruik van de auto van de zaak. Het SHS-inkomensbegrip bevat echter ook andere componenten.</w:t>
      </w:r>
      <w:r>
        <w:rPr>
          <w:rStyle w:val="Voetnootmarkering"/>
        </w:rPr>
        <w:footnoteReference w:id="8"/>
      </w:r>
      <w:r>
        <w:t xml:space="preserve"> De uitgaven van de  werkgever voor pensioen en verzekeringen moeten tot het inkomen worden gerekend, evenals al hetgeen iemand uit vrijgevigheid (schenking) of als erfenis verkrijgt.</w:t>
      </w:r>
    </w:p>
    <w:p w:rsidR="006861A0" w:rsidRDefault="006861A0" w:rsidP="003C7640">
      <w:pPr>
        <w:spacing w:line="360" w:lineRule="auto"/>
        <w:contextualSpacing/>
        <w:jc w:val="both"/>
      </w:pPr>
    </w:p>
    <w:p w:rsidR="009A18BB" w:rsidRDefault="006861A0" w:rsidP="003C7640">
      <w:pPr>
        <w:spacing w:line="360" w:lineRule="auto"/>
        <w:contextualSpacing/>
        <w:jc w:val="both"/>
      </w:pPr>
      <w:r>
        <w:t xml:space="preserve">Een belangrijk bestanddeel van inkomen volgens het SHS-inkomensbegrip is de aanwas op een vermogensbestanddeel. </w:t>
      </w:r>
      <w:r w:rsidR="009A18BB">
        <w:t>Wanneer een huis meer waard wordt, leidt dat volgens het SHS-inkomsensbegrip tot inkomen.</w:t>
      </w:r>
      <w:r>
        <w:t xml:space="preserve"> Hetzelfde geldt voor winsten op aanmerkelijkbelangaandelen. </w:t>
      </w:r>
      <w:r w:rsidR="009A18BB">
        <w:t xml:space="preserve">Elk jaar zal moeten worden bepaald wat de waarde is van deze aandelen of andere vermogensbestanddelen. Bij het SHS-inkomensbegrip is het niet relevant of het vermogensaanwas (nog niet gerealiseerde meerwaarde) of vermogenswinst (gerealiseerde meerwaarde) betreft. Elke vermeerdering van het </w:t>
      </w:r>
      <w:r w:rsidR="009A18BB">
        <w:lastRenderedPageBreak/>
        <w:t>vermogen wordt gezien als inkomen. De vermogenstoename kan in de vorm van geld of in natura zijn.  Immers, een verkrijging in natura (mits deze een geldelijke waarde heeft) zorgt er voor dat iemand meer kan consumeren.</w:t>
      </w:r>
    </w:p>
    <w:p w:rsidR="006861A0" w:rsidRDefault="006861A0" w:rsidP="003C7640">
      <w:pPr>
        <w:spacing w:line="360" w:lineRule="auto"/>
        <w:contextualSpacing/>
        <w:jc w:val="both"/>
      </w:pPr>
    </w:p>
    <w:p w:rsidR="00E91B87" w:rsidRDefault="00E91B87" w:rsidP="003C7640">
      <w:pPr>
        <w:spacing w:line="360" w:lineRule="auto"/>
        <w:contextualSpacing/>
        <w:jc w:val="both"/>
      </w:pPr>
      <w:r>
        <w:t>Voor het SHS-inkomensbegrip is van belang hoeveel een persoon potentieel in een jaar kan consumeren. Het beginvermogen mag hierdoor niet verminderd worden. Wanneer iemand minder kan consumeren, ongeacht de reden, moet dat worden afgetrokken van het totale inkomen. Een voorbeeld hiervan zijn kosten voor het verkrijgen van inkomen.</w:t>
      </w:r>
      <w:r>
        <w:rPr>
          <w:rStyle w:val="Voetnootmarkering"/>
        </w:rPr>
        <w:footnoteReference w:id="9"/>
      </w:r>
    </w:p>
    <w:p w:rsidR="006861A0" w:rsidRDefault="006861A0" w:rsidP="003C7640">
      <w:pPr>
        <w:spacing w:line="360" w:lineRule="auto"/>
        <w:contextualSpacing/>
        <w:jc w:val="both"/>
      </w:pPr>
    </w:p>
    <w:p w:rsidR="006861A0" w:rsidRDefault="00E91B87" w:rsidP="003C7640">
      <w:pPr>
        <w:spacing w:line="360" w:lineRule="auto"/>
        <w:contextualSpacing/>
        <w:jc w:val="both"/>
      </w:pPr>
      <w:r>
        <w:t xml:space="preserve">Het eindvermogen is voor het berekenen van het inkomen, volgens het SHS-inkomsensbegrip, van belang. Er kan ook sprake zijn van een negatieve vermogensmutatie in het eindvermogen. Een voorbeeld hiervan is een waardedaling van een vermogensbestanddeel, zoals een huis. Een ander voorbeeld is iemand die een lening aangaat en daar een deel van consumeert.  Door de consumptie van de schuld zal de schuld negatief in aanmerking moeten worden genomen bij het bepalen van het eindvermogen, terwijl een deel van de liquide middelen weg zijn. </w:t>
      </w:r>
      <w:r w:rsidR="006861A0">
        <w:t>Wanneer de</w:t>
      </w:r>
      <w:r w:rsidR="00AF41F2">
        <w:t xml:space="preserve"> met de</w:t>
      </w:r>
      <w:r w:rsidR="006861A0">
        <w:t xml:space="preserve"> lening </w:t>
      </w:r>
      <w:r w:rsidR="00AF41F2">
        <w:t xml:space="preserve">opgenomen middelen </w:t>
      </w:r>
      <w:r w:rsidR="006861A0">
        <w:t xml:space="preserve">niet </w:t>
      </w:r>
      <w:r w:rsidR="00AF41F2">
        <w:t xml:space="preserve">worden </w:t>
      </w:r>
      <w:r w:rsidR="006861A0">
        <w:t xml:space="preserve">geconsumeerd zal er geen vermogensmutatie in het eindvermogen optreden. </w:t>
      </w:r>
      <w:r>
        <w:t>Bij het eerste voorbeeld (lagere waarde vermogensbestanddelen) is er volgens het SHS-inkomensbegrip wel een verandering in het inkomen, maar bij het tweede voorbeeld niet (dit wordt gecorrigeerd door de consumptie).</w:t>
      </w:r>
    </w:p>
    <w:p w:rsidR="006861A0" w:rsidRDefault="006861A0" w:rsidP="003C7640">
      <w:pPr>
        <w:pStyle w:val="Kop2"/>
        <w:spacing w:line="360" w:lineRule="auto"/>
        <w:jc w:val="both"/>
      </w:pPr>
      <w:bookmarkStart w:id="14" w:name="_Toc299740211"/>
      <w:r>
        <w:t>Vermogensaanwasbelasting</w:t>
      </w:r>
      <w:bookmarkEnd w:id="14"/>
    </w:p>
    <w:p w:rsidR="006861A0" w:rsidRDefault="00E91B87" w:rsidP="003C7640">
      <w:pPr>
        <w:spacing w:line="360" w:lineRule="auto"/>
        <w:contextualSpacing/>
        <w:jc w:val="both"/>
      </w:pPr>
      <w:r>
        <w:t xml:space="preserve">Een vermogensaanwasbelasting probeert de vermogensaanwas te belasten. Elk jaar zal belasting moeten worden betaald over alle waardevermeerderingen, zowel het gerealiseerde als het ongerealiseerde deel. Bij vervreemding zal alleen de waardevermeerdering, die ontstaan is sinds de laatste keer dat belasting betaald is, in de heffing worden betrokken. </w:t>
      </w:r>
      <w:r w:rsidR="006861A0">
        <w:t xml:space="preserve">Een vermogenswinstbelasting is daarentegen een belastingsysteem waarbij een belastingclaim pas ontstaat </w:t>
      </w:r>
      <w:r w:rsidR="00811476">
        <w:t>als het</w:t>
      </w:r>
      <w:r w:rsidR="006861A0">
        <w:t xml:space="preserve"> vermogensbestanddeel</w:t>
      </w:r>
      <w:r w:rsidR="00811476">
        <w:t xml:space="preserve"> het vermogen van een belastingplichtige verlaat</w:t>
      </w:r>
      <w:r w:rsidR="006861A0">
        <w:t xml:space="preserve">. Bij verkoop van bijvoorbeeld </w:t>
      </w:r>
      <w:r w:rsidR="00811476">
        <w:t>aanmerkelijkbelang</w:t>
      </w:r>
      <w:r>
        <w:t>aandelen</w:t>
      </w:r>
      <w:r w:rsidR="006861A0">
        <w:t xml:space="preserve"> moet ineens worden afgerekend over winst die over de jaren op die aandelen gemaakt is. </w:t>
      </w:r>
      <w:r>
        <w:t>Hierbij zou idealiter rekening moeten worden gehouden met de rente die ontvangen is op deze liquiditeiten tijdens de jaren dat geen belasting betaald is.</w:t>
      </w:r>
    </w:p>
    <w:p w:rsidR="006861A0" w:rsidRDefault="006861A0" w:rsidP="003C7640">
      <w:pPr>
        <w:spacing w:line="360" w:lineRule="auto"/>
        <w:contextualSpacing/>
        <w:jc w:val="both"/>
      </w:pPr>
    </w:p>
    <w:p w:rsidR="00E91B87" w:rsidRDefault="00E91B87" w:rsidP="003C7640">
      <w:pPr>
        <w:spacing w:line="360" w:lineRule="auto"/>
        <w:contextualSpacing/>
        <w:jc w:val="both"/>
      </w:pPr>
      <w:r>
        <w:t xml:space="preserve">Het SHS-inkomensbegrip kan als grondslag fungeren voor de vermogensaanwasbelasting. Het SHS-inkomensbegrip is echter een erg breed inkomensbegrip. </w:t>
      </w:r>
      <w:r w:rsidRPr="00E91E56">
        <w:t xml:space="preserve">De consumptie is moeilijk te meten en </w:t>
      </w:r>
      <w:r>
        <w:t xml:space="preserve">het </w:t>
      </w:r>
      <w:r>
        <w:lastRenderedPageBreak/>
        <w:t>onderscheid tussen een consumptiegoed of kosten voor het verkrijgen van inkomen is moeilijk te bepalen.</w:t>
      </w:r>
      <w:r>
        <w:rPr>
          <w:rStyle w:val="Voetnootmarkering"/>
        </w:rPr>
        <w:footnoteReference w:id="10"/>
      </w:r>
      <w:r>
        <w:t xml:space="preserve"> De vermogensaanwasbelasting kan ook op een minder breed inkomensbegrip worden gebaseerd. Hierbij worden elementen van het SHS-inkomensbegrip gebruikt. Er moet dan wel een aanvullende regeling worden getroffen voor reguliere voordelen</w:t>
      </w:r>
      <w:r>
        <w:rPr>
          <w:rStyle w:val="Voetnootmarkering"/>
        </w:rPr>
        <w:footnoteReference w:id="11"/>
      </w:r>
      <w:r>
        <w:t xml:space="preserve">, ter voorkoming van belastingontwijking. Anders kan worden uitgekeerd om te voorkomen dat er dat jaar een vermogensaanwas plaatsvindt. De aandelen worden dan immers minder waard. </w:t>
      </w:r>
    </w:p>
    <w:p w:rsidR="006861A0" w:rsidRDefault="006861A0" w:rsidP="003C7640">
      <w:pPr>
        <w:spacing w:line="360" w:lineRule="auto"/>
        <w:contextualSpacing/>
        <w:jc w:val="both"/>
      </w:pPr>
    </w:p>
    <w:p w:rsidR="006861A0" w:rsidRDefault="00E91B87" w:rsidP="003C7640">
      <w:pPr>
        <w:spacing w:line="360" w:lineRule="auto"/>
        <w:contextualSpacing/>
        <w:jc w:val="both"/>
      </w:pPr>
      <w:r>
        <w:t>Op grond van het SHS-inkomensbegrip hoort inflatie niet belast te worden. Inflatie is een stijging van het algemeen prijspeil. Wanneer geen rekening gehouden wordt met inflatie, kunnen er schijnwinsten ontstaan. Dit houdt in dat er weliswaar winsten worden gemaakt, maar dat de draagkracht niet vergroot wordt. Overigens behoort zowel de vermogensaanwas- als de vermogenswinstbelasting inflatie niet te belasten. Een belasting hoort eigenlijk inflatieneutraal te zijn. Inflatieneutraliteit betekent dat de inflatoire ontwikkeling geen invloed heeft op de reële waarde van de belastinggrondslag.</w:t>
      </w:r>
      <w:r>
        <w:rPr>
          <w:rStyle w:val="Voetnootmarkering"/>
        </w:rPr>
        <w:footnoteReference w:id="12"/>
      </w:r>
      <w:r>
        <w:t xml:space="preserve">  De drie meest voorkomende bedrijfseconomische </w:t>
      </w:r>
      <w:proofErr w:type="spellStart"/>
      <w:r>
        <w:t>winstbegripstelsels</w:t>
      </w:r>
      <w:proofErr w:type="spellEnd"/>
      <w:r>
        <w:t xml:space="preserve"> zijn het nominalistische winstbegrip, het </w:t>
      </w:r>
      <w:proofErr w:type="spellStart"/>
      <w:r>
        <w:t>substantialistische</w:t>
      </w:r>
      <w:proofErr w:type="spellEnd"/>
      <w:r>
        <w:t xml:space="preserve"> winstbegrip en het realistische winstbegrip.</w:t>
      </w:r>
      <w:r>
        <w:rPr>
          <w:rStyle w:val="Voetnootmarkering"/>
        </w:rPr>
        <w:footnoteReference w:id="13"/>
      </w:r>
      <w:r>
        <w:t xml:space="preserve"> Het nominalistische winstbegrip  houdt geen rekening met inflatie. Daarbij wordt elke nominale vermogensverandering tot de winst gerekend.</w:t>
      </w:r>
      <w:r>
        <w:rPr>
          <w:rStyle w:val="Voetnootmarkering"/>
        </w:rPr>
        <w:footnoteReference w:id="14"/>
      </w:r>
      <w:r>
        <w:t xml:space="preserve"> Het </w:t>
      </w:r>
      <w:proofErr w:type="spellStart"/>
      <w:r>
        <w:t>substantialisme</w:t>
      </w:r>
      <w:proofErr w:type="spellEnd"/>
      <w:r>
        <w:t xml:space="preserve"> is gericht op de handhaving van het ondernemingscomplex, het realisme is gericht op de handhaving van de algemene koopkracht.</w:t>
      </w:r>
      <w:r>
        <w:rPr>
          <w:rStyle w:val="Voetnootmarkering"/>
        </w:rPr>
        <w:footnoteReference w:id="15"/>
      </w:r>
      <w:r>
        <w:t xml:space="preserve">  </w:t>
      </w:r>
      <w:proofErr w:type="spellStart"/>
      <w:r>
        <w:t>Caanen</w:t>
      </w:r>
      <w:proofErr w:type="spellEnd"/>
      <w:r>
        <w:rPr>
          <w:rStyle w:val="Voetnootmarkering"/>
        </w:rPr>
        <w:footnoteReference w:id="16"/>
      </w:r>
      <w:r>
        <w:t xml:space="preserve"> is van mening dat het realistische winstbegrip zou moeten worden gebruikt, onder andere omdat dit winstbegrip kan worden gebruikt voor zowel totaal- als jaarwinst</w:t>
      </w:r>
      <w:r w:rsidR="00A93E05">
        <w:t xml:space="preserve">. </w:t>
      </w:r>
      <w:proofErr w:type="spellStart"/>
      <w:r w:rsidR="00A93E05">
        <w:t>Caanen</w:t>
      </w:r>
      <w:proofErr w:type="spellEnd"/>
      <w:r w:rsidR="00A93E05">
        <w:t xml:space="preserve"> </w:t>
      </w:r>
      <w:r>
        <w:t>meent dat dit relatief eenvoudig toe te passen is.</w:t>
      </w:r>
    </w:p>
    <w:p w:rsidR="00A93E05" w:rsidRDefault="00A93E05" w:rsidP="003C7640">
      <w:pPr>
        <w:spacing w:line="360" w:lineRule="auto"/>
        <w:contextualSpacing/>
        <w:jc w:val="both"/>
      </w:pPr>
      <w:r>
        <w:br/>
        <w:t xml:space="preserve">Voor dit onderzoek is met name de inflatie met betrekking tot vermogenswinsten van belang. </w:t>
      </w:r>
      <w:r w:rsidR="00632908">
        <w:t xml:space="preserve">De </w:t>
      </w:r>
      <w:r>
        <w:t xml:space="preserve">Commissie </w:t>
      </w:r>
      <w:proofErr w:type="spellStart"/>
      <w:r>
        <w:t>Ruding</w:t>
      </w:r>
      <w:proofErr w:type="spellEnd"/>
      <w:r>
        <w:t xml:space="preserve"> heeft zich hier ook over uitgelaten.</w:t>
      </w:r>
      <w:r>
        <w:rPr>
          <w:rStyle w:val="Voetnootmarkering"/>
        </w:rPr>
        <w:footnoteReference w:id="17"/>
      </w:r>
      <w:r>
        <w:t xml:space="preserve"> Volgens deze commissie moeten vermogenswinsten reëel worden belast, dus niet het deel dat wordt veroorzaakt door de inflatie. De schijnwinst moet volgens hen dus niet belast worden. </w:t>
      </w:r>
    </w:p>
    <w:p w:rsidR="006861A0" w:rsidRDefault="006861A0" w:rsidP="003C7640">
      <w:pPr>
        <w:spacing w:line="360" w:lineRule="auto"/>
        <w:contextualSpacing/>
        <w:jc w:val="both"/>
      </w:pPr>
    </w:p>
    <w:p w:rsidR="006861A0" w:rsidRDefault="006861A0" w:rsidP="003C7640">
      <w:pPr>
        <w:spacing w:line="360" w:lineRule="auto"/>
        <w:contextualSpacing/>
        <w:jc w:val="both"/>
      </w:pPr>
      <w:r>
        <w:lastRenderedPageBreak/>
        <w:t>Wanneer geen rekening wordt gehouden met inflatie, kunnen er verstoringen optreden. Een voorbeeld van zo’n verstoring is de ‘bracket creep’.</w:t>
      </w:r>
      <w:r>
        <w:rPr>
          <w:rStyle w:val="Voetnootmarkering"/>
        </w:rPr>
        <w:footnoteReference w:id="18"/>
      </w:r>
      <w:r>
        <w:t xml:space="preserve"> Door inflatie gaan vaak de lonen omhoog. Ook kan iemand vanwege het progressieve tarief in een hogere schijf komen, waardoor er een hogere effectieve belastingdruk is, terwijl het reële inkomen ongewijzigd is (koopkracht blijft gelijk).</w:t>
      </w:r>
      <w:r w:rsidR="00655AA8">
        <w:t xml:space="preserve"> Dit is overigens in deze scriptie minder relevant omdat een aanmerkelijkbelanghouder belast wordt op basis van een proportioneel tarief. Alleen via de vennootschapsbelasting kan een </w:t>
      </w:r>
      <w:proofErr w:type="spellStart"/>
      <w:r w:rsidR="00655AA8">
        <w:t>aanmerkelijkhouder</w:t>
      </w:r>
      <w:proofErr w:type="spellEnd"/>
      <w:r w:rsidR="00655AA8">
        <w:t xml:space="preserve"> te maken krijgen met een lichte progressie. </w:t>
      </w:r>
      <w:r>
        <w:t xml:space="preserve">Om te komen tot een ideaal systeem moet </w:t>
      </w:r>
      <w:r w:rsidR="00655AA8">
        <w:t xml:space="preserve">er </w:t>
      </w:r>
      <w:r>
        <w:t xml:space="preserve">naar mijn mening </w:t>
      </w:r>
      <w:r w:rsidR="00655AA8">
        <w:t xml:space="preserve">wel </w:t>
      </w:r>
      <w:r>
        <w:t xml:space="preserve">gecorrigeerd worden voor inflatie. </w:t>
      </w:r>
      <w:r w:rsidR="009E52C9">
        <w:t>Nu er</w:t>
      </w:r>
      <w:r w:rsidR="006A2001">
        <w:t xml:space="preserve"> </w:t>
      </w:r>
      <w:r w:rsidR="009E52C9">
        <w:t>evenwel</w:t>
      </w:r>
      <w:r w:rsidR="006A2001">
        <w:t xml:space="preserve"> geen aanwijzingen </w:t>
      </w:r>
      <w:r w:rsidR="009E52C9">
        <w:t xml:space="preserve">zijn </w:t>
      </w:r>
      <w:r w:rsidR="006A2001">
        <w:t xml:space="preserve">dat Nederland </w:t>
      </w:r>
      <w:r w:rsidR="009E52C9">
        <w:t xml:space="preserve">het </w:t>
      </w:r>
      <w:r w:rsidR="006A2001">
        <w:t>nominalistisch</w:t>
      </w:r>
      <w:r w:rsidR="009E52C9">
        <w:t>e</w:t>
      </w:r>
      <w:r w:rsidR="006A2001">
        <w:t xml:space="preserve"> stelsel zou verlaten</w:t>
      </w:r>
      <w:r w:rsidR="009E52C9">
        <w:t xml:space="preserve"> heb ik er toch voor gekozen in </w:t>
      </w:r>
      <w:r w:rsidR="006A2001">
        <w:t xml:space="preserve">dit onderzoek geen rekening </w:t>
      </w:r>
      <w:r w:rsidR="009E52C9">
        <w:t xml:space="preserve">te houden </w:t>
      </w:r>
      <w:r w:rsidR="006A2001">
        <w:t xml:space="preserve">met </w:t>
      </w:r>
      <w:r w:rsidR="009E52C9">
        <w:t xml:space="preserve">een </w:t>
      </w:r>
      <w:r w:rsidR="006A2001">
        <w:t>inflatiecorrectie.</w:t>
      </w:r>
    </w:p>
    <w:p w:rsidR="006861A0" w:rsidRDefault="006861A0" w:rsidP="003C7640">
      <w:pPr>
        <w:pStyle w:val="Kop2"/>
        <w:spacing w:line="360" w:lineRule="auto"/>
        <w:jc w:val="both"/>
      </w:pPr>
      <w:bookmarkStart w:id="15" w:name="_Toc299740212"/>
      <w:r>
        <w:t>Voor-</w:t>
      </w:r>
      <w:r w:rsidR="00632908">
        <w:t xml:space="preserve"> </w:t>
      </w:r>
      <w:r>
        <w:t>en nadelen vermogensaanwasbelasting</w:t>
      </w:r>
      <w:bookmarkEnd w:id="15"/>
      <w:r>
        <w:t xml:space="preserve"> </w:t>
      </w:r>
    </w:p>
    <w:p w:rsidR="00A93E05" w:rsidRDefault="00A93E05" w:rsidP="003C7640">
      <w:pPr>
        <w:spacing w:line="360" w:lineRule="auto"/>
        <w:contextualSpacing/>
        <w:jc w:val="both"/>
      </w:pPr>
      <w:r>
        <w:t>Het belangrijkste voordeel van een vermogensaanwasbelasting ten opzichte van een vermogenswinstbelasting is dat het zorgt voor minder verstoringen voor de economie. Zo is er geen sprake van een onder een vermogenswinstbelasting optredend  “</w:t>
      </w:r>
      <w:proofErr w:type="spellStart"/>
      <w:r>
        <w:t>lock-in</w:t>
      </w:r>
      <w:proofErr w:type="spellEnd"/>
      <w:r>
        <w:t>” effect. Een “</w:t>
      </w:r>
      <w:proofErr w:type="spellStart"/>
      <w:r>
        <w:t>lock-in</w:t>
      </w:r>
      <w:proofErr w:type="spellEnd"/>
      <w:r>
        <w:t xml:space="preserve">” effect betekent dat een belastingplichtige winsten later realiseert om belastingheffing uit te stellen, terwijl verliezen zo snel mogelijk gerealiseerd worden. Het gedrag van een belastingplichtige wordt op deze manier beïnvloedt.  Bij een vermogensaanwasbelasting blijft dit belangrijke nadeel buiten werking , omdat belasting moet worden betaald ongeacht of de vermogenswinsten gerealiseerd zijn. </w:t>
      </w:r>
    </w:p>
    <w:p w:rsidR="00A93E05" w:rsidRDefault="00A93E05" w:rsidP="003C7640">
      <w:pPr>
        <w:spacing w:line="360" w:lineRule="auto"/>
        <w:contextualSpacing/>
        <w:jc w:val="both"/>
      </w:pPr>
    </w:p>
    <w:p w:rsidR="00A93E05" w:rsidRDefault="00A93E05" w:rsidP="003C7640">
      <w:pPr>
        <w:spacing w:line="360" w:lineRule="auto"/>
        <w:contextualSpacing/>
        <w:jc w:val="both"/>
      </w:pPr>
      <w:r>
        <w:t>Een nadeel van een vermogensaanwasbelasting is dat sprake kan zijn van liquiditeitsproblemen, omdat de belastingplichtige over niet-gerealiseerde winsten moet betalen. Van den Dool</w:t>
      </w:r>
      <w:r>
        <w:rPr>
          <w:rStyle w:val="Voetnootmarkering"/>
        </w:rPr>
        <w:footnoteReference w:id="19"/>
      </w:r>
      <w:r>
        <w:t xml:space="preserve"> beargumenteert dat dit geen probleem hoeft te zijn, mits er sprake is van een perfecte kapitaalmarkt met voldoende leenmogelijkheden. Dan kan de belastingplichtige de overwaarde op een vermogensbestanddeel lenen, waarmee de belasting kan worden voldaan. Liquiditeitsproblemen kunnen wel ontstaan op een imperfecte markt.</w:t>
      </w:r>
    </w:p>
    <w:p w:rsidR="006861A0" w:rsidRDefault="006861A0" w:rsidP="003C7640">
      <w:pPr>
        <w:spacing w:line="360" w:lineRule="auto"/>
        <w:contextualSpacing/>
        <w:jc w:val="both"/>
      </w:pPr>
    </w:p>
    <w:p w:rsidR="00A93E05" w:rsidRDefault="00A93E05" w:rsidP="003C7640">
      <w:pPr>
        <w:spacing w:line="360" w:lineRule="auto"/>
        <w:contextualSpacing/>
        <w:jc w:val="both"/>
      </w:pPr>
      <w:r>
        <w:t xml:space="preserve">Tot slot kan de waardering van de vermogensbestanddelen problemen opleveren, bijvoorbeeld bij de waardering van incourante aandelen Bij courante aandelen is er geen probleem, aangezien de waarde van deze aandelen in bijvoorbeeld de Prijs Courant op te zoeken is. Deze informatie bestaat niet voor incourante aandelen. Ook de waardering van andere vermogensbestanddelen kan moeilijk zijn, met name wanneer de winst niet wordt gerealiseerd door verkoop. </w:t>
      </w:r>
    </w:p>
    <w:p w:rsidR="006861A0" w:rsidRDefault="006861A0" w:rsidP="002A5479">
      <w:pPr>
        <w:spacing w:line="360" w:lineRule="auto"/>
        <w:contextualSpacing/>
      </w:pPr>
    </w:p>
    <w:p w:rsidR="006861A0" w:rsidRDefault="004146D6" w:rsidP="003C7640">
      <w:pPr>
        <w:spacing w:line="360" w:lineRule="auto"/>
        <w:contextualSpacing/>
        <w:jc w:val="both"/>
      </w:pPr>
      <w:r>
        <w:lastRenderedPageBreak/>
        <w:t>Een</w:t>
      </w:r>
      <w:r w:rsidR="006861A0">
        <w:t xml:space="preserve"> vermogensaanwasbelasting heeft naar mijn mening de voorkeur boven </w:t>
      </w:r>
      <w:r w:rsidR="009E52C9">
        <w:t xml:space="preserve">een </w:t>
      </w:r>
      <w:r w:rsidR="006861A0">
        <w:t>vermogenswinstbelasting</w:t>
      </w:r>
      <w:r w:rsidR="009E52C9">
        <w:t>. De</w:t>
      </w:r>
      <w:r w:rsidR="006861A0">
        <w:t xml:space="preserve"> wetgever </w:t>
      </w:r>
      <w:r w:rsidR="009E52C9">
        <w:t xml:space="preserve">heeft </w:t>
      </w:r>
      <w:r w:rsidR="006861A0">
        <w:t>hier</w:t>
      </w:r>
      <w:r w:rsidR="00A93E05">
        <w:t xml:space="preserve"> echter</w:t>
      </w:r>
      <w:r w:rsidR="006861A0">
        <w:t xml:space="preserve"> niet voor gekozen. </w:t>
      </w:r>
      <w:r w:rsidR="006861A0" w:rsidRPr="00165FFF">
        <w:t>Bij de invoering van de Wet Inkomstenbelasting 2001 werd een vermogensaanwasbelasting</w:t>
      </w:r>
      <w:r w:rsidR="006861A0">
        <w:t xml:space="preserve"> met betrekking tot sparen en beleggen (box 3)</w:t>
      </w:r>
      <w:r w:rsidR="009E52C9">
        <w:t xml:space="preserve"> wel</w:t>
      </w:r>
      <w:r w:rsidR="006861A0" w:rsidRPr="00165FFF">
        <w:t xml:space="preserve">  besproken, </w:t>
      </w:r>
      <w:r w:rsidR="009E52C9">
        <w:t>hetgeen</w:t>
      </w:r>
      <w:r w:rsidR="009E52C9" w:rsidRPr="00165FFF">
        <w:t xml:space="preserve"> </w:t>
      </w:r>
      <w:r w:rsidR="006861A0" w:rsidRPr="00165FFF">
        <w:t xml:space="preserve">beschreven staat in de </w:t>
      </w:r>
      <w:r w:rsidRPr="00165FFF">
        <w:t>bijlage</w:t>
      </w:r>
      <w:r w:rsidR="005E7B98">
        <w:t xml:space="preserve"> van de Kamerstukken</w:t>
      </w:r>
      <w:r w:rsidR="006861A0" w:rsidRPr="00165FFF">
        <w:t xml:space="preserve"> “</w:t>
      </w:r>
      <w:r w:rsidR="006861A0" w:rsidRPr="005A0106">
        <w:rPr>
          <w:rFonts w:cs="Univers-Bold"/>
          <w:bCs/>
        </w:rPr>
        <w:t>Afwegingen inzake de belastingheffing over</w:t>
      </w:r>
      <w:r w:rsidR="006861A0">
        <w:rPr>
          <w:rFonts w:cs="Univers-Bold"/>
          <w:bCs/>
        </w:rPr>
        <w:t xml:space="preserve"> </w:t>
      </w:r>
      <w:r w:rsidR="006861A0" w:rsidRPr="005A0106">
        <w:rPr>
          <w:rFonts w:cs="Univers-Bold"/>
          <w:bCs/>
        </w:rPr>
        <w:t>inkomsten uit vermogen”</w:t>
      </w:r>
      <w:r w:rsidR="006861A0">
        <w:rPr>
          <w:rFonts w:cs="Univers-Bold"/>
          <w:bCs/>
        </w:rPr>
        <w:t>.</w:t>
      </w:r>
      <w:r w:rsidR="006861A0" w:rsidRPr="00165FFF">
        <w:t xml:space="preserve"> </w:t>
      </w:r>
      <w:r w:rsidR="006861A0">
        <w:t>De wetgever vond de bovenstaande</w:t>
      </w:r>
      <w:r w:rsidR="006861A0" w:rsidRPr="00165FFF">
        <w:t xml:space="preserve"> nadelen de overhand hebben, vandaar dat zij een vermogensaanwasbelasting ‘niet opportuun’ bevonden.</w:t>
      </w:r>
      <w:r w:rsidR="006861A0">
        <w:t xml:space="preserve"> </w:t>
      </w:r>
      <w:r w:rsidR="006861A0">
        <w:rPr>
          <w:rStyle w:val="Voetnootmarkering"/>
        </w:rPr>
        <w:footnoteReference w:id="20"/>
      </w:r>
      <w:r w:rsidR="006861A0">
        <w:t xml:space="preserve"> Idealiter wordt de vermogensaanwasbelasting dus geprefereerd boven een vermogenswinstbelasting. Het </w:t>
      </w:r>
      <w:proofErr w:type="spellStart"/>
      <w:r w:rsidR="006861A0">
        <w:t>lock-in</w:t>
      </w:r>
      <w:proofErr w:type="spellEnd"/>
      <w:r w:rsidR="006861A0">
        <w:t xml:space="preserve"> effect zorgt namelijk voor marktverstoringen: het zorgt ervoor dat het gedrag van mensen verandert.   </w:t>
      </w:r>
    </w:p>
    <w:p w:rsidR="006861A0" w:rsidRPr="00554603" w:rsidRDefault="006861A0" w:rsidP="003C7640">
      <w:pPr>
        <w:pStyle w:val="Kop2"/>
        <w:spacing w:line="360" w:lineRule="auto"/>
        <w:jc w:val="both"/>
      </w:pPr>
      <w:bookmarkStart w:id="16" w:name="_Toc299740213"/>
      <w:r w:rsidRPr="00554603">
        <w:t>Conclusie</w:t>
      </w:r>
      <w:r>
        <w:t>/samenvatting</w:t>
      </w:r>
      <w:bookmarkEnd w:id="16"/>
    </w:p>
    <w:p w:rsidR="004146D6" w:rsidRDefault="006861A0" w:rsidP="003C7640">
      <w:pPr>
        <w:spacing w:line="360" w:lineRule="auto"/>
        <w:contextualSpacing/>
        <w:jc w:val="both"/>
      </w:pPr>
      <w:r>
        <w:t>Het SHS-inkomensbegrip is de meest zuivere grondslag voor de inkomstenbelasting, maar deze zou meer dan noodzakelijk in de heffing van inkomstenbelasting betrekken. Er wordt dan bijvoorbeeld ook inkomstenbelasting geheven over</w:t>
      </w:r>
      <w:r w:rsidR="00A93E05">
        <w:t xml:space="preserve"> bijvoorbeeld</w:t>
      </w:r>
      <w:r>
        <w:t xml:space="preserve"> erfenissen, schenkingen en prijzen bij kansspelen.</w:t>
      </w:r>
      <w:r w:rsidR="006A2001">
        <w:t xml:space="preserve"> Volgens </w:t>
      </w:r>
      <w:r w:rsidR="009E52C9">
        <w:t>het SHS-inkomensbegrip</w:t>
      </w:r>
      <w:r w:rsidR="006A2001">
        <w:t xml:space="preserve"> hoort inflatie niet belast te worden, want het</w:t>
      </w:r>
      <w:r w:rsidR="009E52C9">
        <w:t xml:space="preserve"> betreft</w:t>
      </w:r>
      <w:r w:rsidR="006A2001">
        <w:t xml:space="preserve"> slechts schijnwinsten. Aangezien er geen aanwijzingen zijn dat Nederland een ander dan nominalistisch stelsel zou gaan gebruiken, wordt deze inflatiecorrectie niet meegenomen in </w:t>
      </w:r>
      <w:r w:rsidR="009E52C9">
        <w:t>de in dit onderzoek te maken berekeningen</w:t>
      </w:r>
      <w:r w:rsidR="006A2001">
        <w:t>.</w:t>
      </w:r>
      <w:r>
        <w:t xml:space="preserve"> </w:t>
      </w:r>
      <w:r w:rsidR="009E52C9">
        <w:t>Een vermogensaanwasbelasting sluit mooi aan op het SHS-inkomensbegrip. Voor het belasten van vermogens</w:t>
      </w:r>
      <w:r w:rsidR="00312FD5">
        <w:t>winsten heb ik dan ook de voorkeur voor een vermogensaanwasbelasting</w:t>
      </w:r>
      <w:r w:rsidR="00A93E05">
        <w:t>. Dan hoeft er niet in één keer afgerekend te worden over de behaalde winsten bij vervreemding</w:t>
      </w:r>
      <w:r>
        <w:t xml:space="preserve"> De vermogensaanwasbelasting krijgt </w:t>
      </w:r>
      <w:r w:rsidR="00312FD5">
        <w:t xml:space="preserve">ook </w:t>
      </w:r>
      <w:r>
        <w:t xml:space="preserve">de voorkeur boven de </w:t>
      </w:r>
      <w:proofErr w:type="spellStart"/>
      <w:r>
        <w:t>vermogenswins</w:t>
      </w:r>
      <w:r w:rsidR="003C7640">
        <w:t>w</w:t>
      </w:r>
      <w:r>
        <w:t>tbelasting</w:t>
      </w:r>
      <w:proofErr w:type="spellEnd"/>
      <w:r>
        <w:t>, omdat deze zorgt voor minder marktverstoringen. De vermogenswinstbelasting heeft als groot nadeel het “</w:t>
      </w:r>
      <w:proofErr w:type="spellStart"/>
      <w:r>
        <w:t>lock-in</w:t>
      </w:r>
      <w:proofErr w:type="spellEnd"/>
      <w:r>
        <w:t xml:space="preserve"> effect”, wat zorgt voor de prikkel om de verkoop (en zo de belasting) uit te stellen, waardoor de keuze van de belastingplichtige wordt beïnvloed. De vermogensaanwasbelasting heeft </w:t>
      </w:r>
      <w:r w:rsidR="00312FD5">
        <w:t xml:space="preserve">evenwel </w:t>
      </w:r>
      <w:r>
        <w:t xml:space="preserve">ook nadelen, zoals een liquiditeitsprobleem voor de belastingplichtige en het </w:t>
      </w:r>
      <w:r w:rsidR="00A93E05">
        <w:t>veelvuldig</w:t>
      </w:r>
      <w:r>
        <w:t xml:space="preserve"> moeten waarderen van vermogensbestanddelen. </w:t>
      </w:r>
      <w:r w:rsidR="00312FD5">
        <w:t>Deze nadelen wegen naar mijn mening minder zwaar dan de voordelen</w:t>
      </w:r>
      <w:r w:rsidR="006079D4">
        <w:t>.</w:t>
      </w:r>
    </w:p>
    <w:p w:rsidR="00A93E05" w:rsidRDefault="00A93E05" w:rsidP="003C7640">
      <w:pPr>
        <w:spacing w:line="360" w:lineRule="auto"/>
        <w:contextualSpacing/>
        <w:jc w:val="both"/>
      </w:pPr>
    </w:p>
    <w:p w:rsidR="004146D6" w:rsidRPr="00AA664E" w:rsidRDefault="004146D6" w:rsidP="003C7640">
      <w:pPr>
        <w:spacing w:line="360" w:lineRule="auto"/>
        <w:contextualSpacing/>
        <w:jc w:val="both"/>
      </w:pPr>
      <w:r>
        <w:t xml:space="preserve">In het volgende hoofdstuk </w:t>
      </w:r>
      <w:r w:rsidR="00312FD5">
        <w:t>wordt</w:t>
      </w:r>
      <w:r>
        <w:t xml:space="preserve"> ingegaan op</w:t>
      </w:r>
      <w:r w:rsidR="00312FD5">
        <w:t xml:space="preserve"> de vraag</w:t>
      </w:r>
      <w:r>
        <w:t xml:space="preserve"> hoe vermogenswinsten in het huidige belastingstelsel belast worden</w:t>
      </w:r>
      <w:r w:rsidR="00312FD5">
        <w:t xml:space="preserve">, waarna in hoofdstuk 4 de uitkomsten onder het huidige systeem en onder een vermogensaanwasbelasting met elkaar worden vergeleken. </w:t>
      </w:r>
    </w:p>
    <w:p w:rsidR="006861A0" w:rsidRDefault="006861A0" w:rsidP="003C7640">
      <w:pPr>
        <w:pStyle w:val="Kop1"/>
        <w:spacing w:line="360" w:lineRule="auto"/>
        <w:jc w:val="both"/>
      </w:pPr>
      <w:bookmarkStart w:id="17" w:name="_Toc299740214"/>
      <w:r w:rsidRPr="000D0E0C">
        <w:lastRenderedPageBreak/>
        <w:t>Vermogenswinsten</w:t>
      </w:r>
      <w:r w:rsidRPr="0029335E">
        <w:t xml:space="preserve"> in de ondernemingssfeer</w:t>
      </w:r>
      <w:r>
        <w:t xml:space="preserve"> onder het huidige systeem</w:t>
      </w:r>
      <w:bookmarkEnd w:id="17"/>
    </w:p>
    <w:p w:rsidR="006861A0" w:rsidRDefault="006861A0" w:rsidP="003C7640">
      <w:pPr>
        <w:pStyle w:val="Kop2"/>
        <w:spacing w:line="360" w:lineRule="auto"/>
        <w:jc w:val="both"/>
      </w:pPr>
      <w:bookmarkStart w:id="18" w:name="_Toc299740215"/>
      <w:r w:rsidRPr="001D78B1">
        <w:t>Inleiding</w:t>
      </w:r>
      <w:bookmarkEnd w:id="18"/>
    </w:p>
    <w:p w:rsidR="006861A0" w:rsidRPr="003C7640" w:rsidRDefault="006861A0" w:rsidP="003C7640">
      <w:pPr>
        <w:spacing w:line="360" w:lineRule="auto"/>
        <w:contextualSpacing/>
        <w:jc w:val="both"/>
        <w:rPr>
          <w:bCs/>
        </w:rPr>
      </w:pPr>
      <w:r>
        <w:t>In hoofdstuk 2 is behandeld hoe volgens de economische theorie inkomen belast zou moeten worden.  In dit hoofdstuk komt aan bod hoe in Nederland vermogenswinsten in de ondernemingssfeer op dit moment belast worden. In paragraaf 3.2 wordt besproken hoe vermogenswinsten worden belast als een natuurlijk persoon de onderneming in de BV-vorm drijft.</w:t>
      </w:r>
      <w:r>
        <w:rPr>
          <w:bCs/>
        </w:rPr>
        <w:t xml:space="preserve"> In paragraaf 3.3 komt vervolgens aan de orde hoe de waarde van de aandelen moet worden bepaald. De nadelen van het huidige AB-regime, met name het </w:t>
      </w:r>
      <w:proofErr w:type="spellStart"/>
      <w:r>
        <w:rPr>
          <w:bCs/>
        </w:rPr>
        <w:t>lock-in</w:t>
      </w:r>
      <w:proofErr w:type="spellEnd"/>
      <w:r>
        <w:rPr>
          <w:bCs/>
        </w:rPr>
        <w:t xml:space="preserve"> effect, worden in paragraaf 3.4 besproken, waarna in paragraaf 3.5 het hoofdstuk wordt afgesloten</w:t>
      </w:r>
      <w:r w:rsidR="003C7640">
        <w:rPr>
          <w:bCs/>
        </w:rPr>
        <w:t xml:space="preserve"> met een conclusie/samenvatting.</w:t>
      </w:r>
      <w:r>
        <w:rPr>
          <w:bCs/>
        </w:rPr>
        <w:t xml:space="preserve"> </w:t>
      </w:r>
    </w:p>
    <w:p w:rsidR="006861A0" w:rsidRDefault="006861A0" w:rsidP="003C7640">
      <w:pPr>
        <w:pStyle w:val="Kop2"/>
        <w:spacing w:line="360" w:lineRule="auto"/>
        <w:jc w:val="both"/>
      </w:pPr>
      <w:bookmarkStart w:id="19" w:name="_Toc299740216"/>
      <w:r w:rsidRPr="002A3FDD">
        <w:t>Inkomen uit aanmerkelijk belang</w:t>
      </w:r>
      <w:bookmarkEnd w:id="19"/>
    </w:p>
    <w:p w:rsidR="006861A0" w:rsidRPr="002A3FDD" w:rsidRDefault="006861A0" w:rsidP="003C7640">
      <w:pPr>
        <w:pStyle w:val="Kop3"/>
        <w:spacing w:line="360" w:lineRule="auto"/>
        <w:jc w:val="both"/>
      </w:pPr>
      <w:bookmarkStart w:id="20" w:name="_Toc299740217"/>
      <w:r w:rsidRPr="002A3FDD">
        <w:t xml:space="preserve">Aanmerkelijk </w:t>
      </w:r>
      <w:r>
        <w:t>b</w:t>
      </w:r>
      <w:r w:rsidRPr="002A3FDD">
        <w:t>elang</w:t>
      </w:r>
      <w:bookmarkEnd w:id="20"/>
    </w:p>
    <w:p w:rsidR="00AB441C" w:rsidRDefault="00AB441C" w:rsidP="003C7640">
      <w:pPr>
        <w:spacing w:line="360" w:lineRule="auto"/>
        <w:contextualSpacing/>
        <w:jc w:val="both"/>
      </w:pPr>
      <w:r>
        <w:t>Het begrip aanmerkelijk belang (hierna: AB) bestond al in de Wet IB 1964 (</w:t>
      </w:r>
      <w:r>
        <w:rPr>
          <w:lang w:val="de-DE"/>
        </w:rPr>
        <w:t>a</w:t>
      </w:r>
      <w:r w:rsidRPr="00615516">
        <w:rPr>
          <w:lang w:val="de-DE"/>
        </w:rPr>
        <w:t>rt. 20a</w:t>
      </w:r>
      <w:r>
        <w:rPr>
          <w:lang w:val="de-DE"/>
        </w:rPr>
        <w:t>)</w:t>
      </w:r>
      <w:r>
        <w:t>. Met de invoering van het boxenstelsel is het AB-regime ondergebracht in box 2. Een belastingplichtige heeft onder andere een AB wanneer hij, alleen of samen met zijn partner, direct of indirect, ten minste 5% van de aandelen, opties of winstbewijzen van een vennootschap in handen heeft (</w:t>
      </w:r>
      <w:r>
        <w:rPr>
          <w:lang w:val="de-DE"/>
        </w:rPr>
        <w:t>a</w:t>
      </w:r>
      <w:r w:rsidRPr="00615516">
        <w:rPr>
          <w:lang w:val="de-DE"/>
        </w:rPr>
        <w:t xml:space="preserve">rt. 4.6 </w:t>
      </w:r>
      <w:proofErr w:type="spellStart"/>
      <w:r w:rsidRPr="00615516">
        <w:rPr>
          <w:lang w:val="de-DE"/>
        </w:rPr>
        <w:t>Wet</w:t>
      </w:r>
      <w:proofErr w:type="spellEnd"/>
      <w:r w:rsidRPr="00615516">
        <w:rPr>
          <w:lang w:val="de-DE"/>
        </w:rPr>
        <w:t xml:space="preserve"> IB 2001</w:t>
      </w:r>
      <w:r>
        <w:rPr>
          <w:lang w:val="de-DE"/>
        </w:rPr>
        <w:t>)</w:t>
      </w:r>
      <w:r>
        <w:t xml:space="preserve">. Daarnaast kan sprake zijn van een fictief AB. Dit betekent dat niet daadwerkelijk 5% in handen is, </w:t>
      </w:r>
      <w:r w:rsidR="00632908" w:rsidRPr="00632908">
        <w:t xml:space="preserve">maar dat een </w:t>
      </w:r>
      <w:r w:rsidR="00632908">
        <w:t>AB</w:t>
      </w:r>
      <w:r w:rsidR="00632908" w:rsidRPr="00632908">
        <w:t xml:space="preserve"> geacht wordt aanwezig te zijn</w:t>
      </w:r>
      <w:r>
        <w:t xml:space="preserve">. </w:t>
      </w:r>
    </w:p>
    <w:p w:rsidR="006861A0" w:rsidRDefault="006861A0" w:rsidP="003C7640">
      <w:pPr>
        <w:spacing w:line="360" w:lineRule="auto"/>
        <w:contextualSpacing/>
        <w:jc w:val="both"/>
      </w:pPr>
    </w:p>
    <w:p w:rsidR="006861A0" w:rsidRDefault="006861A0" w:rsidP="003C7640">
      <w:pPr>
        <w:spacing w:line="360" w:lineRule="auto"/>
        <w:contextualSpacing/>
        <w:jc w:val="both"/>
      </w:pPr>
      <w:r>
        <w:t xml:space="preserve">Twee andere noemenswaardige regelingen zijn de meesleepregeling en de meetrekregeling. </w:t>
      </w:r>
      <w:r w:rsidR="00AB441C" w:rsidRPr="00AB441C">
        <w:t>De meesleepregeling</w:t>
      </w:r>
      <w:r w:rsidR="00AB441C">
        <w:t xml:space="preserve"> (art. 4.9 Wet IB 2001)</w:t>
      </w:r>
      <w:r w:rsidR="00AB441C" w:rsidRPr="00AB441C">
        <w:t xml:space="preserve"> </w:t>
      </w:r>
      <w:r w:rsidR="00AB441C">
        <w:t>werkt</w:t>
      </w:r>
      <w:r w:rsidR="00AB441C" w:rsidRPr="00AB441C">
        <w:t xml:space="preserve"> als volgt: op het moment dat een belastingplichtige een AB in een vennootschap heeft, worden de andere aandelen</w:t>
      </w:r>
      <w:r w:rsidR="00AB441C">
        <w:t xml:space="preserve"> in</w:t>
      </w:r>
      <w:r w:rsidR="00AB441C" w:rsidRPr="00AB441C">
        <w:t xml:space="preserve"> of winstbewijzen van die vennootschap automatisch meegesleept.</w:t>
      </w:r>
      <w:r w:rsidR="00AB441C">
        <w:t xml:space="preserve"> </w:t>
      </w:r>
      <w:r>
        <w:t>De meetrekregeling (</w:t>
      </w:r>
      <w:r>
        <w:rPr>
          <w:lang w:val="de-DE"/>
        </w:rPr>
        <w:t>a</w:t>
      </w:r>
      <w:r w:rsidRPr="00615516">
        <w:rPr>
          <w:lang w:val="de-DE"/>
        </w:rPr>
        <w:t xml:space="preserve">rt. 4.10 </w:t>
      </w:r>
      <w:proofErr w:type="spellStart"/>
      <w:r w:rsidRPr="00615516">
        <w:rPr>
          <w:lang w:val="de-DE"/>
        </w:rPr>
        <w:t>Wet</w:t>
      </w:r>
      <w:proofErr w:type="spellEnd"/>
      <w:r w:rsidRPr="00615516">
        <w:rPr>
          <w:lang w:val="de-DE"/>
        </w:rPr>
        <w:t xml:space="preserve"> IB 2001</w:t>
      </w:r>
      <w:r>
        <w:rPr>
          <w:lang w:val="de-DE"/>
        </w:rPr>
        <w:t>)</w:t>
      </w:r>
      <w:r>
        <w:t xml:space="preserve"> bepaalt wat er gebeurt wanneer bloed- en aanverwanten in de rechte lijn van de belastingplichtige een </w:t>
      </w:r>
      <w:r w:rsidR="00AB441C">
        <w:t>AB</w:t>
      </w:r>
      <w:r>
        <w:t xml:space="preserve"> in een vennootschap hebben. In dat geval behoren ook alle</w:t>
      </w:r>
      <w:r w:rsidR="00236F84">
        <w:t xml:space="preserve"> andere</w:t>
      </w:r>
      <w:r>
        <w:t xml:space="preserve"> aandelen en winstbewijzen van de belastingplichtige in die vennootschap tot een </w:t>
      </w:r>
      <w:r w:rsidR="00AB441C">
        <w:t>AB</w:t>
      </w:r>
      <w:r>
        <w:t>.</w:t>
      </w:r>
      <w:r w:rsidRPr="001E05AB">
        <w:rPr>
          <w:rStyle w:val="Voetnootmarkering"/>
          <w:rFonts w:cs="Arial"/>
        </w:rPr>
        <w:t xml:space="preserve"> </w:t>
      </w:r>
    </w:p>
    <w:p w:rsidR="006861A0" w:rsidRDefault="006861A0" w:rsidP="003C7640">
      <w:pPr>
        <w:spacing w:line="360" w:lineRule="auto"/>
        <w:contextualSpacing/>
        <w:jc w:val="both"/>
      </w:pPr>
    </w:p>
    <w:p w:rsidR="006861A0" w:rsidRDefault="008F4307" w:rsidP="003C7640">
      <w:pPr>
        <w:spacing w:line="360" w:lineRule="auto"/>
        <w:contextualSpacing/>
        <w:jc w:val="both"/>
      </w:pPr>
      <w:r>
        <w:t>Het centrale wetsartikel</w:t>
      </w:r>
      <w:r w:rsidR="006861A0">
        <w:t xml:space="preserve"> voor de bepaling van het inkomen uit </w:t>
      </w:r>
      <w:r w:rsidR="00AB441C">
        <w:t>AB</w:t>
      </w:r>
      <w:r w:rsidR="006861A0">
        <w:t xml:space="preserve"> is art. 4.12 Wet IB 2001. Deze luidt als volgt:</w:t>
      </w:r>
    </w:p>
    <w:p w:rsidR="006861A0" w:rsidRPr="000D202E" w:rsidRDefault="006861A0" w:rsidP="003C7640">
      <w:pPr>
        <w:spacing w:line="360" w:lineRule="auto"/>
        <w:ind w:firstLine="708"/>
        <w:contextualSpacing/>
        <w:jc w:val="both"/>
        <w:rPr>
          <w:i/>
          <w:iCs/>
        </w:rPr>
      </w:pPr>
      <w:r w:rsidRPr="000D202E">
        <w:rPr>
          <w:i/>
          <w:iCs/>
        </w:rPr>
        <w:t>Inkomen uit aanmerkelijk belang is het gezamenlijke bedrag van:</w:t>
      </w:r>
    </w:p>
    <w:p w:rsidR="006861A0" w:rsidRPr="000D202E" w:rsidRDefault="006861A0" w:rsidP="003C7640">
      <w:pPr>
        <w:spacing w:line="360" w:lineRule="auto"/>
        <w:ind w:left="708"/>
        <w:contextualSpacing/>
        <w:jc w:val="both"/>
        <w:rPr>
          <w:i/>
          <w:iCs/>
        </w:rPr>
      </w:pPr>
      <w:r w:rsidRPr="000D202E">
        <w:rPr>
          <w:i/>
          <w:iCs/>
        </w:rPr>
        <w:lastRenderedPageBreak/>
        <w:t>a. de voordelen die worden getrokken uit tot een aanmerkelijk belang behorende aandelen of winstbewijzen (reguliere voordelen), verminderd met de aftrekbare kosten en</w:t>
      </w:r>
    </w:p>
    <w:p w:rsidR="006861A0" w:rsidRPr="000D202E" w:rsidRDefault="006861A0" w:rsidP="003C7640">
      <w:pPr>
        <w:spacing w:line="360" w:lineRule="auto"/>
        <w:ind w:left="708"/>
        <w:contextualSpacing/>
        <w:jc w:val="both"/>
        <w:rPr>
          <w:i/>
          <w:iCs/>
        </w:rPr>
      </w:pPr>
      <w:r w:rsidRPr="000D202E">
        <w:rPr>
          <w:i/>
          <w:iCs/>
        </w:rPr>
        <w:t>b. de voordelen die worden behaald bij de vervreemding van tot een aanmerkelijk belang behorende aandelen of winstbewijzen, of bij de vervreemding van een gedeelte van de in deze aandelen of winstbewijzen besloten liggende rechten (vervreemdingsvoordelen);</w:t>
      </w:r>
    </w:p>
    <w:p w:rsidR="006861A0" w:rsidRPr="000D202E" w:rsidRDefault="006861A0" w:rsidP="003C7640">
      <w:pPr>
        <w:spacing w:line="360" w:lineRule="auto"/>
        <w:ind w:firstLine="708"/>
        <w:contextualSpacing/>
        <w:jc w:val="both"/>
        <w:rPr>
          <w:i/>
          <w:iCs/>
        </w:rPr>
      </w:pPr>
      <w:r w:rsidRPr="000D202E">
        <w:rPr>
          <w:i/>
          <w:iCs/>
        </w:rPr>
        <w:t>verminderd met de persoonsgebonden aftrek (hoofdstuk 6).</w:t>
      </w:r>
    </w:p>
    <w:p w:rsidR="000D0E0C" w:rsidRDefault="000D0E0C" w:rsidP="003C7640">
      <w:pPr>
        <w:pStyle w:val="Kop3"/>
        <w:spacing w:line="360" w:lineRule="auto"/>
        <w:jc w:val="both"/>
      </w:pPr>
      <w:bookmarkStart w:id="21" w:name="_Toc299740218"/>
      <w:r w:rsidRPr="000D0E0C">
        <w:t>Reguliere voordelen</w:t>
      </w:r>
      <w:bookmarkEnd w:id="21"/>
    </w:p>
    <w:p w:rsidR="006861A0" w:rsidRDefault="006861A0" w:rsidP="003C7640">
      <w:pPr>
        <w:spacing w:line="360" w:lineRule="auto"/>
        <w:contextualSpacing/>
        <w:jc w:val="both"/>
        <w:rPr>
          <w:bCs/>
        </w:rPr>
      </w:pPr>
      <w:r>
        <w:rPr>
          <w:bCs/>
        </w:rPr>
        <w:t xml:space="preserve">Voordelen die (al dan niet jaarlijks) uit AB-aandelen of winstbewijzen worden getrokken, worden in box 2 belast als </w:t>
      </w:r>
      <w:r w:rsidR="00AB441C">
        <w:rPr>
          <w:bCs/>
        </w:rPr>
        <w:t>i</w:t>
      </w:r>
      <w:r>
        <w:rPr>
          <w:bCs/>
        </w:rPr>
        <w:t>nkomen uit AB. Deze voordelen worden reguliere voordelen genoemd. Onder de reguliere voordelen valt bijvoorbeeld dividend. Volgens de Hoge Raad is dit een vermogensverschuiving van de ven</w:t>
      </w:r>
      <w:r w:rsidR="00AB441C">
        <w:rPr>
          <w:bCs/>
        </w:rPr>
        <w:t>nootschap naar de aandeelhouder</w:t>
      </w:r>
      <w:r>
        <w:rPr>
          <w:bCs/>
        </w:rPr>
        <w:t xml:space="preserve"> waarbij</w:t>
      </w:r>
      <w:r w:rsidR="00AB441C">
        <w:rPr>
          <w:bCs/>
        </w:rPr>
        <w:t>,</w:t>
      </w:r>
      <w:r>
        <w:rPr>
          <w:bCs/>
        </w:rPr>
        <w:t xml:space="preserve"> ten laste van de aanwezige winst</w:t>
      </w:r>
      <w:r w:rsidR="00AB441C">
        <w:rPr>
          <w:bCs/>
        </w:rPr>
        <w:t>,</w:t>
      </w:r>
      <w:r>
        <w:rPr>
          <w:bCs/>
        </w:rPr>
        <w:t xml:space="preserve"> een geldbedrag of andere waarde wordt onttrokken ten behoeve van de aandeelhouder (</w:t>
      </w:r>
      <w:r>
        <w:t>HR 18 januari 1959, nr. 13 763, BNB 1959/124)</w:t>
      </w:r>
      <w:r>
        <w:rPr>
          <w:bCs/>
        </w:rPr>
        <w:t>.</w:t>
      </w:r>
      <w:r>
        <w:rPr>
          <w:rStyle w:val="Verwijzingopmerking"/>
        </w:rPr>
        <w:t xml:space="preserve"> </w:t>
      </w:r>
      <w:r>
        <w:rPr>
          <w:bCs/>
        </w:rPr>
        <w:t xml:space="preserve"> Naast dividend valt ook een verkapt dividend onder de reguliere voordelen. Een verkapt dividend is een bevoordeling van de moedermaatschappij, in welke vorm dan ook, terwijl beide vennootschappen zich bewust waren van dit voordeel (of hadden moeten zijn).</w:t>
      </w:r>
      <w:r>
        <w:rPr>
          <w:rStyle w:val="Voetnootmarkering"/>
          <w:bCs/>
        </w:rPr>
        <w:footnoteReference w:id="21"/>
      </w:r>
      <w:r>
        <w:rPr>
          <w:bCs/>
        </w:rPr>
        <w:t xml:space="preserve"> Dit moet alsnog worden gestaafd aan de definitie van de Hoge Raad. Er moet dus sprake zijn van een vermogensverschuiving, die ten laste komt van de aanwezige winsten. </w:t>
      </w:r>
    </w:p>
    <w:p w:rsidR="006861A0" w:rsidRDefault="006861A0" w:rsidP="003C7640">
      <w:pPr>
        <w:spacing w:line="360" w:lineRule="auto"/>
        <w:contextualSpacing/>
        <w:jc w:val="both"/>
        <w:rPr>
          <w:bCs/>
        </w:rPr>
      </w:pPr>
    </w:p>
    <w:p w:rsidR="006861A0" w:rsidRDefault="006861A0" w:rsidP="003C7640">
      <w:pPr>
        <w:spacing w:line="360" w:lineRule="auto"/>
        <w:contextualSpacing/>
        <w:jc w:val="both"/>
        <w:rPr>
          <w:bCs/>
        </w:rPr>
      </w:pPr>
      <w:r>
        <w:rPr>
          <w:bCs/>
        </w:rPr>
        <w:t>Reguliere voordelen worden verminderd met de aftrekbare kosten. Deze kosten moeten betrekking hebben op de verwerving, inning of het behoud van die voordelen, mits deze kosten niet meer dan gebruikelijk zijn (</w:t>
      </w:r>
      <w:r w:rsidR="00236F84">
        <w:t>a</w:t>
      </w:r>
      <w:r>
        <w:t>rt. 4.14 Wet IB 2001)</w:t>
      </w:r>
      <w:r>
        <w:rPr>
          <w:bCs/>
        </w:rPr>
        <w:t xml:space="preserve">. Wanneer iemand een lening is aangegaan voor de koop van AB-aandelen, zijn de rentekosten hiervan in box 2 aftrekbaar.  </w:t>
      </w:r>
    </w:p>
    <w:p w:rsidR="006861A0" w:rsidRDefault="006861A0" w:rsidP="003C7640">
      <w:pPr>
        <w:pStyle w:val="Kop3"/>
        <w:spacing w:line="360" w:lineRule="auto"/>
        <w:jc w:val="both"/>
      </w:pPr>
      <w:bookmarkStart w:id="22" w:name="_Toc299740219"/>
      <w:r>
        <w:t>Vervreemdingsvoordelen</w:t>
      </w:r>
      <w:bookmarkEnd w:id="22"/>
    </w:p>
    <w:p w:rsidR="006861A0" w:rsidRDefault="006861A0" w:rsidP="003C7640">
      <w:pPr>
        <w:spacing w:line="360" w:lineRule="auto"/>
        <w:contextualSpacing/>
        <w:jc w:val="both"/>
        <w:rPr>
          <w:bCs/>
        </w:rPr>
      </w:pPr>
      <w:r>
        <w:rPr>
          <w:bCs/>
        </w:rPr>
        <w:t xml:space="preserve">De hoofdregel voor het belasten van vervreemdingsvoordelen staat in het in paragraaf 3.2.1 geciteerde artikel, onder onderdeel b. </w:t>
      </w:r>
      <w:r w:rsidRPr="000D202E">
        <w:rPr>
          <w:bCs/>
        </w:rPr>
        <w:t xml:space="preserve">Bij het vervreemden van een aandeel moet het vervreemdingsvoordeel worden berekend, welke belast is als </w:t>
      </w:r>
      <w:r>
        <w:rPr>
          <w:bCs/>
        </w:rPr>
        <w:t>i</w:t>
      </w:r>
      <w:r w:rsidRPr="000D202E">
        <w:rPr>
          <w:bCs/>
        </w:rPr>
        <w:t xml:space="preserve">nkomen uit </w:t>
      </w:r>
      <w:r w:rsidR="00AB441C">
        <w:rPr>
          <w:bCs/>
        </w:rPr>
        <w:t>AB</w:t>
      </w:r>
      <w:r w:rsidRPr="000D202E">
        <w:rPr>
          <w:bCs/>
        </w:rPr>
        <w:t xml:space="preserve"> in box 2. Onder vervreemding moet worden</w:t>
      </w:r>
      <w:r>
        <w:rPr>
          <w:b/>
        </w:rPr>
        <w:t xml:space="preserve"> </w:t>
      </w:r>
      <w:r w:rsidRPr="001E05AB">
        <w:rPr>
          <w:bCs/>
        </w:rPr>
        <w:t>verstaan: “Een aan de a.b.-houder toerekenbare rechtshandeling waardoor</w:t>
      </w:r>
      <w:r>
        <w:rPr>
          <w:bCs/>
        </w:rPr>
        <w:t xml:space="preserve"> </w:t>
      </w:r>
      <w:r w:rsidRPr="001E05AB">
        <w:rPr>
          <w:bCs/>
        </w:rPr>
        <w:t>het economische belang bij de rechten van tot zijn a.b. behorende vermogensbestanddelen uit zijn vermogen verdwijnt, tenzij daarvoor rechten in de plaats treden die fiscaal en economisch dezelfde plaats innemen in diens vermogen.”</w:t>
      </w:r>
      <w:r>
        <w:rPr>
          <w:rStyle w:val="Voetnootmarkering"/>
          <w:rFonts w:cs="Arial"/>
        </w:rPr>
        <w:footnoteReference w:id="22"/>
      </w:r>
      <w:r>
        <w:rPr>
          <w:bCs/>
        </w:rPr>
        <w:t xml:space="preserve"> Als aanvulling op dit </w:t>
      </w:r>
      <w:r>
        <w:rPr>
          <w:bCs/>
        </w:rPr>
        <w:lastRenderedPageBreak/>
        <w:t>vervreemdingsbegrip zijn er ook handelingen die worden aangeduid als fictieve vervreemdingen (</w:t>
      </w:r>
      <w:r>
        <w:t>art. 4.16 Wet IB 2001)</w:t>
      </w:r>
      <w:r>
        <w:rPr>
          <w:bCs/>
        </w:rPr>
        <w:t xml:space="preserve">, zoals de inkoop van aandelen, het afkopen of inkopen van winstbewijzen, het niet langer aanwezig zijn van een aanmerkelijk belang (het belang komt onder de 5% grens) of een overgang onder algemene titel. </w:t>
      </w:r>
    </w:p>
    <w:p w:rsidR="006861A0" w:rsidRDefault="006861A0" w:rsidP="003C7640">
      <w:pPr>
        <w:spacing w:line="360" w:lineRule="auto"/>
        <w:contextualSpacing/>
        <w:jc w:val="both"/>
        <w:rPr>
          <w:bCs/>
        </w:rPr>
      </w:pPr>
    </w:p>
    <w:p w:rsidR="006861A0" w:rsidRDefault="006861A0" w:rsidP="003C7640">
      <w:pPr>
        <w:spacing w:line="360" w:lineRule="auto"/>
        <w:contextualSpacing/>
        <w:jc w:val="both"/>
        <w:rPr>
          <w:rStyle w:val="Verwijzingopmerking"/>
        </w:rPr>
      </w:pPr>
      <w:r>
        <w:rPr>
          <w:bCs/>
        </w:rPr>
        <w:t>Het vervreemdingsvoordeel kan worden berekend als de overdrachtsprijs verminderd met de verkrijgingsprijs (</w:t>
      </w:r>
      <w:r>
        <w:t>art. 4.19 Wet IB 2001)</w:t>
      </w:r>
      <w:r>
        <w:rPr>
          <w:bCs/>
        </w:rPr>
        <w:t>. De overdrachtsprijs is de tegenprestatie bij de vervreemding verminderd met de gemaakte kosten (</w:t>
      </w:r>
      <w:r>
        <w:t>art. 4.20 Wet IB 2001)</w:t>
      </w:r>
      <w:r>
        <w:rPr>
          <w:bCs/>
        </w:rPr>
        <w:t>. In paragraaf 3.3 komt aan de orde hoe de waarde van de aandelen moet worden bepaald. De verkrijgingsprijs is de tegenprestatie bij de verkrijging vermeerderd met de gemaakte kosten (</w:t>
      </w:r>
      <w:r>
        <w:t>art. 4.21 Wet IB 2001)</w:t>
      </w:r>
      <w:r>
        <w:rPr>
          <w:bCs/>
        </w:rPr>
        <w:t>.</w:t>
      </w:r>
      <w:r>
        <w:rPr>
          <w:rStyle w:val="Verwijzingopmerking"/>
        </w:rPr>
        <w:t xml:space="preserve"> </w:t>
      </w:r>
    </w:p>
    <w:p w:rsidR="006861A0" w:rsidRPr="00980F10" w:rsidRDefault="006861A0" w:rsidP="003C7640">
      <w:pPr>
        <w:pStyle w:val="Kop3"/>
        <w:spacing w:line="360" w:lineRule="auto"/>
        <w:jc w:val="both"/>
      </w:pPr>
      <w:bookmarkStart w:id="23" w:name="_Toc299740220"/>
      <w:r w:rsidRPr="00980F10">
        <w:t>Holdingstructuur</w:t>
      </w:r>
      <w:bookmarkEnd w:id="23"/>
    </w:p>
    <w:p w:rsidR="006861A0" w:rsidRPr="001E05AB" w:rsidRDefault="006861A0" w:rsidP="003C7640">
      <w:pPr>
        <w:spacing w:line="360" w:lineRule="auto"/>
        <w:contextualSpacing/>
        <w:jc w:val="both"/>
        <w:rPr>
          <w:bCs/>
        </w:rPr>
      </w:pPr>
      <w:r>
        <w:rPr>
          <w:bCs/>
        </w:rPr>
        <w:t xml:space="preserve">Belastingplichtigen die een onderneming in de BV-vorm drijven maken vaak gebruik van een holdingstructuur. Dit houdt in dat een natuurlijk persoon de aandelen in een vennootschap in het bezit heeft, welke op haar beurt de aandelen van de werkmaatschappij houdt. Deze structuur zorgt voor grote fiscale voordelen. Op het moment dat de werkmaatschappij winst maakt, wordt deze belast met VPB. Wanneer de werkmaatschappij (een deel van) </w:t>
      </w:r>
      <w:r w:rsidR="00EF0FDC">
        <w:rPr>
          <w:bCs/>
        </w:rPr>
        <w:t>zijn</w:t>
      </w:r>
      <w:r>
        <w:rPr>
          <w:bCs/>
        </w:rPr>
        <w:t xml:space="preserve"> winst uitkeert</w:t>
      </w:r>
      <w:r w:rsidR="00EF0FDC">
        <w:rPr>
          <w:bCs/>
        </w:rPr>
        <w:t xml:space="preserve"> aan de holding</w:t>
      </w:r>
      <w:r>
        <w:rPr>
          <w:bCs/>
        </w:rPr>
        <w:t>, is deze winst</w:t>
      </w:r>
      <w:r w:rsidR="00AB441C">
        <w:rPr>
          <w:bCs/>
        </w:rPr>
        <w:t xml:space="preserve"> vanwege de deelnemingsvrijstelling</w:t>
      </w:r>
      <w:r>
        <w:rPr>
          <w:bCs/>
        </w:rPr>
        <w:t xml:space="preserve"> niet nogmaals belast bij de holding (art. 13 Wet VPB 1969). Ook de winst die gemaakt wordt bij verkoop van de aandelen in de werkmaatschappij valt onder de de</w:t>
      </w:r>
      <w:r w:rsidR="00AB441C">
        <w:rPr>
          <w:bCs/>
        </w:rPr>
        <w:t xml:space="preserve">elnemingsvrijstelling en is </w:t>
      </w:r>
      <w:r>
        <w:rPr>
          <w:bCs/>
        </w:rPr>
        <w:t xml:space="preserve">onbelast bij de holding. Noch de winstuitkering door de werkmaatschappij, noch de verkoop van de aandelen in de werkmaatschappij is een belastbaar feit voor de natuurlijke persoon. Er wordt immers geen regulier voordeel genoten en de aandelen in de holding worden niet vervreemd. Het is dus mogelijk om winsten in de holding op te potten door geen of weinig dividend uit te keren en zodoende </w:t>
      </w:r>
      <w:r w:rsidR="00EF0FDC">
        <w:rPr>
          <w:bCs/>
        </w:rPr>
        <w:t>AB-heffing</w:t>
      </w:r>
      <w:r>
        <w:rPr>
          <w:bCs/>
        </w:rPr>
        <w:t xml:space="preserve"> uit te stellen. Wanneer een werkmaatschappij ‘licht’ wordt gehouden door overtollige liquide middelen als dividend uit te keren, blijft het eigen vermogen laag. Dit zorgt voor een makkelijkere bedrijfsoverdracht</w:t>
      </w:r>
      <w:r w:rsidR="00993C4A">
        <w:rPr>
          <w:bCs/>
        </w:rPr>
        <w:t xml:space="preserve"> van de werkmaatschappij</w:t>
      </w:r>
      <w:r>
        <w:rPr>
          <w:bCs/>
        </w:rPr>
        <w:t xml:space="preserve">, aangezien dan </w:t>
      </w:r>
      <w:r w:rsidR="00236F84">
        <w:rPr>
          <w:bCs/>
        </w:rPr>
        <w:t xml:space="preserve">in feite </w:t>
      </w:r>
      <w:r>
        <w:rPr>
          <w:bCs/>
        </w:rPr>
        <w:t>slechts de onderneming wordt verkocht. Dit beperkt financieringsproblemen met betrekking tot de aankoop</w:t>
      </w:r>
      <w:r w:rsidR="00AB441C">
        <w:rPr>
          <w:bCs/>
        </w:rPr>
        <w:t>.</w:t>
      </w:r>
      <w:r>
        <w:rPr>
          <w:rStyle w:val="Voetnootmarkering"/>
          <w:bCs/>
        </w:rPr>
        <w:footnoteReference w:id="23"/>
      </w:r>
      <w:r>
        <w:rPr>
          <w:bCs/>
        </w:rPr>
        <w:t xml:space="preserve"> Ook buiten het fiscale gebied geeft de holdingstructuur voordelen, zoals het uitsluiten van macht van aandeelhouders bij het beleid van de werkmaatschappij.</w:t>
      </w:r>
      <w:r>
        <w:rPr>
          <w:rStyle w:val="Voetnootmarkering"/>
          <w:bCs/>
        </w:rPr>
        <w:footnoteReference w:id="24"/>
      </w:r>
    </w:p>
    <w:p w:rsidR="006861A0" w:rsidRDefault="006861A0" w:rsidP="003C7640">
      <w:pPr>
        <w:pStyle w:val="Kop2"/>
        <w:spacing w:line="360" w:lineRule="auto"/>
        <w:jc w:val="both"/>
      </w:pPr>
      <w:bookmarkStart w:id="24" w:name="_Toc299740221"/>
      <w:r w:rsidRPr="008C01F1">
        <w:lastRenderedPageBreak/>
        <w:t xml:space="preserve">Waardering </w:t>
      </w:r>
      <w:r>
        <w:t>aanmerkelijkbelang</w:t>
      </w:r>
      <w:r w:rsidRPr="008C01F1">
        <w:t>aandelen</w:t>
      </w:r>
      <w:bookmarkEnd w:id="24"/>
    </w:p>
    <w:p w:rsidR="006861A0" w:rsidRDefault="006861A0" w:rsidP="003C7640">
      <w:pPr>
        <w:pStyle w:val="Kop3"/>
        <w:spacing w:line="360" w:lineRule="auto"/>
        <w:jc w:val="both"/>
      </w:pPr>
      <w:bookmarkStart w:id="25" w:name="_Toc299740222"/>
      <w:r>
        <w:t>Waarde in het economische verkeer</w:t>
      </w:r>
      <w:bookmarkEnd w:id="25"/>
    </w:p>
    <w:p w:rsidR="006861A0" w:rsidRDefault="006861A0" w:rsidP="003C7640">
      <w:pPr>
        <w:spacing w:line="360" w:lineRule="auto"/>
        <w:contextualSpacing/>
        <w:jc w:val="both"/>
      </w:pPr>
      <w:r>
        <w:t>De waarde in het economische verkeer (hierna: WEV) van aandelen kan worden berekend door het fiscaal eigen vermogen van de vennootschap te vermeerderen met stille reserves, fiscale reserves en goodwill, rekening houdend met belastinglatenties. Deze waarde is afhankelijk van de toekomstige opbrengsten van de aandelen.</w:t>
      </w:r>
      <w:r>
        <w:rPr>
          <w:rStyle w:val="Voetnootmarkering"/>
        </w:rPr>
        <w:footnoteReference w:id="25"/>
      </w:r>
    </w:p>
    <w:p w:rsidR="006861A0" w:rsidRDefault="006861A0" w:rsidP="003C7640">
      <w:pPr>
        <w:spacing w:line="360" w:lineRule="auto"/>
        <w:contextualSpacing/>
        <w:jc w:val="both"/>
      </w:pPr>
      <w:r>
        <w:t>Volgens de H</w:t>
      </w:r>
      <w:r w:rsidR="00EF0FDC">
        <w:t>oge Raad</w:t>
      </w:r>
      <w:r>
        <w:t xml:space="preserve"> is de WEV de prijs die “op de meest geschikte wijze na de beste voorbereiding door de meest biedende gegadigde” zou worden geboden (HR 25 oktober 1999, BNB 1999/198). De waarde kan op verschillende manieren tot uitdrukking komen: het goed kan in de toekomst zelf een bron van inkomsten zijn, het goed kan verkocht worden of het goed kan de bezitter uitgaven besparen.</w:t>
      </w:r>
      <w:r>
        <w:rPr>
          <w:rStyle w:val="Voetnootmarkering"/>
        </w:rPr>
        <w:footnoteReference w:id="26"/>
      </w:r>
      <w:r>
        <w:t xml:space="preserve"> Bij het bepalen van de WEV speelt de </w:t>
      </w:r>
      <w:r w:rsidR="00AB441C">
        <w:t>emotionele waarde van</w:t>
      </w:r>
      <w:r>
        <w:t xml:space="preserve"> een goed geen rol. </w:t>
      </w:r>
    </w:p>
    <w:p w:rsidR="006861A0" w:rsidRPr="008C01F1" w:rsidRDefault="006861A0" w:rsidP="003C7640">
      <w:pPr>
        <w:pStyle w:val="Kop3"/>
        <w:spacing w:line="360" w:lineRule="auto"/>
        <w:jc w:val="both"/>
      </w:pPr>
      <w:bookmarkStart w:id="26" w:name="_Toc299740223"/>
      <w:r>
        <w:t>Stille Reserves</w:t>
      </w:r>
      <w:bookmarkEnd w:id="26"/>
    </w:p>
    <w:p w:rsidR="006861A0" w:rsidRDefault="006861A0" w:rsidP="003C7640">
      <w:pPr>
        <w:spacing w:line="360" w:lineRule="auto"/>
        <w:contextualSpacing/>
        <w:jc w:val="both"/>
      </w:pPr>
      <w:r>
        <w:t>Het verschil tussen de WEV en de boekwaarde wordt een stille reserve genoemd. Een stille reserve kan op drie manieren ontstaan</w:t>
      </w:r>
      <w:r>
        <w:rPr>
          <w:rStyle w:val="Voetnootmarkering"/>
        </w:rPr>
        <w:footnoteReference w:id="27"/>
      </w:r>
      <w:r>
        <w:t>: door afschrijvingen, door waardestijgingen van vermogensbestanddelen of door winsten als gevolg van inflatie. Vanwege het nominalistische karakter van de belastingheffing wordt er geen rekening gehouden met inflatie bij belastingheffing.</w:t>
      </w:r>
      <w:r>
        <w:rPr>
          <w:rStyle w:val="Voetnootmarkering"/>
        </w:rPr>
        <w:footnoteReference w:id="28"/>
      </w:r>
      <w:r>
        <w:t xml:space="preserve"> Daarom zal inflatie tot winst (en dus belastingheffing) leiden. </w:t>
      </w:r>
      <w:r w:rsidR="00AB441C">
        <w:t xml:space="preserve">Op grond van het voorzichtigheidsbeginsel, gehanteerd bij het goed koopmansgebruik, hoeven deze winsten niet tot de winst te worden gerekend tot het moment van realisatie. </w:t>
      </w:r>
      <w:r>
        <w:t>De Hoge Raad heeft in dat verband het volgende overwogen: “</w:t>
      </w:r>
      <w:r w:rsidRPr="00FE3BAA">
        <w:t>goed koopmansgebruik gebiedt</w:t>
      </w:r>
      <w:r>
        <w:t xml:space="preserve"> nimmer</w:t>
      </w:r>
      <w:r w:rsidRPr="00FE3BAA">
        <w:t xml:space="preserve"> als een reeds verworven bate tot uitdrukking te brengen hetgeen nog niet als zodanig is gerealiseerd</w:t>
      </w:r>
      <w:r>
        <w:t xml:space="preserve">” (HR 30 mei 1956, BNB 1956/222). </w:t>
      </w:r>
    </w:p>
    <w:p w:rsidR="006861A0" w:rsidRPr="00345B3F" w:rsidRDefault="006861A0" w:rsidP="003C7640">
      <w:pPr>
        <w:pStyle w:val="Kop3"/>
        <w:spacing w:line="360" w:lineRule="auto"/>
        <w:jc w:val="both"/>
      </w:pPr>
      <w:bookmarkStart w:id="27" w:name="_Toc299740224"/>
      <w:r w:rsidRPr="00345B3F">
        <w:t>Fiscale Reserves</w:t>
      </w:r>
      <w:bookmarkEnd w:id="27"/>
    </w:p>
    <w:p w:rsidR="006861A0" w:rsidRDefault="00AB441C" w:rsidP="003C7640">
      <w:pPr>
        <w:spacing w:line="360" w:lineRule="auto"/>
        <w:contextualSpacing/>
        <w:jc w:val="both"/>
      </w:pPr>
      <w:r>
        <w:t>Fiscale reserves zijn reserves die ten laste van de winst worden gevormd. Er rust echter wel een claim op deze reserves.</w:t>
      </w:r>
      <w:r w:rsidR="006861A0">
        <w:rPr>
          <w:rStyle w:val="Voetnootmarkering"/>
        </w:rPr>
        <w:footnoteReference w:id="29"/>
      </w:r>
      <w:r w:rsidR="006861A0">
        <w:t xml:space="preserve"> Via de schakelbepaling in de Wet op de Vennootschapsbelasting 1969 (art. 8 Wet VPB) is bepaald dat de egalisatiereserve en de herinvesteringsreserve uit de Inkomstenbelasting ook voor VPB-plichtige lichamen geldt. </w:t>
      </w:r>
      <w:r>
        <w:t>De oudedagsreserve, eveneens een fiscale reserve, is alleen van toepassing op ondernemers voor de inkomstenbelasting.</w:t>
      </w:r>
    </w:p>
    <w:p w:rsidR="006861A0" w:rsidRDefault="006861A0" w:rsidP="002A5479">
      <w:pPr>
        <w:spacing w:line="360" w:lineRule="auto"/>
        <w:contextualSpacing/>
      </w:pPr>
    </w:p>
    <w:p w:rsidR="006861A0" w:rsidRDefault="006861A0" w:rsidP="003C7640">
      <w:pPr>
        <w:spacing w:line="360" w:lineRule="auto"/>
        <w:contextualSpacing/>
        <w:jc w:val="both"/>
      </w:pPr>
      <w:r>
        <w:lastRenderedPageBreak/>
        <w:t>De herinvesteringsreserve (HIR) mag worden gevormd na de verkoop van een bedrijfsmiddel, mits er een voornemen tot herinvestering bestaat (art. 3.54 Wet IB 2001).</w:t>
      </w:r>
      <w:r>
        <w:rPr>
          <w:rStyle w:val="Voetnootmarkering"/>
        </w:rPr>
        <w:t xml:space="preserve"> </w:t>
      </w:r>
      <w:r>
        <w:t>De herinvesteringsreserve valt vrij (</w:t>
      </w:r>
      <w:r w:rsidR="00104AAC">
        <w:t>en</w:t>
      </w:r>
      <w:r>
        <w:t xml:space="preserve"> is belast) wanneer het investeringsvoornemen niet meer bestaat, er na 3 jaar nog niet is geherinvesteerd of wanneer het lichaam wordt ontbonden. Bij de HIR is het onderscheid tussen duurzame en niet-duurzame</w:t>
      </w:r>
      <w:r w:rsidR="00104AAC">
        <w:t xml:space="preserve"> bedrijfsmiddelen van belang.</w:t>
      </w:r>
      <w:r w:rsidR="00104AAC">
        <w:rPr>
          <w:rStyle w:val="Voetnootmarkering"/>
        </w:rPr>
        <w:footnoteReference w:id="30"/>
      </w:r>
      <w:r w:rsidR="00104AAC">
        <w:t xml:space="preserve"> Duurzame bedrijfsmiddelen hebben een afschrijvingstermijn van meer dan 10 jaar of zijn bedrijfsmiddelen waar niet op mag worden afgeschreven. Niet-duurzame bedrijfsmiddelen hebben een </w:t>
      </w:r>
      <w:r>
        <w:t>afschrijvi</w:t>
      </w:r>
      <w:r w:rsidR="00104AAC">
        <w:t xml:space="preserve">ngstermijn van maximaal 10 jaar. </w:t>
      </w:r>
      <w:r>
        <w:t xml:space="preserve">Wanneer een HIR wordt gevormd bij de verkoop van niet-duurzame bedrijfsmiddelen, mag die worden aangewend voor elk niet-duurzaam bedrijfsmiddel. Bij deze categorie bedrijfsmiddelen is het dus niet van belang of het nieuwe bedrijfsmiddel dezelfde economische functie heeft als het oude. Bij duurzame bedrijfsmiddelen is dit wel van belang, aangezien een daarvoor gevormde reserve slechts mag worden aangewend voor duurzame bedrijfsmiddelen met dezelfde economische functie dan wel voor niet-duurzame bedrijfsmiddelen. </w:t>
      </w:r>
    </w:p>
    <w:p w:rsidR="006861A0" w:rsidRDefault="006861A0" w:rsidP="003C7640">
      <w:pPr>
        <w:spacing w:line="360" w:lineRule="auto"/>
        <w:contextualSpacing/>
        <w:jc w:val="both"/>
      </w:pPr>
    </w:p>
    <w:p w:rsidR="006861A0" w:rsidRDefault="006861A0" w:rsidP="003C7640">
      <w:pPr>
        <w:spacing w:line="360" w:lineRule="auto"/>
        <w:contextualSpacing/>
        <w:jc w:val="both"/>
      </w:pPr>
      <w:r>
        <w:t>De egalisatiereserve heeft als doel om kosten en lasten gelijkmatig te verdelen. Kosten die door bedrijfsuitoefening in een jaar gemaakt zijn, mogen ook dat jaar ten laste van de winst worden gebracht.</w:t>
      </w:r>
      <w:r>
        <w:rPr>
          <w:rStyle w:val="Voetnootmarkering"/>
        </w:rPr>
        <w:footnoteReference w:id="31"/>
      </w:r>
      <w:r>
        <w:t xml:space="preserve"> Volgens de Hoge Raad (HR 5 oktober 1955, nr. 12 401, BNB 1955/346) mag een egalisatiereserve alleen worden gevormd wanneer uitgaven voor bepaalde kosten niet gelijkmatig over de jaren verspreid zijn</w:t>
      </w:r>
      <w:r w:rsidR="00392D17">
        <w:t>. Daarnaast moeten</w:t>
      </w:r>
      <w:r>
        <w:t xml:space="preserve"> de kosten </w:t>
      </w:r>
      <w:r w:rsidR="00392D17">
        <w:t xml:space="preserve">gemaakt worden </w:t>
      </w:r>
      <w:r>
        <w:t>voor de ondernemingsuitoefening in het jaar van dotatie.</w:t>
      </w:r>
      <w:r>
        <w:rPr>
          <w:rStyle w:val="Voetnootmarkering"/>
        </w:rPr>
        <w:footnoteReference w:id="32"/>
      </w:r>
      <w:r>
        <w:t xml:space="preserve"> </w:t>
      </w:r>
    </w:p>
    <w:p w:rsidR="006861A0" w:rsidRPr="00630442" w:rsidRDefault="006861A0" w:rsidP="003C7640">
      <w:pPr>
        <w:pStyle w:val="Kop3"/>
        <w:spacing w:line="360" w:lineRule="auto"/>
        <w:jc w:val="both"/>
      </w:pPr>
      <w:bookmarkStart w:id="28" w:name="_Toc299740225"/>
      <w:r w:rsidRPr="00630442">
        <w:t>Goodwill</w:t>
      </w:r>
      <w:bookmarkEnd w:id="28"/>
    </w:p>
    <w:p w:rsidR="006861A0" w:rsidRDefault="006861A0" w:rsidP="003C7640">
      <w:pPr>
        <w:spacing w:line="360" w:lineRule="auto"/>
        <w:contextualSpacing/>
        <w:jc w:val="both"/>
      </w:pPr>
      <w:r>
        <w:t>Er worden in de literatuur veel definities gegeven van het begrip ‘goodwill’. In HR 20 mei 1953, BNB 1953/190, geeft de Hoge Raad de volgende definitie: ‘Goodwill brengt tot uitdrukking de winstcapaciteit van een bedrijf boven een normaal rendement van het daarin belegde vermogen en boven een normale beloning van den arbeid van den ondernemer en dat deze aldus in het algemeen vertegenwoordigt de meerwaarde, welke boven dat vermogen aan het bedrijf kan worden toegekend.’ Volgens Stevens</w:t>
      </w:r>
      <w:r>
        <w:rPr>
          <w:rStyle w:val="Voetnootmarkering"/>
        </w:rPr>
        <w:footnoteReference w:id="33"/>
      </w:r>
      <w:r>
        <w:t xml:space="preserve"> is het essentiële element in het begrip goodwill de overwinstcapaciteit. Dit komt in alle definities, waaronder die van de Hoge Raad, terug. Er zijn veel factoren die kunnen zorgen voor goodwill, </w:t>
      </w:r>
      <w:r w:rsidR="00392D17">
        <w:t>zoals</w:t>
      </w:r>
      <w:r>
        <w:t xml:space="preserve"> de locatie van het bedrijf, de branche of marktontwikkelingen. Cornelisse</w:t>
      </w:r>
      <w:r>
        <w:rPr>
          <w:rStyle w:val="Voetnootmarkering"/>
        </w:rPr>
        <w:footnoteReference w:id="34"/>
      </w:r>
      <w:r>
        <w:t xml:space="preserve"> is van mening dat het van jaar tot jaar schatten van de </w:t>
      </w:r>
      <w:r>
        <w:lastRenderedPageBreak/>
        <w:t>toekomstige overwinsten en deze contant maken de meest zuivere methode om de waarde van goodwill te bepalen. Deze goodwill hangt af van de rentevoet, de duur van de bijzondere winstgevendheid en de omvang daarvan.</w:t>
      </w:r>
      <w:r>
        <w:rPr>
          <w:rStyle w:val="Voetnootmarkering"/>
        </w:rPr>
        <w:footnoteReference w:id="35"/>
      </w:r>
    </w:p>
    <w:p w:rsidR="006861A0" w:rsidRDefault="006861A0" w:rsidP="003C7640">
      <w:pPr>
        <w:spacing w:line="360" w:lineRule="auto"/>
        <w:contextualSpacing/>
        <w:jc w:val="both"/>
      </w:pPr>
    </w:p>
    <w:p w:rsidR="005E7B98" w:rsidRDefault="005E7B98" w:rsidP="003C7640">
      <w:pPr>
        <w:spacing w:line="360" w:lineRule="auto"/>
        <w:contextualSpacing/>
        <w:jc w:val="both"/>
      </w:pPr>
      <w:r>
        <w:t xml:space="preserve">Er moet onderscheid worden gemaakt tussen persoonlijke goodwill en zakelijke goodwill. Persoonlijke goodwill wordt niet verdisconteerd in de prijs, want deze wordt niet overdraagbaar geacht. Zakelijke goodwill wordt wel verdisconteerd in de prijs en komt na overdracht bij de vennootschap op de balans onder kostprijs deelneming, als onderdeel van de verwervingsprijs. </w:t>
      </w:r>
      <w:r w:rsidR="0064298D">
        <w:t>Fiscaal a</w:t>
      </w:r>
      <w:r>
        <w:t>fschrijven over deze goodwill is niet mogelijk.</w:t>
      </w:r>
    </w:p>
    <w:p w:rsidR="005E7B98" w:rsidRDefault="005E7B98" w:rsidP="003C7640">
      <w:pPr>
        <w:spacing w:line="360" w:lineRule="auto"/>
        <w:contextualSpacing/>
        <w:jc w:val="both"/>
      </w:pPr>
    </w:p>
    <w:p w:rsidR="006861A0" w:rsidRPr="00763AFF" w:rsidRDefault="006861A0" w:rsidP="003C7640">
      <w:pPr>
        <w:pStyle w:val="Kop3"/>
        <w:spacing w:line="360" w:lineRule="auto"/>
        <w:jc w:val="both"/>
      </w:pPr>
      <w:bookmarkStart w:id="29" w:name="_Toc299740226"/>
      <w:r w:rsidRPr="00763AFF">
        <w:t>Belastinglatenties</w:t>
      </w:r>
      <w:bookmarkEnd w:id="29"/>
    </w:p>
    <w:p w:rsidR="006861A0" w:rsidRDefault="006861A0" w:rsidP="003C7640">
      <w:pPr>
        <w:spacing w:line="360" w:lineRule="auto"/>
        <w:contextualSpacing/>
        <w:jc w:val="both"/>
      </w:pPr>
      <w:r>
        <w:t>Een latente belastingschuld is “een belastingschuld die, naar de reeds bestaande situatie, in de toekomst effectief kan worden – en zelfs vermoedelijk effectief zal worden – doch voor het intreden waarvan de door de wet gestelde voorwaarden nog niet zijn vervuld”.</w:t>
      </w:r>
      <w:r>
        <w:rPr>
          <w:rStyle w:val="Voetnootmarkering"/>
        </w:rPr>
        <w:footnoteReference w:id="36"/>
      </w:r>
    </w:p>
    <w:p w:rsidR="006861A0" w:rsidRDefault="006861A0" w:rsidP="003C7640">
      <w:pPr>
        <w:spacing w:line="360" w:lineRule="auto"/>
        <w:contextualSpacing/>
        <w:jc w:val="both"/>
      </w:pPr>
      <w:r>
        <w:t xml:space="preserve">Bij de verkoop van </w:t>
      </w:r>
      <w:r w:rsidR="00236F84">
        <w:t xml:space="preserve">aandelen in </w:t>
      </w:r>
      <w:r>
        <w:t xml:space="preserve">een vennootschap moet rekening worden gehouden met een </w:t>
      </w:r>
      <w:proofErr w:type="spellStart"/>
      <w:r>
        <w:t>VPB-latentie</w:t>
      </w:r>
      <w:proofErr w:type="spellEnd"/>
      <w:r>
        <w:t xml:space="preserve"> op de stille reserves, de fiscale reserves en de goodwill. Deze winsten komen na de verkoop </w:t>
      </w:r>
      <w:r w:rsidR="00236F84">
        <w:t xml:space="preserve">van de aandelen </w:t>
      </w:r>
      <w:r>
        <w:t xml:space="preserve">toe aan de overnemende partij, maar deze moet daar te zijner tijd (wanneer de winsten gerealiseerd worden) belasting over betalen. Deze latenties worden meegenomen in de verkoopprijs. </w:t>
      </w:r>
    </w:p>
    <w:p w:rsidR="006861A0" w:rsidRDefault="006861A0" w:rsidP="003C7640">
      <w:pPr>
        <w:spacing w:line="360" w:lineRule="auto"/>
        <w:contextualSpacing/>
        <w:jc w:val="both"/>
      </w:pPr>
    </w:p>
    <w:p w:rsidR="006861A0" w:rsidRDefault="006861A0" w:rsidP="003C7640">
      <w:pPr>
        <w:spacing w:line="360" w:lineRule="auto"/>
        <w:contextualSpacing/>
        <w:jc w:val="both"/>
      </w:pPr>
      <w:r>
        <w:t xml:space="preserve">De latentie </w:t>
      </w:r>
      <w:r w:rsidR="00236F84">
        <w:t>wordt</w:t>
      </w:r>
      <w:r>
        <w:t xml:space="preserve"> berekend met behulp van een percentage. Bij de verkoop van een vennootschap is dit percentage vaak een punt van discussie. Van den Dool</w:t>
      </w:r>
      <w:r>
        <w:rPr>
          <w:rStyle w:val="Voetnootmarkering"/>
        </w:rPr>
        <w:footnoteReference w:id="37"/>
      </w:r>
      <w:r>
        <w:t xml:space="preserve"> beargumenteert dat voor elke stille reserve apart een percentage moet worden berekend. Hij berekent dit percentage aan de hand van de afschrijvingsduur, de hoogte van het vennootschapsbelastingtarief en de disconteringsvoet. </w:t>
      </w:r>
    </w:p>
    <w:p w:rsidR="006861A0" w:rsidRPr="00DB06B9" w:rsidRDefault="006861A0" w:rsidP="003C7640">
      <w:pPr>
        <w:pStyle w:val="Kop2"/>
        <w:spacing w:line="360" w:lineRule="auto"/>
        <w:jc w:val="both"/>
      </w:pPr>
      <w:bookmarkStart w:id="30" w:name="_Toc299740227"/>
      <w:r>
        <w:t>Nadelen van het huidige AB-regime</w:t>
      </w:r>
      <w:bookmarkEnd w:id="30"/>
    </w:p>
    <w:p w:rsidR="006861A0" w:rsidRDefault="00392D17" w:rsidP="003C7640">
      <w:pPr>
        <w:spacing w:line="360" w:lineRule="auto"/>
        <w:contextualSpacing/>
        <w:jc w:val="both"/>
      </w:pPr>
      <w:r>
        <w:t>Een groot nadeel van het huidige systeem is het ‘</w:t>
      </w:r>
      <w:proofErr w:type="spellStart"/>
      <w:r>
        <w:t>lock-in</w:t>
      </w:r>
      <w:proofErr w:type="spellEnd"/>
      <w:r>
        <w:t xml:space="preserve"> effect’, dat reeds besproken is in hoofdstuk 2.  Pas bij vervreemding van de aandelen moet worden betaald over de winst die behaald is op deze aandelen gedurende de tijd dat de aandelen in het bezit waren van de belastingplichtige (heffing op grond van een vermogenswinstbelasting).</w:t>
      </w:r>
      <w:r w:rsidR="006861A0">
        <w:t xml:space="preserve"> Wanneer de verkoop wordt uitgesteld, hoeft er ook nog geen belasting te worden betaald. Het </w:t>
      </w:r>
      <w:proofErr w:type="spellStart"/>
      <w:r w:rsidR="006861A0">
        <w:t>lock-in</w:t>
      </w:r>
      <w:proofErr w:type="spellEnd"/>
      <w:r w:rsidR="006861A0">
        <w:t xml:space="preserve"> effect kan, wanneer iemand zich laat leiden door </w:t>
      </w:r>
      <w:r w:rsidR="006861A0">
        <w:lastRenderedPageBreak/>
        <w:t>fiscale motieven, het gedrag van een belastingplichtige beïnvloeden</w:t>
      </w:r>
      <w:r>
        <w:t xml:space="preserve">. Dit zorgt </w:t>
      </w:r>
      <w:r w:rsidR="006861A0">
        <w:t xml:space="preserve">voor marktverstoringen. </w:t>
      </w:r>
      <w:r>
        <w:t xml:space="preserve">Wanneer de </w:t>
      </w:r>
      <w:proofErr w:type="spellStart"/>
      <w:r>
        <w:t>holdingsvennootschap</w:t>
      </w:r>
      <w:proofErr w:type="spellEnd"/>
      <w:r>
        <w:t xml:space="preserve"> de aandelen verkoopt, geldt dit overigens niet. </w:t>
      </w:r>
      <w:r w:rsidR="006861A0">
        <w:t xml:space="preserve">Naast het </w:t>
      </w:r>
      <w:proofErr w:type="spellStart"/>
      <w:r w:rsidR="006861A0">
        <w:t>lock-in</w:t>
      </w:r>
      <w:proofErr w:type="spellEnd"/>
      <w:r w:rsidR="006861A0">
        <w:t xml:space="preserve"> effect kan het belasten van inflatie bij de vennootschap ook nog, via de waarde van de aandelen, doorwerken in de aanmerkelijkbelangheffing en dus als probleem worden ervaren. Naar mijn mening </w:t>
      </w:r>
      <w:r w:rsidR="00E7575B">
        <w:t xml:space="preserve">zou </w:t>
      </w:r>
      <w:r w:rsidR="006861A0">
        <w:t xml:space="preserve">inflatie, zoals beargumenteerd in hoofdstuk 2, niet </w:t>
      </w:r>
      <w:r w:rsidR="00E7575B">
        <w:t xml:space="preserve">eigenlijk niet mogen </w:t>
      </w:r>
      <w:r w:rsidR="006861A0">
        <w:t xml:space="preserve">worden belast. </w:t>
      </w:r>
    </w:p>
    <w:p w:rsidR="006861A0" w:rsidRDefault="006861A0" w:rsidP="003C7640">
      <w:pPr>
        <w:spacing w:line="360" w:lineRule="auto"/>
        <w:contextualSpacing/>
        <w:jc w:val="both"/>
      </w:pPr>
    </w:p>
    <w:p w:rsidR="006861A0" w:rsidRDefault="006861A0" w:rsidP="003C7640">
      <w:pPr>
        <w:spacing w:line="360" w:lineRule="auto"/>
        <w:contextualSpacing/>
        <w:jc w:val="both"/>
      </w:pPr>
      <w:r>
        <w:t>Wanneer afreke</w:t>
      </w:r>
      <w:r w:rsidR="00E7575B">
        <w:t>ning</w:t>
      </w:r>
      <w:r>
        <w:t xml:space="preserve"> wordt uitgesteld, zoals </w:t>
      </w:r>
      <w:r w:rsidR="00E7575B">
        <w:t>onder het huidige</w:t>
      </w:r>
      <w:r>
        <w:t xml:space="preserve"> systeem het geval is, moet er wellicht in één keer worden afgerekend over een groot bedrag. De vraag is of er in dit geval genoeg liquiditeiten zijn om deze belasting te betalen, of dat er liquiditeiten aan de onderneming moeten worden onttrokken. In dit geval kan de continuïteit van de onderneming in gevaar komen.</w:t>
      </w:r>
    </w:p>
    <w:p w:rsidR="006861A0" w:rsidRDefault="006861A0" w:rsidP="003C7640">
      <w:pPr>
        <w:spacing w:line="360" w:lineRule="auto"/>
        <w:contextualSpacing/>
        <w:jc w:val="both"/>
      </w:pPr>
    </w:p>
    <w:p w:rsidR="006861A0" w:rsidRDefault="006861A0" w:rsidP="003C7640">
      <w:pPr>
        <w:spacing w:line="360" w:lineRule="auto"/>
        <w:contextualSpacing/>
        <w:jc w:val="both"/>
      </w:pPr>
      <w:r>
        <w:t xml:space="preserve">Om onder andere het liquiditeitsprobleem tegen te gaan, zijn er voor aanmerkelijkbelanghouders doorschuifbepalingen in de wet opgenomen (afdeling 4.8 Wet IB 2001). Kort gezegd betekent dit dat de verkrijgingsprijs wordt doorgeschoven naar de nieuwe eigenaar, waardoor de </w:t>
      </w:r>
      <w:proofErr w:type="spellStart"/>
      <w:r>
        <w:t>aanmerkelijkbelangclaim</w:t>
      </w:r>
      <w:proofErr w:type="spellEnd"/>
      <w:r>
        <w:t xml:space="preserve"> behouden blijft. Ook zijn in de Invorderingswet 1990 nog faciliteiten opgenomen die in voorkomende gevallen uitstel van betaling bieden (art. 25 IW 1990). Deze faciliteiten worden hier, gezien de probleemstelling, niet uitgewerkt.</w:t>
      </w:r>
    </w:p>
    <w:p w:rsidR="006861A0" w:rsidRPr="00F85F5E" w:rsidRDefault="006861A0" w:rsidP="003C7640">
      <w:pPr>
        <w:pStyle w:val="Kop2"/>
        <w:spacing w:line="360" w:lineRule="auto"/>
        <w:jc w:val="both"/>
      </w:pPr>
      <w:bookmarkStart w:id="31" w:name="_Toc299740228"/>
      <w:r w:rsidRPr="00F85F5E">
        <w:t>Conclusie/Samenvatting</w:t>
      </w:r>
      <w:bookmarkEnd w:id="31"/>
    </w:p>
    <w:p w:rsidR="006861A0" w:rsidRDefault="006861A0" w:rsidP="003C7640">
      <w:pPr>
        <w:spacing w:line="360" w:lineRule="auto"/>
        <w:contextualSpacing/>
        <w:jc w:val="both"/>
      </w:pPr>
      <w:r>
        <w:t>De door aanmerkelijkbelanghouders genoten vermogenswinsten in de ondernemingssfeer worden belast in box 2. De voordelen worden pas belast bij realisatie. Dit kan via de reguliere voordelen, zoals dividend, of via vervreemdingsvoordelen, op het moment van verkoop. Het vervreemdingsvoordeel kan worden berekend als de overdrachtsprijs verminderd met de verkrijgingsprijs. De overdrachtsprijs is de WEV van de aandelen, welke kan worden berekend door het fiscaal eigen vermogen te vermeerderen met de stille</w:t>
      </w:r>
      <w:r w:rsidR="00E7575B">
        <w:t xml:space="preserve"> en fiscale</w:t>
      </w:r>
      <w:r>
        <w:t xml:space="preserve"> reserves en goodwill en vervolgens te verminderen met de belastinglatenties. Deze latenties hangen af van de afschrijvingsduur, de hoogte van het vennootschapsbelastingtarief en de disconteringsvoet. </w:t>
      </w:r>
    </w:p>
    <w:p w:rsidR="006861A0" w:rsidRDefault="006861A0" w:rsidP="003C7640">
      <w:pPr>
        <w:spacing w:line="360" w:lineRule="auto"/>
        <w:contextualSpacing/>
        <w:jc w:val="both"/>
      </w:pPr>
    </w:p>
    <w:p w:rsidR="008375FA" w:rsidRDefault="008375FA" w:rsidP="003C7640">
      <w:pPr>
        <w:spacing w:line="360" w:lineRule="auto"/>
        <w:contextualSpacing/>
        <w:jc w:val="both"/>
      </w:pPr>
      <w:r>
        <w:t>Het huidige systeem zorgt voor marktverstoringen via het ‘</w:t>
      </w:r>
      <w:proofErr w:type="spellStart"/>
      <w:r>
        <w:t>lock-in</w:t>
      </w:r>
      <w:proofErr w:type="spellEnd"/>
      <w:r>
        <w:t xml:space="preserve"> effect’. Dit wil zeggen dat belastingplichtigen hun aandelen (nog) niet vervreemden om zo belastingheffing uit te stellen. Dit effect treedt echter niet op wanneer de aandelen in het bezit zijn van een holding. Een andere marktverstoring is de invloed van inflatie op de waarde van de aandelen en daarmee de aanmerkelijkbelangheffing. Inflatie hoort niet belast te worden.</w:t>
      </w:r>
      <w:r w:rsidRPr="008375FA">
        <w:t xml:space="preserve"> </w:t>
      </w:r>
      <w:r>
        <w:t>Tot slot kan een</w:t>
      </w:r>
      <w:r w:rsidRPr="008375FA">
        <w:t xml:space="preserve"> </w:t>
      </w:r>
      <w:r>
        <w:t xml:space="preserve">belastingplichtige </w:t>
      </w:r>
      <w:r>
        <w:lastRenderedPageBreak/>
        <w:t>een liquiditeitsprobleem krijgen vanwege de belastingclaim bij vervreemding. Voor dit laatste probleem zijn de doorschuifbepalingen in de wet opgenomen.</w:t>
      </w:r>
    </w:p>
    <w:p w:rsidR="008375FA" w:rsidRDefault="008375FA" w:rsidP="003C7640">
      <w:pPr>
        <w:spacing w:line="360" w:lineRule="auto"/>
        <w:contextualSpacing/>
        <w:jc w:val="both"/>
      </w:pPr>
    </w:p>
    <w:p w:rsidR="008375FA" w:rsidRPr="00630442" w:rsidRDefault="008375FA" w:rsidP="003C7640">
      <w:pPr>
        <w:spacing w:line="360" w:lineRule="auto"/>
        <w:contextualSpacing/>
        <w:jc w:val="both"/>
      </w:pPr>
      <w:r>
        <w:t xml:space="preserve">In hoofdstuk 2 en hoofdstuk 3 zijn twee systemen, het ideale systeem (vermogensaanwasbelasting) en het huidige systeem (vermogenswinstbelasting), beschreven. In het volgende hoofdstuk worden deze twee systemen aan de hand van een voorbeeld verder geanalyseerd, waarna een vergelijking wordt gemaakt tussen deze systemen. Deze vergelijking moet een antwoord geven op de vraag of faciliteiten nodig zijn om </w:t>
      </w:r>
      <w:r w:rsidR="00E7575B">
        <w:t>een eventueel verschil te corrigeren.</w:t>
      </w:r>
    </w:p>
    <w:p w:rsidR="008375FA" w:rsidRDefault="008375FA" w:rsidP="002A5479">
      <w:pPr>
        <w:spacing w:line="360" w:lineRule="auto"/>
        <w:contextualSpacing/>
      </w:pPr>
    </w:p>
    <w:p w:rsidR="006861A0" w:rsidRPr="000E5159" w:rsidRDefault="006861A0" w:rsidP="003C7640">
      <w:pPr>
        <w:pStyle w:val="Kop1"/>
        <w:spacing w:line="360" w:lineRule="auto"/>
        <w:jc w:val="both"/>
      </w:pPr>
      <w:bookmarkStart w:id="32" w:name="_Toc299740229"/>
      <w:r w:rsidRPr="000E5159">
        <w:lastRenderedPageBreak/>
        <w:t>Model</w:t>
      </w:r>
      <w:bookmarkEnd w:id="32"/>
    </w:p>
    <w:p w:rsidR="000D0E0C" w:rsidRDefault="000D0E0C" w:rsidP="003C7640">
      <w:pPr>
        <w:pStyle w:val="Kop2"/>
        <w:spacing w:line="360" w:lineRule="auto"/>
        <w:jc w:val="both"/>
      </w:pPr>
      <w:bookmarkStart w:id="33" w:name="_Toc299740230"/>
      <w:r w:rsidRPr="000D0E0C">
        <w:t>Inleiding</w:t>
      </w:r>
      <w:bookmarkEnd w:id="33"/>
      <w:r>
        <w:t xml:space="preserve"> </w:t>
      </w:r>
    </w:p>
    <w:p w:rsidR="006861A0" w:rsidRDefault="006861A0" w:rsidP="003C7640">
      <w:pPr>
        <w:spacing w:line="360" w:lineRule="auto"/>
        <w:contextualSpacing/>
        <w:jc w:val="both"/>
      </w:pPr>
      <w:r>
        <w:t xml:space="preserve">In dit hoofdstuk wordt berekend wat de verschillen zijn bij een belastingheffing over vermogenswinsten op grond van een vermogensaanwasbelasting (zie hoofdstuk 2) en bij een heffing onder het huidige systeem (vermogenswinstbelasting, zie hoofdstuk 3). Hiertoe wordt in paragraaf 4.2 eerst een fictieve casus gegeven met balansen voor zowel de werkmaatschappij als de holdingvennootschap. In paragraaf 4.3 wordt vervolgens berekend hoeveel belasting na 10 jaar verschuldigd zou zijn bij een vermogensaanwasbelasting, waarna in paragraaf 4.4 hetzelfde </w:t>
      </w:r>
      <w:r w:rsidR="00213152">
        <w:t xml:space="preserve">wordt gedaan </w:t>
      </w:r>
      <w:r>
        <w:t>voor de vermogenswinstbelasting. In paragraaf 4.5 zal een vergelijking worden gemaakt tussen beiden systemen, waarna in</w:t>
      </w:r>
      <w:r w:rsidR="00213152">
        <w:t xml:space="preserve"> paragraaf</w:t>
      </w:r>
      <w:r>
        <w:t xml:space="preserve"> 4.6 de conclusie volgt.</w:t>
      </w:r>
    </w:p>
    <w:p w:rsidR="006861A0" w:rsidRDefault="006861A0" w:rsidP="003C7640">
      <w:pPr>
        <w:pStyle w:val="Kop2"/>
        <w:spacing w:line="360" w:lineRule="auto"/>
        <w:jc w:val="both"/>
      </w:pPr>
      <w:bookmarkStart w:id="34" w:name="_Toc299740231"/>
      <w:r w:rsidRPr="000E5159">
        <w:t>Casus</w:t>
      </w:r>
      <w:bookmarkEnd w:id="34"/>
    </w:p>
    <w:p w:rsidR="006A2727" w:rsidRDefault="006A2727" w:rsidP="003C7640">
      <w:pPr>
        <w:pStyle w:val="Kop3"/>
        <w:spacing w:line="360" w:lineRule="auto"/>
        <w:jc w:val="both"/>
      </w:pPr>
      <w:bookmarkStart w:id="35" w:name="_Toc299740232"/>
      <w:r>
        <w:t>Introductie van de casus</w:t>
      </w:r>
      <w:bookmarkEnd w:id="35"/>
    </w:p>
    <w:p w:rsidR="006861A0" w:rsidRPr="00A93A31" w:rsidRDefault="00993C4A" w:rsidP="003C7640">
      <w:pPr>
        <w:spacing w:line="360" w:lineRule="auto"/>
        <w:contextualSpacing/>
        <w:jc w:val="both"/>
      </w:pPr>
      <w:r>
        <w:t xml:space="preserve">In 2001 heeft </w:t>
      </w:r>
      <w:r w:rsidR="006A2727">
        <w:t xml:space="preserve">Dhr. Y besloten om zijn aandelen in BV W te verkopen. Hij is ongeneeslijk ziek en kan niet meer de moed opbrengen om zijn bedrijf weer op het juiste pad te brengen. </w:t>
      </w:r>
      <w:r w:rsidR="00504786">
        <w:t xml:space="preserve">Het bedrijf was niet erg winstgevend, dus bezat geen goodwill, en de afschrijvingen waren op het moment van verkoop zo redelijk dat er geen stille reserves in het pand of de machines zaten. </w:t>
      </w:r>
      <w:r w:rsidR="00B210BD">
        <w:t xml:space="preserve">BV H heeft deze </w:t>
      </w:r>
      <w:r w:rsidR="006861A0">
        <w:t xml:space="preserve">aandelen </w:t>
      </w:r>
      <w:r w:rsidR="00835831">
        <w:t xml:space="preserve">op 2 januari 2001 </w:t>
      </w:r>
      <w:r w:rsidR="006861A0">
        <w:t>gekocht voor €1.000.000, wat deels gefinancierd is door middel van een lening à €900.000.</w:t>
      </w:r>
      <w:r w:rsidR="003E0F09">
        <w:rPr>
          <w:rStyle w:val="Voetnootmarkering"/>
        </w:rPr>
        <w:footnoteReference w:id="38"/>
      </w:r>
      <w:r w:rsidR="006861A0">
        <w:t xml:space="preserve"> BV W is een kleine fietsenfabriek, die speciale fietsen maakt op bestelling en naar wensen van de klant.</w:t>
      </w:r>
      <w:r w:rsidR="00FE3625">
        <w:t xml:space="preserve"> De aandelen van BV H zijn in handen van Dhr. X.</w:t>
      </w:r>
      <w:r w:rsidR="003E0F09">
        <w:t xml:space="preserve"> De verkrijgingsprijs van de aandelen H is  €100.000.</w:t>
      </w:r>
      <w:r w:rsidR="006861A0">
        <w:t xml:space="preserve"> </w:t>
      </w:r>
      <w:r w:rsidR="00FE3625">
        <w:t xml:space="preserve">Deze holding (BV H) houdt slechts de aandelen in BV W. </w:t>
      </w:r>
      <w:r w:rsidR="006861A0">
        <w:t>Op 31/12/2010 verkoopt BV H de aandelen in BV W aan een derde.</w:t>
      </w:r>
      <w:r w:rsidR="00B210BD" w:rsidRPr="00B210BD">
        <w:t xml:space="preserve"> </w:t>
      </w:r>
    </w:p>
    <w:p w:rsidR="003E0F09" w:rsidRDefault="003E0F09" w:rsidP="002A5479">
      <w:pPr>
        <w:spacing w:line="360" w:lineRule="auto"/>
      </w:pPr>
      <w:r>
        <w:br w:type="page"/>
      </w:r>
    </w:p>
    <w:p w:rsidR="006A2727" w:rsidRDefault="006A2727" w:rsidP="002A5479">
      <w:pPr>
        <w:spacing w:line="360" w:lineRule="auto"/>
        <w:contextualSpacing/>
      </w:pPr>
    </w:p>
    <w:p w:rsidR="00783F14" w:rsidRDefault="00783F14" w:rsidP="003C7640">
      <w:pPr>
        <w:spacing w:line="360" w:lineRule="auto"/>
        <w:contextualSpacing/>
        <w:jc w:val="both"/>
      </w:pPr>
      <w:r>
        <w:t>De onderstaande balans betref</w:t>
      </w:r>
      <w:r w:rsidR="00504786">
        <w:t>t</w:t>
      </w:r>
      <w:r>
        <w:t xml:space="preserve"> de fiscale balans van </w:t>
      </w:r>
      <w:r w:rsidR="00504786">
        <w:t xml:space="preserve">BV W per </w:t>
      </w:r>
      <w:r w:rsidR="00835831">
        <w:t>02/01/2001.</w:t>
      </w:r>
    </w:p>
    <w:p w:rsidR="006861A0" w:rsidRPr="00412947" w:rsidRDefault="006861A0" w:rsidP="002A5479">
      <w:pPr>
        <w:spacing w:line="360" w:lineRule="auto"/>
        <w:contextualSpacing/>
      </w:pPr>
    </w:p>
    <w:p w:rsidR="006861A0" w:rsidRPr="009D52CA" w:rsidRDefault="00054C53" w:rsidP="002A5479">
      <w:pPr>
        <w:keepNext/>
        <w:spacing w:line="360" w:lineRule="auto"/>
        <w:contextualSpacing/>
        <w:jc w:val="center"/>
        <w:rPr>
          <w:b/>
        </w:rPr>
      </w:pPr>
      <w:r w:rsidRPr="00054C53">
        <w:rPr>
          <w:b/>
          <w:noProof/>
          <w:lang w:val="en-US" w:eastAsia="nl-NL"/>
        </w:rPr>
        <w:pict>
          <v:shapetype id="_x0000_t32" coordsize="21600,21600" o:spt="32" o:oned="t" path="m,l21600,21600e" filled="f">
            <v:path arrowok="t" fillok="f" o:connecttype="none"/>
            <o:lock v:ext="edit" shapetype="t"/>
          </v:shapetype>
          <v:shape id="AutoShape 3" o:spid="_x0000_s1026" type="#_x0000_t32" style="position:absolute;left:0;text-align:left;margin-left:228.1pt;margin-top:15.35pt;width:0;height:136.95pt;z-index:251652096;visibility:visible;mso-wrap-distance-left:3.17486mm;mso-wrap-distance-right:3.17486m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"/>
        </w:pict>
      </w:r>
      <w:r w:rsidRPr="00054C53">
        <w:rPr>
          <w:b/>
          <w:noProof/>
          <w:lang w:val="en-US" w:eastAsia="nl-NL"/>
        </w:rPr>
        <w:pict>
          <v:shape id="AutoShape 2" o:spid="_x0000_s1043" type="#_x0000_t32" style="position:absolute;left:0;text-align:left;margin-left:-.15pt;margin-top:15.35pt;width:446.05pt;height:0;z-index:251653120;visibility:visible;mso-wrap-distance-top:-8e-5mm;mso-wrap-distance-bottom:-8e-5m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"/>
        </w:pict>
      </w:r>
      <w:r w:rsidR="006861A0" w:rsidRPr="009D52CA">
        <w:rPr>
          <w:b/>
        </w:rPr>
        <w:t xml:space="preserve">Balans BV </w:t>
      </w:r>
      <w:r w:rsidR="006861A0">
        <w:rPr>
          <w:b/>
        </w:rPr>
        <w:t>W</w:t>
      </w:r>
      <w:r w:rsidR="006861A0" w:rsidRPr="009D52CA">
        <w:rPr>
          <w:b/>
        </w:rPr>
        <w:t xml:space="preserve"> (bedragen in €)</w:t>
      </w:r>
    </w:p>
    <w:p w:rsidR="006861A0" w:rsidRDefault="00213152" w:rsidP="002A5479">
      <w:pPr>
        <w:keepNext/>
        <w:tabs>
          <w:tab w:val="decimal" w:pos="3544"/>
          <w:tab w:val="left" w:pos="5103"/>
          <w:tab w:val="decimal" w:pos="8647"/>
        </w:tabs>
        <w:spacing w:line="360" w:lineRule="auto"/>
        <w:ind w:firstLine="708"/>
        <w:contextualSpacing/>
      </w:pPr>
      <w:r>
        <w:t>Pand</w:t>
      </w:r>
      <w:r w:rsidR="006861A0">
        <w:tab/>
      </w:r>
      <w:r w:rsidR="00774235">
        <w:t>3.900.000</w:t>
      </w:r>
      <w:r w:rsidR="006861A0">
        <w:tab/>
        <w:t>Aandelenkapitaal</w:t>
      </w:r>
      <w:r w:rsidR="006861A0">
        <w:tab/>
        <w:t>750.000</w:t>
      </w:r>
    </w:p>
    <w:p w:rsidR="006861A0" w:rsidRDefault="006861A0" w:rsidP="002A5479">
      <w:pPr>
        <w:keepNext/>
        <w:tabs>
          <w:tab w:val="decimal" w:pos="3544"/>
          <w:tab w:val="left" w:pos="5103"/>
          <w:tab w:val="decimal" w:pos="8647"/>
        </w:tabs>
        <w:spacing w:line="360" w:lineRule="auto"/>
        <w:ind w:firstLine="708"/>
        <w:contextualSpacing/>
      </w:pPr>
      <w:r>
        <w:t>Machines</w:t>
      </w:r>
      <w:r>
        <w:tab/>
      </w:r>
      <w:r w:rsidR="00B557CE">
        <w:t>40.000</w:t>
      </w:r>
      <w:r>
        <w:tab/>
        <w:t>Algemene reserve</w:t>
      </w:r>
      <w:r>
        <w:tab/>
      </w:r>
      <w:r w:rsidR="00504786">
        <w:t>250.000</w:t>
      </w:r>
    </w:p>
    <w:p w:rsidR="00504786" w:rsidRDefault="006861A0" w:rsidP="002A5479">
      <w:pPr>
        <w:keepNext/>
        <w:tabs>
          <w:tab w:val="decimal" w:pos="3544"/>
          <w:tab w:val="left" w:pos="5103"/>
          <w:tab w:val="decimal" w:pos="8647"/>
        </w:tabs>
        <w:spacing w:line="360" w:lineRule="auto"/>
        <w:ind w:firstLine="708"/>
        <w:contextualSpacing/>
      </w:pPr>
      <w:r>
        <w:t>Debiteuren</w:t>
      </w:r>
      <w:r>
        <w:tab/>
      </w:r>
      <w:r w:rsidR="00A41191">
        <w:t>75.000</w:t>
      </w:r>
      <w:r>
        <w:tab/>
      </w:r>
      <w:r w:rsidR="00504786">
        <w:t>Hypothecaire lening (6%)</w:t>
      </w:r>
      <w:r w:rsidR="00504786">
        <w:tab/>
        <w:t>3.000.000</w:t>
      </w:r>
    </w:p>
    <w:p w:rsidR="006861A0" w:rsidRDefault="006861A0" w:rsidP="002A5479">
      <w:pPr>
        <w:keepNext/>
        <w:tabs>
          <w:tab w:val="decimal" w:pos="3544"/>
          <w:tab w:val="left" w:pos="5103"/>
          <w:tab w:val="decimal" w:pos="8647"/>
        </w:tabs>
        <w:spacing w:line="360" w:lineRule="auto"/>
        <w:ind w:firstLine="708"/>
        <w:contextualSpacing/>
      </w:pPr>
      <w:r>
        <w:t>Voorraad</w:t>
      </w:r>
      <w:r>
        <w:tab/>
      </w:r>
      <w:r w:rsidR="00A41191">
        <w:t>25.000</w:t>
      </w:r>
      <w:r>
        <w:tab/>
      </w:r>
      <w:r w:rsidR="00504786">
        <w:t>Crediteuren</w:t>
      </w:r>
      <w:r w:rsidR="00504786">
        <w:tab/>
      </w:r>
      <w:r w:rsidR="00292C47">
        <w:t>2</w:t>
      </w:r>
      <w:r w:rsidR="00504786">
        <w:t>00.000</w:t>
      </w:r>
    </w:p>
    <w:p w:rsidR="006861A0" w:rsidRDefault="00054C53" w:rsidP="002A5479">
      <w:pPr>
        <w:keepNext/>
        <w:tabs>
          <w:tab w:val="decimal" w:pos="3544"/>
          <w:tab w:val="left" w:pos="5103"/>
          <w:tab w:val="decimal" w:pos="8647"/>
        </w:tabs>
        <w:spacing w:line="360" w:lineRule="auto"/>
        <w:ind w:firstLine="708"/>
        <w:contextualSpacing/>
      </w:pPr>
      <w:r w:rsidRPr="00054C53">
        <w:rPr>
          <w:noProof/>
          <w:lang w:val="en-US" w:eastAsia="nl-NL"/>
        </w:rPr>
        <w:pict>
          <v:shape id="AutoShape 6" o:spid="_x0000_s1042" type="#_x0000_t32" style="position:absolute;left:0;text-align:left;margin-left:385.2pt;margin-top:19.4pt;width:44.6pt;height:0;z-index:251654144;visibility:visible;mso-wrap-distance-top:-8e-5mm;mso-wrap-distance-bottom:-8e-5m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"/>
        </w:pict>
      </w:r>
      <w:r w:rsidRPr="00054C53">
        <w:rPr>
          <w:noProof/>
          <w:lang w:val="en-US" w:eastAsia="nl-NL"/>
        </w:rPr>
        <w:pict>
          <v:shape id="AutoShape 4" o:spid="_x0000_s1041" type="#_x0000_t32" style="position:absolute;left:0;text-align:left;margin-left:131.9pt;margin-top:19.4pt;width:44.6pt;height:0;z-index:251655168;visibility:visible;mso-wrap-distance-top:-8e-5mm;mso-wrap-distance-bottom:-8e-5m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"/>
        </w:pict>
      </w:r>
      <w:r w:rsidR="006861A0">
        <w:t>Bank</w:t>
      </w:r>
      <w:r w:rsidR="006861A0">
        <w:tab/>
        <w:t>1</w:t>
      </w:r>
      <w:r w:rsidR="00504786">
        <w:t>6</w:t>
      </w:r>
      <w:r w:rsidR="006861A0">
        <w:t>0.000</w:t>
      </w:r>
      <w:r w:rsidR="006861A0">
        <w:tab/>
      </w:r>
    </w:p>
    <w:p w:rsidR="006861A0" w:rsidRDefault="006861A0" w:rsidP="002A5479">
      <w:pPr>
        <w:keepNext/>
        <w:tabs>
          <w:tab w:val="decimal" w:pos="3544"/>
          <w:tab w:val="left" w:pos="5103"/>
          <w:tab w:val="decimal" w:pos="8647"/>
        </w:tabs>
        <w:spacing w:line="360" w:lineRule="auto"/>
        <w:ind w:firstLine="708"/>
        <w:contextualSpacing/>
        <w:rPr>
          <w:b/>
        </w:rPr>
      </w:pPr>
      <w:r w:rsidRPr="009D52CA">
        <w:rPr>
          <w:b/>
        </w:rPr>
        <w:t>Totaal</w:t>
      </w:r>
      <w:r w:rsidRPr="009D52CA">
        <w:rPr>
          <w:b/>
        </w:rPr>
        <w:tab/>
      </w:r>
      <w:r>
        <w:rPr>
          <w:b/>
        </w:rPr>
        <w:t>4.</w:t>
      </w:r>
      <w:r w:rsidR="00292C47">
        <w:rPr>
          <w:b/>
        </w:rPr>
        <w:t>20</w:t>
      </w:r>
      <w:r>
        <w:rPr>
          <w:b/>
        </w:rPr>
        <w:t>0.000</w:t>
      </w:r>
      <w:r>
        <w:tab/>
      </w:r>
      <w:r w:rsidRPr="009D52CA">
        <w:rPr>
          <w:b/>
        </w:rPr>
        <w:t>Totaal</w:t>
      </w:r>
      <w:r w:rsidRPr="009D52CA">
        <w:rPr>
          <w:b/>
        </w:rPr>
        <w:tab/>
      </w:r>
      <w:r>
        <w:rPr>
          <w:b/>
        </w:rPr>
        <w:t>4.</w:t>
      </w:r>
      <w:r w:rsidR="00292C47">
        <w:rPr>
          <w:b/>
        </w:rPr>
        <w:t>2</w:t>
      </w:r>
      <w:r w:rsidR="00504786">
        <w:rPr>
          <w:b/>
        </w:rPr>
        <w:t>0</w:t>
      </w:r>
      <w:r>
        <w:rPr>
          <w:b/>
        </w:rPr>
        <w:t>0.000</w:t>
      </w:r>
    </w:p>
    <w:p w:rsidR="006861A0" w:rsidRDefault="006861A0" w:rsidP="002A5479">
      <w:pPr>
        <w:spacing w:line="360" w:lineRule="auto"/>
        <w:contextualSpacing/>
      </w:pPr>
    </w:p>
    <w:p w:rsidR="006861A0" w:rsidRDefault="006861A0" w:rsidP="002A5479">
      <w:pPr>
        <w:spacing w:line="360" w:lineRule="auto"/>
        <w:contextualSpacing/>
        <w:rPr>
          <w:b/>
        </w:rPr>
      </w:pPr>
    </w:p>
    <w:p w:rsidR="006861A0" w:rsidRDefault="00081618" w:rsidP="003C7640">
      <w:pPr>
        <w:pStyle w:val="Kop3"/>
        <w:spacing w:line="360" w:lineRule="auto"/>
        <w:jc w:val="both"/>
      </w:pPr>
      <w:bookmarkStart w:id="36" w:name="_Toc299740233"/>
      <w:r w:rsidRPr="000E5159">
        <w:t>Afschrijvingen en vermogenswinsten</w:t>
      </w:r>
      <w:bookmarkEnd w:id="36"/>
    </w:p>
    <w:p w:rsidR="00783F14" w:rsidRDefault="00FE3625" w:rsidP="003C7640">
      <w:pPr>
        <w:spacing w:line="360" w:lineRule="auto"/>
        <w:contextualSpacing/>
        <w:jc w:val="both"/>
      </w:pPr>
      <w:r>
        <w:t xml:space="preserve">Bij de koop van de aandelen door BV H was het pand net één jaar oud. </w:t>
      </w:r>
      <w:r w:rsidR="00E7575B">
        <w:t xml:space="preserve">Het pand </w:t>
      </w:r>
      <w:r>
        <w:t xml:space="preserve">is </w:t>
      </w:r>
      <w:r w:rsidR="00E7575B">
        <w:t xml:space="preserve">begin </w:t>
      </w:r>
      <w:r>
        <w:t xml:space="preserve">2000 gekocht voor €4.000.000. Deze wordt lineair </w:t>
      </w:r>
      <w:r w:rsidR="00774235">
        <w:t xml:space="preserve">afgeschreven in 40 jaar. In de praktijk wordt </w:t>
      </w:r>
      <w:r w:rsidR="00E74FB1">
        <w:t xml:space="preserve">wel </w:t>
      </w:r>
      <w:r w:rsidR="00774235">
        <w:t xml:space="preserve">gerekend met een restwaarde van nihil, </w:t>
      </w:r>
      <w:r w:rsidR="00E74FB1">
        <w:t xml:space="preserve">omdat </w:t>
      </w:r>
      <w:r w:rsidR="00774235">
        <w:t>de lange afschrijvingsduur wordt gezien als een compensatie voor het niet af mogen schrijven op grond.</w:t>
      </w:r>
      <w:r w:rsidR="00E7575B">
        <w:t xml:space="preserve"> Ook met een restwaarde wordt in die optiek geen rekening gehouden. </w:t>
      </w:r>
      <w:r w:rsidR="00774235">
        <w:t xml:space="preserve"> Er wordt dan jaarlijks €4.000.000/40 = €100.000 afgeschreven. Het pand staat per 2/1/2001 dus op de balans voor €3.900.000.</w:t>
      </w:r>
      <w:r>
        <w:t xml:space="preserve"> </w:t>
      </w:r>
      <w:r w:rsidR="006861A0">
        <w:t>Na 10 jaar staat het pand op de balans voor 4.000.000 – 10x€</w:t>
      </w:r>
      <w:r w:rsidR="00774235">
        <w:t>100.000</w:t>
      </w:r>
      <w:r w:rsidR="006861A0">
        <w:t xml:space="preserve"> = </w:t>
      </w:r>
      <w:r w:rsidR="00783F14">
        <w:t>€</w:t>
      </w:r>
      <w:r w:rsidR="00774235">
        <w:t>3.000.000.</w:t>
      </w:r>
      <w:r w:rsidR="006861A0" w:rsidRPr="008D39C8">
        <w:t xml:space="preserve"> </w:t>
      </w:r>
      <w:r w:rsidR="00774235">
        <w:t>Dit moet wel hoger zijn dan de bodemwaarde: deze is voor een pand in eigen gebruik 50% van de WOZ-waarde</w:t>
      </w:r>
      <w:r w:rsidR="004E7A8E">
        <w:t xml:space="preserve"> (art. 3.30</w:t>
      </w:r>
      <w:r w:rsidR="00E7575B">
        <w:t>a</w:t>
      </w:r>
      <w:r w:rsidR="004E7A8E">
        <w:t xml:space="preserve"> Wet IB). </w:t>
      </w:r>
    </w:p>
    <w:p w:rsidR="00783F14" w:rsidRDefault="00783F14" w:rsidP="003C7640">
      <w:pPr>
        <w:spacing w:line="360" w:lineRule="auto"/>
        <w:contextualSpacing/>
        <w:jc w:val="both"/>
      </w:pPr>
    </w:p>
    <w:p w:rsidR="006861A0" w:rsidRDefault="00B557CE" w:rsidP="003C7640">
      <w:pPr>
        <w:spacing w:line="360" w:lineRule="auto"/>
        <w:contextualSpacing/>
        <w:jc w:val="both"/>
      </w:pPr>
      <w:r>
        <w:t>Toen de aandelen werden gekocht door BV H, stonden er ook machines op de balans</w:t>
      </w:r>
      <w:r w:rsidR="00294877">
        <w:t xml:space="preserve"> van BV W</w:t>
      </w:r>
      <w:r>
        <w:t xml:space="preserve">. Deze machines </w:t>
      </w:r>
      <w:r w:rsidR="00E74FB1">
        <w:t xml:space="preserve">zijn </w:t>
      </w:r>
      <w:r>
        <w:t xml:space="preserve">in </w:t>
      </w:r>
      <w:r w:rsidR="00E74FB1">
        <w:t xml:space="preserve">januari </w:t>
      </w:r>
      <w:r>
        <w:t>1998 gekocht voor €100.000 (f</w:t>
      </w:r>
      <w:r w:rsidR="009A75D2">
        <w:t xml:space="preserve"> </w:t>
      </w:r>
      <w:r>
        <w:t xml:space="preserve">220.371). </w:t>
      </w:r>
      <w:r w:rsidR="00292C47">
        <w:t>Ze</w:t>
      </w:r>
      <w:r>
        <w:t xml:space="preserve"> werden in 5 jaar afgeschreven met een restwaarde van nihil. </w:t>
      </w:r>
      <w:r w:rsidR="00294877">
        <w:t xml:space="preserve">De machines </w:t>
      </w:r>
      <w:r>
        <w:t>stond</w:t>
      </w:r>
      <w:r w:rsidR="00294877">
        <w:t>en</w:t>
      </w:r>
      <w:r>
        <w:t xml:space="preserve"> per 2/1/2001 dus voor €40.000 op de balans.</w:t>
      </w:r>
      <w:r w:rsidR="009A75D2">
        <w:t xml:space="preserve"> In 2002 bleek dat er nog wel een markt was voor de oude machines. Daar maakte </w:t>
      </w:r>
      <w:r w:rsidR="00294877">
        <w:t xml:space="preserve">BV W </w:t>
      </w:r>
      <w:r w:rsidR="009A75D2">
        <w:t xml:space="preserve">in 2006, toen </w:t>
      </w:r>
      <w:r>
        <w:t>ze een nieuwe weg in</w:t>
      </w:r>
      <w:r w:rsidR="009A75D2">
        <w:t xml:space="preserve"> wilde </w:t>
      </w:r>
      <w:r>
        <w:t>slaan</w:t>
      </w:r>
      <w:r w:rsidR="009A75D2">
        <w:t>, gebruik van</w:t>
      </w:r>
      <w:r>
        <w:t xml:space="preserve"> en de machines werden verkocht voor €10.000</w:t>
      </w:r>
      <w:r w:rsidR="003872A3">
        <w:t xml:space="preserve"> (zie </w:t>
      </w:r>
      <w:r w:rsidR="003872A3" w:rsidRPr="003872A3">
        <w:rPr>
          <w:b/>
        </w:rPr>
        <w:t>bijlage I</w:t>
      </w:r>
      <w:r w:rsidR="003872A3">
        <w:t xml:space="preserve">, </w:t>
      </w:r>
      <w:r w:rsidR="003872A3" w:rsidRPr="003872A3">
        <w:rPr>
          <w:i/>
        </w:rPr>
        <w:t xml:space="preserve">tabel </w:t>
      </w:r>
      <w:r w:rsidR="00D431C7">
        <w:rPr>
          <w:i/>
        </w:rPr>
        <w:t>3</w:t>
      </w:r>
      <w:r w:rsidR="003872A3">
        <w:t>)</w:t>
      </w:r>
      <w:r>
        <w:t>. Er werden vervolgens</w:t>
      </w:r>
      <w:r w:rsidR="00292C47">
        <w:t xml:space="preserve">, op </w:t>
      </w:r>
      <w:r w:rsidR="00294877">
        <w:t>2</w:t>
      </w:r>
      <w:r w:rsidR="00292C47">
        <w:t>/1/2007,</w:t>
      </w:r>
      <w:r>
        <w:t xml:space="preserve"> nieuwe machines </w:t>
      </w:r>
      <w:r w:rsidR="001713C4">
        <w:t>aangeschaft</w:t>
      </w:r>
      <w:r>
        <w:t xml:space="preserve"> </w:t>
      </w:r>
      <w:r w:rsidR="006861A0">
        <w:t xml:space="preserve"> voor een prijs van €500.</w:t>
      </w:r>
      <w:r w:rsidR="00783F14">
        <w:t>000</w:t>
      </w:r>
      <w:r w:rsidR="006861A0">
        <w:t xml:space="preserve">. </w:t>
      </w:r>
      <w:r w:rsidR="00294877">
        <w:t>De machines worden</w:t>
      </w:r>
      <w:r w:rsidR="005377BA">
        <w:t xml:space="preserve"> in 5 jaar afgeschreven. </w:t>
      </w:r>
      <w:r w:rsidR="006861A0">
        <w:t>De jaarlijkse afschrijving is dus (500.000-100.000)/5 = €80.000. Na 4 jaar staan de machines op de balans voor €500.000 – 4x€80.000 = €180.</w:t>
      </w:r>
      <w:r w:rsidR="00783F14">
        <w:t>000</w:t>
      </w:r>
      <w:r w:rsidR="006861A0">
        <w:t xml:space="preserve">.  </w:t>
      </w:r>
    </w:p>
    <w:p w:rsidR="00783F14" w:rsidRDefault="00783F14" w:rsidP="003C7640">
      <w:pPr>
        <w:spacing w:line="360" w:lineRule="auto"/>
        <w:contextualSpacing/>
        <w:jc w:val="both"/>
      </w:pPr>
    </w:p>
    <w:p w:rsidR="006861A0" w:rsidRDefault="006861A0" w:rsidP="003C7640">
      <w:pPr>
        <w:spacing w:line="360" w:lineRule="auto"/>
        <w:contextualSpacing/>
        <w:jc w:val="both"/>
      </w:pPr>
      <w:r>
        <w:t xml:space="preserve">In </w:t>
      </w:r>
      <w:r w:rsidRPr="00791150">
        <w:rPr>
          <w:b/>
        </w:rPr>
        <w:t>bijlage I</w:t>
      </w:r>
      <w:r w:rsidRPr="00791150">
        <w:t xml:space="preserve"> </w:t>
      </w:r>
      <w:r w:rsidR="005377BA" w:rsidRPr="00791150">
        <w:t xml:space="preserve">is </w:t>
      </w:r>
      <w:r w:rsidRPr="00791150">
        <w:t>de waardeontwikkeling</w:t>
      </w:r>
      <w:r>
        <w:t xml:space="preserve"> van het bedrijfspand (</w:t>
      </w:r>
      <w:r w:rsidRPr="005377BA">
        <w:rPr>
          <w:i/>
        </w:rPr>
        <w:t xml:space="preserve">tabel </w:t>
      </w:r>
      <w:r w:rsidR="00D431C7">
        <w:rPr>
          <w:i/>
        </w:rPr>
        <w:t>2</w:t>
      </w:r>
      <w:r>
        <w:t>) te vinden.</w:t>
      </w:r>
      <w:r w:rsidR="005377BA">
        <w:t xml:space="preserve"> Daar is een kleine groei in waarde te zien. </w:t>
      </w:r>
      <w:r w:rsidR="00294877">
        <w:t xml:space="preserve">De reële </w:t>
      </w:r>
      <w:proofErr w:type="spellStart"/>
      <w:r w:rsidR="00294877">
        <w:t>waarde-ontwikkeling</w:t>
      </w:r>
      <w:proofErr w:type="spellEnd"/>
      <w:r w:rsidR="00294877">
        <w:t xml:space="preserve"> van de machines blijkt toch hoger te zijn dan </w:t>
      </w:r>
      <w:r w:rsidR="00294877">
        <w:lastRenderedPageBreak/>
        <w:t xml:space="preserve">hetgeen de fiscale boekwaarde laat zien. </w:t>
      </w:r>
      <w:r w:rsidR="005377BA">
        <w:t xml:space="preserve">In </w:t>
      </w:r>
      <w:r w:rsidR="005377BA" w:rsidRPr="00A300A6">
        <w:rPr>
          <w:i/>
        </w:rPr>
        <w:t xml:space="preserve">tabel </w:t>
      </w:r>
      <w:r w:rsidR="00D431C7">
        <w:rPr>
          <w:i/>
        </w:rPr>
        <w:t>3 en 4</w:t>
      </w:r>
      <w:r w:rsidR="005377BA">
        <w:t xml:space="preserve"> van </w:t>
      </w:r>
      <w:r w:rsidR="005377BA" w:rsidRPr="00A300A6">
        <w:rPr>
          <w:b/>
        </w:rPr>
        <w:t>bijlage I</w:t>
      </w:r>
      <w:r w:rsidR="005377BA">
        <w:t xml:space="preserve"> staan de reële waardes van de machines. </w:t>
      </w:r>
      <w:r>
        <w:t xml:space="preserve">Daarnaast staat in </w:t>
      </w:r>
      <w:r w:rsidRPr="008D39C8">
        <w:rPr>
          <w:i/>
        </w:rPr>
        <w:t xml:space="preserve">tabel </w:t>
      </w:r>
      <w:r w:rsidR="00D431C7">
        <w:rPr>
          <w:i/>
        </w:rPr>
        <w:t>5</w:t>
      </w:r>
      <w:r>
        <w:t xml:space="preserve"> de jaarlijkse waardering van de goodwill. De waarde van het pand aan het eind van 2010 is €</w:t>
      </w:r>
      <w:r w:rsidR="00227169" w:rsidRPr="00227169">
        <w:t>5.016.183</w:t>
      </w:r>
      <w:r>
        <w:t>, de waarde van de machines €</w:t>
      </w:r>
      <w:r w:rsidR="00150F73">
        <w:t>340</w:t>
      </w:r>
      <w:r w:rsidR="00BC164C">
        <w:t>.000</w:t>
      </w:r>
      <w:r w:rsidRPr="008D39C8">
        <w:t xml:space="preserve"> en de waarde van de </w:t>
      </w:r>
      <w:r w:rsidR="00791150">
        <w:t>g</w:t>
      </w:r>
      <w:r w:rsidRPr="008D39C8">
        <w:t>oodwill €500.000.</w:t>
      </w:r>
    </w:p>
    <w:p w:rsidR="00292C47" w:rsidRDefault="00292C47" w:rsidP="003C7640">
      <w:pPr>
        <w:spacing w:line="360" w:lineRule="auto"/>
        <w:contextualSpacing/>
        <w:jc w:val="both"/>
      </w:pPr>
    </w:p>
    <w:p w:rsidR="00835831" w:rsidRDefault="00292C47" w:rsidP="003C7640">
      <w:pPr>
        <w:spacing w:line="360" w:lineRule="auto"/>
        <w:jc w:val="both"/>
      </w:pPr>
      <w:r>
        <w:t xml:space="preserve">De onderstaande balansen betreffen de fiscale balans van werkmaatschappij (BV W) respectievelijk de fiscale balans van de holding (BV H) </w:t>
      </w:r>
      <w:r w:rsidR="009501B6">
        <w:t xml:space="preserve">onder een vermogenswinstbelasting </w:t>
      </w:r>
      <w:r>
        <w:t>per 31/12/2010.</w:t>
      </w:r>
    </w:p>
    <w:p w:rsidR="003C7640" w:rsidRDefault="003C7640" w:rsidP="003C7640">
      <w:pPr>
        <w:spacing w:line="360" w:lineRule="auto"/>
        <w:jc w:val="both"/>
      </w:pPr>
    </w:p>
    <w:p w:rsidR="00835831" w:rsidRPr="009D52CA" w:rsidRDefault="00054C53" w:rsidP="002A5479">
      <w:pPr>
        <w:keepNext/>
        <w:spacing w:line="360" w:lineRule="auto"/>
        <w:contextualSpacing/>
        <w:jc w:val="center"/>
        <w:rPr>
          <w:b/>
        </w:rPr>
      </w:pPr>
      <w:r w:rsidRPr="00054C53">
        <w:rPr>
          <w:b/>
          <w:noProof/>
          <w:lang w:val="en-US" w:eastAsia="nl-NL"/>
        </w:rPr>
        <w:pict>
          <v:shape id="_x0000_s1040" type="#_x0000_t32" style="position:absolute;left:0;text-align:left;margin-left:228.15pt;margin-top:15.35pt;width:0;height:136.95pt;z-index:251665408;visibility:visible;mso-wrap-distance-left:3.17486mm;mso-wrap-distance-right:3.17486m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"/>
        </w:pict>
      </w:r>
      <w:r w:rsidRPr="00054C53">
        <w:rPr>
          <w:b/>
          <w:noProof/>
          <w:lang w:val="en-US" w:eastAsia="nl-NL"/>
        </w:rPr>
        <w:pict>
          <v:shape id="_x0000_s1039" type="#_x0000_t32" style="position:absolute;left:0;text-align:left;margin-left:-.15pt;margin-top:15.35pt;width:446.05pt;height:0;z-index:251666432;visibility:visible;mso-wrap-distance-top:-8e-5mm;mso-wrap-distance-bottom:-8e-5m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"/>
        </w:pict>
      </w:r>
      <w:r w:rsidR="00835831" w:rsidRPr="009D52CA">
        <w:rPr>
          <w:b/>
        </w:rPr>
        <w:t xml:space="preserve">Balans BV </w:t>
      </w:r>
      <w:r w:rsidR="00835831">
        <w:rPr>
          <w:b/>
        </w:rPr>
        <w:t>W</w:t>
      </w:r>
      <w:r w:rsidR="00047FB6">
        <w:rPr>
          <w:b/>
        </w:rPr>
        <w:t xml:space="preserve"> onder een VWB</w:t>
      </w:r>
      <w:r w:rsidR="00835831" w:rsidRPr="009D52CA">
        <w:rPr>
          <w:b/>
        </w:rPr>
        <w:t xml:space="preserve"> (bedragen in €)</w:t>
      </w:r>
    </w:p>
    <w:p w:rsidR="001713C4" w:rsidRDefault="001713C4" w:rsidP="002A5479">
      <w:pPr>
        <w:keepNext/>
        <w:tabs>
          <w:tab w:val="right" w:pos="2552"/>
          <w:tab w:val="decimal" w:pos="4111"/>
          <w:tab w:val="right" w:pos="7371"/>
          <w:tab w:val="decimal" w:pos="8647"/>
        </w:tabs>
        <w:spacing w:line="360" w:lineRule="auto"/>
        <w:ind w:firstLine="708"/>
        <w:contextualSpacing/>
      </w:pPr>
      <w:r>
        <w:tab/>
      </w:r>
      <w:r w:rsidR="00A560D0" w:rsidRPr="00240043">
        <w:rPr>
          <w:b/>
        </w:rPr>
        <w:t>Fiscaal</w:t>
      </w:r>
      <w:r w:rsidR="00A560D0" w:rsidRPr="00240043">
        <w:rPr>
          <w:b/>
        </w:rPr>
        <w:tab/>
        <w:t>WEV</w:t>
      </w:r>
      <w:r w:rsidR="00A560D0">
        <w:tab/>
      </w:r>
      <w:r w:rsidR="00A560D0" w:rsidRPr="00240043">
        <w:rPr>
          <w:b/>
        </w:rPr>
        <w:t>Fiscaal</w:t>
      </w:r>
      <w:r w:rsidR="00A560D0" w:rsidRPr="00240043">
        <w:rPr>
          <w:b/>
        </w:rPr>
        <w:tab/>
        <w:t>WEV</w:t>
      </w:r>
    </w:p>
    <w:p w:rsidR="00835831" w:rsidRDefault="00835831" w:rsidP="002A5479">
      <w:pPr>
        <w:keepNext/>
        <w:tabs>
          <w:tab w:val="right" w:pos="2552"/>
          <w:tab w:val="decimal" w:pos="4111"/>
          <w:tab w:val="left" w:pos="4820"/>
          <w:tab w:val="decimal" w:pos="7655"/>
          <w:tab w:val="decimal" w:pos="8789"/>
        </w:tabs>
        <w:spacing w:line="360" w:lineRule="auto"/>
        <w:ind w:firstLine="284"/>
        <w:contextualSpacing/>
      </w:pPr>
      <w:r>
        <w:t>Gebouwen</w:t>
      </w:r>
      <w:r>
        <w:tab/>
        <w:t>3.</w:t>
      </w:r>
      <w:r w:rsidR="00774235">
        <w:t>00</w:t>
      </w:r>
      <w:r>
        <w:t>0.000</w:t>
      </w:r>
      <w:r w:rsidR="001713C4">
        <w:tab/>
      </w:r>
      <w:r w:rsidR="00227169" w:rsidRPr="00227169">
        <w:t>5.016.183</w:t>
      </w:r>
      <w:r>
        <w:tab/>
        <w:t>Aandelenkapitaal</w:t>
      </w:r>
      <w:r>
        <w:tab/>
        <w:t>750.000</w:t>
      </w:r>
      <w:r w:rsidR="001713C4">
        <w:tab/>
      </w:r>
      <w:r w:rsidR="00292C47">
        <w:t>750.000</w:t>
      </w:r>
    </w:p>
    <w:p w:rsidR="00F4257D" w:rsidRDefault="00F4257D" w:rsidP="002A5479">
      <w:pPr>
        <w:keepNext/>
        <w:tabs>
          <w:tab w:val="right" w:pos="2552"/>
          <w:tab w:val="decimal" w:pos="4111"/>
          <w:tab w:val="left" w:pos="4820"/>
          <w:tab w:val="decimal" w:pos="7655"/>
          <w:tab w:val="decimal" w:pos="8789"/>
        </w:tabs>
        <w:spacing w:line="360" w:lineRule="auto"/>
        <w:ind w:firstLine="284"/>
        <w:contextualSpacing/>
      </w:pPr>
      <w:r>
        <w:t>Goodwill</w:t>
      </w:r>
      <w:r>
        <w:tab/>
      </w:r>
      <w:r>
        <w:tab/>
        <w:t>500.000</w:t>
      </w:r>
      <w:r w:rsidRPr="00F4257D">
        <w:t xml:space="preserve"> </w:t>
      </w:r>
      <w:r>
        <w:tab/>
        <w:t>Algemene reserve</w:t>
      </w:r>
      <w:r>
        <w:tab/>
      </w:r>
      <w:r w:rsidR="00D75434">
        <w:t>257.</w:t>
      </w:r>
      <w:r w:rsidR="00D77CD6">
        <w:t>040</w:t>
      </w:r>
      <w:r>
        <w:tab/>
      </w:r>
      <w:r w:rsidR="00D75434" w:rsidRPr="00D75434">
        <w:t>2.451.</w:t>
      </w:r>
      <w:r w:rsidR="00D77CD6" w:rsidRPr="00D75434">
        <w:t>2</w:t>
      </w:r>
      <w:r w:rsidR="00D77CD6">
        <w:t>2</w:t>
      </w:r>
      <w:r w:rsidR="00D77CD6" w:rsidRPr="00D75434">
        <w:t>0</w:t>
      </w:r>
    </w:p>
    <w:p w:rsidR="00835831" w:rsidRDefault="00835831" w:rsidP="002A5479">
      <w:pPr>
        <w:keepNext/>
        <w:tabs>
          <w:tab w:val="right" w:pos="2552"/>
          <w:tab w:val="decimal" w:pos="4111"/>
          <w:tab w:val="left" w:pos="4820"/>
          <w:tab w:val="decimal" w:pos="7655"/>
          <w:tab w:val="decimal" w:pos="8789"/>
        </w:tabs>
        <w:spacing w:line="360" w:lineRule="auto"/>
        <w:ind w:firstLine="284"/>
        <w:contextualSpacing/>
      </w:pPr>
      <w:r>
        <w:t>Machines</w:t>
      </w:r>
      <w:r>
        <w:tab/>
        <w:t>180.000</w:t>
      </w:r>
      <w:r w:rsidR="001713C4">
        <w:tab/>
      </w:r>
      <w:r w:rsidR="005322A6">
        <w:t>3</w:t>
      </w:r>
      <w:r w:rsidR="00292C47">
        <w:t>40.000</w:t>
      </w:r>
      <w:r>
        <w:tab/>
      </w:r>
      <w:r w:rsidR="00F4257D">
        <w:t>Belastinglatenties</w:t>
      </w:r>
      <w:r w:rsidR="00F4257D">
        <w:tab/>
      </w:r>
      <w:r w:rsidR="00A300A6">
        <w:tab/>
      </w:r>
      <w:r w:rsidR="007B48B4" w:rsidRPr="007B48B4">
        <w:t>482</w:t>
      </w:r>
      <w:r w:rsidR="007B48B4">
        <w:t>.</w:t>
      </w:r>
      <w:r w:rsidR="007B48B4" w:rsidRPr="007B48B4">
        <w:t>00</w:t>
      </w:r>
      <w:r w:rsidR="00D75434">
        <w:t>3</w:t>
      </w:r>
    </w:p>
    <w:p w:rsidR="00A41191" w:rsidRDefault="00835831" w:rsidP="002A5479">
      <w:pPr>
        <w:keepNext/>
        <w:tabs>
          <w:tab w:val="right" w:pos="2552"/>
          <w:tab w:val="decimal" w:pos="4111"/>
          <w:tab w:val="left" w:pos="4820"/>
          <w:tab w:val="decimal" w:pos="7655"/>
          <w:tab w:val="decimal" w:pos="8789"/>
        </w:tabs>
        <w:spacing w:line="360" w:lineRule="auto"/>
        <w:ind w:firstLine="284"/>
        <w:contextualSpacing/>
      </w:pPr>
      <w:r>
        <w:t>Debiteuren</w:t>
      </w:r>
      <w:r>
        <w:tab/>
      </w:r>
      <w:r w:rsidR="00240043">
        <w:t>125</w:t>
      </w:r>
      <w:r>
        <w:t>.000</w:t>
      </w:r>
      <w:r w:rsidR="001713C4">
        <w:tab/>
      </w:r>
      <w:r w:rsidR="00292C47">
        <w:t>125.000</w:t>
      </w:r>
      <w:r>
        <w:tab/>
      </w:r>
      <w:r w:rsidR="00A41191">
        <w:t>Hypothecaire lening</w:t>
      </w:r>
      <w:r w:rsidR="00A41191">
        <w:tab/>
      </w:r>
      <w:r w:rsidR="00240043">
        <w:t>2.500</w:t>
      </w:r>
      <w:r w:rsidR="00A41191">
        <w:t>.000</w:t>
      </w:r>
      <w:r w:rsidR="00A41191">
        <w:tab/>
      </w:r>
      <w:r w:rsidR="00240043">
        <w:t>2.500</w:t>
      </w:r>
      <w:r w:rsidR="00A41191">
        <w:t>.000</w:t>
      </w:r>
    </w:p>
    <w:p w:rsidR="00A41191" w:rsidRDefault="00835831" w:rsidP="002A5479">
      <w:pPr>
        <w:keepNext/>
        <w:tabs>
          <w:tab w:val="right" w:pos="2552"/>
          <w:tab w:val="decimal" w:pos="4111"/>
          <w:tab w:val="left" w:pos="4820"/>
          <w:tab w:val="decimal" w:pos="7655"/>
          <w:tab w:val="decimal" w:pos="8789"/>
        </w:tabs>
        <w:spacing w:line="360" w:lineRule="auto"/>
        <w:ind w:firstLine="284"/>
        <w:contextualSpacing/>
      </w:pPr>
      <w:r>
        <w:t>Voorraad</w:t>
      </w:r>
      <w:r>
        <w:tab/>
      </w:r>
      <w:r w:rsidR="00240043">
        <w:t>2</w:t>
      </w:r>
      <w:r w:rsidR="003C5E03">
        <w:t>00</w:t>
      </w:r>
      <w:r>
        <w:t>.000</w:t>
      </w:r>
      <w:r w:rsidR="001713C4">
        <w:tab/>
      </w:r>
      <w:r w:rsidR="00240043">
        <w:t>200</w:t>
      </w:r>
      <w:r w:rsidR="00292C47">
        <w:t>.000</w:t>
      </w:r>
      <w:r>
        <w:tab/>
      </w:r>
      <w:r w:rsidR="00A41191">
        <w:t>Crediteuren</w:t>
      </w:r>
      <w:r w:rsidR="00A41191">
        <w:tab/>
      </w:r>
      <w:r w:rsidR="003C5E03">
        <w:t>20</w:t>
      </w:r>
      <w:r w:rsidR="00A41191">
        <w:t>0.000</w:t>
      </w:r>
      <w:r w:rsidR="00A41191">
        <w:tab/>
      </w:r>
      <w:r w:rsidR="00240043">
        <w:t>20</w:t>
      </w:r>
      <w:r w:rsidR="00A41191">
        <w:t>0.000</w:t>
      </w:r>
    </w:p>
    <w:p w:rsidR="00835831" w:rsidRDefault="00835831" w:rsidP="002A5479">
      <w:pPr>
        <w:keepNext/>
        <w:tabs>
          <w:tab w:val="right" w:pos="2552"/>
          <w:tab w:val="decimal" w:pos="4111"/>
          <w:tab w:val="left" w:pos="4820"/>
          <w:tab w:val="decimal" w:pos="7655"/>
          <w:tab w:val="decimal" w:pos="8789"/>
        </w:tabs>
        <w:spacing w:line="360" w:lineRule="auto"/>
        <w:ind w:firstLine="284"/>
        <w:contextualSpacing/>
      </w:pPr>
      <w:r>
        <w:t>Bank</w:t>
      </w:r>
      <w:r>
        <w:tab/>
      </w:r>
      <w:r w:rsidR="00240043">
        <w:t>165</w:t>
      </w:r>
      <w:r>
        <w:t>.000</w:t>
      </w:r>
      <w:r w:rsidR="001713C4">
        <w:tab/>
      </w:r>
      <w:r w:rsidR="00292C47">
        <w:t>1</w:t>
      </w:r>
      <w:r w:rsidR="00240043">
        <w:t>65</w:t>
      </w:r>
      <w:r w:rsidR="00292C47">
        <w:t>.000</w:t>
      </w:r>
      <w:r>
        <w:tab/>
      </w:r>
    </w:p>
    <w:p w:rsidR="00835831" w:rsidRDefault="00054C53" w:rsidP="002A5479">
      <w:pPr>
        <w:keepNext/>
        <w:tabs>
          <w:tab w:val="right" w:pos="2552"/>
          <w:tab w:val="decimal" w:pos="4111"/>
          <w:tab w:val="left" w:pos="4820"/>
          <w:tab w:val="center" w:pos="6946"/>
          <w:tab w:val="decimal" w:pos="7655"/>
          <w:tab w:val="decimal" w:pos="8789"/>
        </w:tabs>
        <w:spacing w:line="360" w:lineRule="auto"/>
        <w:ind w:firstLine="284"/>
        <w:contextualSpacing/>
      </w:pPr>
      <w:r w:rsidRPr="00054C53">
        <w:rPr>
          <w:noProof/>
          <w:lang w:val="en-US" w:eastAsia="nl-NL"/>
        </w:rPr>
        <w:pict>
          <v:shape id="_x0000_s1038" type="#_x0000_t32" style="position:absolute;left:0;text-align:left;margin-left:336.1pt;margin-top:15.05pt;width:44.6pt;height:0;z-index:251670528;visibility:visible;mso-wrap-distance-top:-8e-5mm;mso-wrap-distance-bottom:-8e-5m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"/>
        </w:pict>
      </w:r>
      <w:r w:rsidRPr="00054C53">
        <w:rPr>
          <w:noProof/>
          <w:lang w:val="en-US" w:eastAsia="nl-NL"/>
        </w:rPr>
        <w:pict>
          <v:shape id="_x0000_s1037" type="#_x0000_t32" style="position:absolute;left:0;text-align:left;margin-left:396.15pt;margin-top:15.05pt;width:44.6pt;height:0;z-index:251667456;visibility:visible;mso-wrap-distance-top:-8e-5mm;mso-wrap-distance-bottom:-8e-5m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"/>
        </w:pict>
      </w:r>
      <w:r w:rsidRPr="00054C53">
        <w:rPr>
          <w:noProof/>
          <w:lang w:val="en-US" w:eastAsia="nl-NL"/>
        </w:rPr>
        <w:pict>
          <v:shape id="_x0000_s1036" type="#_x0000_t32" style="position:absolute;left:0;text-align:left;margin-left:164.8pt;margin-top:15.05pt;width:44.6pt;height:0;z-index:251668480;visibility:visible;mso-wrap-distance-top:-8e-5mm;mso-wrap-distance-bottom:-8e-5m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"/>
        </w:pict>
      </w:r>
      <w:r w:rsidRPr="00054C53">
        <w:rPr>
          <w:noProof/>
          <w:lang w:val="en-US" w:eastAsia="nl-NL"/>
        </w:rPr>
        <w:pict>
          <v:shape id="_x0000_s1035" type="#_x0000_t32" style="position:absolute;left:0;text-align:left;margin-left:80.2pt;margin-top:15.05pt;width:44.6pt;height:0;z-index:251669504;visibility:visible;mso-wrap-distance-top:-8e-5mm;mso-wrap-distance-bottom:-8e-5m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"/>
        </w:pict>
      </w:r>
      <w:r w:rsidR="00835831">
        <w:t>Kas</w:t>
      </w:r>
      <w:r w:rsidR="00835831">
        <w:tab/>
      </w:r>
      <w:r w:rsidR="00AB2DF8">
        <w:t>37.</w:t>
      </w:r>
      <w:r w:rsidR="00D77CD6">
        <w:t>040</w:t>
      </w:r>
      <w:r w:rsidR="00A560D0">
        <w:tab/>
      </w:r>
      <w:r w:rsidR="00AB2DF8">
        <w:t>37.</w:t>
      </w:r>
      <w:r w:rsidR="00D77CD6">
        <w:t>040</w:t>
      </w:r>
    </w:p>
    <w:p w:rsidR="00835831" w:rsidRDefault="00835831" w:rsidP="002A5479">
      <w:pPr>
        <w:tabs>
          <w:tab w:val="right" w:pos="2552"/>
          <w:tab w:val="decimal" w:pos="4111"/>
          <w:tab w:val="left" w:pos="4820"/>
          <w:tab w:val="center" w:pos="7088"/>
          <w:tab w:val="decimal" w:pos="7655"/>
          <w:tab w:val="decimal" w:pos="8789"/>
        </w:tabs>
        <w:spacing w:line="360" w:lineRule="auto"/>
        <w:ind w:firstLine="284"/>
        <w:contextualSpacing/>
        <w:rPr>
          <w:b/>
        </w:rPr>
      </w:pPr>
      <w:r w:rsidRPr="009D52CA">
        <w:rPr>
          <w:b/>
        </w:rPr>
        <w:t>Totaal</w:t>
      </w:r>
      <w:r w:rsidRPr="009D52CA">
        <w:rPr>
          <w:b/>
        </w:rPr>
        <w:tab/>
      </w:r>
      <w:r w:rsidR="00D75434" w:rsidRPr="00D75434">
        <w:rPr>
          <w:b/>
        </w:rPr>
        <w:t>3.707.</w:t>
      </w:r>
      <w:r w:rsidR="00652435" w:rsidRPr="00D75434">
        <w:rPr>
          <w:b/>
        </w:rPr>
        <w:t>0</w:t>
      </w:r>
      <w:r w:rsidR="00652435">
        <w:rPr>
          <w:b/>
        </w:rPr>
        <w:t>4</w:t>
      </w:r>
      <w:r w:rsidR="00652435" w:rsidRPr="00D75434">
        <w:rPr>
          <w:b/>
        </w:rPr>
        <w:t>0</w:t>
      </w:r>
      <w:r w:rsidR="00A560D0">
        <w:rPr>
          <w:b/>
        </w:rPr>
        <w:tab/>
      </w:r>
      <w:r w:rsidR="00A243F6">
        <w:rPr>
          <w:b/>
        </w:rPr>
        <w:t>6.38</w:t>
      </w:r>
      <w:r w:rsidR="00AB2DF8">
        <w:rPr>
          <w:b/>
        </w:rPr>
        <w:t>3</w:t>
      </w:r>
      <w:r w:rsidR="00227169">
        <w:rPr>
          <w:b/>
        </w:rPr>
        <w:t>.</w:t>
      </w:r>
      <w:r w:rsidR="00D77CD6">
        <w:rPr>
          <w:b/>
        </w:rPr>
        <w:t>223</w:t>
      </w:r>
      <w:r>
        <w:tab/>
      </w:r>
      <w:r w:rsidR="00A14706">
        <w:rPr>
          <w:b/>
        </w:rPr>
        <w:t>Totaal</w:t>
      </w:r>
      <w:r w:rsidR="00A14706">
        <w:rPr>
          <w:b/>
        </w:rPr>
        <w:tab/>
      </w:r>
      <w:r w:rsidR="00D75434" w:rsidRPr="00D75434">
        <w:rPr>
          <w:b/>
        </w:rPr>
        <w:t>3.707.</w:t>
      </w:r>
      <w:r w:rsidR="00D77CD6" w:rsidRPr="00D75434">
        <w:rPr>
          <w:b/>
        </w:rPr>
        <w:t>0</w:t>
      </w:r>
      <w:r w:rsidR="00D77CD6">
        <w:rPr>
          <w:b/>
        </w:rPr>
        <w:t>4</w:t>
      </w:r>
      <w:r w:rsidR="00D77CD6" w:rsidRPr="00D75434">
        <w:rPr>
          <w:b/>
        </w:rPr>
        <w:t>0</w:t>
      </w:r>
      <w:r w:rsidR="00A14706">
        <w:rPr>
          <w:b/>
        </w:rPr>
        <w:tab/>
      </w:r>
      <w:r w:rsidR="00993C4A">
        <w:rPr>
          <w:b/>
        </w:rPr>
        <w:tab/>
      </w:r>
      <w:r w:rsidR="007B48B4">
        <w:rPr>
          <w:b/>
        </w:rPr>
        <w:t>6.383.</w:t>
      </w:r>
      <w:r w:rsidR="00D77CD6">
        <w:rPr>
          <w:b/>
        </w:rPr>
        <w:t>223</w:t>
      </w:r>
    </w:p>
    <w:p w:rsidR="006C632F" w:rsidRDefault="006C632F" w:rsidP="002A5479">
      <w:pPr>
        <w:tabs>
          <w:tab w:val="decimal" w:pos="2410"/>
          <w:tab w:val="decimal" w:pos="3402"/>
          <w:tab w:val="left" w:pos="3969"/>
          <w:tab w:val="center" w:pos="6946"/>
          <w:tab w:val="decimal" w:pos="8647"/>
        </w:tabs>
        <w:spacing w:line="360" w:lineRule="auto"/>
        <w:ind w:firstLine="284"/>
        <w:contextualSpacing/>
        <w:rPr>
          <w:b/>
        </w:rPr>
      </w:pPr>
    </w:p>
    <w:p w:rsidR="003C7640" w:rsidRDefault="003C7640" w:rsidP="002A5479">
      <w:pPr>
        <w:tabs>
          <w:tab w:val="decimal" w:pos="2410"/>
          <w:tab w:val="decimal" w:pos="3402"/>
          <w:tab w:val="left" w:pos="3969"/>
          <w:tab w:val="center" w:pos="6946"/>
          <w:tab w:val="decimal" w:pos="8647"/>
        </w:tabs>
        <w:spacing w:line="360" w:lineRule="auto"/>
        <w:ind w:firstLine="284"/>
        <w:contextualSpacing/>
        <w:rPr>
          <w:b/>
        </w:rPr>
      </w:pPr>
    </w:p>
    <w:p w:rsidR="006C632F" w:rsidRPr="009D52CA" w:rsidRDefault="00054C53" w:rsidP="002A5479">
      <w:pPr>
        <w:keepNext/>
        <w:spacing w:line="360" w:lineRule="auto"/>
        <w:contextualSpacing/>
        <w:jc w:val="center"/>
        <w:rPr>
          <w:b/>
        </w:rPr>
      </w:pPr>
      <w:r w:rsidRPr="00054C53">
        <w:rPr>
          <w:b/>
          <w:noProof/>
          <w:lang w:val="en-US" w:eastAsia="nl-NL"/>
        </w:rPr>
        <w:pict>
          <v:shape id="AutoShape 7" o:spid="_x0000_s1034" type="#_x0000_t32" style="position:absolute;left:0;text-align:left;margin-left:194.9pt;margin-top:48.6pt;width:66.45pt;height:0;rotation:90;z-index:251672576;visibility:visible;mso-wrap-distance-left:3.17489mm;mso-wrap-distance-right:3.17489m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"/>
        </w:pict>
      </w:r>
      <w:r w:rsidRPr="00054C53">
        <w:rPr>
          <w:b/>
          <w:noProof/>
          <w:lang w:val="en-US" w:eastAsia="nl-NL"/>
        </w:rPr>
        <w:pict>
          <v:shape id="_x0000_s1033" type="#_x0000_t32" style="position:absolute;left:0;text-align:left;margin-left:-.15pt;margin-top:15.35pt;width:446.05pt;height:0;z-index:251673600;visibility:visible;mso-wrap-distance-top:-8e-5mm;mso-wrap-distance-bottom:-8e-5m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"/>
        </w:pict>
      </w:r>
      <w:r w:rsidR="003E0F09">
        <w:rPr>
          <w:b/>
        </w:rPr>
        <w:t>Fiscale b</w:t>
      </w:r>
      <w:r w:rsidR="006C632F" w:rsidRPr="009D52CA">
        <w:rPr>
          <w:b/>
        </w:rPr>
        <w:t xml:space="preserve">alans BV </w:t>
      </w:r>
      <w:r w:rsidR="006C632F">
        <w:rPr>
          <w:b/>
        </w:rPr>
        <w:t>H</w:t>
      </w:r>
      <w:r w:rsidR="00D22546">
        <w:rPr>
          <w:b/>
        </w:rPr>
        <w:t xml:space="preserve"> onder een VWB</w:t>
      </w:r>
      <w:r w:rsidR="006C632F" w:rsidRPr="009D52CA">
        <w:rPr>
          <w:b/>
        </w:rPr>
        <w:t xml:space="preserve"> (bedragen in €)</w:t>
      </w:r>
    </w:p>
    <w:p w:rsidR="006C632F" w:rsidRDefault="006C632F" w:rsidP="002A5479">
      <w:pPr>
        <w:keepNext/>
        <w:tabs>
          <w:tab w:val="decimal" w:pos="3544"/>
          <w:tab w:val="left" w:pos="5103"/>
          <w:tab w:val="decimal" w:pos="8647"/>
        </w:tabs>
        <w:spacing w:line="360" w:lineRule="auto"/>
        <w:ind w:firstLine="708"/>
        <w:contextualSpacing/>
      </w:pPr>
      <w:r>
        <w:t>Deelneming</w:t>
      </w:r>
      <w:r>
        <w:tab/>
        <w:t>1.000.000</w:t>
      </w:r>
      <w:r>
        <w:tab/>
        <w:t>Aandelenkapitaal</w:t>
      </w:r>
      <w:r>
        <w:tab/>
        <w:t>100.000</w:t>
      </w:r>
    </w:p>
    <w:p w:rsidR="006C632F" w:rsidRDefault="00054C53" w:rsidP="002A5479">
      <w:pPr>
        <w:keepNext/>
        <w:tabs>
          <w:tab w:val="decimal" w:pos="3544"/>
          <w:tab w:val="left" w:pos="5103"/>
          <w:tab w:val="decimal" w:pos="8647"/>
        </w:tabs>
        <w:spacing w:line="360" w:lineRule="auto"/>
        <w:ind w:firstLine="708"/>
        <w:contextualSpacing/>
      </w:pPr>
      <w:r w:rsidRPr="00054C53">
        <w:rPr>
          <w:b/>
          <w:noProof/>
          <w:lang w:val="en-US" w:eastAsia="nl-NL"/>
        </w:rPr>
        <w:pict>
          <v:shape id="_x0000_s1032" type="#_x0000_t32" style="position:absolute;left:0;text-align:left;margin-left:389.9pt;margin-top:17.25pt;width:44.6pt;height:0;z-index:251674624;visibility:visible;mso-wrap-distance-top:-8e-5mm;mso-wrap-distance-bottom:-8e-5m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"/>
        </w:pict>
      </w:r>
      <w:r w:rsidRPr="00054C53">
        <w:rPr>
          <w:noProof/>
          <w:lang w:val="en-US" w:eastAsia="nl-NL"/>
        </w:rPr>
        <w:pict>
          <v:shape id="_x0000_s1031" type="#_x0000_t32" style="position:absolute;left:0;text-align:left;margin-left:132.2pt;margin-top:17.25pt;width:44.6pt;height:0;z-index:251675648;visibility:visible;mso-wrap-distance-top:-8e-5mm;mso-wrap-distance-bottom:-8e-5m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"/>
        </w:pict>
      </w:r>
      <w:r w:rsidR="006C632F">
        <w:tab/>
      </w:r>
      <w:r w:rsidR="006C632F">
        <w:tab/>
        <w:t>Lening</w:t>
      </w:r>
      <w:r w:rsidR="006C632F">
        <w:tab/>
        <w:t>900.000</w:t>
      </w:r>
    </w:p>
    <w:p w:rsidR="006C632F" w:rsidRDefault="006C632F" w:rsidP="002A5479">
      <w:pPr>
        <w:keepNext/>
        <w:tabs>
          <w:tab w:val="decimal" w:pos="3544"/>
          <w:tab w:val="left" w:pos="5103"/>
          <w:tab w:val="decimal" w:pos="8647"/>
        </w:tabs>
        <w:spacing w:line="360" w:lineRule="auto"/>
        <w:ind w:firstLine="709"/>
        <w:contextualSpacing/>
      </w:pPr>
      <w:r w:rsidRPr="009D52CA">
        <w:rPr>
          <w:b/>
        </w:rPr>
        <w:t>Totaal</w:t>
      </w:r>
      <w:r w:rsidRPr="009D52CA">
        <w:rPr>
          <w:b/>
        </w:rPr>
        <w:tab/>
      </w:r>
      <w:r>
        <w:rPr>
          <w:b/>
        </w:rPr>
        <w:t>1.000.000</w:t>
      </w:r>
      <w:r>
        <w:tab/>
      </w:r>
      <w:r w:rsidRPr="009D52CA">
        <w:rPr>
          <w:b/>
        </w:rPr>
        <w:t>Totaal</w:t>
      </w:r>
      <w:r w:rsidRPr="009D52CA">
        <w:rPr>
          <w:b/>
        </w:rPr>
        <w:tab/>
      </w:r>
      <w:r>
        <w:rPr>
          <w:b/>
        </w:rPr>
        <w:t>1.000.000</w:t>
      </w:r>
    </w:p>
    <w:p w:rsidR="006C632F" w:rsidRDefault="006C632F" w:rsidP="003C7640">
      <w:pPr>
        <w:spacing w:line="360" w:lineRule="auto"/>
        <w:contextualSpacing/>
        <w:jc w:val="both"/>
      </w:pPr>
      <w:r>
        <w:br/>
        <w:t xml:space="preserve">Bij de holding wordt de deelneming gewaardeerd op de kostprijs. De deelneming is destijds gekocht voor €1.000.000. </w:t>
      </w:r>
    </w:p>
    <w:p w:rsidR="003C7640" w:rsidRPr="00D32A28" w:rsidRDefault="003C7640" w:rsidP="003C7640">
      <w:pPr>
        <w:spacing w:line="360" w:lineRule="auto"/>
        <w:contextualSpacing/>
        <w:jc w:val="both"/>
      </w:pPr>
    </w:p>
    <w:p w:rsidR="006861A0" w:rsidRPr="000E5159" w:rsidRDefault="006861A0" w:rsidP="003C7640">
      <w:pPr>
        <w:pStyle w:val="Kop3"/>
        <w:spacing w:line="360" w:lineRule="auto"/>
        <w:jc w:val="both"/>
      </w:pPr>
      <w:bookmarkStart w:id="37" w:name="_Toc299740234"/>
      <w:r w:rsidRPr="000E5159">
        <w:t>Belastingtarief en latenties</w:t>
      </w:r>
      <w:bookmarkEnd w:id="37"/>
    </w:p>
    <w:p w:rsidR="006861A0" w:rsidRDefault="006861A0" w:rsidP="003C7640">
      <w:pPr>
        <w:spacing w:line="360" w:lineRule="auto"/>
        <w:contextualSpacing/>
        <w:jc w:val="both"/>
      </w:pPr>
      <w:r>
        <w:t xml:space="preserve">In </w:t>
      </w:r>
      <w:r w:rsidRPr="008D39C8">
        <w:rPr>
          <w:b/>
        </w:rPr>
        <w:t>bijlage II</w:t>
      </w:r>
      <w:r>
        <w:t xml:space="preserve"> </w:t>
      </w:r>
      <w:r w:rsidR="006A15FE">
        <w:t>(</w:t>
      </w:r>
      <w:r w:rsidR="006A15FE" w:rsidRPr="006A15FE">
        <w:rPr>
          <w:i/>
        </w:rPr>
        <w:t xml:space="preserve">tabel </w:t>
      </w:r>
      <w:r w:rsidR="00D431C7">
        <w:rPr>
          <w:i/>
        </w:rPr>
        <w:t>6</w:t>
      </w:r>
      <w:r w:rsidR="006A15FE">
        <w:t xml:space="preserve">) </w:t>
      </w:r>
      <w:r>
        <w:t xml:space="preserve">is het vennootschapsbelastingtarief van de jaren 2001 t/m 2010 </w:t>
      </w:r>
      <w:r w:rsidR="00791150">
        <w:t>opgenomen</w:t>
      </w:r>
      <w:r>
        <w:t xml:space="preserve">. Over 2001 t/m 2006 en 2008 t/m 2010 is het tarief voor </w:t>
      </w:r>
      <w:r w:rsidR="00184B5A">
        <w:t>het inkomen</w:t>
      </w:r>
      <w:r>
        <w:t xml:space="preserve"> uit aanmerkelijk belang gesteld op 25% (art. 2.12 Wet IB). In 2007 waren er twee schijven: de eerste €250.000 inkomen uit </w:t>
      </w:r>
      <w:r>
        <w:lastRenderedPageBreak/>
        <w:t>aanmerkelijk belang werd belast tegen 22%, alles boven die grens tegen een tarief van 25%. Overigens gold dit per persoon, dus bij fiscale partners viel</w:t>
      </w:r>
      <w:r w:rsidR="00EA6164">
        <w:t xml:space="preserve"> de eerste</w:t>
      </w:r>
      <w:r>
        <w:t xml:space="preserve"> €500.000 in de eerste schijf.</w:t>
      </w:r>
      <w:r>
        <w:rPr>
          <w:rStyle w:val="Voetnootmarkering"/>
        </w:rPr>
        <w:footnoteReference w:id="39"/>
      </w:r>
      <w:r w:rsidR="009501B6">
        <w:t xml:space="preserve"> </w:t>
      </w:r>
    </w:p>
    <w:p w:rsidR="006861A0" w:rsidRDefault="006861A0" w:rsidP="003C7640">
      <w:pPr>
        <w:spacing w:line="360" w:lineRule="auto"/>
        <w:contextualSpacing/>
        <w:jc w:val="both"/>
      </w:pPr>
      <w:r>
        <w:t>Zoals reeds in hoofdstuk 2 is vermeld, hangt het percentage van de latenties af van de afschrijvingsduur, de hoogte van het vennootschapsbelastingtarief en de disconteringsvoet. Volgens Van den Dool</w:t>
      </w:r>
      <w:r>
        <w:rPr>
          <w:rStyle w:val="Voetnootmarkering"/>
        </w:rPr>
        <w:footnoteReference w:id="40"/>
      </w:r>
      <w:r>
        <w:t xml:space="preserve"> moet hierbij worden aangesloten bij de rente die geldt voor overheidsobligaties, zonder rekening te houden met een risicofactor. Er zijn namelijk geen bijzondere ondernemingsrisico’s aan verbonden.</w:t>
      </w:r>
      <w:r w:rsidR="002B6D6A">
        <w:t xml:space="preserve"> </w:t>
      </w:r>
      <w:r>
        <w:t>In 2010 was</w:t>
      </w:r>
      <w:r w:rsidR="00AB2DF8">
        <w:t xml:space="preserve"> de </w:t>
      </w:r>
      <w:r>
        <w:t>rente</w:t>
      </w:r>
      <w:r w:rsidR="00AB2DF8">
        <w:t xml:space="preserve"> op een tienjarige staatslening  2,99%</w:t>
      </w:r>
      <w:r w:rsidR="00AB2DF8">
        <w:rPr>
          <w:rStyle w:val="Voetnootmarkering"/>
        </w:rPr>
        <w:footnoteReference w:id="41"/>
      </w:r>
      <w:r w:rsidR="00AB2DF8">
        <w:t>.</w:t>
      </w:r>
      <w:r>
        <w:t xml:space="preserve"> </w:t>
      </w:r>
    </w:p>
    <w:p w:rsidR="006861A0" w:rsidRDefault="006861A0" w:rsidP="003C7640">
      <w:pPr>
        <w:spacing w:line="360" w:lineRule="auto"/>
        <w:contextualSpacing/>
        <w:jc w:val="both"/>
      </w:pPr>
    </w:p>
    <w:p w:rsidR="006861A0" w:rsidRDefault="006861A0" w:rsidP="003C7640">
      <w:pPr>
        <w:spacing w:line="360" w:lineRule="auto"/>
        <w:contextualSpacing/>
        <w:jc w:val="both"/>
      </w:pPr>
      <w:r>
        <w:t>Een latentie kan als volgt berekend worden</w:t>
      </w:r>
      <w:r>
        <w:rPr>
          <w:rStyle w:val="Voetnootmarkering"/>
        </w:rPr>
        <w:footnoteReference w:id="42"/>
      </w:r>
      <w:r>
        <w:t>:</w:t>
      </w:r>
    </w:p>
    <w:p w:rsidR="006861A0" w:rsidRDefault="006861A0" w:rsidP="003C7640">
      <w:pPr>
        <w:spacing w:line="360" w:lineRule="auto"/>
        <w:jc w:val="both"/>
      </w:pPr>
      <w:r>
        <w:t xml:space="preserve">Goodwill wordt afgeschreven over 10 jaar. Stel, de grootte van goodwill is x, dit zorgt voor een afschrijving </w:t>
      </w:r>
      <w:r w:rsidR="00632908">
        <w:t>van 0,1x per jaar. Per jaar zal</w:t>
      </w:r>
      <w:r>
        <w:t xml:space="preserve">, bij een </w:t>
      </w:r>
      <w:proofErr w:type="spellStart"/>
      <w:r w:rsidR="00D76E91">
        <w:t>VPB-</w:t>
      </w:r>
      <w:r>
        <w:t>tarief</w:t>
      </w:r>
      <w:proofErr w:type="spellEnd"/>
      <w:r>
        <w:t xml:space="preserve"> van 25,5%, extra verschuldigd zijn aan belasting 25,5% van die 0,1x, wat neerkomt op 0,0255x. Wanneer het totaal contant wordt gemaakt tegen de disconteringsvoet, komt dit uit op </w:t>
      </w:r>
      <w:r w:rsidR="00617A68" w:rsidRPr="00617A68">
        <w:t>0,2176</w:t>
      </w:r>
      <w:r w:rsidR="00AD7230">
        <w:t>x</w:t>
      </w:r>
      <w:r>
        <w:t xml:space="preserve">. Dit gedeeld op het totaal aan goodwill (x), levert een percentage van </w:t>
      </w:r>
      <w:r w:rsidR="00617A68">
        <w:t>21,8</w:t>
      </w:r>
      <w:r>
        <w:t>%. Hiermee is ook aangetoond dat de omvang van de goodwill voor dit percentage niet relevant is. Wanneer deze berekening wordt gedaan voor  de verschillende vermogensbestanddelen, komen daar de volgende latenties uit:</w:t>
      </w:r>
    </w:p>
    <w:p w:rsidR="006861A0" w:rsidRDefault="006861A0" w:rsidP="003C7640">
      <w:pPr>
        <w:pStyle w:val="Lijstalinea"/>
        <w:numPr>
          <w:ilvl w:val="0"/>
          <w:numId w:val="3"/>
        </w:numPr>
        <w:spacing w:line="360" w:lineRule="auto"/>
        <w:jc w:val="both"/>
      </w:pPr>
      <w:r>
        <w:t xml:space="preserve">Pand: bij een (resterende) afschrijvingsduur van 30 jaar is dit </w:t>
      </w:r>
      <w:r w:rsidR="00617A68" w:rsidRPr="00617A68">
        <w:t>16</w:t>
      </w:r>
      <w:r w:rsidR="00617A68">
        <w:t>,7</w:t>
      </w:r>
      <w:r>
        <w:t>%.</w:t>
      </w:r>
    </w:p>
    <w:p w:rsidR="006861A0" w:rsidRDefault="006861A0" w:rsidP="003C7640">
      <w:pPr>
        <w:pStyle w:val="Lijstalinea"/>
        <w:numPr>
          <w:ilvl w:val="0"/>
          <w:numId w:val="3"/>
        </w:numPr>
        <w:spacing w:line="360" w:lineRule="auto"/>
        <w:jc w:val="both"/>
      </w:pPr>
      <w:r>
        <w:t xml:space="preserve">Machines: bij een (resterende) afschrijvingsduur van </w:t>
      </w:r>
      <w:r w:rsidR="002B6D6A">
        <w:t xml:space="preserve">6 </w:t>
      </w:r>
      <w:r>
        <w:t xml:space="preserve">jaar is dit </w:t>
      </w:r>
      <w:r w:rsidR="00617A68" w:rsidRPr="00617A68">
        <w:t>23</w:t>
      </w:r>
      <w:r w:rsidR="00617A68">
        <w:t>,</w:t>
      </w:r>
      <w:r w:rsidR="00617A68" w:rsidRPr="00617A68">
        <w:t>0</w:t>
      </w:r>
      <w:r>
        <w:t>%.</w:t>
      </w:r>
    </w:p>
    <w:p w:rsidR="006861A0" w:rsidRDefault="006861A0" w:rsidP="003C7640">
      <w:pPr>
        <w:spacing w:line="360" w:lineRule="auto"/>
        <w:contextualSpacing/>
        <w:jc w:val="both"/>
      </w:pPr>
      <w:r>
        <w:t xml:space="preserve">Aangezien het </w:t>
      </w:r>
      <w:proofErr w:type="spellStart"/>
      <w:r w:rsidR="00D76E91">
        <w:t>VPB</w:t>
      </w:r>
      <w:r>
        <w:t>-tarief</w:t>
      </w:r>
      <w:proofErr w:type="spellEnd"/>
      <w:r>
        <w:t xml:space="preserve"> lichte progressie heeft, zal het werkelijke percentage lager zijn dan de bovenstaande percentages. </w:t>
      </w:r>
    </w:p>
    <w:p w:rsidR="006861A0" w:rsidRPr="000E5159" w:rsidRDefault="006861A0" w:rsidP="003C7640">
      <w:pPr>
        <w:pStyle w:val="Kop2"/>
        <w:spacing w:line="360" w:lineRule="auto"/>
        <w:jc w:val="both"/>
      </w:pPr>
      <w:bookmarkStart w:id="38" w:name="_Toc299740235"/>
      <w:r w:rsidRPr="000E5159">
        <w:t>Vermogensaanwasbelasting</w:t>
      </w:r>
      <w:bookmarkEnd w:id="38"/>
    </w:p>
    <w:p w:rsidR="00E173CA" w:rsidRDefault="00AD7230" w:rsidP="003C7640">
      <w:pPr>
        <w:spacing w:line="360" w:lineRule="auto"/>
        <w:jc w:val="both"/>
      </w:pPr>
      <w:r>
        <w:t xml:space="preserve">Een vermogensaanwasbelasting belast elk jaar de vermogenswinsten. </w:t>
      </w:r>
      <w:r w:rsidR="006A15FE">
        <w:t xml:space="preserve">In dit stelsel </w:t>
      </w:r>
      <w:r w:rsidR="00F4257D">
        <w:t xml:space="preserve">worden </w:t>
      </w:r>
      <w:r w:rsidR="006A15FE">
        <w:t xml:space="preserve">de afschrijvingen, zoals we ze kennen in het huidige systeem, </w:t>
      </w:r>
      <w:r w:rsidR="00F4257D">
        <w:t>niet zichtbaar</w:t>
      </w:r>
      <w:r w:rsidR="006A15FE">
        <w:t xml:space="preserve">. </w:t>
      </w:r>
      <w:r w:rsidR="00F4257D">
        <w:t>Deze zijn ieder jaar in de waardering verwerkt</w:t>
      </w:r>
      <w:r w:rsidR="006A15FE">
        <w:t xml:space="preserve">. </w:t>
      </w:r>
      <w:r w:rsidR="006861A0">
        <w:t>Aangenomen wordt dat ook de vennootschapsbelasting een vermogensaanwasbelasting zal zijn, anders zou dit voor verstoringen zorgen.</w:t>
      </w:r>
      <w:r w:rsidR="002B6D6A">
        <w:t xml:space="preserve"> Het verschil in stelsel zou ervoor kunnen zorgen dat de keuze van een belastingplichtige om een IB-onderneming dan wel een box 2 onderneming wordt beïnvloed.</w:t>
      </w:r>
      <w:r w:rsidR="006861A0">
        <w:t xml:space="preserve"> </w:t>
      </w:r>
      <w:r w:rsidR="006861A0" w:rsidRPr="005D0A78">
        <w:t xml:space="preserve">Er worden in dit model geen “gewone” winsten meegenomen, slechts vermogenswinsten. </w:t>
      </w:r>
      <w:r>
        <w:t xml:space="preserve">De jaarlijkse </w:t>
      </w:r>
      <w:r w:rsidR="00F4257D">
        <w:t xml:space="preserve">fiscale </w:t>
      </w:r>
      <w:r>
        <w:t xml:space="preserve">winst is de som van de </w:t>
      </w:r>
      <w:r>
        <w:lastRenderedPageBreak/>
        <w:t xml:space="preserve">vermogensmutaties van de machines, het pand en de goodwill. </w:t>
      </w:r>
      <w:r w:rsidR="006861A0">
        <w:t xml:space="preserve">Hierbij wordt ervan uitgegaan dat </w:t>
      </w:r>
      <w:r w:rsidR="00F4257D">
        <w:t>de normale winst hoog genoeg is om de afschrijvingen te compenseren</w:t>
      </w:r>
      <w:r w:rsidR="006861A0">
        <w:t>.</w:t>
      </w:r>
      <w:r w:rsidR="00FB7A3B">
        <w:t xml:space="preserve"> In </w:t>
      </w:r>
      <w:r w:rsidR="00FB7A3B" w:rsidRPr="00FB7A3B">
        <w:rPr>
          <w:i/>
        </w:rPr>
        <w:t xml:space="preserve">tabel </w:t>
      </w:r>
      <w:r w:rsidR="00D431C7">
        <w:rPr>
          <w:i/>
        </w:rPr>
        <w:t xml:space="preserve">8 </w:t>
      </w:r>
      <w:r w:rsidR="00FB7A3B">
        <w:t>(</w:t>
      </w:r>
      <w:r w:rsidR="00FB7A3B" w:rsidRPr="00FB7A3B">
        <w:rPr>
          <w:b/>
        </w:rPr>
        <w:t>bijlage III</w:t>
      </w:r>
      <w:r w:rsidR="00FB7A3B">
        <w:t>) worden de vermogenswinsten bij elkaar opgeteld.</w:t>
      </w:r>
      <w:r w:rsidR="00B85597">
        <w:t xml:space="preserve"> In deze tabel is bij “waardeontwikkeling machines” zowel de waardeontwikkeling in machine 1 (verkocht eind 2006) als machine 2 (aangekocht in 2007) meegenomen.</w:t>
      </w:r>
      <w:r w:rsidR="007171E9">
        <w:t xml:space="preserve"> In </w:t>
      </w:r>
      <w:r w:rsidR="007171E9">
        <w:rPr>
          <w:i/>
        </w:rPr>
        <w:t xml:space="preserve">tabel </w:t>
      </w:r>
      <w:r w:rsidR="00D431C7">
        <w:rPr>
          <w:i/>
        </w:rPr>
        <w:t>9</w:t>
      </w:r>
      <w:r w:rsidR="007171E9">
        <w:t xml:space="preserve"> (</w:t>
      </w:r>
      <w:r w:rsidR="007171E9">
        <w:rPr>
          <w:b/>
        </w:rPr>
        <w:t>Bijlage III)</w:t>
      </w:r>
      <w:r w:rsidR="007171E9">
        <w:rPr>
          <w:b/>
          <w:i/>
        </w:rPr>
        <w:t xml:space="preserve"> </w:t>
      </w:r>
      <w:r w:rsidR="007171E9">
        <w:t xml:space="preserve">wordt de verschuldigde vennootschapsbelasting </w:t>
      </w:r>
      <w:r w:rsidR="006C3A71">
        <w:t>en waardeontwikkeling na belasting berekend. De in totaal verschuldigde VPB is €459.393.</w:t>
      </w:r>
      <w:r w:rsidR="006861A0">
        <w:t xml:space="preserve"> De waardeontwikkeling in BV W </w:t>
      </w:r>
      <w:r w:rsidR="00FB7A3B">
        <w:t xml:space="preserve">komt </w:t>
      </w:r>
      <w:r w:rsidR="006861A0">
        <w:t>gelijk tot uitdrukking in de waarde van de deelneming op de balans van BV H</w:t>
      </w:r>
      <w:r w:rsidR="00561D0C">
        <w:t xml:space="preserve"> (deze winsten vallen onder de deelnemingsvrijstelling)</w:t>
      </w:r>
      <w:r w:rsidR="006861A0">
        <w:t>, dus het werkt ook door in de waarde van de aandelen van Dhr. X. Dhr. X is dus jaarlijks 25%</w:t>
      </w:r>
      <w:r w:rsidR="00FB7A3B">
        <w:t xml:space="preserve"> AB-heffing</w:t>
      </w:r>
      <w:r w:rsidR="006861A0">
        <w:t xml:space="preserve"> verschuldigd over de waarde</w:t>
      </w:r>
      <w:r w:rsidR="006C3A71">
        <w:t>stijging</w:t>
      </w:r>
      <w:r w:rsidR="006861A0">
        <w:t xml:space="preserve"> van de deelneming</w:t>
      </w:r>
      <w:r w:rsidR="006C3A71">
        <w:t xml:space="preserve"> De som van de AB-heffing is €238.132. Het totaal aan belasting verschuldigde bedrag in een systeem van een vermogensaanwasbelasting is €697.525. </w:t>
      </w:r>
    </w:p>
    <w:p w:rsidR="006861A0" w:rsidRPr="000E5159" w:rsidRDefault="006861A0" w:rsidP="003C7640">
      <w:pPr>
        <w:pStyle w:val="Kop2"/>
        <w:spacing w:line="360" w:lineRule="auto"/>
        <w:jc w:val="both"/>
      </w:pPr>
      <w:bookmarkStart w:id="39" w:name="_Toc299740236"/>
      <w:r w:rsidRPr="000E5159">
        <w:t>Vermogenswinstbelasting (huidig systeem)</w:t>
      </w:r>
      <w:bookmarkEnd w:id="39"/>
    </w:p>
    <w:p w:rsidR="006861A0" w:rsidRDefault="006861A0" w:rsidP="003C7640">
      <w:pPr>
        <w:spacing w:line="360" w:lineRule="auto"/>
        <w:contextualSpacing/>
        <w:jc w:val="both"/>
      </w:pPr>
      <w:r>
        <w:t>De waarde van de aandelen van de werkmaatschappij kan als volgt worden bepaald:</w:t>
      </w:r>
    </w:p>
    <w:p w:rsidR="006861A0" w:rsidRDefault="006861A0" w:rsidP="003C7640">
      <w:pPr>
        <w:pStyle w:val="Lijstalinea"/>
        <w:numPr>
          <w:ilvl w:val="0"/>
          <w:numId w:val="2"/>
        </w:numPr>
        <w:spacing w:line="360" w:lineRule="auto"/>
        <w:jc w:val="both"/>
      </w:pPr>
      <w:r>
        <w:t xml:space="preserve">Het fiscaal eigen vermogen bedraagt </w:t>
      </w:r>
      <w:r w:rsidR="00E461B2">
        <w:t>€</w:t>
      </w:r>
      <w:r w:rsidR="0072423F">
        <w:t>1</w:t>
      </w:r>
      <w:r w:rsidR="00617A68">
        <w:t>.</w:t>
      </w:r>
      <w:r w:rsidR="0072423F">
        <w:t>007</w:t>
      </w:r>
      <w:r w:rsidR="00617A68">
        <w:t>.</w:t>
      </w:r>
      <w:r w:rsidR="00D77CD6">
        <w:t>040</w:t>
      </w:r>
      <w:r>
        <w:t>.</w:t>
      </w:r>
    </w:p>
    <w:p w:rsidR="006861A0" w:rsidRDefault="006861A0" w:rsidP="003C7640">
      <w:pPr>
        <w:pStyle w:val="Lijstalinea"/>
        <w:numPr>
          <w:ilvl w:val="0"/>
          <w:numId w:val="2"/>
        </w:numPr>
        <w:spacing w:line="360" w:lineRule="auto"/>
        <w:jc w:val="both"/>
      </w:pPr>
      <w:r>
        <w:t>Er zit een stille reserve op het pand van €</w:t>
      </w:r>
      <w:r w:rsidR="00227169" w:rsidRPr="00227169">
        <w:t xml:space="preserve">2.016.183 </w:t>
      </w:r>
      <w:r>
        <w:t>(€</w:t>
      </w:r>
      <w:r w:rsidR="009E3492" w:rsidRPr="009E3492">
        <w:t>5.016.183</w:t>
      </w:r>
      <w:r>
        <w:t xml:space="preserve"> - €</w:t>
      </w:r>
      <w:r w:rsidRPr="008C3C77">
        <w:t>3.</w:t>
      </w:r>
      <w:r w:rsidR="00642488">
        <w:t>00</w:t>
      </w:r>
      <w:r w:rsidR="00642488" w:rsidRPr="008C3C77">
        <w:t>0</w:t>
      </w:r>
      <w:r w:rsidRPr="008C3C77">
        <w:t>.000</w:t>
      </w:r>
      <w:r>
        <w:t>). De latentie die op deze stille reserve rust is €</w:t>
      </w:r>
      <w:r w:rsidR="00530747" w:rsidRPr="00530747">
        <w:t>336</w:t>
      </w:r>
      <w:r w:rsidR="00530747">
        <w:t>.</w:t>
      </w:r>
      <w:r w:rsidR="00530747" w:rsidRPr="00530747">
        <w:t>338</w:t>
      </w:r>
      <w:r>
        <w:t xml:space="preserve"> (ongeveer </w:t>
      </w:r>
      <w:r w:rsidR="008D0B7B">
        <w:t>16,7</w:t>
      </w:r>
      <w:r>
        <w:t>% van €</w:t>
      </w:r>
      <w:r w:rsidR="009E3492" w:rsidRPr="00227169">
        <w:t>2.016.183</w:t>
      </w:r>
      <w:r>
        <w:t xml:space="preserve">). </w:t>
      </w:r>
    </w:p>
    <w:p w:rsidR="006861A0" w:rsidRDefault="006861A0" w:rsidP="003C7640">
      <w:pPr>
        <w:pStyle w:val="Lijstalinea"/>
        <w:numPr>
          <w:ilvl w:val="0"/>
          <w:numId w:val="2"/>
        </w:numPr>
        <w:spacing w:line="360" w:lineRule="auto"/>
        <w:jc w:val="both"/>
      </w:pPr>
      <w:r>
        <w:t>Er zit een stille reserve op de machine van €</w:t>
      </w:r>
      <w:r w:rsidR="00642488">
        <w:t>160.000</w:t>
      </w:r>
      <w:r>
        <w:t xml:space="preserve"> (€</w:t>
      </w:r>
      <w:r w:rsidR="00642488">
        <w:t>340.000</w:t>
      </w:r>
      <w:r>
        <w:t xml:space="preserve"> - </w:t>
      </w:r>
      <w:r w:rsidRPr="00CA2F49">
        <w:t>180.000</w:t>
      </w:r>
      <w:r>
        <w:t>). De latentie die op deze stille reserve rust is €</w:t>
      </w:r>
      <w:r w:rsidR="00530747" w:rsidRPr="00530747">
        <w:t>36.849</w:t>
      </w:r>
      <w:r>
        <w:t xml:space="preserve"> (ongeveer </w:t>
      </w:r>
      <w:r w:rsidR="008D0B7B">
        <w:t>23,0</w:t>
      </w:r>
      <w:r>
        <w:t>% van €</w:t>
      </w:r>
      <w:r w:rsidR="00642488">
        <w:t>160.000</w:t>
      </w:r>
      <w:r>
        <w:t>).</w:t>
      </w:r>
    </w:p>
    <w:p w:rsidR="006861A0" w:rsidRDefault="006861A0" w:rsidP="003C7640">
      <w:pPr>
        <w:pStyle w:val="Lijstalinea"/>
        <w:numPr>
          <w:ilvl w:val="0"/>
          <w:numId w:val="2"/>
        </w:numPr>
        <w:spacing w:line="360" w:lineRule="auto"/>
        <w:jc w:val="both"/>
      </w:pPr>
      <w:r>
        <w:t>In het bedrijf zit goodwill ter waarde van €500.000. De latentie die hierop rust is €</w:t>
      </w:r>
      <w:r w:rsidR="00530747" w:rsidRPr="00530747">
        <w:t>108</w:t>
      </w:r>
      <w:r w:rsidR="00530747">
        <w:t>.</w:t>
      </w:r>
      <w:r w:rsidR="00530747" w:rsidRPr="00530747">
        <w:t>815</w:t>
      </w:r>
      <w:r w:rsidR="00530747" w:rsidRPr="00530747" w:rsidDel="00530747">
        <w:t xml:space="preserve"> </w:t>
      </w:r>
      <w:r>
        <w:t xml:space="preserve">(ongeveer </w:t>
      </w:r>
      <w:r w:rsidR="008D0B7B">
        <w:t>21,8</w:t>
      </w:r>
      <w:r>
        <w:t>% van €500.000).</w:t>
      </w:r>
    </w:p>
    <w:p w:rsidR="006861A0" w:rsidRDefault="006861A0" w:rsidP="003C7640">
      <w:pPr>
        <w:pStyle w:val="Lijstalinea"/>
        <w:numPr>
          <w:ilvl w:val="0"/>
          <w:numId w:val="2"/>
        </w:numPr>
        <w:spacing w:line="360" w:lineRule="auto"/>
        <w:jc w:val="both"/>
      </w:pPr>
      <w:r>
        <w:t xml:space="preserve">De WEV van de onderneming is het fiscaal eigen vermogen + stille reserves + goodwill – latenties. Dit komt neer op </w:t>
      </w:r>
      <w:r w:rsidR="00E461B2">
        <w:t>€</w:t>
      </w:r>
      <w:r w:rsidR="00D75434" w:rsidRPr="00D75434">
        <w:t>3.201.</w:t>
      </w:r>
      <w:r w:rsidR="006C3A71" w:rsidRPr="00D75434">
        <w:t>2</w:t>
      </w:r>
      <w:r w:rsidR="006C3A71">
        <w:t>2</w:t>
      </w:r>
      <w:r w:rsidR="006C3A71" w:rsidRPr="00D75434">
        <w:t>0</w:t>
      </w:r>
      <w:r>
        <w:t>.</w:t>
      </w:r>
    </w:p>
    <w:p w:rsidR="006861A0" w:rsidRDefault="006861A0" w:rsidP="003C7640">
      <w:pPr>
        <w:spacing w:line="360" w:lineRule="auto"/>
        <w:jc w:val="both"/>
      </w:pPr>
      <w:r>
        <w:t>De aandelen van de werkmaatschappij worden verkocht tegen een prijs van €</w:t>
      </w:r>
      <w:r w:rsidR="00A243F6">
        <w:t xml:space="preserve"> </w:t>
      </w:r>
      <w:r w:rsidR="00D75434" w:rsidRPr="00D75434">
        <w:t>3.201.</w:t>
      </w:r>
      <w:r w:rsidR="006C3A71" w:rsidRPr="00D75434">
        <w:t>2</w:t>
      </w:r>
      <w:r w:rsidR="006C3A71">
        <w:t>2</w:t>
      </w:r>
      <w:r w:rsidR="006C3A71" w:rsidRPr="00D75434">
        <w:t>0</w:t>
      </w:r>
      <w:r>
        <w:t xml:space="preserve">. Aangezien BV H de aandelen houdt in deze werkmaatschappij, is de winst op deze aandelen vrijgesteld van belasting (deelnemingsvrijstelling). Wanneer de aandelen rechtstreeks in het bezit waren van een natuurlijk persoon, was over het verschil tussen de verkoopprijs en de verkrijgingsprijs 25% belasting verschuldigd. </w:t>
      </w:r>
    </w:p>
    <w:p w:rsidR="006861A0" w:rsidRDefault="006861A0" w:rsidP="003C7640">
      <w:pPr>
        <w:spacing w:line="360" w:lineRule="auto"/>
        <w:jc w:val="both"/>
      </w:pPr>
      <w:r>
        <w:t>De waarde van de holding is echter wel gestegen door deze verkoop. Na verkoop ziet de balans van BV H er als volgt uit:</w:t>
      </w:r>
    </w:p>
    <w:p w:rsidR="006861A0" w:rsidRPr="009D52CA" w:rsidRDefault="00054C53" w:rsidP="002A5479">
      <w:pPr>
        <w:keepNext/>
        <w:spacing w:line="360" w:lineRule="auto"/>
        <w:contextualSpacing/>
        <w:jc w:val="center"/>
        <w:rPr>
          <w:b/>
        </w:rPr>
      </w:pPr>
      <w:r w:rsidRPr="00054C53">
        <w:rPr>
          <w:b/>
          <w:noProof/>
          <w:lang w:val="en-US" w:eastAsia="nl-NL"/>
        </w:rPr>
        <w:lastRenderedPageBreak/>
        <w:pict>
          <v:shape id="AutoShape 12" o:spid="_x0000_s1030" type="#_x0000_t32" style="position:absolute;left:0;text-align:left;margin-left:194.9pt;margin-top:48.6pt;width:66.45pt;height:0;rotation:90;z-index:251660288;visibility:visible;mso-wrap-distance-left:3.17489mm;mso-wrap-distance-right:3.17489m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"/>
        </w:pict>
      </w:r>
      <w:r w:rsidRPr="00054C53">
        <w:rPr>
          <w:b/>
          <w:noProof/>
          <w:lang w:val="en-US" w:eastAsia="nl-NL"/>
        </w:rPr>
        <w:pict>
          <v:shape id="_x0000_s1029" type="#_x0000_t32" style="position:absolute;left:0;text-align:left;margin-left:-.15pt;margin-top:15.35pt;width:446.05pt;height:0;z-index:251661312;visibility:visible;mso-wrap-distance-top:-8e-5mm;mso-wrap-distance-bottom:-8e-5m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"/>
        </w:pict>
      </w:r>
      <w:r w:rsidR="006861A0" w:rsidRPr="009D52CA">
        <w:rPr>
          <w:b/>
        </w:rPr>
        <w:t xml:space="preserve">Balans BV </w:t>
      </w:r>
      <w:r w:rsidR="006861A0">
        <w:rPr>
          <w:b/>
        </w:rPr>
        <w:t>H</w:t>
      </w:r>
      <w:r w:rsidR="006861A0" w:rsidRPr="009D52CA">
        <w:rPr>
          <w:b/>
        </w:rPr>
        <w:t xml:space="preserve"> (bedragen in €)</w:t>
      </w:r>
    </w:p>
    <w:p w:rsidR="006861A0" w:rsidRDefault="006861A0" w:rsidP="002A5479">
      <w:pPr>
        <w:keepNext/>
        <w:tabs>
          <w:tab w:val="decimal" w:pos="3544"/>
          <w:tab w:val="left" w:pos="5103"/>
          <w:tab w:val="decimal" w:pos="8647"/>
        </w:tabs>
        <w:spacing w:line="360" w:lineRule="auto"/>
        <w:ind w:firstLine="708"/>
        <w:contextualSpacing/>
      </w:pPr>
      <w:r>
        <w:t>Liquide middelen</w:t>
      </w:r>
      <w:r>
        <w:tab/>
      </w:r>
      <w:r w:rsidR="00D75434" w:rsidRPr="00D75434">
        <w:t>3.201.</w:t>
      </w:r>
      <w:r w:rsidR="006C3A71" w:rsidRPr="00D75434">
        <w:t>2</w:t>
      </w:r>
      <w:r w:rsidR="006C3A71">
        <w:t>2</w:t>
      </w:r>
      <w:r w:rsidR="006C3A71" w:rsidRPr="00D75434">
        <w:t>0</w:t>
      </w:r>
      <w:r>
        <w:tab/>
        <w:t>Aandelenkapitaal</w:t>
      </w:r>
      <w:r>
        <w:tab/>
        <w:t>100.000</w:t>
      </w:r>
    </w:p>
    <w:p w:rsidR="006861A0" w:rsidRDefault="006861A0" w:rsidP="002A5479">
      <w:pPr>
        <w:keepNext/>
        <w:tabs>
          <w:tab w:val="decimal" w:pos="3544"/>
          <w:tab w:val="left" w:pos="5103"/>
          <w:tab w:val="decimal" w:pos="8647"/>
        </w:tabs>
        <w:spacing w:line="360" w:lineRule="auto"/>
        <w:ind w:firstLine="708"/>
        <w:contextualSpacing/>
      </w:pPr>
      <w:r>
        <w:tab/>
      </w:r>
      <w:r>
        <w:tab/>
        <w:t>Algemene reserve</w:t>
      </w:r>
      <w:r>
        <w:tab/>
      </w:r>
      <w:r w:rsidR="009501B6">
        <w:t>2</w:t>
      </w:r>
      <w:r w:rsidR="00D75434" w:rsidRPr="00D75434">
        <w:t>.201.</w:t>
      </w:r>
      <w:r w:rsidR="006C3A71" w:rsidRPr="00D75434">
        <w:t>2</w:t>
      </w:r>
      <w:r w:rsidR="006C3A71">
        <w:t>2</w:t>
      </w:r>
      <w:r w:rsidR="006C3A71" w:rsidRPr="00D75434">
        <w:t>0</w:t>
      </w:r>
    </w:p>
    <w:p w:rsidR="006861A0" w:rsidRDefault="00054C53" w:rsidP="002A5479">
      <w:pPr>
        <w:keepNext/>
        <w:tabs>
          <w:tab w:val="decimal" w:pos="3544"/>
          <w:tab w:val="left" w:pos="5103"/>
          <w:tab w:val="decimal" w:pos="8647"/>
        </w:tabs>
        <w:spacing w:line="360" w:lineRule="auto"/>
        <w:ind w:firstLine="708"/>
        <w:contextualSpacing/>
      </w:pPr>
      <w:r w:rsidRPr="00054C53">
        <w:rPr>
          <w:b/>
          <w:noProof/>
          <w:lang w:val="en-US" w:eastAsia="nl-NL"/>
        </w:rPr>
        <w:pict>
          <v:shape id="_x0000_s1028" type="#_x0000_t32" style="position:absolute;left:0;text-align:left;margin-left:389.9pt;margin-top:17.25pt;width:44.6pt;height:0;z-index:251662336;visibility:visible;mso-wrap-distance-top:-8e-5mm;mso-wrap-distance-bottom:-8e-5m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"/>
        </w:pict>
      </w:r>
      <w:r w:rsidRPr="00054C53">
        <w:rPr>
          <w:noProof/>
          <w:lang w:val="en-US" w:eastAsia="nl-NL"/>
        </w:rPr>
        <w:pict>
          <v:shape id="_x0000_s1027" type="#_x0000_t32" style="position:absolute;left:0;text-align:left;margin-left:132.2pt;margin-top:17.25pt;width:44.6pt;height:0;z-index:251663360;visibility:visible;mso-wrap-distance-top:-8e-5mm;mso-wrap-distance-bottom:-8e-5m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"/>
        </w:pict>
      </w:r>
      <w:r w:rsidR="006861A0">
        <w:tab/>
      </w:r>
      <w:r w:rsidR="006861A0">
        <w:tab/>
        <w:t>Hypothecaire lening</w:t>
      </w:r>
      <w:r w:rsidR="006861A0">
        <w:tab/>
        <w:t>900.000</w:t>
      </w:r>
    </w:p>
    <w:p w:rsidR="006861A0" w:rsidRDefault="006861A0" w:rsidP="002A5479">
      <w:pPr>
        <w:keepNext/>
        <w:tabs>
          <w:tab w:val="decimal" w:pos="3544"/>
          <w:tab w:val="left" w:pos="5103"/>
          <w:tab w:val="decimal" w:pos="8647"/>
        </w:tabs>
        <w:spacing w:line="360" w:lineRule="auto"/>
        <w:ind w:firstLine="709"/>
        <w:contextualSpacing/>
      </w:pPr>
      <w:r w:rsidRPr="009D52CA">
        <w:rPr>
          <w:b/>
        </w:rPr>
        <w:t>Totaal</w:t>
      </w:r>
      <w:r w:rsidRPr="009D52CA">
        <w:rPr>
          <w:b/>
        </w:rPr>
        <w:tab/>
      </w:r>
      <w:r w:rsidR="00D75434" w:rsidRPr="00D75434">
        <w:t>3.201.</w:t>
      </w:r>
      <w:r w:rsidR="006C3A71" w:rsidRPr="00D75434">
        <w:t>2</w:t>
      </w:r>
      <w:r w:rsidR="006C3A71">
        <w:t>2</w:t>
      </w:r>
      <w:r w:rsidR="006C3A71" w:rsidRPr="00D75434">
        <w:t>0</w:t>
      </w:r>
      <w:r>
        <w:tab/>
      </w:r>
      <w:r w:rsidRPr="009D52CA">
        <w:rPr>
          <w:b/>
        </w:rPr>
        <w:t>Totaal</w:t>
      </w:r>
      <w:r w:rsidRPr="009D52CA">
        <w:rPr>
          <w:b/>
        </w:rPr>
        <w:tab/>
      </w:r>
      <w:r w:rsidR="00D75434" w:rsidRPr="00D75434">
        <w:t>3.201.</w:t>
      </w:r>
      <w:r w:rsidR="006C3A71" w:rsidRPr="00D75434">
        <w:t>2</w:t>
      </w:r>
      <w:r w:rsidR="006C3A71">
        <w:t>2</w:t>
      </w:r>
      <w:r w:rsidR="006C3A71" w:rsidRPr="00D75434">
        <w:t>0</w:t>
      </w:r>
    </w:p>
    <w:p w:rsidR="008B4EB6" w:rsidRDefault="008B4EB6" w:rsidP="002A5479">
      <w:pPr>
        <w:spacing w:line="360" w:lineRule="auto"/>
      </w:pPr>
    </w:p>
    <w:p w:rsidR="006861A0" w:rsidRDefault="00AB3776" w:rsidP="003C7640">
      <w:pPr>
        <w:spacing w:line="360" w:lineRule="auto"/>
        <w:jc w:val="both"/>
      </w:pPr>
      <w:r>
        <w:t>Na de verkoop van de aandelen BV W bezit de holding niets anders dan liquide middelen. De liquidatie-uitkering</w:t>
      </w:r>
      <w:r w:rsidR="00632908">
        <w:t xml:space="preserve"> wordt</w:t>
      </w:r>
      <w:r>
        <w:t xml:space="preserve"> op basis van art. 4.34 Wet IB belast als een vervreemdingsvoordeel.</w:t>
      </w:r>
      <w:r w:rsidR="006861A0">
        <w:t xml:space="preserve"> Dit komt neer op €</w:t>
      </w:r>
      <w:r w:rsidR="00D75434" w:rsidRPr="00D75434">
        <w:t>550</w:t>
      </w:r>
      <w:r w:rsidR="00D75434">
        <w:t>.</w:t>
      </w:r>
      <w:r w:rsidR="006C3A71" w:rsidRPr="00D75434">
        <w:t>30</w:t>
      </w:r>
      <w:r w:rsidR="006C3A71">
        <w:t xml:space="preserve">5 </w:t>
      </w:r>
      <w:r w:rsidR="006861A0">
        <w:t>(25% van [€</w:t>
      </w:r>
      <w:r w:rsidR="00D75434" w:rsidRPr="00D75434">
        <w:t>3.201.</w:t>
      </w:r>
      <w:r w:rsidR="006C3A71" w:rsidRPr="00D75434">
        <w:t>2</w:t>
      </w:r>
      <w:r w:rsidR="006C3A71">
        <w:t>2</w:t>
      </w:r>
      <w:r w:rsidR="006C3A71" w:rsidRPr="00D75434">
        <w:t>0</w:t>
      </w:r>
      <w:r w:rsidR="006C3A71">
        <w:t xml:space="preserve"> </w:t>
      </w:r>
      <w:r w:rsidR="006861A0">
        <w:t>-</w:t>
      </w:r>
      <w:r w:rsidR="00150F73">
        <w:t xml:space="preserve"> </w:t>
      </w:r>
      <w:r w:rsidR="006861A0">
        <w:t xml:space="preserve">€100.000]). </w:t>
      </w:r>
    </w:p>
    <w:p w:rsidR="006861A0" w:rsidRPr="000E5159" w:rsidRDefault="006861A0" w:rsidP="003C7640">
      <w:pPr>
        <w:pStyle w:val="Kop2"/>
        <w:spacing w:line="360" w:lineRule="auto"/>
        <w:jc w:val="both"/>
      </w:pPr>
      <w:bookmarkStart w:id="40" w:name="_Toc299740237"/>
      <w:r w:rsidRPr="000E5159">
        <w:t>Vergelijking</w:t>
      </w:r>
      <w:bookmarkEnd w:id="40"/>
    </w:p>
    <w:p w:rsidR="006C3A71" w:rsidRDefault="00CC68F9" w:rsidP="003C7640">
      <w:pPr>
        <w:spacing w:line="360" w:lineRule="auto"/>
        <w:contextualSpacing/>
        <w:jc w:val="both"/>
      </w:pPr>
      <w:r>
        <w:rPr>
          <w:b/>
        </w:rPr>
        <w:t xml:space="preserve"> </w:t>
      </w:r>
      <w:r w:rsidR="00AB3776">
        <w:rPr>
          <w:rFonts w:ascii="Calibri" w:eastAsia="Times New Roman" w:hAnsi="Calibri" w:cs="Times New Roman"/>
          <w:color w:val="000000"/>
          <w:lang w:eastAsia="nl-NL"/>
        </w:rPr>
        <w:t xml:space="preserve">In het systeem van een vermogensaanwasbelasting is in totaal </w:t>
      </w:r>
      <w:r w:rsidR="006C3A71">
        <w:t>€697.525</w:t>
      </w:r>
      <w:r w:rsidR="009E3492">
        <w:t xml:space="preserve"> </w:t>
      </w:r>
      <w:r w:rsidR="00AB3776">
        <w:t xml:space="preserve">aan </w:t>
      </w:r>
      <w:r w:rsidR="006C3A71">
        <w:t>belastingheffing</w:t>
      </w:r>
      <w:r w:rsidR="00AB3776">
        <w:t xml:space="preserve"> verschuldigd, in het systeem v</w:t>
      </w:r>
      <w:r w:rsidR="00A55D64">
        <w:t xml:space="preserve">an een vermogenswinstbelasting </w:t>
      </w:r>
      <w:r w:rsidR="00AB3776">
        <w:t>€</w:t>
      </w:r>
      <w:r w:rsidR="00D75434" w:rsidRPr="00D75434">
        <w:t>550</w:t>
      </w:r>
      <w:r w:rsidR="00D75434">
        <w:t>.</w:t>
      </w:r>
      <w:r w:rsidR="00D75434" w:rsidRPr="00D75434">
        <w:t>307</w:t>
      </w:r>
      <w:r w:rsidR="00AB3776">
        <w:t xml:space="preserve">. </w:t>
      </w:r>
      <w:r w:rsidR="006C3A71">
        <w:t>Het systeem van een vermogenswinstbelasting is voor een belastingplichtige dus voordeliger dan het systeem van een vermogensaanwasbelasting.</w:t>
      </w:r>
    </w:p>
    <w:p w:rsidR="006C3A71" w:rsidRDefault="006C3A71" w:rsidP="003C7640">
      <w:pPr>
        <w:spacing w:line="360" w:lineRule="auto"/>
        <w:contextualSpacing/>
        <w:jc w:val="both"/>
      </w:pPr>
    </w:p>
    <w:p w:rsidR="0093479F" w:rsidRDefault="006C3A71" w:rsidP="003C7640">
      <w:pPr>
        <w:spacing w:line="360" w:lineRule="auto"/>
        <w:contextualSpacing/>
        <w:jc w:val="both"/>
      </w:pPr>
      <w:r>
        <w:t xml:space="preserve">Aangezien er in het systeem van een vermogensaanwasbelasting jaarlijks moet worden afgedragen aan de fiscus, </w:t>
      </w:r>
      <w:r w:rsidR="0093479F">
        <w:t xml:space="preserve">heeft de belastingplichtige een rentenadeel ten opzichte van een vermogenswinstbelasting. Wanneer dit rentevoordeel in het model meegenomen zou worden, zou het verschil tussen de vermogenswinstbelasting en de vermogensaanwasbelasting nog groter worden. Het rentevoordeel in een vermogenswinstbelasting wordt </w:t>
      </w:r>
      <w:r w:rsidR="00442D96">
        <w:t>nog</w:t>
      </w:r>
      <w:r w:rsidR="0093479F">
        <w:t xml:space="preserve"> groter wanneer de belastingplichtige zijn winsten oppot in de holding alvorens deze te liquideren. </w:t>
      </w:r>
    </w:p>
    <w:p w:rsidR="006C3A71" w:rsidRDefault="006C3A71" w:rsidP="003C7640">
      <w:pPr>
        <w:spacing w:line="360" w:lineRule="auto"/>
        <w:contextualSpacing/>
        <w:jc w:val="both"/>
      </w:pPr>
    </w:p>
    <w:p w:rsidR="006C3A71" w:rsidRDefault="0093479F" w:rsidP="003C7640">
      <w:pPr>
        <w:spacing w:line="360" w:lineRule="auto"/>
        <w:contextualSpacing/>
        <w:jc w:val="both"/>
      </w:pPr>
      <w:r>
        <w:t xml:space="preserve">Het </w:t>
      </w:r>
      <w:proofErr w:type="spellStart"/>
      <w:r>
        <w:t>VPB-tarief</w:t>
      </w:r>
      <w:proofErr w:type="spellEnd"/>
      <w:r>
        <w:t xml:space="preserve"> </w:t>
      </w:r>
      <w:r w:rsidR="00442D96">
        <w:t>gaf het afgelopen decennium</w:t>
      </w:r>
      <w:r>
        <w:t xml:space="preserve"> een dalende trend</w:t>
      </w:r>
      <w:r w:rsidR="00442D96">
        <w:t xml:space="preserve"> te zien</w:t>
      </w:r>
      <w:r>
        <w:t xml:space="preserve">. Aangezien er in een vermogensaanwasbelasting elk jaar moet worden afgedragen, </w:t>
      </w:r>
      <w:r w:rsidR="00442D96">
        <w:t xml:space="preserve">was </w:t>
      </w:r>
      <w:r>
        <w:t xml:space="preserve">het tarief op de vermogenswinsten hoger dan wanneer </w:t>
      </w:r>
      <w:r w:rsidR="00442D96">
        <w:t>onder een vermogenswinstbelasting in de toekomst moet worden afgedragen (ervan uitgaande dat het tarief niet weer gaat stijgen)</w:t>
      </w:r>
      <w:r>
        <w:t xml:space="preserve">. </w:t>
      </w:r>
      <w:r w:rsidR="000A47AF">
        <w:t xml:space="preserve">Dit zorgt </w:t>
      </w:r>
      <w:r w:rsidR="00442D96">
        <w:t xml:space="preserve">ook </w:t>
      </w:r>
      <w:r w:rsidR="000A47AF">
        <w:t>voor een verschil tussen beide systemen.</w:t>
      </w:r>
    </w:p>
    <w:p w:rsidR="003E505C" w:rsidRDefault="003E505C" w:rsidP="003C7640">
      <w:pPr>
        <w:spacing w:line="360" w:lineRule="auto"/>
        <w:contextualSpacing/>
        <w:jc w:val="both"/>
      </w:pPr>
    </w:p>
    <w:p w:rsidR="006861A0" w:rsidRPr="000E5159" w:rsidRDefault="006861A0" w:rsidP="003C7640">
      <w:pPr>
        <w:pStyle w:val="Kop2"/>
        <w:spacing w:line="360" w:lineRule="auto"/>
        <w:jc w:val="both"/>
      </w:pPr>
      <w:bookmarkStart w:id="41" w:name="_Toc299740238"/>
      <w:r w:rsidRPr="000E5159">
        <w:t>Conclusie</w:t>
      </w:r>
      <w:bookmarkEnd w:id="41"/>
    </w:p>
    <w:p w:rsidR="002B0A8B" w:rsidRDefault="002B0A8B" w:rsidP="003C7640">
      <w:pPr>
        <w:spacing w:line="360" w:lineRule="auto"/>
        <w:contextualSpacing/>
        <w:jc w:val="both"/>
      </w:pPr>
      <w:r>
        <w:t xml:space="preserve">In dit hoofdstuk zijn beide systemen verder geanalyseerd aan de hand van een model. Hiertoe werd een fictieve casus geschetst. Dhr. X bezit de aandelen in een holding (BV H). Deze holding hield enkel </w:t>
      </w:r>
      <w:r>
        <w:lastRenderedPageBreak/>
        <w:t>aandelen in een werkmaatschappij (BV W), welke gekocht waren op 2/1/2001.</w:t>
      </w:r>
      <w:r w:rsidR="00A14706">
        <w:t xml:space="preserve"> Deze aandelen worden verkocht op 31/12/2010.</w:t>
      </w:r>
    </w:p>
    <w:p w:rsidR="002B0A8B" w:rsidRDefault="002B0A8B" w:rsidP="003C7640">
      <w:pPr>
        <w:spacing w:line="360" w:lineRule="auto"/>
        <w:contextualSpacing/>
        <w:jc w:val="both"/>
      </w:pPr>
      <w:r>
        <w:t>Vervolgens is voor beide systemen berekend hoeveel belasting verschuldigd was. Bij de vermogensaanwasbelasting w</w:t>
      </w:r>
      <w:r w:rsidR="00392D9A">
        <w:t>erd dit berekend door jaarlijks de vermogensmutaties in</w:t>
      </w:r>
      <w:r w:rsidR="00442D96">
        <w:t xml:space="preserve"> de</w:t>
      </w:r>
      <w:r w:rsidR="00392D9A">
        <w:t xml:space="preserve"> stille reserves en goodwill bij elkaar op te tellen en hier </w:t>
      </w:r>
      <w:r w:rsidR="0093479F">
        <w:t xml:space="preserve">de verschuldigde vennootschapsbelasting vanaf te trekken. Vervolgens werd over </w:t>
      </w:r>
      <w:r w:rsidR="00442D96">
        <w:t>dit bedrag de</w:t>
      </w:r>
      <w:r w:rsidR="0093479F">
        <w:t xml:space="preserve"> </w:t>
      </w:r>
      <w:proofErr w:type="spellStart"/>
      <w:r w:rsidR="0093479F">
        <w:t>aanmerkelijkbelangheffing</w:t>
      </w:r>
      <w:proofErr w:type="spellEnd"/>
      <w:r w:rsidR="0093479F">
        <w:t xml:space="preserve"> berekend.</w:t>
      </w:r>
      <w:r w:rsidR="00326EDB">
        <w:t xml:space="preserve"> De </w:t>
      </w:r>
      <w:proofErr w:type="spellStart"/>
      <w:r w:rsidR="00326EDB">
        <w:t>AB-heffing</w:t>
      </w:r>
      <w:proofErr w:type="spellEnd"/>
      <w:r w:rsidR="00326EDB">
        <w:t xml:space="preserve"> en VPB bij elkaar opgeteld is het totaal aan belasting verschuldigd bedrag.</w:t>
      </w:r>
      <w:r w:rsidR="00392D9A">
        <w:t xml:space="preserve"> Hier spelen </w:t>
      </w:r>
      <w:proofErr w:type="spellStart"/>
      <w:r w:rsidR="00D76E91">
        <w:t>VPB</w:t>
      </w:r>
      <w:r w:rsidR="00326EDB">
        <w:t>-</w:t>
      </w:r>
      <w:r w:rsidR="00392D9A">
        <w:t>latenties</w:t>
      </w:r>
      <w:proofErr w:type="spellEnd"/>
      <w:r w:rsidR="00392D9A">
        <w:t xml:space="preserve"> geen rol, aangezien </w:t>
      </w:r>
      <w:r w:rsidR="00C75339">
        <w:t>er verondersteld is</w:t>
      </w:r>
      <w:r w:rsidR="00392D9A">
        <w:t xml:space="preserve"> dat </w:t>
      </w:r>
      <w:r w:rsidR="00012F6C">
        <w:t xml:space="preserve">de </w:t>
      </w:r>
      <w:r w:rsidR="00392D9A">
        <w:t>vennootschapsbelasting</w:t>
      </w:r>
      <w:r w:rsidR="00012F6C">
        <w:t xml:space="preserve"> ook werd belast op basis van een </w:t>
      </w:r>
      <w:r w:rsidR="00392D9A">
        <w:t>vermogensaanwasbelasting</w:t>
      </w:r>
      <w:r w:rsidR="00012F6C">
        <w:t xml:space="preserve"> systeem</w:t>
      </w:r>
      <w:r w:rsidR="00392D9A">
        <w:t xml:space="preserve"> was. Wanneer dit niet het geval was, zouden er verschillende systemen zijn voor de IB-ondernemer en de AB-houder. Dit zou voor verstoringen kunnen zorgen. De waardestijging na belasting </w:t>
      </w:r>
      <w:r w:rsidR="00012F6C">
        <w:t xml:space="preserve">komt </w:t>
      </w:r>
      <w:r w:rsidR="00392D9A">
        <w:t>gelijk tot uitdrukking in de waarde van de deelneming op de balans van BV H. Over die waardestijging was Dhr. X jaarlijks 25% AB-heffing verschuldigd.</w:t>
      </w:r>
      <w:r w:rsidR="00C75339">
        <w:t xml:space="preserve"> Daarnaast drukt op Dhr. X de door BV W verschuldigde vennootschapsbelasting.</w:t>
      </w:r>
    </w:p>
    <w:p w:rsidR="00392D9A" w:rsidRDefault="00392D9A" w:rsidP="003C7640">
      <w:pPr>
        <w:spacing w:line="360" w:lineRule="auto"/>
        <w:contextualSpacing/>
        <w:jc w:val="both"/>
      </w:pPr>
    </w:p>
    <w:p w:rsidR="00392D9A" w:rsidRDefault="00392D9A" w:rsidP="003C7640">
      <w:pPr>
        <w:spacing w:line="360" w:lineRule="auto"/>
        <w:contextualSpacing/>
        <w:jc w:val="both"/>
      </w:pPr>
      <w:r>
        <w:t xml:space="preserve">In het systeem van een vermogenswinstbelasting moet de waarde van de aandelen bij verkoop (31/12/2010) worden berekend. Dit is het fiscaal eigen vermogen, vermeerderd met de stille reserves en goodwill en verminderd met de </w:t>
      </w:r>
      <w:proofErr w:type="spellStart"/>
      <w:r w:rsidR="00D76E91">
        <w:t>VPB</w:t>
      </w:r>
      <w:r>
        <w:t>-latenties</w:t>
      </w:r>
      <w:proofErr w:type="spellEnd"/>
      <w:r>
        <w:t xml:space="preserve"> die hierop rusten. Latenties worden berekend aan de hand van de (resterende) economische afschrijvingsduur, de disconteringsvoet en het </w:t>
      </w:r>
      <w:proofErr w:type="spellStart"/>
      <w:r w:rsidR="00D76E91">
        <w:t>VPB</w:t>
      </w:r>
      <w:r>
        <w:t>-tarief</w:t>
      </w:r>
      <w:proofErr w:type="spellEnd"/>
      <w:r>
        <w:t>. Na de verkoop is slechts de post “liquide middelen” op de activum zijde van de balans van de holding. Daarom wordt aangenomen dat deze geliquideerd wordt. De liquidatie-uitkering wordt belast als een vervreemdingsvoordeel. Over deze liquidatie-uitkering is Dhr. X 25% AB-heffing verschuldigd.</w:t>
      </w:r>
    </w:p>
    <w:p w:rsidR="00392D9A" w:rsidRDefault="00392D9A" w:rsidP="003C7640">
      <w:pPr>
        <w:spacing w:line="360" w:lineRule="auto"/>
        <w:contextualSpacing/>
        <w:jc w:val="both"/>
      </w:pPr>
    </w:p>
    <w:p w:rsidR="00392D9A" w:rsidRDefault="00392D9A" w:rsidP="003C7640">
      <w:pPr>
        <w:spacing w:line="360" w:lineRule="auto"/>
        <w:contextualSpacing/>
        <w:jc w:val="both"/>
      </w:pPr>
      <w:r>
        <w:t>Uit deze berekeningen kwam</w:t>
      </w:r>
      <w:r w:rsidR="003A6ACB">
        <w:t xml:space="preserve"> in het systeem van een vermogensaanwasbelasting</w:t>
      </w:r>
      <w:r>
        <w:t xml:space="preserve"> een totaal verschuldigde belasting</w:t>
      </w:r>
      <w:r w:rsidR="003A6ACB">
        <w:t xml:space="preserve"> van </w:t>
      </w:r>
      <w:r w:rsidR="009E3492" w:rsidRPr="008E329C">
        <w:t>€</w:t>
      </w:r>
      <w:r w:rsidR="000A47AF">
        <w:t>697.525</w:t>
      </w:r>
      <w:r w:rsidR="00012F6C">
        <w:t xml:space="preserve"> naar voren</w:t>
      </w:r>
      <w:r w:rsidR="000A47AF">
        <w:t xml:space="preserve"> </w:t>
      </w:r>
      <w:r w:rsidR="003A6ACB">
        <w:t>en in het systeem van een vermogenswinstbelasting</w:t>
      </w:r>
      <w:r>
        <w:t xml:space="preserve"> </w:t>
      </w:r>
      <w:r w:rsidR="003A6ACB">
        <w:t>€</w:t>
      </w:r>
      <w:r w:rsidR="00D75434" w:rsidRPr="00D75434">
        <w:t>550</w:t>
      </w:r>
      <w:r w:rsidR="00D75434">
        <w:t>.</w:t>
      </w:r>
      <w:r w:rsidR="00D75434" w:rsidRPr="00D75434">
        <w:t>307</w:t>
      </w:r>
      <w:r w:rsidR="003A6ACB">
        <w:t>.</w:t>
      </w:r>
      <w:r w:rsidR="000A47AF">
        <w:t xml:space="preserve"> Het systeem van een vermogenswinstbelasting is dus voordeliger voor de belastingplichtige. Dit verschil wordt alleen maar groter wanneer rekening wordt gehouden met het rentenadeel in een vermogensaanwasbelasting. Daarnaast </w:t>
      </w:r>
      <w:r w:rsidR="00012F6C">
        <w:t xml:space="preserve">had </w:t>
      </w:r>
      <w:r w:rsidR="000A47AF">
        <w:t xml:space="preserve">het VPB-tarief </w:t>
      </w:r>
      <w:r w:rsidR="00012F6C">
        <w:t xml:space="preserve">in het afgelopen decennium </w:t>
      </w:r>
      <w:r w:rsidR="000A47AF">
        <w:t xml:space="preserve">een dalende trend. Daardoor </w:t>
      </w:r>
      <w:r w:rsidR="00012F6C">
        <w:t xml:space="preserve">bleek een vermogenswinstbelasting nog voordeliger te </w:t>
      </w:r>
      <w:r w:rsidR="00B56315">
        <w:t>worden</w:t>
      </w:r>
      <w:bookmarkStart w:id="42" w:name="_GoBack"/>
      <w:bookmarkEnd w:id="42"/>
      <w:r w:rsidR="00012F6C">
        <w:t xml:space="preserve"> voor belastingplichtigen</w:t>
      </w:r>
      <w:r w:rsidR="000A47AF">
        <w:t xml:space="preserve">. </w:t>
      </w:r>
    </w:p>
    <w:p w:rsidR="006861A0" w:rsidRDefault="00641F4D" w:rsidP="003C7640">
      <w:pPr>
        <w:pStyle w:val="Kop1"/>
        <w:spacing w:line="360" w:lineRule="auto"/>
        <w:jc w:val="both"/>
      </w:pPr>
      <w:bookmarkStart w:id="43" w:name="_Toc299740239"/>
      <w:r w:rsidRPr="00641F4D">
        <w:lastRenderedPageBreak/>
        <w:t>Conclusie</w:t>
      </w:r>
      <w:r w:rsidR="009912CC">
        <w:t>/Samenvatting</w:t>
      </w:r>
      <w:bookmarkEnd w:id="43"/>
    </w:p>
    <w:p w:rsidR="009912CC" w:rsidRDefault="00653110" w:rsidP="003C7640">
      <w:pPr>
        <w:spacing w:line="360" w:lineRule="auto"/>
        <w:jc w:val="both"/>
      </w:pPr>
      <w:r>
        <w:br/>
      </w:r>
      <w:r w:rsidR="009912CC">
        <w:t>Wanneer de aandelen in een vennootschap, waarin een natuurlijk persoon een aanmerkelijk belang houdt, worden vervreemd, leidt dit onder een vermogenswinstbelasting tot een AB-claim. Er zijn verscheidene faciliteiten in de wet opgenomen die de belastingclaim kunnen verzachten. Met deze faciliteiten beoogt de wetgever eraan bij te dragen de continuïteit van ondernemingen in stand te houden. De keuze voor een belastingsysteem kan zorgen voor marktverstoringen. In deze scriptie is onderzocht of het huidige belastingsysteem dat op een aanmerkelijkbelanghouder van toepassing is tot marktverstoringen leidt en of er faciliteiten nodig zijn om deze marktverstoringen te corrigeren. Dit leidde tot de volgende probleemstelling:</w:t>
      </w:r>
    </w:p>
    <w:p w:rsidR="009912CC" w:rsidRPr="004C2007" w:rsidRDefault="009912CC" w:rsidP="003C7640">
      <w:pPr>
        <w:spacing w:line="360" w:lineRule="auto"/>
        <w:contextualSpacing/>
        <w:jc w:val="center"/>
        <w:rPr>
          <w:b/>
        </w:rPr>
      </w:pPr>
      <w:r>
        <w:rPr>
          <w:b/>
        </w:rPr>
        <w:t>“Welke marktverstoringen treden op door bestaand overheidsingrijpen en  zijn er faciliteiten nodig om dit te corrigeren?”</w:t>
      </w:r>
    </w:p>
    <w:p w:rsidR="009912CC" w:rsidRDefault="009912CC" w:rsidP="003C7640">
      <w:pPr>
        <w:spacing w:line="360" w:lineRule="auto"/>
        <w:jc w:val="both"/>
      </w:pPr>
    </w:p>
    <w:p w:rsidR="003C7640" w:rsidRDefault="009912CC" w:rsidP="003C7640">
      <w:pPr>
        <w:spacing w:line="360" w:lineRule="auto"/>
        <w:jc w:val="both"/>
      </w:pPr>
      <w:r>
        <w:t xml:space="preserve">In hoofdstuk 2 werd onderzocht wat het ideale systeem is. Het meest zuivere systeem is een systeem gebaseerd op het SHS-inkomensbegrip. Dit begrip is vernoemd naar de grondleggers: </w:t>
      </w:r>
      <w:proofErr w:type="spellStart"/>
      <w:r>
        <w:t>Schanz</w:t>
      </w:r>
      <w:proofErr w:type="spellEnd"/>
      <w:r>
        <w:t xml:space="preserve">, </w:t>
      </w:r>
      <w:proofErr w:type="spellStart"/>
      <w:r>
        <w:t>Haig</w:t>
      </w:r>
      <w:proofErr w:type="spellEnd"/>
      <w:r>
        <w:t xml:space="preserve"> en Simons. Een systeem dat gebaseerd is op het SHS-inkomensbegrip betrekt alle vermogensmutaties in de belastingheffing, ongeacht of deze gerealiseerd zijn. Daarnaast wordt er de consumptie bij opgeteld, om te voorkomen dat iedereen gaat consumeren om zo het verschil in vermogen te verkleinen. Er mag geen verschil zijn tussen sparen en consumeren. Een vermogenswinst wordt dus gelijk in de belastingheffing betrokken.</w:t>
      </w:r>
    </w:p>
    <w:p w:rsidR="009912CC" w:rsidRDefault="009912CC" w:rsidP="003C7640">
      <w:pPr>
        <w:spacing w:line="360" w:lineRule="auto"/>
        <w:jc w:val="both"/>
      </w:pPr>
      <w:r>
        <w:t xml:space="preserve">Bij een vermogensaanwasbelasting wordt jaarlijks over waardemutaties afgerekend. Dit in tegenstelling tot een vermogenswinstbelasting, waar pas belasting hoeft te worden betaald wanneer een vermogensbestanddeel wordt vervreemd. Bij verkoop in het systeem van een vermogensaanwasbelasting is belasting verschuldigd over de waardemutatie sinds het laatste moment van heffing. Een vermogensaanwasbelasting kan het SHS-inkomensbegrip als grondslag hanteren, maar kan ook gebaseerd zijn op een minder breed inkomensbegrip, waar elementen van het SHS-inkomensbegrip worden gebruikt. Volgens de economische theorie hoort inflatie niet belast te worden. Aangezien het algemeen prijspeil eveneens stijgt, kunnen er schijnwinsten ontstaan. De draagkracht wordt niet vergroot door de winst die is veroorzaakt door inflatie. Het belasten van inflatie kan zorgen voor verstoringen. Aangezien er geen aanwijzingen zijn dat Nederland het nominalistische systeem gaat verlaten, wordt inflatie niet meegenomen in dit model. </w:t>
      </w:r>
      <w:r>
        <w:br/>
        <w:t xml:space="preserve">Een vermogensaanwasbelasting is minder verstorend voor de economie dan een </w:t>
      </w:r>
      <w:r>
        <w:lastRenderedPageBreak/>
        <w:t>vermogenswinstbelasting. Zo is er geen sprake van het “</w:t>
      </w:r>
      <w:proofErr w:type="spellStart"/>
      <w:r>
        <w:t>lock-in</w:t>
      </w:r>
      <w:proofErr w:type="spellEnd"/>
      <w:r>
        <w:t xml:space="preserve">” effect. Het </w:t>
      </w:r>
      <w:proofErr w:type="spellStart"/>
      <w:r>
        <w:t>lock-in</w:t>
      </w:r>
      <w:proofErr w:type="spellEnd"/>
      <w:r>
        <w:t xml:space="preserve"> effect betekent dat belastingplichtigen vermogensbestanddelen in hun bezit houden om zo belastingheffing uit te stellen. Zo wordt het gedrag van een belastingplichtige beïnvloed. Een nadeel van een vermogensaanwasbelasting is het liquiditeitsprobleem. Er moet namelijk worden afgerekend over een winst die nog niet gerealiseerd is. Ook leidt het jaarlijks waarderen van aandelen tot waarderingsproblemen, met name wanneer het gaat om niet-courante aandelen. Ondanks deze nadelen heeft een vermogensaanwasbelasting naar mijn mening de voorkeur boven een vermogenswinstbelasting.</w:t>
      </w:r>
    </w:p>
    <w:p w:rsidR="009912CC" w:rsidRDefault="009912CC" w:rsidP="003C7640">
      <w:pPr>
        <w:spacing w:line="360" w:lineRule="auto"/>
        <w:jc w:val="both"/>
      </w:pPr>
      <w:r>
        <w:t xml:space="preserve">Hoofdstuk 3 beschreef hoe vermogenswinsten in het huidige systeem belast worden. Daartoe werd eerst een korte beschrijving gegeven van het </w:t>
      </w:r>
      <w:proofErr w:type="spellStart"/>
      <w:r>
        <w:t>aanmerkelijkbelangregime</w:t>
      </w:r>
      <w:proofErr w:type="spellEnd"/>
      <w:r>
        <w:t>. Wanneer iemand alleen of samen met zijn partner, direct of indirect, ten minste 5% van de aandelen, opties of winstbewijzen van een vennootschap in handen heeft, is er sprake van een aanmerkelijk belang. Reguliere voordelen zijn voordelen die worden getrokken uit een AB-belang. Vervreemdingsvoordelen worden berekend wanneer een belastingplichtige zijn aandelen verkoopt. Dit is de overdrachtsprijs verminderd met de verkrijgingsprijs. De WEV van de aandelen kan als volgt worden berekend: fiscaal eigen vermogen + stille reserves + goodwill – latenties. Deze latenties kunnen worden berekend aan de hand van de afschr</w:t>
      </w:r>
      <w:r w:rsidR="00D76E91">
        <w:t xml:space="preserve">ijvingsduur, de hoogte van het </w:t>
      </w:r>
      <w:proofErr w:type="spellStart"/>
      <w:r w:rsidR="00D76E91">
        <w:t>VPB</w:t>
      </w:r>
      <w:r>
        <w:t>-tarief</w:t>
      </w:r>
      <w:proofErr w:type="spellEnd"/>
      <w:r>
        <w:t xml:space="preserve"> en een disconteringsvoet.</w:t>
      </w:r>
      <w:r>
        <w:br/>
        <w:t xml:space="preserve">Een nadeel van dit systeem is, zoals reeds genoemd, het </w:t>
      </w:r>
      <w:proofErr w:type="spellStart"/>
      <w:r>
        <w:t>lock-in</w:t>
      </w:r>
      <w:proofErr w:type="spellEnd"/>
      <w:r>
        <w:t xml:space="preserve"> effect. Ook wordt inflatie in het huidige systeem belast. In dit systeem kan ook een liquiditeitsprobleem ontstaan, omdat er in één keer moet worden afgerekend over een aanzienlijk bedrag. Er zijn verschillende faciliteiten opgenomen in de wet, om te voorkomen dat de continuïteit van de onderneming in gevaar komt.</w:t>
      </w:r>
    </w:p>
    <w:p w:rsidR="003C7640" w:rsidRDefault="009912CC" w:rsidP="003C7640">
      <w:pPr>
        <w:spacing w:line="360" w:lineRule="auto"/>
        <w:jc w:val="both"/>
      </w:pPr>
      <w:r>
        <w:t xml:space="preserve">In hoofdstuk 4 werden beide systemen geanalyseerd aan de hand van een casus. Er is berekend hoeveel in elk systeem aan belasting verschuldigd was. Bij de vermogensaanwasbelasting werd jaarlijks de vermogensmutatie berekend, waarna die mutatie na VPB doorwerkte in de waarde van de aandelen van BV W en dus ook de post deelneming op de balans van BV H. Over die mutatie (na VPB) moet AB-heffing over worden betaald.  Bij de vermogenswinstbelasting is de waarde van de aandelen per 31/12/2010 berekend. Aangezien na verkoop van deze aandelen slechts liquiditeiten in de holding zaten, wordt deze holding geliquideerd. Over deze </w:t>
      </w:r>
      <w:proofErr w:type="spellStart"/>
      <w:r>
        <w:t>liquidatieuitkering</w:t>
      </w:r>
      <w:proofErr w:type="spellEnd"/>
      <w:r>
        <w:t xml:space="preserve"> is 25% </w:t>
      </w:r>
      <w:proofErr w:type="spellStart"/>
      <w:r>
        <w:t>AB-heffing</w:t>
      </w:r>
      <w:proofErr w:type="spellEnd"/>
      <w:r>
        <w:t xml:space="preserve"> verschuldigd.</w:t>
      </w:r>
      <w:r>
        <w:br/>
        <w:t>Vervolgens is er een vergelijking gemaakt tussen deze twee systemen. Uit de berekeningen volgde dat voor een belastingplichtige het systeem van een vermogenswinstbelasting voordeliger is dan het systeem van een vermogensaanwasbelasting.</w:t>
      </w:r>
    </w:p>
    <w:p w:rsidR="003C7640" w:rsidRDefault="003C7640" w:rsidP="003C7640">
      <w:pPr>
        <w:spacing w:line="360" w:lineRule="auto"/>
        <w:jc w:val="both"/>
      </w:pPr>
    </w:p>
    <w:p w:rsidR="009912CC" w:rsidRPr="00D523F6" w:rsidRDefault="009912CC" w:rsidP="003C7640">
      <w:pPr>
        <w:spacing w:line="360" w:lineRule="auto"/>
        <w:jc w:val="both"/>
      </w:pPr>
      <w:r>
        <w:lastRenderedPageBreak/>
        <w:t>De vraag is</w:t>
      </w:r>
      <w:r w:rsidR="00550EDD">
        <w:t xml:space="preserve"> of</w:t>
      </w:r>
      <w:r>
        <w:t xml:space="preserve"> faciliteiten nodig zijn om markverstoringen te corrigeren. Uit mijn model in hoofdstuk 4 is gebleken dat een vermogenswinstbelasting voordeliger is dan het (theoretisch betere) systeem van een vermogensaanwasbelasting. Er is dus in principe vanwege de keuze van de wetgever reeds een voordeel ten opzichte van het andere systeem. </w:t>
      </w:r>
      <w:r w:rsidR="00550EDD">
        <w:t xml:space="preserve">Op basis van dit onderzoek zouden er dus geen faciliteiten nodig zijn, want het voordeel ten opzichte van het systeem van een vermogensaanwasbelasting compenseert voor het feit dat er over een aanzienlijk bedrag in één keer </w:t>
      </w:r>
      <w:r w:rsidR="00012F6C">
        <w:t>belasting is verschuldigd</w:t>
      </w:r>
      <w:r w:rsidR="00550EDD">
        <w:t xml:space="preserve">. Er kunnen echter wel andere redenen zijn </w:t>
      </w:r>
      <w:r w:rsidR="00012F6C">
        <w:t xml:space="preserve">voor </w:t>
      </w:r>
      <w:r w:rsidR="00550EDD">
        <w:t>de wetgever</w:t>
      </w:r>
      <w:r w:rsidR="00012F6C">
        <w:t xml:space="preserve"> om</w:t>
      </w:r>
      <w:r w:rsidR="00550EDD">
        <w:t xml:space="preserve"> faciliteiten </w:t>
      </w:r>
      <w:r w:rsidR="00012F6C">
        <w:t>toe te kennen</w:t>
      </w:r>
      <w:r w:rsidR="00550EDD">
        <w:t xml:space="preserve">. Een voorbeeld hiervan is </w:t>
      </w:r>
      <w:proofErr w:type="spellStart"/>
      <w:r w:rsidR="00550EDD">
        <w:t>ma</w:t>
      </w:r>
      <w:r w:rsidR="00D64CAF">
        <w:t>rktfalen</w:t>
      </w:r>
      <w:proofErr w:type="spellEnd"/>
      <w:r w:rsidR="00D64CAF">
        <w:t>, zoals een gebrekkig werkende kapitaalmarkt. Dit heb ik echter in dit onderzoek niet onderzocht.</w:t>
      </w:r>
      <w:r w:rsidR="00550EDD">
        <w:t xml:space="preserve"> </w:t>
      </w:r>
    </w:p>
    <w:p w:rsidR="00E95DD5" w:rsidRPr="00D523F6" w:rsidRDefault="00E95DD5" w:rsidP="003C7640">
      <w:pPr>
        <w:spacing w:line="360" w:lineRule="auto"/>
        <w:jc w:val="both"/>
      </w:pPr>
    </w:p>
    <w:p w:rsidR="00747E54" w:rsidRDefault="00641F4D" w:rsidP="003C7640">
      <w:pPr>
        <w:pStyle w:val="Literatuurlijst"/>
        <w:spacing w:line="360" w:lineRule="auto"/>
        <w:jc w:val="both"/>
      </w:pPr>
      <w:bookmarkStart w:id="44" w:name="_Toc299740240"/>
      <w:r>
        <w:lastRenderedPageBreak/>
        <w:t>Literatuurlijst</w:t>
      </w:r>
      <w:bookmarkEnd w:id="44"/>
      <w:r w:rsidR="00551D2D">
        <w:br/>
      </w:r>
    </w:p>
    <w:p w:rsidR="00551D2D" w:rsidRPr="00432151" w:rsidRDefault="00551D2D" w:rsidP="003C7640">
      <w:pPr>
        <w:spacing w:line="360" w:lineRule="auto"/>
        <w:jc w:val="both"/>
        <w:rPr>
          <w:rFonts w:asciiTheme="majorHAnsi" w:eastAsiaTheme="majorEastAsia" w:hAnsiTheme="majorHAnsi" w:cstheme="majorBidi"/>
          <w:b/>
          <w:bCs/>
          <w:color w:val="4F81BD" w:themeColor="accent1"/>
          <w:sz w:val="26"/>
          <w:szCs w:val="26"/>
        </w:rPr>
      </w:pPr>
      <w:r w:rsidRPr="00432151">
        <w:rPr>
          <w:rFonts w:asciiTheme="majorHAnsi" w:eastAsiaTheme="majorEastAsia" w:hAnsiTheme="majorHAnsi" w:cstheme="majorBidi"/>
          <w:b/>
          <w:bCs/>
          <w:color w:val="4F81BD" w:themeColor="accent1"/>
          <w:sz w:val="26"/>
          <w:szCs w:val="26"/>
        </w:rPr>
        <w:t>Boeken</w:t>
      </w:r>
    </w:p>
    <w:p w:rsidR="002870D3" w:rsidRDefault="002870D3" w:rsidP="003C7640">
      <w:pPr>
        <w:pStyle w:val="Lijstalinea"/>
        <w:numPr>
          <w:ilvl w:val="0"/>
          <w:numId w:val="9"/>
        </w:numPr>
        <w:spacing w:line="360" w:lineRule="auto"/>
        <w:jc w:val="both"/>
      </w:pPr>
      <w:r>
        <w:t xml:space="preserve">Adriani, P.J.A. &amp; Oven, J.C. van (1953). </w:t>
      </w:r>
      <w:r w:rsidRPr="00432151">
        <w:rPr>
          <w:i/>
        </w:rPr>
        <w:t>De goodwill in het privaatrecht en het belastingrecht</w:t>
      </w:r>
      <w:r>
        <w:t xml:space="preserve">. Groningen: </w:t>
      </w:r>
      <w:r w:rsidRPr="005107CE">
        <w:t xml:space="preserve">Broederschap der </w:t>
      </w:r>
      <w:proofErr w:type="spellStart"/>
      <w:r w:rsidRPr="005107CE">
        <w:t>Candidaat-Notarissen</w:t>
      </w:r>
      <w:proofErr w:type="spellEnd"/>
      <w:r>
        <w:t>.</w:t>
      </w:r>
    </w:p>
    <w:p w:rsidR="002870D3" w:rsidRDefault="002870D3" w:rsidP="003C7640">
      <w:pPr>
        <w:pStyle w:val="Lijstalinea"/>
        <w:numPr>
          <w:ilvl w:val="0"/>
          <w:numId w:val="9"/>
        </w:numPr>
        <w:spacing w:line="360" w:lineRule="auto"/>
        <w:jc w:val="both"/>
      </w:pPr>
      <w:proofErr w:type="spellStart"/>
      <w:r w:rsidRPr="00551D2D">
        <w:t>Caanen</w:t>
      </w:r>
      <w:proofErr w:type="spellEnd"/>
      <w:r w:rsidRPr="00551D2D">
        <w:t xml:space="preserve">, J.Ch. (1993). </w:t>
      </w:r>
      <w:proofErr w:type="spellStart"/>
      <w:r w:rsidRPr="00551D2D">
        <w:rPr>
          <w:i/>
        </w:rPr>
        <w:t>Fisale</w:t>
      </w:r>
      <w:proofErr w:type="spellEnd"/>
      <w:r w:rsidRPr="00551D2D">
        <w:rPr>
          <w:i/>
        </w:rPr>
        <w:t xml:space="preserve"> winst en inflatie</w:t>
      </w:r>
      <w:r w:rsidRPr="00551D2D">
        <w:t xml:space="preserve">. </w:t>
      </w:r>
      <w:r w:rsidRPr="00D7363A">
        <w:t>Deventer: Kluwer.</w:t>
      </w:r>
    </w:p>
    <w:p w:rsidR="002870D3" w:rsidRDefault="002870D3" w:rsidP="003C7640">
      <w:pPr>
        <w:pStyle w:val="Lijstalinea"/>
        <w:numPr>
          <w:ilvl w:val="0"/>
          <w:numId w:val="9"/>
        </w:numPr>
        <w:spacing w:line="360" w:lineRule="auto"/>
        <w:jc w:val="both"/>
      </w:pPr>
      <w:r>
        <w:t xml:space="preserve">Cornelisse, R.P.C. (1992). </w:t>
      </w:r>
      <w:r w:rsidRPr="00432151">
        <w:rPr>
          <w:i/>
        </w:rPr>
        <w:t>Enige fiscale aspecten van goodwill</w:t>
      </w:r>
      <w:r>
        <w:t>. Deventer: Kluwer.</w:t>
      </w:r>
    </w:p>
    <w:p w:rsidR="002870D3" w:rsidRPr="002870D3" w:rsidRDefault="002870D3" w:rsidP="003C7640">
      <w:pPr>
        <w:pStyle w:val="Lijstalinea"/>
        <w:numPr>
          <w:ilvl w:val="0"/>
          <w:numId w:val="9"/>
        </w:numPr>
        <w:spacing w:line="360" w:lineRule="auto"/>
        <w:jc w:val="both"/>
        <w:rPr>
          <w:lang w:val="en-US"/>
        </w:rPr>
      </w:pPr>
      <w:r w:rsidRPr="00432151">
        <w:rPr>
          <w:rFonts w:cs="GulliverRegularRoman"/>
        </w:rPr>
        <w:t xml:space="preserve">Dool, R.P. van den (2009). </w:t>
      </w:r>
      <w:r w:rsidRPr="00432151">
        <w:rPr>
          <w:rFonts w:cs="GulliverRegularRoman"/>
          <w:i/>
        </w:rPr>
        <w:t>Belastingheffing over kapitaalinkomen bij natuurlijke personen</w:t>
      </w:r>
      <w:r w:rsidRPr="00432151">
        <w:rPr>
          <w:rFonts w:cs="GulliverRegularRoman"/>
        </w:rPr>
        <w:t xml:space="preserve">. </w:t>
      </w:r>
      <w:r w:rsidRPr="00432151">
        <w:rPr>
          <w:rFonts w:cs="GulliverRegularRoman"/>
          <w:lang w:val="en-US"/>
        </w:rPr>
        <w:t>Deventer: Kluwer.</w:t>
      </w:r>
    </w:p>
    <w:p w:rsidR="002870D3" w:rsidRDefault="002870D3" w:rsidP="003C7640">
      <w:pPr>
        <w:pStyle w:val="Lijstalinea"/>
        <w:numPr>
          <w:ilvl w:val="0"/>
          <w:numId w:val="9"/>
        </w:numPr>
        <w:spacing w:line="360" w:lineRule="auto"/>
        <w:jc w:val="both"/>
      </w:pPr>
      <w:r>
        <w:t xml:space="preserve">Dool, R.P. van den (2010). </w:t>
      </w:r>
      <w:r w:rsidRPr="00432151">
        <w:rPr>
          <w:i/>
        </w:rPr>
        <w:t>Waardering van incourante aandelen voor de belastingheffing</w:t>
      </w:r>
      <w:r>
        <w:t>. Deventer: Kluwer.</w:t>
      </w:r>
    </w:p>
    <w:p w:rsidR="002870D3" w:rsidRDefault="002870D3" w:rsidP="003C7640">
      <w:pPr>
        <w:pStyle w:val="Lijstalinea"/>
        <w:numPr>
          <w:ilvl w:val="0"/>
          <w:numId w:val="9"/>
        </w:numPr>
        <w:spacing w:line="360" w:lineRule="auto"/>
        <w:jc w:val="both"/>
      </w:pPr>
      <w:r>
        <w:t xml:space="preserve">Dool, R.P. van den &amp; Heithuis, E.J.W. (2010). </w:t>
      </w:r>
      <w:r w:rsidRPr="00432151">
        <w:rPr>
          <w:i/>
        </w:rPr>
        <w:t>Compendium van de vennootschapsbelasting</w:t>
      </w:r>
      <w:r>
        <w:t>. Deventer: Kluwer.</w:t>
      </w:r>
    </w:p>
    <w:p w:rsidR="002870D3" w:rsidRPr="00551D2D" w:rsidRDefault="002870D3" w:rsidP="003C7640">
      <w:pPr>
        <w:pStyle w:val="Lijstalinea"/>
        <w:numPr>
          <w:ilvl w:val="0"/>
          <w:numId w:val="9"/>
        </w:numPr>
        <w:spacing w:line="360" w:lineRule="auto"/>
        <w:jc w:val="both"/>
        <w:rPr>
          <w:lang w:val="en-US"/>
        </w:rPr>
      </w:pPr>
      <w:r w:rsidRPr="00432151">
        <w:rPr>
          <w:lang w:val="en-US"/>
        </w:rPr>
        <w:t xml:space="preserve">Gayer, T.  &amp; Rosen, H.S. (2008). </w:t>
      </w:r>
      <w:r w:rsidRPr="00432151">
        <w:rPr>
          <w:i/>
          <w:lang w:val="en-US"/>
        </w:rPr>
        <w:t>Public Finance</w:t>
      </w:r>
      <w:r w:rsidRPr="00432151">
        <w:rPr>
          <w:lang w:val="en-US"/>
        </w:rPr>
        <w:t>. New York: McGraw-Hill.</w:t>
      </w:r>
    </w:p>
    <w:p w:rsidR="002870D3" w:rsidRDefault="002870D3" w:rsidP="003C7640">
      <w:pPr>
        <w:pStyle w:val="Lijstalinea"/>
        <w:numPr>
          <w:ilvl w:val="0"/>
          <w:numId w:val="9"/>
        </w:numPr>
        <w:spacing w:line="360" w:lineRule="auto"/>
        <w:jc w:val="both"/>
      </w:pPr>
      <w:r>
        <w:t xml:space="preserve">Heithuis, E.J.W. &amp; Kavelaars, P. &amp; </w:t>
      </w:r>
      <w:proofErr w:type="spellStart"/>
      <w:r>
        <w:t>Schuver</w:t>
      </w:r>
      <w:proofErr w:type="spellEnd"/>
      <w:r>
        <w:t xml:space="preserve">, B.F. (2009). </w:t>
      </w:r>
      <w:r w:rsidRPr="00432151">
        <w:rPr>
          <w:i/>
        </w:rPr>
        <w:t>Inkomstenbelasting</w:t>
      </w:r>
      <w:r>
        <w:t>. Deventer: Kluwer.</w:t>
      </w:r>
    </w:p>
    <w:p w:rsidR="00551D2D" w:rsidRPr="002870D3" w:rsidRDefault="00551D2D" w:rsidP="003C7640">
      <w:pPr>
        <w:pStyle w:val="Lijstalinea"/>
        <w:numPr>
          <w:ilvl w:val="0"/>
          <w:numId w:val="9"/>
        </w:numPr>
        <w:spacing w:line="360" w:lineRule="auto"/>
        <w:jc w:val="both"/>
        <w:rPr>
          <w:rFonts w:cs="GulliverRegularRoman"/>
          <w:lang w:val="en-US"/>
        </w:rPr>
      </w:pPr>
      <w:r w:rsidRPr="00551D2D">
        <w:rPr>
          <w:lang w:val="en-US"/>
        </w:rPr>
        <w:t xml:space="preserve">Holmes, K. (2001). </w:t>
      </w:r>
      <w:r w:rsidRPr="00551D2D">
        <w:rPr>
          <w:i/>
          <w:lang w:val="en-US"/>
        </w:rPr>
        <w:t>The concept of income: a multi-disciplinary analysis</w:t>
      </w:r>
      <w:r w:rsidRPr="00551D2D">
        <w:rPr>
          <w:lang w:val="en-US"/>
        </w:rPr>
        <w:t xml:space="preserve">. </w:t>
      </w:r>
      <w:r w:rsidRPr="00812314">
        <w:t>Amsterdam: IBFD Publications</w:t>
      </w:r>
    </w:p>
    <w:p w:rsidR="002870D3" w:rsidRDefault="002870D3" w:rsidP="003C7640">
      <w:pPr>
        <w:pStyle w:val="Lijstalinea"/>
        <w:numPr>
          <w:ilvl w:val="0"/>
          <w:numId w:val="9"/>
        </w:numPr>
        <w:spacing w:line="360" w:lineRule="auto"/>
        <w:jc w:val="both"/>
      </w:pPr>
      <w:r>
        <w:t xml:space="preserve">Koeslag, M. &amp; Oosting, J. (2008). </w:t>
      </w:r>
      <w:proofErr w:type="spellStart"/>
      <w:r w:rsidRPr="00432151">
        <w:rPr>
          <w:i/>
        </w:rPr>
        <w:t>Estate</w:t>
      </w:r>
      <w:proofErr w:type="spellEnd"/>
      <w:r w:rsidRPr="00432151">
        <w:rPr>
          <w:i/>
        </w:rPr>
        <w:t xml:space="preserve"> planning voor de ondernemer</w:t>
      </w:r>
      <w:r>
        <w:t>. Deventer: Kluwer.</w:t>
      </w:r>
    </w:p>
    <w:p w:rsidR="002870D3" w:rsidRDefault="002870D3" w:rsidP="003C7640">
      <w:pPr>
        <w:pStyle w:val="Lijstalinea"/>
        <w:numPr>
          <w:ilvl w:val="0"/>
          <w:numId w:val="9"/>
        </w:numPr>
        <w:spacing w:line="360" w:lineRule="auto"/>
        <w:jc w:val="both"/>
      </w:pPr>
      <w:proofErr w:type="spellStart"/>
      <w:r w:rsidRPr="00551D2D">
        <w:t>Lips</w:t>
      </w:r>
      <w:proofErr w:type="spellEnd"/>
      <w:r w:rsidRPr="00551D2D">
        <w:t xml:space="preserve">, R. (2010). </w:t>
      </w:r>
      <w:r w:rsidRPr="00432151">
        <w:rPr>
          <w:i/>
        </w:rPr>
        <w:t xml:space="preserve">Fiscale </w:t>
      </w:r>
      <w:proofErr w:type="spellStart"/>
      <w:r w:rsidRPr="00432151">
        <w:rPr>
          <w:i/>
        </w:rPr>
        <w:t>fasciliteiten</w:t>
      </w:r>
      <w:proofErr w:type="spellEnd"/>
      <w:r w:rsidRPr="00432151">
        <w:rPr>
          <w:i/>
        </w:rPr>
        <w:t xml:space="preserve"> voor ondernemers</w:t>
      </w:r>
      <w:r w:rsidRPr="00032C16">
        <w:t>. D</w:t>
      </w:r>
      <w:r>
        <w:t>eventer: Kluwer.</w:t>
      </w:r>
    </w:p>
    <w:p w:rsidR="002870D3" w:rsidRDefault="002870D3" w:rsidP="003C7640">
      <w:pPr>
        <w:pStyle w:val="Lijstalinea"/>
        <w:numPr>
          <w:ilvl w:val="0"/>
          <w:numId w:val="9"/>
        </w:numPr>
        <w:spacing w:line="360" w:lineRule="auto"/>
        <w:jc w:val="both"/>
      </w:pPr>
      <w:proofErr w:type="spellStart"/>
      <w:r>
        <w:t>Niessen</w:t>
      </w:r>
      <w:proofErr w:type="spellEnd"/>
      <w:r>
        <w:t xml:space="preserve">, R.E.C.M. (2010). </w:t>
      </w:r>
      <w:r w:rsidRPr="00432151">
        <w:rPr>
          <w:i/>
        </w:rPr>
        <w:t>Inleiding tot het Nederlands belastingrecht</w:t>
      </w:r>
      <w:r>
        <w:t>. Deventer: Kluwer.</w:t>
      </w:r>
    </w:p>
    <w:p w:rsidR="002870D3" w:rsidRPr="00432151" w:rsidRDefault="002870D3" w:rsidP="003C7640">
      <w:pPr>
        <w:pStyle w:val="Lijstalinea"/>
        <w:numPr>
          <w:ilvl w:val="0"/>
          <w:numId w:val="9"/>
        </w:numPr>
        <w:spacing w:line="360" w:lineRule="auto"/>
        <w:jc w:val="both"/>
      </w:pPr>
      <w:r w:rsidRPr="00432151">
        <w:rPr>
          <w:lang w:val="en-US"/>
        </w:rPr>
        <w:t xml:space="preserve">Russo, R. (2004). </w:t>
      </w:r>
      <w:proofErr w:type="spellStart"/>
      <w:r w:rsidRPr="00432151">
        <w:rPr>
          <w:i/>
          <w:lang w:val="en-US"/>
        </w:rPr>
        <w:t>Herinvesteringsreserve</w:t>
      </w:r>
      <w:proofErr w:type="spellEnd"/>
      <w:r w:rsidRPr="00432151">
        <w:rPr>
          <w:lang w:val="en-US"/>
        </w:rPr>
        <w:t>. Deventer: Kluwer.</w:t>
      </w:r>
    </w:p>
    <w:p w:rsidR="00551D2D" w:rsidRDefault="00551D2D" w:rsidP="003C7640">
      <w:pPr>
        <w:pStyle w:val="Lijstalinea"/>
        <w:numPr>
          <w:ilvl w:val="0"/>
          <w:numId w:val="9"/>
        </w:numPr>
        <w:spacing w:line="360" w:lineRule="auto"/>
        <w:jc w:val="both"/>
        <w:rPr>
          <w:lang w:val="en-US"/>
        </w:rPr>
      </w:pPr>
      <w:r w:rsidRPr="00432151">
        <w:rPr>
          <w:lang w:val="en-US"/>
        </w:rPr>
        <w:t xml:space="preserve">Simons, H.C. (1938). </w:t>
      </w:r>
      <w:r w:rsidRPr="00432151">
        <w:rPr>
          <w:i/>
          <w:lang w:val="en-US"/>
        </w:rPr>
        <w:t>Personal Income Taxation, the definition of income as a problem of fiscal policy</w:t>
      </w:r>
      <w:r w:rsidRPr="00432151">
        <w:rPr>
          <w:lang w:val="en-US"/>
        </w:rPr>
        <w:t>. Chicago: The University Of Chicago Press.</w:t>
      </w:r>
    </w:p>
    <w:p w:rsidR="00551D2D" w:rsidRDefault="00551D2D" w:rsidP="003C7640">
      <w:pPr>
        <w:pStyle w:val="Lijstalinea"/>
        <w:numPr>
          <w:ilvl w:val="0"/>
          <w:numId w:val="9"/>
        </w:numPr>
        <w:spacing w:line="360" w:lineRule="auto"/>
        <w:jc w:val="both"/>
      </w:pPr>
      <w:r>
        <w:t xml:space="preserve">Stevens, L.G.M. (2009). </w:t>
      </w:r>
      <w:r w:rsidRPr="00432151">
        <w:rPr>
          <w:i/>
        </w:rPr>
        <w:t>Elementair Belastingrecht</w:t>
      </w:r>
      <w:r>
        <w:t>. Deventer: Kluwer.</w:t>
      </w:r>
    </w:p>
    <w:p w:rsidR="00551D2D" w:rsidRPr="00432151" w:rsidRDefault="00551D2D" w:rsidP="003C7640">
      <w:pPr>
        <w:pStyle w:val="Lijstalinea"/>
        <w:numPr>
          <w:ilvl w:val="0"/>
          <w:numId w:val="9"/>
        </w:numPr>
        <w:spacing w:line="360" w:lineRule="auto"/>
        <w:jc w:val="both"/>
        <w:rPr>
          <w:lang w:val="en-US"/>
        </w:rPr>
      </w:pPr>
      <w:proofErr w:type="spellStart"/>
      <w:r>
        <w:t>Wasch</w:t>
      </w:r>
      <w:proofErr w:type="spellEnd"/>
      <w:r>
        <w:t xml:space="preserve">, E.P.J. (2010). </w:t>
      </w:r>
      <w:r w:rsidRPr="00432151">
        <w:rPr>
          <w:i/>
        </w:rPr>
        <w:t>BV!? Waarom, wanneer</w:t>
      </w:r>
      <w:r>
        <w:t>. Deventer: Kluwer.</w:t>
      </w:r>
    </w:p>
    <w:p w:rsidR="00551D2D" w:rsidRPr="00432151" w:rsidRDefault="00551D2D" w:rsidP="003C7640">
      <w:pPr>
        <w:spacing w:line="360" w:lineRule="auto"/>
        <w:jc w:val="both"/>
        <w:rPr>
          <w:rFonts w:asciiTheme="majorHAnsi" w:eastAsiaTheme="majorEastAsia" w:hAnsiTheme="majorHAnsi" w:cstheme="majorBidi"/>
          <w:b/>
          <w:bCs/>
          <w:color w:val="4F81BD" w:themeColor="accent1"/>
          <w:sz w:val="26"/>
          <w:szCs w:val="26"/>
        </w:rPr>
      </w:pPr>
      <w:r w:rsidRPr="00432151">
        <w:rPr>
          <w:rFonts w:asciiTheme="majorHAnsi" w:eastAsiaTheme="majorEastAsia" w:hAnsiTheme="majorHAnsi" w:cstheme="majorBidi"/>
          <w:b/>
          <w:bCs/>
          <w:color w:val="4F81BD" w:themeColor="accent1"/>
          <w:sz w:val="26"/>
          <w:szCs w:val="26"/>
        </w:rPr>
        <w:t>Artikelen</w:t>
      </w:r>
    </w:p>
    <w:p w:rsidR="002870D3" w:rsidRPr="00432151" w:rsidRDefault="002870D3" w:rsidP="003C7640">
      <w:pPr>
        <w:pStyle w:val="Lijstalinea"/>
        <w:numPr>
          <w:ilvl w:val="0"/>
          <w:numId w:val="9"/>
        </w:numPr>
        <w:spacing w:line="360" w:lineRule="auto"/>
        <w:jc w:val="both"/>
      </w:pPr>
      <w:r w:rsidRPr="00551D2D">
        <w:t>Bo</w:t>
      </w:r>
      <w:r w:rsidRPr="00E707D9">
        <w:t xml:space="preserve">s, E. (2003). Aandelenwaardering. </w:t>
      </w:r>
      <w:r w:rsidRPr="00432151">
        <w:rPr>
          <w:i/>
        </w:rPr>
        <w:t>In de fiscale vuurlinie</w:t>
      </w:r>
      <w:r>
        <w:t xml:space="preserve">, 41-46. </w:t>
      </w:r>
      <w:r w:rsidRPr="00432151">
        <w:t>Deventer: Kluwer.</w:t>
      </w:r>
    </w:p>
    <w:p w:rsidR="00551D2D" w:rsidRPr="002870D3" w:rsidRDefault="00551D2D" w:rsidP="003C7640">
      <w:pPr>
        <w:pStyle w:val="Lijstalinea"/>
        <w:numPr>
          <w:ilvl w:val="0"/>
          <w:numId w:val="9"/>
        </w:numPr>
        <w:spacing w:line="360" w:lineRule="auto"/>
        <w:jc w:val="both"/>
      </w:pPr>
      <w:r w:rsidRPr="00432151">
        <w:rPr>
          <w:lang w:val="en-US"/>
        </w:rPr>
        <w:t xml:space="preserve">Haig, R.M. (1921). The Concept of Income – Economic and Legal Aspects. </w:t>
      </w:r>
      <w:r w:rsidRPr="00432151">
        <w:rPr>
          <w:i/>
          <w:lang w:val="en-US"/>
        </w:rPr>
        <w:t>The Federal Income Tax</w:t>
      </w:r>
      <w:r w:rsidRPr="00432151">
        <w:rPr>
          <w:lang w:val="en-US"/>
        </w:rPr>
        <w:t>, 1-28. New York: Columbia University Press.</w:t>
      </w:r>
    </w:p>
    <w:p w:rsidR="002870D3" w:rsidRPr="002870D3" w:rsidRDefault="002870D3" w:rsidP="003C7640">
      <w:pPr>
        <w:pStyle w:val="Lijstalinea"/>
        <w:numPr>
          <w:ilvl w:val="0"/>
          <w:numId w:val="9"/>
        </w:numPr>
        <w:spacing w:line="360" w:lineRule="auto"/>
        <w:jc w:val="both"/>
        <w:rPr>
          <w:lang w:val="en-US"/>
        </w:rPr>
      </w:pPr>
      <w:r w:rsidRPr="00432151">
        <w:rPr>
          <w:lang w:val="en-US"/>
        </w:rPr>
        <w:lastRenderedPageBreak/>
        <w:t xml:space="preserve">Hanna, C.H. (2000). Some Observations on a Pure Income Tax System. </w:t>
      </w:r>
      <w:r w:rsidRPr="00432151">
        <w:rPr>
          <w:i/>
          <w:lang w:val="en-US"/>
        </w:rPr>
        <w:t>The International Lawyer</w:t>
      </w:r>
      <w:r w:rsidRPr="00432151">
        <w:rPr>
          <w:lang w:val="en-US"/>
        </w:rPr>
        <w:t xml:space="preserve">, </w:t>
      </w:r>
      <w:r w:rsidRPr="00432151">
        <w:rPr>
          <w:i/>
          <w:lang w:val="en-US"/>
        </w:rPr>
        <w:t xml:space="preserve">Volume 34 </w:t>
      </w:r>
      <w:proofErr w:type="spellStart"/>
      <w:r w:rsidRPr="00432151">
        <w:rPr>
          <w:i/>
          <w:lang w:val="en-US"/>
        </w:rPr>
        <w:t>nummer</w:t>
      </w:r>
      <w:proofErr w:type="spellEnd"/>
      <w:r w:rsidRPr="00432151">
        <w:rPr>
          <w:i/>
          <w:lang w:val="en-US"/>
        </w:rPr>
        <w:t xml:space="preserve"> 1</w:t>
      </w:r>
      <w:r w:rsidRPr="00432151">
        <w:rPr>
          <w:lang w:val="en-US"/>
        </w:rPr>
        <w:t>, 125-135</w:t>
      </w:r>
    </w:p>
    <w:p w:rsidR="00551D2D" w:rsidRDefault="00551D2D" w:rsidP="003C7640">
      <w:pPr>
        <w:pStyle w:val="Lijstalinea"/>
        <w:numPr>
          <w:ilvl w:val="0"/>
          <w:numId w:val="9"/>
        </w:numPr>
        <w:spacing w:line="360" w:lineRule="auto"/>
        <w:jc w:val="both"/>
      </w:pPr>
      <w:proofErr w:type="spellStart"/>
      <w:r w:rsidRPr="00432151">
        <w:t>Schanz</w:t>
      </w:r>
      <w:proofErr w:type="spellEnd"/>
      <w:r w:rsidRPr="00432151">
        <w:t xml:space="preserve">, G. </w:t>
      </w:r>
      <w:proofErr w:type="spellStart"/>
      <w:r w:rsidRPr="00432151">
        <w:t>von</w:t>
      </w:r>
      <w:proofErr w:type="spellEnd"/>
      <w:r w:rsidRPr="00432151">
        <w:t xml:space="preserve"> (1896). </w:t>
      </w:r>
      <w:r w:rsidRPr="00CE28A3">
        <w:t xml:space="preserve">Der </w:t>
      </w:r>
      <w:proofErr w:type="spellStart"/>
      <w:r w:rsidRPr="00CE28A3">
        <w:t>Einkommensbegriff</w:t>
      </w:r>
      <w:proofErr w:type="spellEnd"/>
      <w:r w:rsidRPr="00CE28A3">
        <w:t xml:space="preserve"> </w:t>
      </w:r>
      <w:proofErr w:type="spellStart"/>
      <w:r w:rsidRPr="00CE28A3">
        <w:t>und</w:t>
      </w:r>
      <w:proofErr w:type="spellEnd"/>
      <w:r w:rsidRPr="00CE28A3">
        <w:t xml:space="preserve"> die </w:t>
      </w:r>
      <w:proofErr w:type="spellStart"/>
      <w:r w:rsidRPr="00CE28A3">
        <w:t>Einkommensteurgesetze</w:t>
      </w:r>
      <w:proofErr w:type="spellEnd"/>
      <w:r w:rsidRPr="00CE28A3">
        <w:t xml:space="preserve">, </w:t>
      </w:r>
      <w:proofErr w:type="spellStart"/>
      <w:r w:rsidRPr="00432151">
        <w:rPr>
          <w:i/>
        </w:rPr>
        <w:t>Finanzarchiv</w:t>
      </w:r>
      <w:proofErr w:type="spellEnd"/>
      <w:r w:rsidRPr="00432151">
        <w:rPr>
          <w:i/>
        </w:rPr>
        <w:t>; jaargang 13,</w:t>
      </w:r>
      <w:r w:rsidRPr="00CE28A3">
        <w:t xml:space="preserve"> 1-87.</w:t>
      </w:r>
    </w:p>
    <w:p w:rsidR="00551D2D" w:rsidRPr="0037565B" w:rsidRDefault="00551D2D" w:rsidP="003C7640">
      <w:pPr>
        <w:pStyle w:val="Lijstalinea"/>
        <w:numPr>
          <w:ilvl w:val="0"/>
          <w:numId w:val="9"/>
        </w:numPr>
        <w:spacing w:line="360" w:lineRule="auto"/>
        <w:jc w:val="both"/>
      </w:pPr>
      <w:r w:rsidRPr="00551D2D">
        <w:t xml:space="preserve">Stevens, L.G.M. (1978). Goodwill en overlijdenswinst. </w:t>
      </w:r>
      <w:r w:rsidRPr="00432151">
        <w:rPr>
          <w:i/>
        </w:rPr>
        <w:t>Weekblad Fiscaal Recht, 1978/1337.</w:t>
      </w:r>
    </w:p>
    <w:p w:rsidR="00551D2D" w:rsidRPr="00432151" w:rsidRDefault="00551D2D" w:rsidP="003C7640">
      <w:pPr>
        <w:spacing w:line="360" w:lineRule="auto"/>
        <w:jc w:val="both"/>
        <w:rPr>
          <w:rFonts w:asciiTheme="majorHAnsi" w:eastAsiaTheme="majorEastAsia" w:hAnsiTheme="majorHAnsi" w:cstheme="majorBidi"/>
          <w:b/>
          <w:bCs/>
          <w:color w:val="4F81BD" w:themeColor="accent1"/>
          <w:sz w:val="26"/>
          <w:szCs w:val="26"/>
        </w:rPr>
      </w:pPr>
      <w:r w:rsidRPr="00432151">
        <w:rPr>
          <w:rFonts w:asciiTheme="majorHAnsi" w:eastAsiaTheme="majorEastAsia" w:hAnsiTheme="majorHAnsi" w:cstheme="majorBidi"/>
          <w:b/>
          <w:bCs/>
          <w:color w:val="4F81BD" w:themeColor="accent1"/>
          <w:sz w:val="26"/>
          <w:szCs w:val="26"/>
        </w:rPr>
        <w:t>Rapporten</w:t>
      </w:r>
    </w:p>
    <w:p w:rsidR="00551D2D" w:rsidRPr="00432151" w:rsidRDefault="00551D2D" w:rsidP="003C7640">
      <w:pPr>
        <w:pStyle w:val="Lijstalinea"/>
        <w:numPr>
          <w:ilvl w:val="0"/>
          <w:numId w:val="10"/>
        </w:numPr>
        <w:spacing w:line="360" w:lineRule="auto"/>
        <w:jc w:val="both"/>
        <w:rPr>
          <w:lang w:val="en-US"/>
        </w:rPr>
      </w:pPr>
      <w:proofErr w:type="spellStart"/>
      <w:r w:rsidRPr="00432151">
        <w:rPr>
          <w:lang w:val="en-US"/>
        </w:rPr>
        <w:t>Ruding</w:t>
      </w:r>
      <w:proofErr w:type="spellEnd"/>
      <w:r w:rsidRPr="00432151">
        <w:rPr>
          <w:lang w:val="en-US"/>
        </w:rPr>
        <w:t xml:space="preserve">, O. (1992). </w:t>
      </w:r>
      <w:r w:rsidRPr="00432151">
        <w:rPr>
          <w:i/>
          <w:lang w:val="en-US"/>
        </w:rPr>
        <w:t>Conclusions and recommendations of the committee of independent experts on company taxation.</w:t>
      </w:r>
      <w:r w:rsidRPr="00432151">
        <w:rPr>
          <w:lang w:val="en-US"/>
        </w:rPr>
        <w:t xml:space="preserve"> Brussels/Luxembourg: Office for Official Publications of the European Communities.</w:t>
      </w:r>
    </w:p>
    <w:p w:rsidR="00551D2D" w:rsidRPr="0057197D" w:rsidRDefault="00551D2D" w:rsidP="003C7640">
      <w:pPr>
        <w:spacing w:line="360" w:lineRule="auto"/>
        <w:jc w:val="both"/>
        <w:rPr>
          <w:rFonts w:asciiTheme="majorHAnsi" w:eastAsiaTheme="majorEastAsia" w:hAnsiTheme="majorHAnsi" w:cstheme="majorBidi"/>
          <w:b/>
          <w:bCs/>
          <w:color w:val="4F81BD" w:themeColor="accent1"/>
          <w:sz w:val="26"/>
          <w:szCs w:val="26"/>
        </w:rPr>
      </w:pPr>
      <w:r w:rsidRPr="0057197D">
        <w:rPr>
          <w:rFonts w:asciiTheme="majorHAnsi" w:eastAsiaTheme="majorEastAsia" w:hAnsiTheme="majorHAnsi" w:cstheme="majorBidi"/>
          <w:b/>
          <w:bCs/>
          <w:color w:val="4F81BD" w:themeColor="accent1"/>
          <w:sz w:val="26"/>
          <w:szCs w:val="26"/>
        </w:rPr>
        <w:t>Kamerstukken</w:t>
      </w:r>
    </w:p>
    <w:p w:rsidR="00551D2D" w:rsidRDefault="00551D2D" w:rsidP="003C7640">
      <w:pPr>
        <w:pStyle w:val="Lijstalinea"/>
        <w:numPr>
          <w:ilvl w:val="0"/>
          <w:numId w:val="12"/>
        </w:numPr>
        <w:spacing w:line="360" w:lineRule="auto"/>
        <w:jc w:val="both"/>
      </w:pPr>
      <w:r w:rsidRPr="00014A20">
        <w:t>Kamerstukken II 1998/99, 26 727</w:t>
      </w:r>
      <w:r>
        <w:t xml:space="preserve">, </w:t>
      </w:r>
      <w:proofErr w:type="spellStart"/>
      <w:r>
        <w:t>nr</w:t>
      </w:r>
      <w:proofErr w:type="spellEnd"/>
      <w:r>
        <w:t xml:space="preserve"> 3.</w:t>
      </w:r>
    </w:p>
    <w:p w:rsidR="00551D2D" w:rsidRPr="0057197D" w:rsidRDefault="00551D2D" w:rsidP="003C7640">
      <w:pPr>
        <w:spacing w:line="360" w:lineRule="auto"/>
        <w:jc w:val="both"/>
        <w:rPr>
          <w:rFonts w:asciiTheme="majorHAnsi" w:eastAsiaTheme="majorEastAsia" w:hAnsiTheme="majorHAnsi" w:cstheme="majorBidi"/>
          <w:b/>
          <w:bCs/>
          <w:color w:val="4F81BD" w:themeColor="accent1"/>
          <w:sz w:val="26"/>
          <w:szCs w:val="26"/>
        </w:rPr>
      </w:pPr>
      <w:r w:rsidRPr="0057197D">
        <w:rPr>
          <w:rFonts w:asciiTheme="majorHAnsi" w:eastAsiaTheme="majorEastAsia" w:hAnsiTheme="majorHAnsi" w:cstheme="majorBidi"/>
          <w:b/>
          <w:bCs/>
          <w:color w:val="4F81BD" w:themeColor="accent1"/>
          <w:sz w:val="26"/>
          <w:szCs w:val="26"/>
        </w:rPr>
        <w:t>Elektronische databanken</w:t>
      </w:r>
    </w:p>
    <w:p w:rsidR="00551D2D" w:rsidRDefault="00551D2D" w:rsidP="003C7640">
      <w:pPr>
        <w:pStyle w:val="Lijstalinea"/>
        <w:numPr>
          <w:ilvl w:val="0"/>
          <w:numId w:val="12"/>
        </w:numPr>
        <w:spacing w:after="0" w:line="360" w:lineRule="auto"/>
        <w:jc w:val="both"/>
      </w:pPr>
      <w:r>
        <w:t>Cursus Belastingrecht (Inkomstenbelasting).</w:t>
      </w:r>
    </w:p>
    <w:p w:rsidR="00551D2D" w:rsidRDefault="00551D2D" w:rsidP="003C7640">
      <w:pPr>
        <w:pStyle w:val="Lijstalinea"/>
        <w:numPr>
          <w:ilvl w:val="0"/>
          <w:numId w:val="12"/>
        </w:numPr>
        <w:spacing w:after="0" w:line="360" w:lineRule="auto"/>
        <w:jc w:val="both"/>
      </w:pPr>
      <w:r w:rsidRPr="00F3238D">
        <w:t xml:space="preserve">Fiscale </w:t>
      </w:r>
      <w:r>
        <w:t>e</w:t>
      </w:r>
      <w:r w:rsidRPr="00F3238D">
        <w:t xml:space="preserve">ncyclopedie </w:t>
      </w:r>
      <w:r>
        <w:t>“</w:t>
      </w:r>
      <w:r w:rsidRPr="00F3238D">
        <w:t>De Vakstudie</w:t>
      </w:r>
      <w:r>
        <w:t>”</w:t>
      </w:r>
      <w:r w:rsidRPr="00F3238D">
        <w:t xml:space="preserve">, </w:t>
      </w:r>
      <w:r>
        <w:t>Inkomstenbelasting 2001</w:t>
      </w:r>
      <w:r w:rsidRPr="00F3238D">
        <w:t>, Artikelsgewijs commentaar</w:t>
      </w:r>
      <w:r>
        <w:t>.</w:t>
      </w:r>
    </w:p>
    <w:p w:rsidR="00551D2D" w:rsidRDefault="00551D2D" w:rsidP="003C7640">
      <w:pPr>
        <w:spacing w:after="0" w:line="360" w:lineRule="auto"/>
        <w:ind w:left="360"/>
        <w:jc w:val="both"/>
      </w:pPr>
    </w:p>
    <w:p w:rsidR="00551D2D" w:rsidRPr="0057197D" w:rsidRDefault="00551D2D" w:rsidP="003C7640">
      <w:pPr>
        <w:spacing w:line="360" w:lineRule="auto"/>
        <w:jc w:val="both"/>
        <w:rPr>
          <w:rFonts w:asciiTheme="majorHAnsi" w:eastAsiaTheme="majorEastAsia" w:hAnsiTheme="majorHAnsi" w:cstheme="majorBidi"/>
          <w:b/>
          <w:bCs/>
          <w:color w:val="4F81BD" w:themeColor="accent1"/>
          <w:sz w:val="26"/>
          <w:szCs w:val="26"/>
        </w:rPr>
      </w:pPr>
      <w:r w:rsidRPr="0057197D">
        <w:rPr>
          <w:rFonts w:asciiTheme="majorHAnsi" w:eastAsiaTheme="majorEastAsia" w:hAnsiTheme="majorHAnsi" w:cstheme="majorBidi"/>
          <w:b/>
          <w:bCs/>
          <w:color w:val="4F81BD" w:themeColor="accent1"/>
          <w:sz w:val="26"/>
          <w:szCs w:val="26"/>
        </w:rPr>
        <w:t>Jurisprudentie</w:t>
      </w:r>
    </w:p>
    <w:p w:rsidR="002870D3" w:rsidRDefault="002870D3" w:rsidP="003C7640">
      <w:pPr>
        <w:pStyle w:val="Lijstalinea"/>
        <w:numPr>
          <w:ilvl w:val="0"/>
          <w:numId w:val="11"/>
        </w:numPr>
        <w:spacing w:line="360" w:lineRule="auto"/>
        <w:jc w:val="both"/>
      </w:pPr>
      <w:r>
        <w:t>HR 20 mei 1953, BNB 1953/190</w:t>
      </w:r>
    </w:p>
    <w:p w:rsidR="00653110" w:rsidRPr="00432151" w:rsidRDefault="00653110" w:rsidP="003C7640">
      <w:pPr>
        <w:pStyle w:val="Lijstalinea"/>
        <w:numPr>
          <w:ilvl w:val="0"/>
          <w:numId w:val="11"/>
        </w:numPr>
        <w:spacing w:line="360" w:lineRule="auto"/>
        <w:jc w:val="both"/>
      </w:pPr>
      <w:r>
        <w:t>HR 5 oktober 1955, BNB 1955/346</w:t>
      </w:r>
    </w:p>
    <w:p w:rsidR="002870D3" w:rsidRDefault="002870D3" w:rsidP="003C7640">
      <w:pPr>
        <w:pStyle w:val="Lijstalinea"/>
        <w:numPr>
          <w:ilvl w:val="0"/>
          <w:numId w:val="11"/>
        </w:numPr>
        <w:spacing w:line="360" w:lineRule="auto"/>
        <w:jc w:val="both"/>
      </w:pPr>
      <w:r>
        <w:t>HR 30 mei 1956, BNB 1956/222</w:t>
      </w:r>
    </w:p>
    <w:p w:rsidR="00551D2D" w:rsidRDefault="00551D2D" w:rsidP="003C7640">
      <w:pPr>
        <w:pStyle w:val="Lijstalinea"/>
        <w:numPr>
          <w:ilvl w:val="0"/>
          <w:numId w:val="11"/>
        </w:numPr>
        <w:spacing w:line="360" w:lineRule="auto"/>
        <w:jc w:val="both"/>
      </w:pPr>
      <w:r>
        <w:t>HR 18 januari 1959, BNB 1959/124</w:t>
      </w:r>
    </w:p>
    <w:p w:rsidR="00551D2D" w:rsidRDefault="00551D2D" w:rsidP="003C7640">
      <w:pPr>
        <w:pStyle w:val="Lijstalinea"/>
        <w:numPr>
          <w:ilvl w:val="0"/>
          <w:numId w:val="11"/>
        </w:numPr>
        <w:spacing w:line="360" w:lineRule="auto"/>
        <w:jc w:val="both"/>
      </w:pPr>
      <w:r>
        <w:t>HR 25 oktober 1999, BNB 1999/198</w:t>
      </w:r>
    </w:p>
    <w:p w:rsidR="006861A0" w:rsidRDefault="006861A0" w:rsidP="003C7640">
      <w:pPr>
        <w:pStyle w:val="Bijlage"/>
        <w:spacing w:line="360" w:lineRule="auto"/>
        <w:jc w:val="both"/>
      </w:pPr>
      <w:bookmarkStart w:id="45" w:name="_Toc299740241"/>
      <w:r w:rsidRPr="00760313">
        <w:lastRenderedPageBreak/>
        <w:t>Afschrijvingen en vermogenswinsten</w:t>
      </w:r>
      <w:bookmarkEnd w:id="45"/>
    </w:p>
    <w:p w:rsidR="002A5479" w:rsidRDefault="002A5479" w:rsidP="00A90052">
      <w:pPr>
        <w:spacing w:line="360" w:lineRule="auto"/>
        <w:jc w:val="both"/>
      </w:pPr>
    </w:p>
    <w:tbl>
      <w:tblPr>
        <w:tblW w:w="8895" w:type="dxa"/>
        <w:tblInd w:w="40" w:type="dxa"/>
        <w:tblLayout w:type="fixed"/>
        <w:tblCellMar>
          <w:left w:w="70" w:type="dxa"/>
          <w:right w:w="70" w:type="dxa"/>
        </w:tblCellMar>
        <w:tblLook w:val="0000"/>
      </w:tblPr>
      <w:tblGrid>
        <w:gridCol w:w="739"/>
        <w:gridCol w:w="1701"/>
        <w:gridCol w:w="1559"/>
        <w:gridCol w:w="1560"/>
        <w:gridCol w:w="2126"/>
        <w:gridCol w:w="1210"/>
      </w:tblGrid>
      <w:tr w:rsidR="00AA5362" w:rsidRPr="00AA5362" w:rsidTr="00AA5362">
        <w:trPr>
          <w:trHeight w:val="305"/>
        </w:trPr>
        <w:tc>
          <w:tcPr>
            <w:tcW w:w="739" w:type="dxa"/>
            <w:tcBorders>
              <w:top w:val="single" w:sz="12" w:space="0" w:color="auto"/>
              <w:left w:val="single" w:sz="12" w:space="0" w:color="auto"/>
              <w:bottom w:val="single" w:sz="12"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b/>
                <w:bCs/>
                <w:color w:val="000000"/>
                <w:sz w:val="20"/>
                <w:szCs w:val="20"/>
              </w:rPr>
            </w:pPr>
            <w:r w:rsidRPr="00AA5362">
              <w:rPr>
                <w:rFonts w:ascii="Calibri" w:hAnsi="Calibri" w:cs="Calibri"/>
                <w:b/>
                <w:bCs/>
                <w:color w:val="000000"/>
                <w:sz w:val="20"/>
                <w:szCs w:val="20"/>
              </w:rPr>
              <w:t>Jaar</w:t>
            </w:r>
          </w:p>
        </w:tc>
        <w:tc>
          <w:tcPr>
            <w:tcW w:w="1701" w:type="dxa"/>
            <w:tcBorders>
              <w:top w:val="single" w:sz="12" w:space="0" w:color="auto"/>
              <w:left w:val="single" w:sz="6" w:space="0" w:color="auto"/>
              <w:bottom w:val="single" w:sz="12"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b/>
                <w:bCs/>
                <w:color w:val="000000"/>
                <w:sz w:val="20"/>
                <w:szCs w:val="20"/>
              </w:rPr>
            </w:pPr>
            <w:r w:rsidRPr="00AA5362">
              <w:rPr>
                <w:rFonts w:ascii="Calibri" w:hAnsi="Calibri" w:cs="Calibri"/>
                <w:b/>
                <w:bCs/>
                <w:color w:val="000000"/>
                <w:sz w:val="20"/>
                <w:szCs w:val="20"/>
              </w:rPr>
              <w:t xml:space="preserve">Waardemutatie </w:t>
            </w:r>
            <w:proofErr w:type="spellStart"/>
            <w:r w:rsidRPr="00AA5362">
              <w:rPr>
                <w:rFonts w:ascii="Calibri" w:hAnsi="Calibri" w:cs="Calibri"/>
                <w:b/>
                <w:bCs/>
                <w:color w:val="000000"/>
                <w:sz w:val="20"/>
                <w:szCs w:val="20"/>
              </w:rPr>
              <w:t>WOZ-waarde</w:t>
            </w:r>
            <w:proofErr w:type="spellEnd"/>
            <w:r w:rsidRPr="00AA5362">
              <w:rPr>
                <w:rStyle w:val="Voetnootmarkering"/>
                <w:rFonts w:ascii="Calibri" w:hAnsi="Calibri"/>
                <w:sz w:val="20"/>
                <w:szCs w:val="20"/>
              </w:rPr>
              <w:footnoteReference w:id="43"/>
            </w:r>
          </w:p>
        </w:tc>
        <w:tc>
          <w:tcPr>
            <w:tcW w:w="1559" w:type="dxa"/>
            <w:tcBorders>
              <w:top w:val="single" w:sz="12" w:space="0" w:color="auto"/>
              <w:left w:val="single" w:sz="6" w:space="0" w:color="auto"/>
              <w:bottom w:val="single" w:sz="12" w:space="0" w:color="auto"/>
              <w:right w:val="single" w:sz="6" w:space="0" w:color="auto"/>
            </w:tcBorders>
          </w:tcPr>
          <w:p w:rsidR="00AA5362" w:rsidRPr="00AA5362" w:rsidRDefault="008C5D80" w:rsidP="008C5D80">
            <w:pPr>
              <w:autoSpaceDE w:val="0"/>
              <w:autoSpaceDN w:val="0"/>
              <w:adjustRightInd w:val="0"/>
              <w:spacing w:after="0" w:line="360" w:lineRule="auto"/>
              <w:rPr>
                <w:rFonts w:ascii="Calibri" w:hAnsi="Calibri" w:cs="Calibri"/>
                <w:b/>
                <w:bCs/>
                <w:color w:val="000000"/>
                <w:sz w:val="20"/>
                <w:szCs w:val="20"/>
              </w:rPr>
            </w:pPr>
            <w:r>
              <w:rPr>
                <w:rFonts w:ascii="Calibri" w:hAnsi="Calibri" w:cs="Calibri"/>
                <w:b/>
                <w:bCs/>
                <w:color w:val="000000"/>
                <w:sz w:val="20"/>
                <w:szCs w:val="20"/>
              </w:rPr>
              <w:t xml:space="preserve">CPI </w:t>
            </w:r>
            <w:r w:rsidR="00AA5362" w:rsidRPr="00AA5362">
              <w:rPr>
                <w:rFonts w:ascii="Calibri" w:hAnsi="Calibri" w:cs="Calibri"/>
                <w:b/>
                <w:bCs/>
                <w:color w:val="000000"/>
                <w:sz w:val="20"/>
                <w:szCs w:val="20"/>
              </w:rPr>
              <w:t>Totale Bestedingen</w:t>
            </w:r>
            <w:r w:rsidR="00AA5362" w:rsidRPr="00AA5362">
              <w:rPr>
                <w:rStyle w:val="Voetnootmarkering"/>
                <w:rFonts w:ascii="Calibri" w:hAnsi="Calibri"/>
                <w:sz w:val="20"/>
                <w:szCs w:val="20"/>
              </w:rPr>
              <w:footnoteReference w:id="44"/>
            </w:r>
          </w:p>
        </w:tc>
        <w:tc>
          <w:tcPr>
            <w:tcW w:w="1560" w:type="dxa"/>
            <w:tcBorders>
              <w:top w:val="single" w:sz="12" w:space="0" w:color="auto"/>
              <w:left w:val="single" w:sz="6" w:space="0" w:color="auto"/>
              <w:bottom w:val="single" w:sz="12"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b/>
                <w:bCs/>
                <w:color w:val="000000"/>
                <w:sz w:val="20"/>
                <w:szCs w:val="20"/>
              </w:rPr>
            </w:pPr>
            <w:r w:rsidRPr="00AA5362">
              <w:rPr>
                <w:rFonts w:ascii="Calibri" w:hAnsi="Calibri" w:cs="Calibri"/>
                <w:b/>
                <w:bCs/>
                <w:color w:val="000000"/>
                <w:sz w:val="20"/>
                <w:szCs w:val="20"/>
              </w:rPr>
              <w:t>Gemiddelde afwijking</w:t>
            </w:r>
          </w:p>
        </w:tc>
        <w:tc>
          <w:tcPr>
            <w:tcW w:w="2126" w:type="dxa"/>
            <w:tcBorders>
              <w:top w:val="single" w:sz="12" w:space="0" w:color="auto"/>
              <w:left w:val="single" w:sz="6" w:space="0" w:color="auto"/>
              <w:bottom w:val="single" w:sz="12"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b/>
                <w:bCs/>
                <w:color w:val="000000"/>
                <w:sz w:val="20"/>
                <w:szCs w:val="20"/>
              </w:rPr>
            </w:pPr>
            <w:r w:rsidRPr="00AA5362">
              <w:rPr>
                <w:rFonts w:ascii="Calibri" w:hAnsi="Calibri" w:cs="Calibri"/>
                <w:b/>
                <w:bCs/>
                <w:color w:val="000000"/>
                <w:sz w:val="20"/>
                <w:szCs w:val="20"/>
              </w:rPr>
              <w:t>Afgeleide waardemutatie pand</w:t>
            </w:r>
          </w:p>
        </w:tc>
        <w:tc>
          <w:tcPr>
            <w:tcW w:w="1210" w:type="dxa"/>
            <w:tcBorders>
              <w:top w:val="single" w:sz="12" w:space="0" w:color="auto"/>
              <w:left w:val="single" w:sz="6" w:space="0" w:color="auto"/>
              <w:bottom w:val="single" w:sz="12" w:space="0" w:color="auto"/>
              <w:right w:val="single" w:sz="12"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b/>
                <w:bCs/>
                <w:color w:val="000000"/>
                <w:sz w:val="20"/>
                <w:szCs w:val="20"/>
              </w:rPr>
            </w:pPr>
            <w:r w:rsidRPr="00AA5362">
              <w:rPr>
                <w:rFonts w:ascii="Calibri" w:hAnsi="Calibri" w:cs="Calibri"/>
                <w:b/>
                <w:bCs/>
                <w:color w:val="000000"/>
                <w:sz w:val="20"/>
                <w:szCs w:val="20"/>
              </w:rPr>
              <w:t>Prijsindex pand</w:t>
            </w:r>
          </w:p>
        </w:tc>
      </w:tr>
      <w:tr w:rsidR="00AA5362" w:rsidRPr="00AA5362" w:rsidTr="00AA5362">
        <w:trPr>
          <w:trHeight w:val="290"/>
        </w:trPr>
        <w:tc>
          <w:tcPr>
            <w:tcW w:w="739" w:type="dxa"/>
            <w:tcBorders>
              <w:top w:val="nil"/>
              <w:left w:val="single" w:sz="12"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2001</w:t>
            </w:r>
          </w:p>
        </w:tc>
        <w:tc>
          <w:tcPr>
            <w:tcW w:w="1701" w:type="dxa"/>
            <w:tcBorders>
              <w:top w:val="nil"/>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Geen gegevens</w:t>
            </w:r>
          </w:p>
        </w:tc>
        <w:tc>
          <w:tcPr>
            <w:tcW w:w="1559" w:type="dxa"/>
            <w:tcBorders>
              <w:top w:val="nil"/>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4,20%</w:t>
            </w:r>
          </w:p>
        </w:tc>
        <w:tc>
          <w:tcPr>
            <w:tcW w:w="1560" w:type="dxa"/>
            <w:tcBorders>
              <w:top w:val="nil"/>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1,40%</w:t>
            </w:r>
          </w:p>
        </w:tc>
        <w:tc>
          <w:tcPr>
            <w:tcW w:w="2126" w:type="dxa"/>
            <w:tcBorders>
              <w:top w:val="nil"/>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5,60%</w:t>
            </w:r>
          </w:p>
        </w:tc>
        <w:tc>
          <w:tcPr>
            <w:tcW w:w="1210" w:type="dxa"/>
            <w:tcBorders>
              <w:top w:val="nil"/>
              <w:left w:val="single" w:sz="6" w:space="0" w:color="auto"/>
              <w:bottom w:val="single" w:sz="6" w:space="0" w:color="auto"/>
              <w:right w:val="single" w:sz="12"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105,6</w:t>
            </w:r>
          </w:p>
        </w:tc>
      </w:tr>
      <w:tr w:rsidR="00AA5362" w:rsidRPr="00AA5362" w:rsidTr="00AA5362">
        <w:trPr>
          <w:trHeight w:val="290"/>
        </w:trPr>
        <w:tc>
          <w:tcPr>
            <w:tcW w:w="739" w:type="dxa"/>
            <w:tcBorders>
              <w:top w:val="single" w:sz="6" w:space="0" w:color="auto"/>
              <w:left w:val="single" w:sz="12"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2002</w:t>
            </w:r>
          </w:p>
        </w:tc>
        <w:tc>
          <w:tcPr>
            <w:tcW w:w="1701"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Geen gegevens</w:t>
            </w:r>
          </w:p>
        </w:tc>
        <w:tc>
          <w:tcPr>
            <w:tcW w:w="1559"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3,30%</w:t>
            </w:r>
          </w:p>
        </w:tc>
        <w:tc>
          <w:tcPr>
            <w:tcW w:w="1560"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1,40%</w:t>
            </w:r>
          </w:p>
        </w:tc>
        <w:tc>
          <w:tcPr>
            <w:tcW w:w="2126"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4,70%</w:t>
            </w:r>
          </w:p>
        </w:tc>
        <w:tc>
          <w:tcPr>
            <w:tcW w:w="1210" w:type="dxa"/>
            <w:tcBorders>
              <w:top w:val="single" w:sz="6" w:space="0" w:color="auto"/>
              <w:left w:val="single" w:sz="6" w:space="0" w:color="auto"/>
              <w:bottom w:val="single" w:sz="6" w:space="0" w:color="auto"/>
              <w:right w:val="single" w:sz="12"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110,5649</w:t>
            </w:r>
          </w:p>
        </w:tc>
      </w:tr>
      <w:tr w:rsidR="00AA5362" w:rsidRPr="00AA5362" w:rsidTr="00AA5362">
        <w:trPr>
          <w:trHeight w:val="290"/>
        </w:trPr>
        <w:tc>
          <w:tcPr>
            <w:tcW w:w="739" w:type="dxa"/>
            <w:tcBorders>
              <w:top w:val="single" w:sz="6" w:space="0" w:color="auto"/>
              <w:left w:val="single" w:sz="12"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2003</w:t>
            </w:r>
          </w:p>
        </w:tc>
        <w:tc>
          <w:tcPr>
            <w:tcW w:w="1701"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Geen gegevens</w:t>
            </w:r>
          </w:p>
        </w:tc>
        <w:tc>
          <w:tcPr>
            <w:tcW w:w="1559"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2,10%</w:t>
            </w:r>
          </w:p>
        </w:tc>
        <w:tc>
          <w:tcPr>
            <w:tcW w:w="1560"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1,40%</w:t>
            </w:r>
          </w:p>
        </w:tc>
        <w:tc>
          <w:tcPr>
            <w:tcW w:w="2126"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3,50%</w:t>
            </w:r>
          </w:p>
        </w:tc>
        <w:tc>
          <w:tcPr>
            <w:tcW w:w="1210" w:type="dxa"/>
            <w:tcBorders>
              <w:top w:val="single" w:sz="6" w:space="0" w:color="auto"/>
              <w:left w:val="single" w:sz="6" w:space="0" w:color="auto"/>
              <w:bottom w:val="single" w:sz="6" w:space="0" w:color="auto"/>
              <w:right w:val="single" w:sz="12"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114,4364</w:t>
            </w:r>
          </w:p>
        </w:tc>
      </w:tr>
      <w:tr w:rsidR="00AA5362" w:rsidRPr="00AA5362" w:rsidTr="00AA5362">
        <w:trPr>
          <w:trHeight w:val="290"/>
        </w:trPr>
        <w:tc>
          <w:tcPr>
            <w:tcW w:w="739" w:type="dxa"/>
            <w:tcBorders>
              <w:top w:val="single" w:sz="6" w:space="0" w:color="auto"/>
              <w:left w:val="single" w:sz="12"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2004</w:t>
            </w:r>
          </w:p>
        </w:tc>
        <w:tc>
          <w:tcPr>
            <w:tcW w:w="1701"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Geen gegevens</w:t>
            </w:r>
          </w:p>
        </w:tc>
        <w:tc>
          <w:tcPr>
            <w:tcW w:w="1559"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1,20%</w:t>
            </w:r>
          </w:p>
        </w:tc>
        <w:tc>
          <w:tcPr>
            <w:tcW w:w="1560"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1,40%</w:t>
            </w:r>
          </w:p>
        </w:tc>
        <w:tc>
          <w:tcPr>
            <w:tcW w:w="2126"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2,60%</w:t>
            </w:r>
          </w:p>
        </w:tc>
        <w:tc>
          <w:tcPr>
            <w:tcW w:w="1210" w:type="dxa"/>
            <w:tcBorders>
              <w:top w:val="single" w:sz="6" w:space="0" w:color="auto"/>
              <w:left w:val="single" w:sz="6" w:space="0" w:color="auto"/>
              <w:bottom w:val="single" w:sz="6" w:space="0" w:color="auto"/>
              <w:right w:val="single" w:sz="12"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117,4135</w:t>
            </w:r>
          </w:p>
        </w:tc>
      </w:tr>
      <w:tr w:rsidR="00AA5362" w:rsidRPr="00AA5362" w:rsidTr="00AA5362">
        <w:trPr>
          <w:trHeight w:val="290"/>
        </w:trPr>
        <w:tc>
          <w:tcPr>
            <w:tcW w:w="739" w:type="dxa"/>
            <w:tcBorders>
              <w:top w:val="single" w:sz="6" w:space="0" w:color="auto"/>
              <w:left w:val="single" w:sz="12"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2005</w:t>
            </w:r>
          </w:p>
        </w:tc>
        <w:tc>
          <w:tcPr>
            <w:tcW w:w="1701"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Geen gegevens</w:t>
            </w:r>
          </w:p>
        </w:tc>
        <w:tc>
          <w:tcPr>
            <w:tcW w:w="1559"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1,70%</w:t>
            </w:r>
          </w:p>
        </w:tc>
        <w:tc>
          <w:tcPr>
            <w:tcW w:w="1560"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1,40%</w:t>
            </w:r>
          </w:p>
        </w:tc>
        <w:tc>
          <w:tcPr>
            <w:tcW w:w="2126"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3,10%</w:t>
            </w:r>
          </w:p>
        </w:tc>
        <w:tc>
          <w:tcPr>
            <w:tcW w:w="1210" w:type="dxa"/>
            <w:tcBorders>
              <w:top w:val="single" w:sz="6" w:space="0" w:color="auto"/>
              <w:left w:val="single" w:sz="6" w:space="0" w:color="auto"/>
              <w:bottom w:val="single" w:sz="6" w:space="0" w:color="auto"/>
              <w:right w:val="single" w:sz="12"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121,0552</w:t>
            </w:r>
          </w:p>
        </w:tc>
      </w:tr>
      <w:tr w:rsidR="00AA5362" w:rsidRPr="00AA5362" w:rsidTr="00AA5362">
        <w:trPr>
          <w:trHeight w:val="290"/>
        </w:trPr>
        <w:tc>
          <w:tcPr>
            <w:tcW w:w="739" w:type="dxa"/>
            <w:tcBorders>
              <w:top w:val="single" w:sz="6" w:space="0" w:color="auto"/>
              <w:left w:val="single" w:sz="12"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2006</w:t>
            </w:r>
          </w:p>
        </w:tc>
        <w:tc>
          <w:tcPr>
            <w:tcW w:w="1701"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2,59%</w:t>
            </w:r>
          </w:p>
        </w:tc>
        <w:tc>
          <w:tcPr>
            <w:tcW w:w="1559"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1,20%</w:t>
            </w:r>
          </w:p>
        </w:tc>
        <w:tc>
          <w:tcPr>
            <w:tcW w:w="1560"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w:t>
            </w:r>
          </w:p>
        </w:tc>
        <w:tc>
          <w:tcPr>
            <w:tcW w:w="2126"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2,59%</w:t>
            </w:r>
          </w:p>
        </w:tc>
        <w:tc>
          <w:tcPr>
            <w:tcW w:w="1210" w:type="dxa"/>
            <w:tcBorders>
              <w:top w:val="single" w:sz="6" w:space="0" w:color="auto"/>
              <w:left w:val="single" w:sz="6" w:space="0" w:color="auto"/>
              <w:bottom w:val="single" w:sz="6" w:space="0" w:color="auto"/>
              <w:right w:val="single" w:sz="12"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124,1931</w:t>
            </w:r>
          </w:p>
        </w:tc>
      </w:tr>
      <w:tr w:rsidR="00AA5362" w:rsidRPr="00AA5362" w:rsidTr="00AA5362">
        <w:trPr>
          <w:trHeight w:val="290"/>
        </w:trPr>
        <w:tc>
          <w:tcPr>
            <w:tcW w:w="739" w:type="dxa"/>
            <w:tcBorders>
              <w:top w:val="single" w:sz="6" w:space="0" w:color="auto"/>
              <w:left w:val="single" w:sz="12"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2007</w:t>
            </w:r>
          </w:p>
        </w:tc>
        <w:tc>
          <w:tcPr>
            <w:tcW w:w="1701"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3,01%</w:t>
            </w:r>
          </w:p>
        </w:tc>
        <w:tc>
          <w:tcPr>
            <w:tcW w:w="1559"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1,60%</w:t>
            </w:r>
          </w:p>
        </w:tc>
        <w:tc>
          <w:tcPr>
            <w:tcW w:w="1560"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w:t>
            </w:r>
          </w:p>
        </w:tc>
        <w:tc>
          <w:tcPr>
            <w:tcW w:w="2126"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3,01%</w:t>
            </w:r>
          </w:p>
        </w:tc>
        <w:tc>
          <w:tcPr>
            <w:tcW w:w="1210" w:type="dxa"/>
            <w:tcBorders>
              <w:top w:val="single" w:sz="6" w:space="0" w:color="auto"/>
              <w:left w:val="single" w:sz="6" w:space="0" w:color="auto"/>
              <w:bottom w:val="single" w:sz="6" w:space="0" w:color="auto"/>
              <w:right w:val="single" w:sz="12"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127,9325</w:t>
            </w:r>
          </w:p>
        </w:tc>
      </w:tr>
      <w:tr w:rsidR="00AA5362" w:rsidRPr="00AA5362" w:rsidTr="00AA5362">
        <w:trPr>
          <w:trHeight w:val="290"/>
        </w:trPr>
        <w:tc>
          <w:tcPr>
            <w:tcW w:w="739" w:type="dxa"/>
            <w:tcBorders>
              <w:top w:val="single" w:sz="6" w:space="0" w:color="auto"/>
              <w:left w:val="single" w:sz="12"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2008</w:t>
            </w:r>
          </w:p>
        </w:tc>
        <w:tc>
          <w:tcPr>
            <w:tcW w:w="1701"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0,91%</w:t>
            </w:r>
          </w:p>
        </w:tc>
        <w:tc>
          <w:tcPr>
            <w:tcW w:w="1559"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2,50%</w:t>
            </w:r>
          </w:p>
        </w:tc>
        <w:tc>
          <w:tcPr>
            <w:tcW w:w="1560"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w:t>
            </w:r>
          </w:p>
        </w:tc>
        <w:tc>
          <w:tcPr>
            <w:tcW w:w="2126"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0,91%</w:t>
            </w:r>
          </w:p>
        </w:tc>
        <w:tc>
          <w:tcPr>
            <w:tcW w:w="1210" w:type="dxa"/>
            <w:tcBorders>
              <w:top w:val="single" w:sz="6" w:space="0" w:color="auto"/>
              <w:left w:val="single" w:sz="6" w:space="0" w:color="auto"/>
              <w:bottom w:val="single" w:sz="6" w:space="0" w:color="auto"/>
              <w:right w:val="single" w:sz="12"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129,0967</w:t>
            </w:r>
          </w:p>
        </w:tc>
      </w:tr>
      <w:tr w:rsidR="00AA5362" w:rsidRPr="00AA5362" w:rsidTr="00AA5362">
        <w:trPr>
          <w:trHeight w:val="290"/>
        </w:trPr>
        <w:tc>
          <w:tcPr>
            <w:tcW w:w="739" w:type="dxa"/>
            <w:tcBorders>
              <w:top w:val="single" w:sz="6" w:space="0" w:color="auto"/>
              <w:left w:val="single" w:sz="12"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2009</w:t>
            </w:r>
          </w:p>
        </w:tc>
        <w:tc>
          <w:tcPr>
            <w:tcW w:w="1701"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-1,85%</w:t>
            </w:r>
          </w:p>
        </w:tc>
        <w:tc>
          <w:tcPr>
            <w:tcW w:w="1559"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1,20%</w:t>
            </w:r>
          </w:p>
        </w:tc>
        <w:tc>
          <w:tcPr>
            <w:tcW w:w="1560"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w:t>
            </w:r>
          </w:p>
        </w:tc>
        <w:tc>
          <w:tcPr>
            <w:tcW w:w="2126"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-1,85%</w:t>
            </w:r>
          </w:p>
        </w:tc>
        <w:tc>
          <w:tcPr>
            <w:tcW w:w="1210" w:type="dxa"/>
            <w:tcBorders>
              <w:top w:val="single" w:sz="6" w:space="0" w:color="auto"/>
              <w:left w:val="single" w:sz="6" w:space="0" w:color="auto"/>
              <w:bottom w:val="single" w:sz="6" w:space="0" w:color="auto"/>
              <w:right w:val="single" w:sz="12"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126,7084</w:t>
            </w:r>
          </w:p>
        </w:tc>
      </w:tr>
      <w:tr w:rsidR="00AA5362" w:rsidRPr="00AA5362" w:rsidTr="00AA5362">
        <w:trPr>
          <w:trHeight w:val="305"/>
        </w:trPr>
        <w:tc>
          <w:tcPr>
            <w:tcW w:w="739" w:type="dxa"/>
            <w:tcBorders>
              <w:top w:val="single" w:sz="6" w:space="0" w:color="auto"/>
              <w:left w:val="single" w:sz="12" w:space="0" w:color="auto"/>
              <w:bottom w:val="single" w:sz="12"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2010</w:t>
            </w:r>
          </w:p>
        </w:tc>
        <w:tc>
          <w:tcPr>
            <w:tcW w:w="1701" w:type="dxa"/>
            <w:tcBorders>
              <w:top w:val="single" w:sz="6" w:space="0" w:color="auto"/>
              <w:left w:val="single" w:sz="6" w:space="0" w:color="auto"/>
              <w:bottom w:val="single" w:sz="12"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Geen gegevens</w:t>
            </w:r>
          </w:p>
        </w:tc>
        <w:tc>
          <w:tcPr>
            <w:tcW w:w="1559" w:type="dxa"/>
            <w:tcBorders>
              <w:top w:val="single" w:sz="6" w:space="0" w:color="auto"/>
              <w:left w:val="single" w:sz="6" w:space="0" w:color="auto"/>
              <w:bottom w:val="single" w:sz="12"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1,30%</w:t>
            </w:r>
          </w:p>
        </w:tc>
        <w:tc>
          <w:tcPr>
            <w:tcW w:w="1560" w:type="dxa"/>
            <w:tcBorders>
              <w:top w:val="single" w:sz="6" w:space="0" w:color="auto"/>
              <w:left w:val="single" w:sz="6" w:space="0" w:color="auto"/>
              <w:bottom w:val="single" w:sz="12"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-2,32%</w:t>
            </w:r>
          </w:p>
        </w:tc>
        <w:tc>
          <w:tcPr>
            <w:tcW w:w="2126" w:type="dxa"/>
            <w:tcBorders>
              <w:top w:val="single" w:sz="6" w:space="0" w:color="auto"/>
              <w:left w:val="single" w:sz="6" w:space="0" w:color="auto"/>
              <w:bottom w:val="single" w:sz="12"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-1,02%</w:t>
            </w:r>
          </w:p>
        </w:tc>
        <w:tc>
          <w:tcPr>
            <w:tcW w:w="1210" w:type="dxa"/>
            <w:tcBorders>
              <w:top w:val="single" w:sz="6" w:space="0" w:color="auto"/>
              <w:left w:val="single" w:sz="6" w:space="0" w:color="auto"/>
              <w:bottom w:val="single" w:sz="12" w:space="0" w:color="auto"/>
              <w:right w:val="single" w:sz="12"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125,416</w:t>
            </w:r>
          </w:p>
        </w:tc>
      </w:tr>
    </w:tbl>
    <w:p w:rsidR="00AA5362" w:rsidRPr="00F56B84" w:rsidRDefault="00F56B84" w:rsidP="00A90052">
      <w:pPr>
        <w:spacing w:line="360" w:lineRule="auto"/>
        <w:jc w:val="both"/>
        <w:rPr>
          <w:i/>
        </w:rPr>
      </w:pPr>
      <w:r w:rsidRPr="00F56B84">
        <w:rPr>
          <w:i/>
        </w:rPr>
        <w:t>Tabel 1</w:t>
      </w:r>
      <w:r w:rsidR="008C5D80">
        <w:rPr>
          <w:i/>
        </w:rPr>
        <w:t>:</w:t>
      </w:r>
      <w:r w:rsidRPr="00F56B84">
        <w:rPr>
          <w:i/>
        </w:rPr>
        <w:t xml:space="preserve"> Berekening </w:t>
      </w:r>
      <w:r>
        <w:rPr>
          <w:i/>
        </w:rPr>
        <w:t xml:space="preserve">percentage </w:t>
      </w:r>
      <w:r w:rsidRPr="00F56B84">
        <w:rPr>
          <w:i/>
        </w:rPr>
        <w:t>waarde</w:t>
      </w:r>
      <w:r>
        <w:rPr>
          <w:i/>
        </w:rPr>
        <w:t>ontwikkeling van het pand</w:t>
      </w:r>
    </w:p>
    <w:p w:rsidR="002A5479" w:rsidRDefault="002A5479" w:rsidP="008C5D80">
      <w:pPr>
        <w:spacing w:line="360" w:lineRule="auto"/>
        <w:jc w:val="both"/>
      </w:pPr>
      <w:r>
        <w:t xml:space="preserve">Voor de bepaling van de waardemutatie voor de jaren 2001-2005 is het gemiddelde verschil tussen de waardemutatie van de </w:t>
      </w:r>
      <w:proofErr w:type="spellStart"/>
      <w:r>
        <w:t>WOZ-waarde</w:t>
      </w:r>
      <w:proofErr w:type="spellEnd"/>
      <w:r>
        <w:t xml:space="preserve"> en de consumentenprijsindex totale bestedingen van de jaren 2006-2007 genomen. Dit omdat zowel in de periode 2001-2005 als in de periode 2006-2007 nog geen sprake was van een economische crisis. Dit verschil is samengevoegd met de CPI totale bestedingen 2001-2005 om tot de waardemutatie voor het pand te komen. Voor het vaststellen van de waardemutatie van het pand voor het jaar 2010 is het gemiddelde verschil tussen de waardemutatie van de </w:t>
      </w:r>
      <w:proofErr w:type="spellStart"/>
      <w:r>
        <w:t>WOZ-waarde</w:t>
      </w:r>
      <w:proofErr w:type="spellEnd"/>
      <w:r>
        <w:t xml:space="preserve"> en de consumentenprijsindex totale bestedingen van de jaren 2008-2009 genomen. Dit omdat de huidige economische crisis zich ook in 2008-2010 voordeed. Ook dit verschil is samengevoegd met de CPI totale bestedingen van 2010 om tot de waardemutatie voor het pand te komen.</w:t>
      </w:r>
    </w:p>
    <w:p w:rsidR="00AA5362" w:rsidRDefault="00AA5362" w:rsidP="002A5479">
      <w:pPr>
        <w:spacing w:line="360" w:lineRule="auto"/>
      </w:pPr>
    </w:p>
    <w:p w:rsidR="00AA5362" w:rsidRDefault="00AA5362" w:rsidP="002A5479">
      <w:pPr>
        <w:spacing w:line="360" w:lineRule="auto"/>
      </w:pPr>
    </w:p>
    <w:p w:rsidR="00AA5362" w:rsidRDefault="00AA5362" w:rsidP="002A5479">
      <w:pPr>
        <w:spacing w:line="360" w:lineRule="auto"/>
      </w:pPr>
    </w:p>
    <w:p w:rsidR="00F56B84" w:rsidRDefault="00F56B84" w:rsidP="00A90052">
      <w:pPr>
        <w:spacing w:line="360" w:lineRule="auto"/>
        <w:jc w:val="both"/>
      </w:pPr>
    </w:p>
    <w:tbl>
      <w:tblPr>
        <w:tblW w:w="5559" w:type="dxa"/>
        <w:tblInd w:w="40" w:type="dxa"/>
        <w:tblLayout w:type="fixed"/>
        <w:tblCellMar>
          <w:left w:w="70" w:type="dxa"/>
          <w:right w:w="70" w:type="dxa"/>
        </w:tblCellMar>
        <w:tblLook w:val="0000"/>
      </w:tblPr>
      <w:tblGrid>
        <w:gridCol w:w="739"/>
        <w:gridCol w:w="2410"/>
        <w:gridCol w:w="2410"/>
      </w:tblGrid>
      <w:tr w:rsidR="00AA5362" w:rsidRPr="00AA5362" w:rsidTr="00F56B84">
        <w:trPr>
          <w:trHeight w:val="305"/>
        </w:trPr>
        <w:tc>
          <w:tcPr>
            <w:tcW w:w="739" w:type="dxa"/>
            <w:tcBorders>
              <w:top w:val="single" w:sz="12" w:space="0" w:color="auto"/>
              <w:left w:val="single" w:sz="12" w:space="0" w:color="auto"/>
              <w:bottom w:val="single" w:sz="12"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b/>
                <w:bCs/>
                <w:color w:val="000000"/>
                <w:sz w:val="20"/>
                <w:szCs w:val="20"/>
              </w:rPr>
            </w:pPr>
            <w:r w:rsidRPr="00AA5362">
              <w:rPr>
                <w:rFonts w:ascii="Calibri" w:hAnsi="Calibri" w:cs="Calibri"/>
                <w:b/>
                <w:bCs/>
                <w:color w:val="000000"/>
                <w:sz w:val="20"/>
                <w:szCs w:val="20"/>
              </w:rPr>
              <w:t>Jaar</w:t>
            </w:r>
          </w:p>
        </w:tc>
        <w:tc>
          <w:tcPr>
            <w:tcW w:w="2410" w:type="dxa"/>
            <w:tcBorders>
              <w:top w:val="single" w:sz="12" w:space="0" w:color="auto"/>
              <w:left w:val="single" w:sz="6" w:space="0" w:color="auto"/>
              <w:bottom w:val="single" w:sz="12"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b/>
                <w:bCs/>
                <w:color w:val="000000"/>
                <w:sz w:val="20"/>
                <w:szCs w:val="20"/>
              </w:rPr>
            </w:pPr>
            <w:r w:rsidRPr="00AA5362">
              <w:rPr>
                <w:rFonts w:ascii="Calibri" w:hAnsi="Calibri" w:cs="Calibri"/>
                <w:b/>
                <w:bCs/>
                <w:color w:val="000000"/>
                <w:sz w:val="20"/>
                <w:szCs w:val="20"/>
              </w:rPr>
              <w:t>Waardeontwikkeling (%)</w:t>
            </w:r>
          </w:p>
        </w:tc>
        <w:tc>
          <w:tcPr>
            <w:tcW w:w="2410" w:type="dxa"/>
            <w:tcBorders>
              <w:top w:val="single" w:sz="12" w:space="0" w:color="auto"/>
              <w:left w:val="single" w:sz="6" w:space="0" w:color="auto"/>
              <w:bottom w:val="single" w:sz="12" w:space="0" w:color="auto"/>
              <w:right w:val="single" w:sz="12"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b/>
                <w:bCs/>
                <w:color w:val="000000"/>
                <w:sz w:val="20"/>
                <w:szCs w:val="20"/>
              </w:rPr>
            </w:pPr>
            <w:r w:rsidRPr="00AA5362">
              <w:rPr>
                <w:rFonts w:ascii="Calibri" w:hAnsi="Calibri" w:cs="Calibri"/>
                <w:b/>
                <w:bCs/>
                <w:color w:val="000000"/>
                <w:sz w:val="20"/>
                <w:szCs w:val="20"/>
              </w:rPr>
              <w:t>Waarde pand</w:t>
            </w:r>
          </w:p>
        </w:tc>
      </w:tr>
      <w:tr w:rsidR="00AA5362" w:rsidRPr="00AA5362" w:rsidTr="008C5D80">
        <w:trPr>
          <w:trHeight w:val="107"/>
        </w:trPr>
        <w:tc>
          <w:tcPr>
            <w:tcW w:w="739" w:type="dxa"/>
            <w:tcBorders>
              <w:top w:val="nil"/>
              <w:left w:val="single" w:sz="12"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2001</w:t>
            </w:r>
          </w:p>
        </w:tc>
        <w:tc>
          <w:tcPr>
            <w:tcW w:w="2410" w:type="dxa"/>
            <w:tcBorders>
              <w:top w:val="nil"/>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Pr>
                <w:rFonts w:ascii="Calibri" w:hAnsi="Calibri" w:cs="Calibri"/>
                <w:color w:val="000000"/>
                <w:sz w:val="20"/>
                <w:szCs w:val="20"/>
              </w:rPr>
              <w:t>5,6%</w:t>
            </w:r>
          </w:p>
        </w:tc>
        <w:tc>
          <w:tcPr>
            <w:tcW w:w="2410" w:type="dxa"/>
            <w:tcBorders>
              <w:top w:val="nil"/>
              <w:left w:val="single" w:sz="6" w:space="0" w:color="auto"/>
              <w:bottom w:val="single" w:sz="6" w:space="0" w:color="auto"/>
              <w:right w:val="single" w:sz="12"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4.224.000</w:t>
            </w:r>
          </w:p>
        </w:tc>
      </w:tr>
      <w:tr w:rsidR="00AA5362" w:rsidRPr="00AA5362" w:rsidTr="00F56B84">
        <w:trPr>
          <w:trHeight w:val="290"/>
        </w:trPr>
        <w:tc>
          <w:tcPr>
            <w:tcW w:w="739" w:type="dxa"/>
            <w:tcBorders>
              <w:top w:val="single" w:sz="6" w:space="0" w:color="auto"/>
              <w:left w:val="single" w:sz="12"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2002</w:t>
            </w:r>
          </w:p>
        </w:tc>
        <w:tc>
          <w:tcPr>
            <w:tcW w:w="2410"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Pr>
                <w:rFonts w:ascii="Calibri" w:hAnsi="Calibri" w:cs="Calibri"/>
                <w:color w:val="000000"/>
                <w:sz w:val="20"/>
                <w:szCs w:val="20"/>
              </w:rPr>
              <w:t>4,7%</w:t>
            </w:r>
          </w:p>
        </w:tc>
        <w:tc>
          <w:tcPr>
            <w:tcW w:w="2410" w:type="dxa"/>
            <w:tcBorders>
              <w:top w:val="single" w:sz="6" w:space="0" w:color="auto"/>
              <w:left w:val="single" w:sz="6" w:space="0" w:color="auto"/>
              <w:bottom w:val="single" w:sz="6" w:space="0" w:color="auto"/>
              <w:right w:val="single" w:sz="12"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4.422.528</w:t>
            </w:r>
          </w:p>
        </w:tc>
      </w:tr>
      <w:tr w:rsidR="00AA5362" w:rsidRPr="00AA5362" w:rsidTr="00F56B84">
        <w:trPr>
          <w:trHeight w:val="290"/>
        </w:trPr>
        <w:tc>
          <w:tcPr>
            <w:tcW w:w="739" w:type="dxa"/>
            <w:tcBorders>
              <w:top w:val="single" w:sz="6" w:space="0" w:color="auto"/>
              <w:left w:val="single" w:sz="12"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2003</w:t>
            </w:r>
          </w:p>
        </w:tc>
        <w:tc>
          <w:tcPr>
            <w:tcW w:w="2410"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Pr>
                <w:rFonts w:ascii="Calibri" w:hAnsi="Calibri" w:cs="Calibri"/>
                <w:color w:val="000000"/>
                <w:sz w:val="20"/>
                <w:szCs w:val="20"/>
              </w:rPr>
              <w:t>3,5%</w:t>
            </w:r>
          </w:p>
        </w:tc>
        <w:tc>
          <w:tcPr>
            <w:tcW w:w="2410" w:type="dxa"/>
            <w:tcBorders>
              <w:top w:val="single" w:sz="6" w:space="0" w:color="auto"/>
              <w:left w:val="single" w:sz="6" w:space="0" w:color="auto"/>
              <w:bottom w:val="single" w:sz="6" w:space="0" w:color="auto"/>
              <w:right w:val="single" w:sz="12"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4.577.316</w:t>
            </w:r>
            <w:r w:rsidR="00A90052">
              <w:rPr>
                <w:rFonts w:ascii="Calibri" w:hAnsi="Calibri" w:cs="Calibri"/>
                <w:color w:val="000000"/>
                <w:sz w:val="20"/>
                <w:szCs w:val="20"/>
              </w:rPr>
              <w:t xml:space="preserve"> </w:t>
            </w:r>
          </w:p>
        </w:tc>
      </w:tr>
      <w:tr w:rsidR="00AA5362" w:rsidRPr="00AA5362" w:rsidTr="00F56B84">
        <w:trPr>
          <w:trHeight w:val="290"/>
        </w:trPr>
        <w:tc>
          <w:tcPr>
            <w:tcW w:w="739" w:type="dxa"/>
            <w:tcBorders>
              <w:top w:val="single" w:sz="6" w:space="0" w:color="auto"/>
              <w:left w:val="single" w:sz="12"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2004</w:t>
            </w:r>
          </w:p>
        </w:tc>
        <w:tc>
          <w:tcPr>
            <w:tcW w:w="2410"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Pr>
                <w:rFonts w:ascii="Calibri" w:hAnsi="Calibri" w:cs="Calibri"/>
                <w:color w:val="000000"/>
                <w:sz w:val="20"/>
                <w:szCs w:val="20"/>
              </w:rPr>
              <w:t>2,6%</w:t>
            </w:r>
          </w:p>
        </w:tc>
        <w:tc>
          <w:tcPr>
            <w:tcW w:w="2410" w:type="dxa"/>
            <w:tcBorders>
              <w:top w:val="single" w:sz="6" w:space="0" w:color="auto"/>
              <w:left w:val="single" w:sz="6" w:space="0" w:color="auto"/>
              <w:bottom w:val="single" w:sz="6" w:space="0" w:color="auto"/>
              <w:right w:val="single" w:sz="12"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4.696.327</w:t>
            </w:r>
          </w:p>
        </w:tc>
      </w:tr>
      <w:tr w:rsidR="00AA5362" w:rsidRPr="00AA5362" w:rsidTr="00F56B84">
        <w:trPr>
          <w:trHeight w:val="290"/>
        </w:trPr>
        <w:tc>
          <w:tcPr>
            <w:tcW w:w="739" w:type="dxa"/>
            <w:tcBorders>
              <w:top w:val="single" w:sz="6" w:space="0" w:color="auto"/>
              <w:left w:val="single" w:sz="12"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2005</w:t>
            </w:r>
          </w:p>
        </w:tc>
        <w:tc>
          <w:tcPr>
            <w:tcW w:w="2410"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Pr>
                <w:rFonts w:ascii="Calibri" w:hAnsi="Calibri" w:cs="Calibri"/>
                <w:color w:val="000000"/>
                <w:sz w:val="20"/>
                <w:szCs w:val="20"/>
              </w:rPr>
              <w:t>3,1%</w:t>
            </w:r>
          </w:p>
        </w:tc>
        <w:tc>
          <w:tcPr>
            <w:tcW w:w="2410" w:type="dxa"/>
            <w:tcBorders>
              <w:top w:val="single" w:sz="6" w:space="0" w:color="auto"/>
              <w:left w:val="single" w:sz="6" w:space="0" w:color="auto"/>
              <w:bottom w:val="single" w:sz="6" w:space="0" w:color="auto"/>
              <w:right w:val="single" w:sz="12"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4.841.913</w:t>
            </w:r>
          </w:p>
        </w:tc>
      </w:tr>
      <w:tr w:rsidR="00AA5362" w:rsidRPr="00AA5362" w:rsidTr="00F56B84">
        <w:trPr>
          <w:trHeight w:val="290"/>
        </w:trPr>
        <w:tc>
          <w:tcPr>
            <w:tcW w:w="739" w:type="dxa"/>
            <w:tcBorders>
              <w:top w:val="single" w:sz="6" w:space="0" w:color="auto"/>
              <w:left w:val="single" w:sz="12"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2006</w:t>
            </w:r>
          </w:p>
        </w:tc>
        <w:tc>
          <w:tcPr>
            <w:tcW w:w="2410"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Pr>
                <w:rFonts w:ascii="Calibri" w:hAnsi="Calibri" w:cs="Calibri"/>
                <w:color w:val="000000"/>
                <w:sz w:val="20"/>
                <w:szCs w:val="20"/>
              </w:rPr>
              <w:t>2,59%</w:t>
            </w:r>
          </w:p>
        </w:tc>
        <w:tc>
          <w:tcPr>
            <w:tcW w:w="2410" w:type="dxa"/>
            <w:tcBorders>
              <w:top w:val="single" w:sz="6" w:space="0" w:color="auto"/>
              <w:left w:val="single" w:sz="6" w:space="0" w:color="auto"/>
              <w:bottom w:val="single" w:sz="6" w:space="0" w:color="auto"/>
              <w:right w:val="single" w:sz="12"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4.967.318</w:t>
            </w:r>
          </w:p>
        </w:tc>
      </w:tr>
      <w:tr w:rsidR="00AA5362" w:rsidRPr="00AA5362" w:rsidTr="00F56B84">
        <w:trPr>
          <w:trHeight w:val="290"/>
        </w:trPr>
        <w:tc>
          <w:tcPr>
            <w:tcW w:w="739" w:type="dxa"/>
            <w:tcBorders>
              <w:top w:val="single" w:sz="6" w:space="0" w:color="auto"/>
              <w:left w:val="single" w:sz="12"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2007</w:t>
            </w:r>
          </w:p>
        </w:tc>
        <w:tc>
          <w:tcPr>
            <w:tcW w:w="2410"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Pr>
                <w:rFonts w:ascii="Calibri" w:hAnsi="Calibri" w:cs="Calibri"/>
                <w:color w:val="000000"/>
                <w:sz w:val="20"/>
                <w:szCs w:val="20"/>
              </w:rPr>
              <w:t>3,01%</w:t>
            </w:r>
          </w:p>
        </w:tc>
        <w:tc>
          <w:tcPr>
            <w:tcW w:w="2410" w:type="dxa"/>
            <w:tcBorders>
              <w:top w:val="single" w:sz="6" w:space="0" w:color="auto"/>
              <w:left w:val="single" w:sz="6" w:space="0" w:color="auto"/>
              <w:bottom w:val="single" w:sz="6" w:space="0" w:color="auto"/>
              <w:right w:val="single" w:sz="12"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5.116.835</w:t>
            </w:r>
          </w:p>
        </w:tc>
      </w:tr>
      <w:tr w:rsidR="00AA5362" w:rsidRPr="00AA5362" w:rsidTr="00F56B84">
        <w:trPr>
          <w:trHeight w:val="290"/>
        </w:trPr>
        <w:tc>
          <w:tcPr>
            <w:tcW w:w="739" w:type="dxa"/>
            <w:tcBorders>
              <w:top w:val="single" w:sz="6" w:space="0" w:color="auto"/>
              <w:left w:val="single" w:sz="12"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2008</w:t>
            </w:r>
          </w:p>
        </w:tc>
        <w:tc>
          <w:tcPr>
            <w:tcW w:w="2410"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Pr>
                <w:rFonts w:ascii="Calibri" w:hAnsi="Calibri" w:cs="Calibri"/>
                <w:color w:val="000000"/>
                <w:sz w:val="20"/>
                <w:szCs w:val="20"/>
              </w:rPr>
              <w:t>0,91%</w:t>
            </w:r>
          </w:p>
        </w:tc>
        <w:tc>
          <w:tcPr>
            <w:tcW w:w="2410" w:type="dxa"/>
            <w:tcBorders>
              <w:top w:val="single" w:sz="6" w:space="0" w:color="auto"/>
              <w:left w:val="single" w:sz="6" w:space="0" w:color="auto"/>
              <w:bottom w:val="single" w:sz="6" w:space="0" w:color="auto"/>
              <w:right w:val="single" w:sz="12"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5.163.398</w:t>
            </w:r>
          </w:p>
        </w:tc>
      </w:tr>
      <w:tr w:rsidR="00AA5362" w:rsidRPr="00AA5362" w:rsidTr="00F56B84">
        <w:trPr>
          <w:trHeight w:val="290"/>
        </w:trPr>
        <w:tc>
          <w:tcPr>
            <w:tcW w:w="739" w:type="dxa"/>
            <w:tcBorders>
              <w:top w:val="single" w:sz="6" w:space="0" w:color="auto"/>
              <w:left w:val="single" w:sz="12"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2009</w:t>
            </w:r>
          </w:p>
        </w:tc>
        <w:tc>
          <w:tcPr>
            <w:tcW w:w="2410" w:type="dxa"/>
            <w:tcBorders>
              <w:top w:val="single" w:sz="6" w:space="0" w:color="auto"/>
              <w:left w:val="single" w:sz="6" w:space="0" w:color="auto"/>
              <w:bottom w:val="single" w:sz="6"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w:t>
            </w:r>
            <w:r>
              <w:rPr>
                <w:rFonts w:ascii="Calibri" w:hAnsi="Calibri" w:cs="Calibri"/>
                <w:color w:val="000000"/>
                <w:sz w:val="20"/>
                <w:szCs w:val="20"/>
              </w:rPr>
              <w:t>1,85%</w:t>
            </w:r>
          </w:p>
        </w:tc>
        <w:tc>
          <w:tcPr>
            <w:tcW w:w="2410" w:type="dxa"/>
            <w:tcBorders>
              <w:top w:val="single" w:sz="6" w:space="0" w:color="auto"/>
              <w:left w:val="single" w:sz="6" w:space="0" w:color="auto"/>
              <w:bottom w:val="single" w:sz="6" w:space="0" w:color="auto"/>
              <w:right w:val="single" w:sz="12"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5.067.875</w:t>
            </w:r>
          </w:p>
        </w:tc>
      </w:tr>
      <w:tr w:rsidR="00AA5362" w:rsidRPr="00AA5362" w:rsidTr="00F56B84">
        <w:trPr>
          <w:trHeight w:val="305"/>
        </w:trPr>
        <w:tc>
          <w:tcPr>
            <w:tcW w:w="739" w:type="dxa"/>
            <w:tcBorders>
              <w:top w:val="single" w:sz="6" w:space="0" w:color="auto"/>
              <w:left w:val="single" w:sz="12" w:space="0" w:color="auto"/>
              <w:bottom w:val="single" w:sz="12"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2010</w:t>
            </w:r>
          </w:p>
        </w:tc>
        <w:tc>
          <w:tcPr>
            <w:tcW w:w="2410" w:type="dxa"/>
            <w:tcBorders>
              <w:top w:val="single" w:sz="6" w:space="0" w:color="auto"/>
              <w:left w:val="single" w:sz="6" w:space="0" w:color="auto"/>
              <w:bottom w:val="single" w:sz="12" w:space="0" w:color="auto"/>
              <w:right w:val="single" w:sz="6"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w:t>
            </w:r>
            <w:r>
              <w:rPr>
                <w:rFonts w:ascii="Calibri" w:hAnsi="Calibri" w:cs="Calibri"/>
                <w:color w:val="000000"/>
                <w:sz w:val="20"/>
                <w:szCs w:val="20"/>
              </w:rPr>
              <w:t>1,02%</w:t>
            </w:r>
          </w:p>
        </w:tc>
        <w:tc>
          <w:tcPr>
            <w:tcW w:w="2410" w:type="dxa"/>
            <w:tcBorders>
              <w:top w:val="single" w:sz="6" w:space="0" w:color="auto"/>
              <w:left w:val="single" w:sz="6" w:space="0" w:color="auto"/>
              <w:bottom w:val="single" w:sz="12" w:space="0" w:color="auto"/>
              <w:right w:val="single" w:sz="12" w:space="0" w:color="auto"/>
            </w:tcBorders>
          </w:tcPr>
          <w:p w:rsidR="00AA5362" w:rsidRPr="00AA5362" w:rsidRDefault="00AA5362" w:rsidP="00A90052">
            <w:pPr>
              <w:autoSpaceDE w:val="0"/>
              <w:autoSpaceDN w:val="0"/>
              <w:adjustRightInd w:val="0"/>
              <w:spacing w:after="0" w:line="360" w:lineRule="auto"/>
              <w:jc w:val="both"/>
              <w:rPr>
                <w:rFonts w:ascii="Calibri" w:hAnsi="Calibri" w:cs="Calibri"/>
                <w:color w:val="000000"/>
                <w:sz w:val="20"/>
                <w:szCs w:val="20"/>
              </w:rPr>
            </w:pPr>
            <w:r w:rsidRPr="00AA5362">
              <w:rPr>
                <w:rFonts w:ascii="Calibri" w:hAnsi="Calibri" w:cs="Calibri"/>
                <w:color w:val="000000"/>
                <w:sz w:val="20"/>
                <w:szCs w:val="20"/>
              </w:rPr>
              <w:t>5.016.183</w:t>
            </w:r>
          </w:p>
        </w:tc>
      </w:tr>
    </w:tbl>
    <w:p w:rsidR="006861A0" w:rsidRDefault="00AA5362" w:rsidP="00A90052">
      <w:pPr>
        <w:spacing w:line="360" w:lineRule="auto"/>
        <w:jc w:val="both"/>
        <w:rPr>
          <w:i/>
        </w:rPr>
      </w:pPr>
      <w:r w:rsidRPr="00E12763">
        <w:rPr>
          <w:i/>
        </w:rPr>
        <w:t xml:space="preserve">Tabel </w:t>
      </w:r>
      <w:r w:rsidR="00F56B84">
        <w:rPr>
          <w:i/>
        </w:rPr>
        <w:t>2</w:t>
      </w:r>
      <w:r w:rsidRPr="00E12763">
        <w:rPr>
          <w:i/>
        </w:rPr>
        <w:t>: waardeontwikkeling pand</w:t>
      </w:r>
    </w:p>
    <w:p w:rsidR="00A90052" w:rsidRDefault="00A90052" w:rsidP="00A90052">
      <w:pPr>
        <w:spacing w:line="360" w:lineRule="auto"/>
        <w:jc w:val="both"/>
        <w:rPr>
          <w:i/>
        </w:rPr>
      </w:pPr>
    </w:p>
    <w:tbl>
      <w:tblPr>
        <w:tblW w:w="0" w:type="auto"/>
        <w:tblInd w:w="40" w:type="dxa"/>
        <w:tblLayout w:type="fixed"/>
        <w:tblCellMar>
          <w:left w:w="70" w:type="dxa"/>
          <w:right w:w="70" w:type="dxa"/>
        </w:tblCellMar>
        <w:tblLook w:val="0000"/>
      </w:tblPr>
      <w:tblGrid>
        <w:gridCol w:w="739"/>
        <w:gridCol w:w="2410"/>
        <w:gridCol w:w="2410"/>
      </w:tblGrid>
      <w:tr w:rsidR="005110FC" w:rsidRPr="005110FC" w:rsidTr="005110FC">
        <w:trPr>
          <w:trHeight w:val="305"/>
        </w:trPr>
        <w:tc>
          <w:tcPr>
            <w:tcW w:w="739" w:type="dxa"/>
            <w:tcBorders>
              <w:top w:val="single" w:sz="12" w:space="0" w:color="auto"/>
              <w:left w:val="single" w:sz="12" w:space="0" w:color="auto"/>
              <w:bottom w:val="single" w:sz="12" w:space="0" w:color="auto"/>
              <w:right w:val="single" w:sz="6" w:space="0" w:color="auto"/>
            </w:tcBorders>
          </w:tcPr>
          <w:p w:rsidR="005110FC" w:rsidRPr="005110FC" w:rsidRDefault="005110FC" w:rsidP="00A90052">
            <w:pPr>
              <w:autoSpaceDE w:val="0"/>
              <w:autoSpaceDN w:val="0"/>
              <w:adjustRightInd w:val="0"/>
              <w:spacing w:after="0" w:line="360" w:lineRule="auto"/>
              <w:jc w:val="both"/>
              <w:rPr>
                <w:rFonts w:ascii="Calibri" w:hAnsi="Calibri" w:cs="Calibri"/>
                <w:b/>
                <w:bCs/>
                <w:color w:val="000000"/>
                <w:sz w:val="20"/>
                <w:szCs w:val="20"/>
              </w:rPr>
            </w:pPr>
            <w:r w:rsidRPr="005110FC">
              <w:rPr>
                <w:rFonts w:ascii="Calibri" w:hAnsi="Calibri" w:cs="Calibri"/>
                <w:b/>
                <w:bCs/>
                <w:color w:val="000000"/>
                <w:sz w:val="20"/>
                <w:szCs w:val="20"/>
              </w:rPr>
              <w:t>Jaar</w:t>
            </w:r>
          </w:p>
        </w:tc>
        <w:tc>
          <w:tcPr>
            <w:tcW w:w="2410" w:type="dxa"/>
            <w:tcBorders>
              <w:top w:val="single" w:sz="12" w:space="0" w:color="auto"/>
              <w:left w:val="single" w:sz="6" w:space="0" w:color="auto"/>
              <w:bottom w:val="single" w:sz="12" w:space="0" w:color="auto"/>
              <w:right w:val="single" w:sz="6" w:space="0" w:color="auto"/>
            </w:tcBorders>
          </w:tcPr>
          <w:p w:rsidR="005110FC" w:rsidRPr="005110FC" w:rsidRDefault="005110FC" w:rsidP="00A90052">
            <w:pPr>
              <w:autoSpaceDE w:val="0"/>
              <w:autoSpaceDN w:val="0"/>
              <w:adjustRightInd w:val="0"/>
              <w:spacing w:after="0" w:line="360" w:lineRule="auto"/>
              <w:jc w:val="both"/>
              <w:rPr>
                <w:rFonts w:ascii="Calibri" w:hAnsi="Calibri" w:cs="Calibri"/>
                <w:b/>
                <w:bCs/>
                <w:color w:val="000000"/>
                <w:sz w:val="20"/>
                <w:szCs w:val="20"/>
              </w:rPr>
            </w:pPr>
            <w:r w:rsidRPr="005110FC">
              <w:rPr>
                <w:rFonts w:ascii="Calibri" w:hAnsi="Calibri" w:cs="Calibri"/>
                <w:b/>
                <w:bCs/>
                <w:color w:val="000000"/>
                <w:sz w:val="20"/>
                <w:szCs w:val="20"/>
              </w:rPr>
              <w:t>Waardeontwikkeling (%)</w:t>
            </w:r>
          </w:p>
        </w:tc>
        <w:tc>
          <w:tcPr>
            <w:tcW w:w="2410" w:type="dxa"/>
            <w:tcBorders>
              <w:top w:val="single" w:sz="12" w:space="0" w:color="auto"/>
              <w:left w:val="single" w:sz="6" w:space="0" w:color="auto"/>
              <w:bottom w:val="single" w:sz="12" w:space="0" w:color="auto"/>
              <w:right w:val="single" w:sz="12" w:space="0" w:color="auto"/>
            </w:tcBorders>
          </w:tcPr>
          <w:p w:rsidR="005110FC" w:rsidRPr="005110FC" w:rsidRDefault="005110FC" w:rsidP="00A90052">
            <w:pPr>
              <w:autoSpaceDE w:val="0"/>
              <w:autoSpaceDN w:val="0"/>
              <w:adjustRightInd w:val="0"/>
              <w:spacing w:after="0" w:line="360" w:lineRule="auto"/>
              <w:jc w:val="both"/>
              <w:rPr>
                <w:rFonts w:ascii="Calibri" w:hAnsi="Calibri" w:cs="Calibri"/>
                <w:b/>
                <w:bCs/>
                <w:color w:val="000000"/>
                <w:sz w:val="20"/>
                <w:szCs w:val="20"/>
              </w:rPr>
            </w:pPr>
            <w:r w:rsidRPr="005110FC">
              <w:rPr>
                <w:rFonts w:ascii="Calibri" w:hAnsi="Calibri" w:cs="Calibri"/>
                <w:b/>
                <w:bCs/>
                <w:color w:val="000000"/>
                <w:sz w:val="20"/>
                <w:szCs w:val="20"/>
              </w:rPr>
              <w:t>Waarde machines</w:t>
            </w:r>
          </w:p>
        </w:tc>
      </w:tr>
      <w:tr w:rsidR="005110FC" w:rsidRPr="005110FC" w:rsidTr="005110FC">
        <w:trPr>
          <w:trHeight w:val="290"/>
        </w:trPr>
        <w:tc>
          <w:tcPr>
            <w:tcW w:w="739" w:type="dxa"/>
            <w:tcBorders>
              <w:top w:val="nil"/>
              <w:left w:val="single" w:sz="12" w:space="0" w:color="auto"/>
              <w:bottom w:val="single" w:sz="6" w:space="0" w:color="auto"/>
              <w:right w:val="single" w:sz="6" w:space="0" w:color="auto"/>
            </w:tcBorders>
          </w:tcPr>
          <w:p w:rsidR="005110FC" w:rsidRPr="005110FC" w:rsidRDefault="005110FC" w:rsidP="00A90052">
            <w:pPr>
              <w:autoSpaceDE w:val="0"/>
              <w:autoSpaceDN w:val="0"/>
              <w:adjustRightInd w:val="0"/>
              <w:spacing w:after="0" w:line="360" w:lineRule="auto"/>
              <w:jc w:val="both"/>
              <w:rPr>
                <w:rFonts w:ascii="Calibri" w:hAnsi="Calibri" w:cs="Calibri"/>
                <w:color w:val="000000"/>
                <w:sz w:val="20"/>
                <w:szCs w:val="20"/>
              </w:rPr>
            </w:pPr>
            <w:r w:rsidRPr="005110FC">
              <w:rPr>
                <w:rFonts w:ascii="Calibri" w:hAnsi="Calibri" w:cs="Calibri"/>
                <w:color w:val="000000"/>
                <w:sz w:val="20"/>
                <w:szCs w:val="20"/>
              </w:rPr>
              <w:t>2001</w:t>
            </w:r>
          </w:p>
        </w:tc>
        <w:tc>
          <w:tcPr>
            <w:tcW w:w="2410" w:type="dxa"/>
            <w:tcBorders>
              <w:top w:val="nil"/>
              <w:left w:val="single" w:sz="6" w:space="0" w:color="auto"/>
              <w:bottom w:val="single" w:sz="6" w:space="0" w:color="auto"/>
              <w:right w:val="single" w:sz="6" w:space="0" w:color="auto"/>
            </w:tcBorders>
          </w:tcPr>
          <w:p w:rsidR="005110FC" w:rsidRPr="005110FC" w:rsidRDefault="005110FC" w:rsidP="00A90052">
            <w:pPr>
              <w:autoSpaceDE w:val="0"/>
              <w:autoSpaceDN w:val="0"/>
              <w:adjustRightInd w:val="0"/>
              <w:spacing w:after="0" w:line="360" w:lineRule="auto"/>
              <w:jc w:val="both"/>
              <w:rPr>
                <w:rFonts w:ascii="Calibri" w:hAnsi="Calibri" w:cs="Calibri"/>
                <w:color w:val="000000"/>
                <w:sz w:val="20"/>
                <w:szCs w:val="20"/>
              </w:rPr>
            </w:pPr>
            <w:r w:rsidRPr="005110FC">
              <w:rPr>
                <w:rFonts w:ascii="Calibri" w:hAnsi="Calibri" w:cs="Calibri"/>
                <w:color w:val="000000"/>
                <w:sz w:val="20"/>
                <w:szCs w:val="20"/>
              </w:rPr>
              <w:t>-50%</w:t>
            </w:r>
          </w:p>
        </w:tc>
        <w:tc>
          <w:tcPr>
            <w:tcW w:w="2410" w:type="dxa"/>
            <w:tcBorders>
              <w:top w:val="nil"/>
              <w:left w:val="single" w:sz="6" w:space="0" w:color="auto"/>
              <w:bottom w:val="single" w:sz="6" w:space="0" w:color="auto"/>
              <w:right w:val="single" w:sz="12" w:space="0" w:color="auto"/>
            </w:tcBorders>
          </w:tcPr>
          <w:p w:rsidR="005110FC" w:rsidRPr="005110FC" w:rsidRDefault="005110FC" w:rsidP="00A90052">
            <w:pPr>
              <w:autoSpaceDE w:val="0"/>
              <w:autoSpaceDN w:val="0"/>
              <w:adjustRightInd w:val="0"/>
              <w:spacing w:after="0" w:line="360" w:lineRule="auto"/>
              <w:jc w:val="both"/>
              <w:rPr>
                <w:rFonts w:ascii="Calibri" w:hAnsi="Calibri" w:cs="Calibri"/>
                <w:color w:val="000000"/>
                <w:sz w:val="20"/>
                <w:szCs w:val="20"/>
              </w:rPr>
            </w:pPr>
            <w:r w:rsidRPr="005110FC">
              <w:rPr>
                <w:rFonts w:ascii="Calibri" w:hAnsi="Calibri" w:cs="Calibri"/>
                <w:color w:val="000000"/>
                <w:sz w:val="20"/>
                <w:szCs w:val="20"/>
              </w:rPr>
              <w:t>20.000</w:t>
            </w:r>
          </w:p>
        </w:tc>
      </w:tr>
      <w:tr w:rsidR="005110FC" w:rsidRPr="005110FC" w:rsidTr="005110FC">
        <w:trPr>
          <w:trHeight w:val="290"/>
        </w:trPr>
        <w:tc>
          <w:tcPr>
            <w:tcW w:w="739" w:type="dxa"/>
            <w:tcBorders>
              <w:top w:val="single" w:sz="6" w:space="0" w:color="auto"/>
              <w:left w:val="single" w:sz="12" w:space="0" w:color="auto"/>
              <w:bottom w:val="single" w:sz="6" w:space="0" w:color="auto"/>
              <w:right w:val="single" w:sz="6" w:space="0" w:color="auto"/>
            </w:tcBorders>
          </w:tcPr>
          <w:p w:rsidR="005110FC" w:rsidRPr="005110FC" w:rsidRDefault="005110FC" w:rsidP="00A90052">
            <w:pPr>
              <w:autoSpaceDE w:val="0"/>
              <w:autoSpaceDN w:val="0"/>
              <w:adjustRightInd w:val="0"/>
              <w:spacing w:after="0" w:line="360" w:lineRule="auto"/>
              <w:jc w:val="both"/>
              <w:rPr>
                <w:rFonts w:ascii="Calibri" w:hAnsi="Calibri" w:cs="Calibri"/>
                <w:color w:val="000000"/>
                <w:sz w:val="20"/>
                <w:szCs w:val="20"/>
              </w:rPr>
            </w:pPr>
            <w:r w:rsidRPr="005110FC">
              <w:rPr>
                <w:rFonts w:ascii="Calibri" w:hAnsi="Calibri" w:cs="Calibri"/>
                <w:color w:val="000000"/>
                <w:sz w:val="20"/>
                <w:szCs w:val="20"/>
              </w:rPr>
              <w:t>2002</w:t>
            </w:r>
          </w:p>
        </w:tc>
        <w:tc>
          <w:tcPr>
            <w:tcW w:w="2410" w:type="dxa"/>
            <w:tcBorders>
              <w:top w:val="single" w:sz="6" w:space="0" w:color="auto"/>
              <w:left w:val="single" w:sz="6" w:space="0" w:color="auto"/>
              <w:bottom w:val="single" w:sz="6" w:space="0" w:color="auto"/>
              <w:right w:val="single" w:sz="6" w:space="0" w:color="auto"/>
            </w:tcBorders>
          </w:tcPr>
          <w:p w:rsidR="005110FC" w:rsidRPr="005110FC" w:rsidRDefault="005110FC" w:rsidP="00A90052">
            <w:pPr>
              <w:autoSpaceDE w:val="0"/>
              <w:autoSpaceDN w:val="0"/>
              <w:adjustRightInd w:val="0"/>
              <w:spacing w:after="0" w:line="360" w:lineRule="auto"/>
              <w:jc w:val="both"/>
              <w:rPr>
                <w:rFonts w:ascii="Calibri" w:hAnsi="Calibri" w:cs="Calibri"/>
                <w:color w:val="000000"/>
                <w:sz w:val="20"/>
                <w:szCs w:val="20"/>
              </w:rPr>
            </w:pPr>
            <w:r w:rsidRPr="005110FC">
              <w:rPr>
                <w:rFonts w:ascii="Calibri" w:hAnsi="Calibri" w:cs="Calibri"/>
                <w:color w:val="000000"/>
                <w:sz w:val="20"/>
                <w:szCs w:val="20"/>
              </w:rPr>
              <w:t>-50%</w:t>
            </w:r>
          </w:p>
        </w:tc>
        <w:tc>
          <w:tcPr>
            <w:tcW w:w="2410" w:type="dxa"/>
            <w:tcBorders>
              <w:top w:val="single" w:sz="6" w:space="0" w:color="auto"/>
              <w:left w:val="single" w:sz="6" w:space="0" w:color="auto"/>
              <w:bottom w:val="single" w:sz="6" w:space="0" w:color="auto"/>
              <w:right w:val="single" w:sz="12" w:space="0" w:color="auto"/>
            </w:tcBorders>
          </w:tcPr>
          <w:p w:rsidR="005110FC" w:rsidRPr="005110FC" w:rsidRDefault="005110FC" w:rsidP="00A90052">
            <w:pPr>
              <w:autoSpaceDE w:val="0"/>
              <w:autoSpaceDN w:val="0"/>
              <w:adjustRightInd w:val="0"/>
              <w:spacing w:after="0" w:line="360" w:lineRule="auto"/>
              <w:jc w:val="both"/>
              <w:rPr>
                <w:rFonts w:ascii="Calibri" w:hAnsi="Calibri" w:cs="Calibri"/>
                <w:color w:val="000000"/>
                <w:sz w:val="20"/>
                <w:szCs w:val="20"/>
              </w:rPr>
            </w:pPr>
            <w:r w:rsidRPr="005110FC">
              <w:rPr>
                <w:rFonts w:ascii="Calibri" w:hAnsi="Calibri" w:cs="Calibri"/>
                <w:color w:val="000000"/>
                <w:sz w:val="20"/>
                <w:szCs w:val="20"/>
              </w:rPr>
              <w:t>10.000</w:t>
            </w:r>
          </w:p>
        </w:tc>
      </w:tr>
      <w:tr w:rsidR="005110FC" w:rsidRPr="005110FC" w:rsidTr="005110FC">
        <w:trPr>
          <w:trHeight w:val="290"/>
        </w:trPr>
        <w:tc>
          <w:tcPr>
            <w:tcW w:w="739" w:type="dxa"/>
            <w:tcBorders>
              <w:top w:val="single" w:sz="6" w:space="0" w:color="auto"/>
              <w:left w:val="single" w:sz="12" w:space="0" w:color="auto"/>
              <w:bottom w:val="single" w:sz="6" w:space="0" w:color="auto"/>
              <w:right w:val="single" w:sz="6" w:space="0" w:color="auto"/>
            </w:tcBorders>
          </w:tcPr>
          <w:p w:rsidR="005110FC" w:rsidRPr="005110FC" w:rsidRDefault="005110FC" w:rsidP="00A90052">
            <w:pPr>
              <w:autoSpaceDE w:val="0"/>
              <w:autoSpaceDN w:val="0"/>
              <w:adjustRightInd w:val="0"/>
              <w:spacing w:after="0" w:line="360" w:lineRule="auto"/>
              <w:jc w:val="both"/>
              <w:rPr>
                <w:rFonts w:ascii="Calibri" w:hAnsi="Calibri" w:cs="Calibri"/>
                <w:color w:val="000000"/>
                <w:sz w:val="20"/>
                <w:szCs w:val="20"/>
              </w:rPr>
            </w:pPr>
            <w:r w:rsidRPr="005110FC">
              <w:rPr>
                <w:rFonts w:ascii="Calibri" w:hAnsi="Calibri" w:cs="Calibri"/>
                <w:color w:val="000000"/>
                <w:sz w:val="20"/>
                <w:szCs w:val="20"/>
              </w:rPr>
              <w:t>2003</w:t>
            </w:r>
          </w:p>
        </w:tc>
        <w:tc>
          <w:tcPr>
            <w:tcW w:w="2410" w:type="dxa"/>
            <w:tcBorders>
              <w:top w:val="single" w:sz="6" w:space="0" w:color="auto"/>
              <w:left w:val="single" w:sz="6" w:space="0" w:color="auto"/>
              <w:bottom w:val="single" w:sz="6" w:space="0" w:color="auto"/>
              <w:right w:val="single" w:sz="6" w:space="0" w:color="auto"/>
            </w:tcBorders>
          </w:tcPr>
          <w:p w:rsidR="005110FC" w:rsidRPr="005110FC" w:rsidRDefault="005110FC" w:rsidP="00A90052">
            <w:pPr>
              <w:autoSpaceDE w:val="0"/>
              <w:autoSpaceDN w:val="0"/>
              <w:adjustRightInd w:val="0"/>
              <w:spacing w:after="0" w:line="360" w:lineRule="auto"/>
              <w:jc w:val="both"/>
              <w:rPr>
                <w:rFonts w:ascii="Calibri" w:hAnsi="Calibri" w:cs="Calibri"/>
                <w:color w:val="000000"/>
                <w:sz w:val="20"/>
                <w:szCs w:val="20"/>
              </w:rPr>
            </w:pPr>
            <w:r w:rsidRPr="005110FC">
              <w:rPr>
                <w:rFonts w:ascii="Calibri" w:hAnsi="Calibri" w:cs="Calibri"/>
                <w:color w:val="000000"/>
                <w:sz w:val="20"/>
                <w:szCs w:val="20"/>
              </w:rPr>
              <w:t>0</w:t>
            </w:r>
          </w:p>
        </w:tc>
        <w:tc>
          <w:tcPr>
            <w:tcW w:w="2410" w:type="dxa"/>
            <w:tcBorders>
              <w:top w:val="single" w:sz="6" w:space="0" w:color="auto"/>
              <w:left w:val="single" w:sz="6" w:space="0" w:color="auto"/>
              <w:bottom w:val="single" w:sz="6" w:space="0" w:color="auto"/>
              <w:right w:val="single" w:sz="12" w:space="0" w:color="auto"/>
            </w:tcBorders>
          </w:tcPr>
          <w:p w:rsidR="005110FC" w:rsidRPr="005110FC" w:rsidRDefault="005110FC" w:rsidP="00A90052">
            <w:pPr>
              <w:autoSpaceDE w:val="0"/>
              <w:autoSpaceDN w:val="0"/>
              <w:adjustRightInd w:val="0"/>
              <w:spacing w:after="0" w:line="360" w:lineRule="auto"/>
              <w:jc w:val="both"/>
              <w:rPr>
                <w:rFonts w:ascii="Calibri" w:hAnsi="Calibri" w:cs="Calibri"/>
                <w:color w:val="000000"/>
                <w:sz w:val="20"/>
                <w:szCs w:val="20"/>
              </w:rPr>
            </w:pPr>
            <w:r w:rsidRPr="005110FC">
              <w:rPr>
                <w:rFonts w:ascii="Calibri" w:hAnsi="Calibri" w:cs="Calibri"/>
                <w:color w:val="000000"/>
                <w:sz w:val="20"/>
                <w:szCs w:val="20"/>
              </w:rPr>
              <w:t>10.000</w:t>
            </w:r>
          </w:p>
        </w:tc>
      </w:tr>
      <w:tr w:rsidR="005110FC" w:rsidRPr="005110FC" w:rsidTr="005110FC">
        <w:trPr>
          <w:trHeight w:val="305"/>
        </w:trPr>
        <w:tc>
          <w:tcPr>
            <w:tcW w:w="739" w:type="dxa"/>
            <w:tcBorders>
              <w:top w:val="single" w:sz="6" w:space="0" w:color="auto"/>
              <w:left w:val="single" w:sz="12" w:space="0" w:color="auto"/>
              <w:bottom w:val="single" w:sz="6" w:space="0" w:color="auto"/>
              <w:right w:val="single" w:sz="6" w:space="0" w:color="auto"/>
            </w:tcBorders>
          </w:tcPr>
          <w:p w:rsidR="005110FC" w:rsidRPr="005110FC" w:rsidRDefault="005110FC" w:rsidP="00A90052">
            <w:pPr>
              <w:autoSpaceDE w:val="0"/>
              <w:autoSpaceDN w:val="0"/>
              <w:adjustRightInd w:val="0"/>
              <w:spacing w:after="0" w:line="360" w:lineRule="auto"/>
              <w:jc w:val="both"/>
              <w:rPr>
                <w:rFonts w:ascii="Calibri" w:hAnsi="Calibri" w:cs="Calibri"/>
                <w:color w:val="000000"/>
                <w:sz w:val="20"/>
                <w:szCs w:val="20"/>
              </w:rPr>
            </w:pPr>
            <w:r w:rsidRPr="005110FC">
              <w:rPr>
                <w:rFonts w:ascii="Calibri" w:hAnsi="Calibri" w:cs="Calibri"/>
                <w:color w:val="000000"/>
                <w:sz w:val="20"/>
                <w:szCs w:val="20"/>
              </w:rPr>
              <w:t>2004</w:t>
            </w:r>
          </w:p>
        </w:tc>
        <w:tc>
          <w:tcPr>
            <w:tcW w:w="2410" w:type="dxa"/>
            <w:tcBorders>
              <w:top w:val="single" w:sz="6" w:space="0" w:color="auto"/>
              <w:left w:val="single" w:sz="6" w:space="0" w:color="auto"/>
              <w:bottom w:val="single" w:sz="6" w:space="0" w:color="auto"/>
              <w:right w:val="single" w:sz="6" w:space="0" w:color="auto"/>
            </w:tcBorders>
          </w:tcPr>
          <w:p w:rsidR="005110FC" w:rsidRPr="005110FC" w:rsidRDefault="005110FC" w:rsidP="00A90052">
            <w:pPr>
              <w:autoSpaceDE w:val="0"/>
              <w:autoSpaceDN w:val="0"/>
              <w:adjustRightInd w:val="0"/>
              <w:spacing w:after="0" w:line="360" w:lineRule="auto"/>
              <w:jc w:val="both"/>
              <w:rPr>
                <w:rFonts w:ascii="Calibri" w:hAnsi="Calibri" w:cs="Calibri"/>
                <w:color w:val="000000"/>
                <w:sz w:val="20"/>
                <w:szCs w:val="20"/>
              </w:rPr>
            </w:pPr>
            <w:r w:rsidRPr="005110FC">
              <w:rPr>
                <w:rFonts w:ascii="Calibri" w:hAnsi="Calibri" w:cs="Calibri"/>
                <w:color w:val="000000"/>
                <w:sz w:val="20"/>
                <w:szCs w:val="20"/>
              </w:rPr>
              <w:t>0</w:t>
            </w:r>
          </w:p>
        </w:tc>
        <w:tc>
          <w:tcPr>
            <w:tcW w:w="2410" w:type="dxa"/>
            <w:tcBorders>
              <w:top w:val="single" w:sz="6" w:space="0" w:color="auto"/>
              <w:left w:val="single" w:sz="6" w:space="0" w:color="auto"/>
              <w:bottom w:val="single" w:sz="6" w:space="0" w:color="auto"/>
              <w:right w:val="single" w:sz="12" w:space="0" w:color="auto"/>
            </w:tcBorders>
          </w:tcPr>
          <w:p w:rsidR="005110FC" w:rsidRPr="005110FC" w:rsidRDefault="005110FC" w:rsidP="00A90052">
            <w:pPr>
              <w:autoSpaceDE w:val="0"/>
              <w:autoSpaceDN w:val="0"/>
              <w:adjustRightInd w:val="0"/>
              <w:spacing w:after="0" w:line="360" w:lineRule="auto"/>
              <w:jc w:val="both"/>
              <w:rPr>
                <w:rFonts w:ascii="Calibri" w:hAnsi="Calibri" w:cs="Calibri"/>
                <w:color w:val="000000"/>
                <w:sz w:val="20"/>
                <w:szCs w:val="20"/>
              </w:rPr>
            </w:pPr>
            <w:r w:rsidRPr="005110FC">
              <w:rPr>
                <w:rFonts w:ascii="Calibri" w:hAnsi="Calibri" w:cs="Calibri"/>
                <w:color w:val="000000"/>
                <w:sz w:val="20"/>
                <w:szCs w:val="20"/>
              </w:rPr>
              <w:t>10.000</w:t>
            </w:r>
          </w:p>
        </w:tc>
      </w:tr>
      <w:tr w:rsidR="005110FC" w:rsidRPr="005110FC" w:rsidTr="005110FC">
        <w:trPr>
          <w:trHeight w:val="290"/>
        </w:trPr>
        <w:tc>
          <w:tcPr>
            <w:tcW w:w="739" w:type="dxa"/>
            <w:tcBorders>
              <w:top w:val="single" w:sz="6" w:space="0" w:color="auto"/>
              <w:left w:val="single" w:sz="12" w:space="0" w:color="auto"/>
              <w:bottom w:val="single" w:sz="6" w:space="0" w:color="auto"/>
              <w:right w:val="single" w:sz="6" w:space="0" w:color="auto"/>
            </w:tcBorders>
          </w:tcPr>
          <w:p w:rsidR="005110FC" w:rsidRPr="005110FC" w:rsidRDefault="005110FC" w:rsidP="00A90052">
            <w:pPr>
              <w:autoSpaceDE w:val="0"/>
              <w:autoSpaceDN w:val="0"/>
              <w:adjustRightInd w:val="0"/>
              <w:spacing w:after="0" w:line="360" w:lineRule="auto"/>
              <w:jc w:val="both"/>
              <w:rPr>
                <w:rFonts w:ascii="Calibri" w:hAnsi="Calibri" w:cs="Calibri"/>
                <w:color w:val="000000"/>
                <w:sz w:val="20"/>
                <w:szCs w:val="20"/>
              </w:rPr>
            </w:pPr>
            <w:r w:rsidRPr="005110FC">
              <w:rPr>
                <w:rFonts w:ascii="Calibri" w:hAnsi="Calibri" w:cs="Calibri"/>
                <w:color w:val="000000"/>
                <w:sz w:val="20"/>
                <w:szCs w:val="20"/>
              </w:rPr>
              <w:t>2005</w:t>
            </w:r>
          </w:p>
        </w:tc>
        <w:tc>
          <w:tcPr>
            <w:tcW w:w="2410" w:type="dxa"/>
            <w:tcBorders>
              <w:top w:val="single" w:sz="6" w:space="0" w:color="auto"/>
              <w:left w:val="single" w:sz="6" w:space="0" w:color="auto"/>
              <w:bottom w:val="single" w:sz="6" w:space="0" w:color="auto"/>
              <w:right w:val="single" w:sz="6" w:space="0" w:color="auto"/>
            </w:tcBorders>
          </w:tcPr>
          <w:p w:rsidR="005110FC" w:rsidRPr="005110FC" w:rsidRDefault="005110FC" w:rsidP="00A90052">
            <w:pPr>
              <w:autoSpaceDE w:val="0"/>
              <w:autoSpaceDN w:val="0"/>
              <w:adjustRightInd w:val="0"/>
              <w:spacing w:after="0" w:line="360" w:lineRule="auto"/>
              <w:jc w:val="both"/>
              <w:rPr>
                <w:rFonts w:ascii="Calibri" w:hAnsi="Calibri" w:cs="Calibri"/>
                <w:color w:val="000000"/>
                <w:sz w:val="20"/>
                <w:szCs w:val="20"/>
              </w:rPr>
            </w:pPr>
            <w:r w:rsidRPr="005110FC">
              <w:rPr>
                <w:rFonts w:ascii="Calibri" w:hAnsi="Calibri" w:cs="Calibri"/>
                <w:color w:val="000000"/>
                <w:sz w:val="20"/>
                <w:szCs w:val="20"/>
              </w:rPr>
              <w:t>0</w:t>
            </w:r>
          </w:p>
        </w:tc>
        <w:tc>
          <w:tcPr>
            <w:tcW w:w="2410" w:type="dxa"/>
            <w:tcBorders>
              <w:top w:val="single" w:sz="6" w:space="0" w:color="auto"/>
              <w:left w:val="single" w:sz="6" w:space="0" w:color="auto"/>
              <w:bottom w:val="single" w:sz="6" w:space="0" w:color="auto"/>
              <w:right w:val="single" w:sz="12" w:space="0" w:color="auto"/>
            </w:tcBorders>
          </w:tcPr>
          <w:p w:rsidR="005110FC" w:rsidRPr="005110FC" w:rsidRDefault="005110FC" w:rsidP="00A90052">
            <w:pPr>
              <w:autoSpaceDE w:val="0"/>
              <w:autoSpaceDN w:val="0"/>
              <w:adjustRightInd w:val="0"/>
              <w:spacing w:after="0" w:line="360" w:lineRule="auto"/>
              <w:jc w:val="both"/>
              <w:rPr>
                <w:rFonts w:ascii="Calibri" w:hAnsi="Calibri" w:cs="Calibri"/>
                <w:color w:val="000000"/>
                <w:sz w:val="20"/>
                <w:szCs w:val="20"/>
              </w:rPr>
            </w:pPr>
            <w:r w:rsidRPr="005110FC">
              <w:rPr>
                <w:rFonts w:ascii="Calibri" w:hAnsi="Calibri" w:cs="Calibri"/>
                <w:color w:val="000000"/>
                <w:sz w:val="20"/>
                <w:szCs w:val="20"/>
              </w:rPr>
              <w:t>10.000</w:t>
            </w:r>
          </w:p>
        </w:tc>
      </w:tr>
      <w:tr w:rsidR="005110FC" w:rsidRPr="005110FC" w:rsidTr="005110FC">
        <w:trPr>
          <w:trHeight w:val="305"/>
        </w:trPr>
        <w:tc>
          <w:tcPr>
            <w:tcW w:w="739" w:type="dxa"/>
            <w:tcBorders>
              <w:top w:val="single" w:sz="6" w:space="0" w:color="auto"/>
              <w:left w:val="single" w:sz="12" w:space="0" w:color="auto"/>
              <w:bottom w:val="single" w:sz="12" w:space="0" w:color="auto"/>
              <w:right w:val="single" w:sz="6" w:space="0" w:color="auto"/>
            </w:tcBorders>
          </w:tcPr>
          <w:p w:rsidR="005110FC" w:rsidRPr="005110FC" w:rsidRDefault="005110FC" w:rsidP="00A90052">
            <w:pPr>
              <w:autoSpaceDE w:val="0"/>
              <w:autoSpaceDN w:val="0"/>
              <w:adjustRightInd w:val="0"/>
              <w:spacing w:after="0" w:line="360" w:lineRule="auto"/>
              <w:jc w:val="both"/>
              <w:rPr>
                <w:rFonts w:ascii="Calibri" w:hAnsi="Calibri" w:cs="Calibri"/>
                <w:color w:val="000000"/>
                <w:sz w:val="20"/>
                <w:szCs w:val="20"/>
              </w:rPr>
            </w:pPr>
            <w:r w:rsidRPr="005110FC">
              <w:rPr>
                <w:rFonts w:ascii="Calibri" w:hAnsi="Calibri" w:cs="Calibri"/>
                <w:color w:val="000000"/>
                <w:sz w:val="20"/>
                <w:szCs w:val="20"/>
              </w:rPr>
              <w:t>2006</w:t>
            </w:r>
          </w:p>
        </w:tc>
        <w:tc>
          <w:tcPr>
            <w:tcW w:w="2410" w:type="dxa"/>
            <w:tcBorders>
              <w:top w:val="single" w:sz="6" w:space="0" w:color="auto"/>
              <w:left w:val="single" w:sz="6" w:space="0" w:color="auto"/>
              <w:bottom w:val="single" w:sz="12" w:space="0" w:color="auto"/>
              <w:right w:val="single" w:sz="6" w:space="0" w:color="auto"/>
            </w:tcBorders>
          </w:tcPr>
          <w:p w:rsidR="005110FC" w:rsidRPr="005110FC" w:rsidRDefault="005110FC" w:rsidP="00A90052">
            <w:pPr>
              <w:autoSpaceDE w:val="0"/>
              <w:autoSpaceDN w:val="0"/>
              <w:adjustRightInd w:val="0"/>
              <w:spacing w:after="0" w:line="360" w:lineRule="auto"/>
              <w:jc w:val="both"/>
              <w:rPr>
                <w:rFonts w:ascii="Calibri" w:hAnsi="Calibri" w:cs="Calibri"/>
                <w:color w:val="000000"/>
                <w:sz w:val="20"/>
                <w:szCs w:val="20"/>
              </w:rPr>
            </w:pPr>
            <w:r w:rsidRPr="005110FC">
              <w:rPr>
                <w:rFonts w:ascii="Calibri" w:hAnsi="Calibri" w:cs="Calibri"/>
                <w:color w:val="000000"/>
                <w:sz w:val="20"/>
                <w:szCs w:val="20"/>
              </w:rPr>
              <w:t>0</w:t>
            </w:r>
          </w:p>
        </w:tc>
        <w:tc>
          <w:tcPr>
            <w:tcW w:w="2410" w:type="dxa"/>
            <w:tcBorders>
              <w:top w:val="single" w:sz="6" w:space="0" w:color="auto"/>
              <w:left w:val="single" w:sz="6" w:space="0" w:color="auto"/>
              <w:bottom w:val="single" w:sz="12" w:space="0" w:color="auto"/>
              <w:right w:val="single" w:sz="12" w:space="0" w:color="auto"/>
            </w:tcBorders>
          </w:tcPr>
          <w:p w:rsidR="005110FC" w:rsidRPr="005110FC" w:rsidRDefault="005110FC" w:rsidP="00A90052">
            <w:pPr>
              <w:autoSpaceDE w:val="0"/>
              <w:autoSpaceDN w:val="0"/>
              <w:adjustRightInd w:val="0"/>
              <w:spacing w:after="0" w:line="360" w:lineRule="auto"/>
              <w:jc w:val="both"/>
              <w:rPr>
                <w:rFonts w:ascii="Calibri" w:hAnsi="Calibri" w:cs="Calibri"/>
                <w:color w:val="000000"/>
                <w:sz w:val="20"/>
                <w:szCs w:val="20"/>
              </w:rPr>
            </w:pPr>
            <w:r w:rsidRPr="005110FC">
              <w:rPr>
                <w:rFonts w:ascii="Calibri" w:hAnsi="Calibri" w:cs="Calibri"/>
                <w:color w:val="000000"/>
                <w:sz w:val="20"/>
                <w:szCs w:val="20"/>
              </w:rPr>
              <w:t>10.000</w:t>
            </w:r>
          </w:p>
        </w:tc>
      </w:tr>
    </w:tbl>
    <w:p w:rsidR="005110FC" w:rsidRDefault="005110FC" w:rsidP="00A90052">
      <w:pPr>
        <w:spacing w:line="360" w:lineRule="auto"/>
        <w:contextualSpacing/>
        <w:jc w:val="both"/>
        <w:rPr>
          <w:i/>
        </w:rPr>
      </w:pPr>
      <w:r w:rsidRPr="00E12763">
        <w:rPr>
          <w:i/>
        </w:rPr>
        <w:t xml:space="preserve">Tabel </w:t>
      </w:r>
      <w:r>
        <w:rPr>
          <w:i/>
        </w:rPr>
        <w:t>3</w:t>
      </w:r>
      <w:r w:rsidRPr="00E12763">
        <w:rPr>
          <w:i/>
        </w:rPr>
        <w:t>: waardeontwikkeling machine</w:t>
      </w:r>
      <w:r>
        <w:rPr>
          <w:i/>
        </w:rPr>
        <w:t xml:space="preserve"> 1</w:t>
      </w:r>
    </w:p>
    <w:p w:rsidR="005110FC" w:rsidRDefault="005110FC" w:rsidP="00A90052">
      <w:pPr>
        <w:spacing w:line="360" w:lineRule="auto"/>
        <w:jc w:val="both"/>
        <w:rPr>
          <w:i/>
        </w:rPr>
      </w:pPr>
    </w:p>
    <w:tbl>
      <w:tblPr>
        <w:tblW w:w="5559" w:type="dxa"/>
        <w:tblInd w:w="40" w:type="dxa"/>
        <w:tblLayout w:type="fixed"/>
        <w:tblCellMar>
          <w:left w:w="70" w:type="dxa"/>
          <w:right w:w="70" w:type="dxa"/>
        </w:tblCellMar>
        <w:tblLook w:val="0000"/>
      </w:tblPr>
      <w:tblGrid>
        <w:gridCol w:w="739"/>
        <w:gridCol w:w="2410"/>
        <w:gridCol w:w="2410"/>
      </w:tblGrid>
      <w:tr w:rsidR="00F56B84" w:rsidRPr="00F56B84" w:rsidTr="00F56B84">
        <w:trPr>
          <w:trHeight w:val="305"/>
        </w:trPr>
        <w:tc>
          <w:tcPr>
            <w:tcW w:w="739" w:type="dxa"/>
            <w:tcBorders>
              <w:top w:val="single" w:sz="12" w:space="0" w:color="auto"/>
              <w:left w:val="single" w:sz="12" w:space="0" w:color="auto"/>
              <w:bottom w:val="single" w:sz="12" w:space="0" w:color="auto"/>
              <w:right w:val="single" w:sz="6" w:space="0" w:color="auto"/>
            </w:tcBorders>
          </w:tcPr>
          <w:p w:rsidR="00F56B84" w:rsidRPr="00F56B84" w:rsidRDefault="00F56B84" w:rsidP="00A90052">
            <w:pPr>
              <w:autoSpaceDE w:val="0"/>
              <w:autoSpaceDN w:val="0"/>
              <w:adjustRightInd w:val="0"/>
              <w:spacing w:after="0" w:line="360" w:lineRule="auto"/>
              <w:jc w:val="both"/>
              <w:rPr>
                <w:rFonts w:ascii="Calibri" w:hAnsi="Calibri" w:cs="Calibri"/>
                <w:b/>
                <w:bCs/>
                <w:color w:val="000000"/>
                <w:sz w:val="20"/>
                <w:szCs w:val="20"/>
              </w:rPr>
            </w:pPr>
            <w:r w:rsidRPr="00F56B84">
              <w:rPr>
                <w:rFonts w:ascii="Calibri" w:hAnsi="Calibri" w:cs="Calibri"/>
                <w:b/>
                <w:bCs/>
                <w:color w:val="000000"/>
                <w:sz w:val="20"/>
                <w:szCs w:val="20"/>
              </w:rPr>
              <w:t>Jaar</w:t>
            </w:r>
          </w:p>
        </w:tc>
        <w:tc>
          <w:tcPr>
            <w:tcW w:w="2410" w:type="dxa"/>
            <w:tcBorders>
              <w:top w:val="single" w:sz="12" w:space="0" w:color="auto"/>
              <w:left w:val="single" w:sz="6" w:space="0" w:color="auto"/>
              <w:bottom w:val="single" w:sz="12" w:space="0" w:color="auto"/>
              <w:right w:val="single" w:sz="6" w:space="0" w:color="auto"/>
            </w:tcBorders>
          </w:tcPr>
          <w:p w:rsidR="00F56B84" w:rsidRPr="00F56B84" w:rsidRDefault="00F56B84" w:rsidP="00A90052">
            <w:pPr>
              <w:autoSpaceDE w:val="0"/>
              <w:autoSpaceDN w:val="0"/>
              <w:adjustRightInd w:val="0"/>
              <w:spacing w:after="0" w:line="360" w:lineRule="auto"/>
              <w:jc w:val="both"/>
              <w:rPr>
                <w:rFonts w:ascii="Calibri" w:hAnsi="Calibri" w:cs="Calibri"/>
                <w:b/>
                <w:bCs/>
                <w:color w:val="000000"/>
                <w:sz w:val="20"/>
                <w:szCs w:val="20"/>
              </w:rPr>
            </w:pPr>
            <w:r w:rsidRPr="00F56B84">
              <w:rPr>
                <w:rFonts w:ascii="Calibri" w:hAnsi="Calibri" w:cs="Calibri"/>
                <w:b/>
                <w:bCs/>
                <w:color w:val="000000"/>
                <w:sz w:val="20"/>
                <w:szCs w:val="20"/>
              </w:rPr>
              <w:t>Waardeontwikkeling (%)</w:t>
            </w:r>
          </w:p>
        </w:tc>
        <w:tc>
          <w:tcPr>
            <w:tcW w:w="2410" w:type="dxa"/>
            <w:tcBorders>
              <w:top w:val="single" w:sz="12" w:space="0" w:color="auto"/>
              <w:left w:val="single" w:sz="6" w:space="0" w:color="auto"/>
              <w:bottom w:val="single" w:sz="12" w:space="0" w:color="auto"/>
              <w:right w:val="single" w:sz="12" w:space="0" w:color="auto"/>
            </w:tcBorders>
          </w:tcPr>
          <w:p w:rsidR="00F56B84" w:rsidRPr="00F56B84" w:rsidRDefault="00F56B84" w:rsidP="00A90052">
            <w:pPr>
              <w:autoSpaceDE w:val="0"/>
              <w:autoSpaceDN w:val="0"/>
              <w:adjustRightInd w:val="0"/>
              <w:spacing w:after="0" w:line="360" w:lineRule="auto"/>
              <w:jc w:val="both"/>
              <w:rPr>
                <w:rFonts w:ascii="Calibri" w:hAnsi="Calibri" w:cs="Calibri"/>
                <w:b/>
                <w:bCs/>
                <w:color w:val="000000"/>
                <w:sz w:val="20"/>
                <w:szCs w:val="20"/>
              </w:rPr>
            </w:pPr>
            <w:r w:rsidRPr="00F56B84">
              <w:rPr>
                <w:rFonts w:ascii="Calibri" w:hAnsi="Calibri" w:cs="Calibri"/>
                <w:b/>
                <w:bCs/>
                <w:color w:val="000000"/>
                <w:sz w:val="20"/>
                <w:szCs w:val="20"/>
              </w:rPr>
              <w:t>Waarde machines</w:t>
            </w:r>
          </w:p>
        </w:tc>
      </w:tr>
      <w:tr w:rsidR="00F56B84" w:rsidRPr="00F56B84" w:rsidTr="00F56B84">
        <w:trPr>
          <w:trHeight w:val="290"/>
        </w:trPr>
        <w:tc>
          <w:tcPr>
            <w:tcW w:w="739" w:type="dxa"/>
            <w:tcBorders>
              <w:top w:val="nil"/>
              <w:left w:val="single" w:sz="12" w:space="0" w:color="auto"/>
              <w:bottom w:val="single" w:sz="6" w:space="0" w:color="auto"/>
              <w:right w:val="single" w:sz="6" w:space="0" w:color="auto"/>
            </w:tcBorders>
          </w:tcPr>
          <w:p w:rsidR="00F56B84" w:rsidRPr="00F56B84" w:rsidRDefault="00F56B84" w:rsidP="00A90052">
            <w:pPr>
              <w:autoSpaceDE w:val="0"/>
              <w:autoSpaceDN w:val="0"/>
              <w:adjustRightInd w:val="0"/>
              <w:spacing w:after="0" w:line="360" w:lineRule="auto"/>
              <w:jc w:val="both"/>
              <w:rPr>
                <w:rFonts w:ascii="Calibri" w:hAnsi="Calibri" w:cs="Calibri"/>
                <w:color w:val="000000"/>
                <w:sz w:val="20"/>
                <w:szCs w:val="20"/>
              </w:rPr>
            </w:pPr>
            <w:r w:rsidRPr="00F56B84">
              <w:rPr>
                <w:rFonts w:ascii="Calibri" w:hAnsi="Calibri" w:cs="Calibri"/>
                <w:color w:val="000000"/>
                <w:sz w:val="20"/>
                <w:szCs w:val="20"/>
              </w:rPr>
              <w:t>2007</w:t>
            </w:r>
          </w:p>
        </w:tc>
        <w:tc>
          <w:tcPr>
            <w:tcW w:w="2410" w:type="dxa"/>
            <w:tcBorders>
              <w:top w:val="nil"/>
              <w:left w:val="single" w:sz="6" w:space="0" w:color="auto"/>
              <w:bottom w:val="single" w:sz="6" w:space="0" w:color="auto"/>
              <w:right w:val="single" w:sz="6" w:space="0" w:color="auto"/>
            </w:tcBorders>
          </w:tcPr>
          <w:p w:rsidR="00F56B84" w:rsidRPr="00F56B84" w:rsidRDefault="00F56B84" w:rsidP="00A90052">
            <w:pPr>
              <w:autoSpaceDE w:val="0"/>
              <w:autoSpaceDN w:val="0"/>
              <w:adjustRightInd w:val="0"/>
              <w:spacing w:after="0" w:line="360" w:lineRule="auto"/>
              <w:jc w:val="both"/>
              <w:rPr>
                <w:rFonts w:ascii="Calibri" w:hAnsi="Calibri" w:cs="Calibri"/>
                <w:color w:val="000000"/>
                <w:sz w:val="20"/>
                <w:szCs w:val="20"/>
              </w:rPr>
            </w:pPr>
            <w:r>
              <w:rPr>
                <w:rFonts w:ascii="Calibri" w:hAnsi="Calibri" w:cs="Calibri"/>
                <w:color w:val="000000"/>
                <w:sz w:val="20"/>
                <w:szCs w:val="20"/>
              </w:rPr>
              <w:t>-8%</w:t>
            </w:r>
          </w:p>
        </w:tc>
        <w:tc>
          <w:tcPr>
            <w:tcW w:w="2410" w:type="dxa"/>
            <w:tcBorders>
              <w:top w:val="nil"/>
              <w:left w:val="single" w:sz="6" w:space="0" w:color="auto"/>
              <w:bottom w:val="single" w:sz="6" w:space="0" w:color="auto"/>
              <w:right w:val="single" w:sz="12" w:space="0" w:color="auto"/>
            </w:tcBorders>
          </w:tcPr>
          <w:p w:rsidR="00F56B84" w:rsidRPr="00F56B84" w:rsidRDefault="00F56B84" w:rsidP="00A90052">
            <w:pPr>
              <w:autoSpaceDE w:val="0"/>
              <w:autoSpaceDN w:val="0"/>
              <w:adjustRightInd w:val="0"/>
              <w:spacing w:after="0" w:line="360" w:lineRule="auto"/>
              <w:jc w:val="both"/>
              <w:rPr>
                <w:rFonts w:ascii="Calibri" w:hAnsi="Calibri" w:cs="Calibri"/>
                <w:color w:val="000000"/>
                <w:sz w:val="20"/>
                <w:szCs w:val="20"/>
              </w:rPr>
            </w:pPr>
            <w:r w:rsidRPr="00F56B84">
              <w:rPr>
                <w:rFonts w:ascii="Calibri" w:hAnsi="Calibri" w:cs="Calibri"/>
                <w:color w:val="000000"/>
                <w:sz w:val="20"/>
                <w:szCs w:val="20"/>
              </w:rPr>
              <w:t>460.000</w:t>
            </w:r>
          </w:p>
        </w:tc>
      </w:tr>
      <w:tr w:rsidR="00F56B84" w:rsidRPr="00F56B84" w:rsidTr="00F56B84">
        <w:trPr>
          <w:trHeight w:val="290"/>
        </w:trPr>
        <w:tc>
          <w:tcPr>
            <w:tcW w:w="739" w:type="dxa"/>
            <w:tcBorders>
              <w:top w:val="single" w:sz="6" w:space="0" w:color="auto"/>
              <w:left w:val="single" w:sz="12" w:space="0" w:color="auto"/>
              <w:bottom w:val="single" w:sz="6" w:space="0" w:color="auto"/>
              <w:right w:val="single" w:sz="6" w:space="0" w:color="auto"/>
            </w:tcBorders>
          </w:tcPr>
          <w:p w:rsidR="00F56B84" w:rsidRPr="00F56B84" w:rsidRDefault="00F56B84" w:rsidP="00A90052">
            <w:pPr>
              <w:autoSpaceDE w:val="0"/>
              <w:autoSpaceDN w:val="0"/>
              <w:adjustRightInd w:val="0"/>
              <w:spacing w:after="0" w:line="360" w:lineRule="auto"/>
              <w:jc w:val="both"/>
              <w:rPr>
                <w:rFonts w:ascii="Calibri" w:hAnsi="Calibri" w:cs="Calibri"/>
                <w:color w:val="000000"/>
                <w:sz w:val="20"/>
                <w:szCs w:val="20"/>
              </w:rPr>
            </w:pPr>
            <w:r w:rsidRPr="00F56B84">
              <w:rPr>
                <w:rFonts w:ascii="Calibri" w:hAnsi="Calibri" w:cs="Calibri"/>
                <w:color w:val="000000"/>
                <w:sz w:val="20"/>
                <w:szCs w:val="20"/>
              </w:rPr>
              <w:t>2008</w:t>
            </w:r>
          </w:p>
        </w:tc>
        <w:tc>
          <w:tcPr>
            <w:tcW w:w="2410" w:type="dxa"/>
            <w:tcBorders>
              <w:top w:val="single" w:sz="6" w:space="0" w:color="auto"/>
              <w:left w:val="single" w:sz="6" w:space="0" w:color="auto"/>
              <w:bottom w:val="single" w:sz="6" w:space="0" w:color="auto"/>
              <w:right w:val="single" w:sz="6" w:space="0" w:color="auto"/>
            </w:tcBorders>
          </w:tcPr>
          <w:p w:rsidR="00F56B84" w:rsidRPr="00F56B84" w:rsidRDefault="00F56B84" w:rsidP="00A90052">
            <w:pPr>
              <w:autoSpaceDE w:val="0"/>
              <w:autoSpaceDN w:val="0"/>
              <w:adjustRightInd w:val="0"/>
              <w:spacing w:after="0" w:line="360" w:lineRule="auto"/>
              <w:jc w:val="both"/>
              <w:rPr>
                <w:rFonts w:ascii="Calibri" w:hAnsi="Calibri" w:cs="Calibri"/>
                <w:color w:val="000000"/>
                <w:sz w:val="20"/>
                <w:szCs w:val="20"/>
              </w:rPr>
            </w:pPr>
            <w:r>
              <w:rPr>
                <w:rFonts w:ascii="Calibri" w:hAnsi="Calibri" w:cs="Calibri"/>
                <w:color w:val="000000"/>
                <w:sz w:val="20"/>
                <w:szCs w:val="20"/>
              </w:rPr>
              <w:t>-8,7%</w:t>
            </w:r>
          </w:p>
        </w:tc>
        <w:tc>
          <w:tcPr>
            <w:tcW w:w="2410" w:type="dxa"/>
            <w:tcBorders>
              <w:top w:val="single" w:sz="6" w:space="0" w:color="auto"/>
              <w:left w:val="single" w:sz="6" w:space="0" w:color="auto"/>
              <w:bottom w:val="single" w:sz="6" w:space="0" w:color="auto"/>
              <w:right w:val="single" w:sz="12" w:space="0" w:color="auto"/>
            </w:tcBorders>
          </w:tcPr>
          <w:p w:rsidR="00F56B84" w:rsidRPr="00F56B84" w:rsidRDefault="00F56B84" w:rsidP="00A90052">
            <w:pPr>
              <w:autoSpaceDE w:val="0"/>
              <w:autoSpaceDN w:val="0"/>
              <w:adjustRightInd w:val="0"/>
              <w:spacing w:after="0" w:line="360" w:lineRule="auto"/>
              <w:jc w:val="both"/>
              <w:rPr>
                <w:rFonts w:ascii="Calibri" w:hAnsi="Calibri" w:cs="Calibri"/>
                <w:color w:val="000000"/>
                <w:sz w:val="20"/>
                <w:szCs w:val="20"/>
              </w:rPr>
            </w:pPr>
            <w:r w:rsidRPr="00F56B84">
              <w:rPr>
                <w:rFonts w:ascii="Calibri" w:hAnsi="Calibri" w:cs="Calibri"/>
                <w:color w:val="000000"/>
                <w:sz w:val="20"/>
                <w:szCs w:val="20"/>
              </w:rPr>
              <w:t>420.000</w:t>
            </w:r>
          </w:p>
        </w:tc>
      </w:tr>
      <w:tr w:rsidR="00F56B84" w:rsidRPr="00F56B84" w:rsidTr="00F56B84">
        <w:trPr>
          <w:trHeight w:val="290"/>
        </w:trPr>
        <w:tc>
          <w:tcPr>
            <w:tcW w:w="739" w:type="dxa"/>
            <w:tcBorders>
              <w:top w:val="single" w:sz="6" w:space="0" w:color="auto"/>
              <w:left w:val="single" w:sz="12" w:space="0" w:color="auto"/>
              <w:bottom w:val="single" w:sz="6" w:space="0" w:color="auto"/>
              <w:right w:val="single" w:sz="6" w:space="0" w:color="auto"/>
            </w:tcBorders>
          </w:tcPr>
          <w:p w:rsidR="00F56B84" w:rsidRPr="00F56B84" w:rsidRDefault="00F56B84" w:rsidP="00A90052">
            <w:pPr>
              <w:autoSpaceDE w:val="0"/>
              <w:autoSpaceDN w:val="0"/>
              <w:adjustRightInd w:val="0"/>
              <w:spacing w:after="0" w:line="360" w:lineRule="auto"/>
              <w:jc w:val="both"/>
              <w:rPr>
                <w:rFonts w:ascii="Calibri" w:hAnsi="Calibri" w:cs="Calibri"/>
                <w:color w:val="000000"/>
                <w:sz w:val="20"/>
                <w:szCs w:val="20"/>
              </w:rPr>
            </w:pPr>
            <w:r w:rsidRPr="00F56B84">
              <w:rPr>
                <w:rFonts w:ascii="Calibri" w:hAnsi="Calibri" w:cs="Calibri"/>
                <w:color w:val="000000"/>
                <w:sz w:val="20"/>
                <w:szCs w:val="20"/>
              </w:rPr>
              <w:t>2009</w:t>
            </w:r>
          </w:p>
        </w:tc>
        <w:tc>
          <w:tcPr>
            <w:tcW w:w="2410" w:type="dxa"/>
            <w:tcBorders>
              <w:top w:val="single" w:sz="6" w:space="0" w:color="auto"/>
              <w:left w:val="single" w:sz="6" w:space="0" w:color="auto"/>
              <w:bottom w:val="single" w:sz="6" w:space="0" w:color="auto"/>
              <w:right w:val="single" w:sz="6" w:space="0" w:color="auto"/>
            </w:tcBorders>
          </w:tcPr>
          <w:p w:rsidR="00F56B84" w:rsidRPr="00F56B84" w:rsidRDefault="00F56B84" w:rsidP="00A90052">
            <w:pPr>
              <w:autoSpaceDE w:val="0"/>
              <w:autoSpaceDN w:val="0"/>
              <w:adjustRightInd w:val="0"/>
              <w:spacing w:after="0" w:line="360" w:lineRule="auto"/>
              <w:jc w:val="both"/>
              <w:rPr>
                <w:rFonts w:ascii="Calibri" w:hAnsi="Calibri" w:cs="Calibri"/>
                <w:color w:val="000000"/>
                <w:sz w:val="20"/>
                <w:szCs w:val="20"/>
              </w:rPr>
            </w:pPr>
            <w:r w:rsidRPr="00F56B84">
              <w:rPr>
                <w:rFonts w:ascii="Calibri" w:hAnsi="Calibri" w:cs="Calibri"/>
                <w:color w:val="000000"/>
                <w:sz w:val="20"/>
                <w:szCs w:val="20"/>
              </w:rPr>
              <w:t>-</w:t>
            </w:r>
            <w:r>
              <w:rPr>
                <w:rFonts w:ascii="Calibri" w:hAnsi="Calibri" w:cs="Calibri"/>
                <w:color w:val="000000"/>
                <w:sz w:val="20"/>
                <w:szCs w:val="20"/>
              </w:rPr>
              <w:t>9,5%</w:t>
            </w:r>
          </w:p>
        </w:tc>
        <w:tc>
          <w:tcPr>
            <w:tcW w:w="2410" w:type="dxa"/>
            <w:tcBorders>
              <w:top w:val="single" w:sz="6" w:space="0" w:color="auto"/>
              <w:left w:val="single" w:sz="6" w:space="0" w:color="auto"/>
              <w:bottom w:val="single" w:sz="6" w:space="0" w:color="auto"/>
              <w:right w:val="single" w:sz="12" w:space="0" w:color="auto"/>
            </w:tcBorders>
          </w:tcPr>
          <w:p w:rsidR="00F56B84" w:rsidRPr="00F56B84" w:rsidRDefault="00F56B84" w:rsidP="00A90052">
            <w:pPr>
              <w:autoSpaceDE w:val="0"/>
              <w:autoSpaceDN w:val="0"/>
              <w:adjustRightInd w:val="0"/>
              <w:spacing w:after="0" w:line="360" w:lineRule="auto"/>
              <w:jc w:val="both"/>
              <w:rPr>
                <w:rFonts w:ascii="Calibri" w:hAnsi="Calibri" w:cs="Calibri"/>
                <w:color w:val="000000"/>
                <w:sz w:val="20"/>
                <w:szCs w:val="20"/>
              </w:rPr>
            </w:pPr>
            <w:r w:rsidRPr="00F56B84">
              <w:rPr>
                <w:rFonts w:ascii="Calibri" w:hAnsi="Calibri" w:cs="Calibri"/>
                <w:color w:val="000000"/>
                <w:sz w:val="20"/>
                <w:szCs w:val="20"/>
              </w:rPr>
              <w:t>380.000</w:t>
            </w:r>
          </w:p>
        </w:tc>
      </w:tr>
      <w:tr w:rsidR="00F56B84" w:rsidRPr="00F56B84" w:rsidTr="00F56B84">
        <w:trPr>
          <w:trHeight w:val="305"/>
        </w:trPr>
        <w:tc>
          <w:tcPr>
            <w:tcW w:w="739" w:type="dxa"/>
            <w:tcBorders>
              <w:top w:val="single" w:sz="6" w:space="0" w:color="auto"/>
              <w:left w:val="single" w:sz="12" w:space="0" w:color="auto"/>
              <w:bottom w:val="single" w:sz="12" w:space="0" w:color="auto"/>
              <w:right w:val="single" w:sz="6" w:space="0" w:color="auto"/>
            </w:tcBorders>
          </w:tcPr>
          <w:p w:rsidR="00F56B84" w:rsidRPr="00F56B84" w:rsidRDefault="00F56B84" w:rsidP="00A90052">
            <w:pPr>
              <w:autoSpaceDE w:val="0"/>
              <w:autoSpaceDN w:val="0"/>
              <w:adjustRightInd w:val="0"/>
              <w:spacing w:after="0" w:line="360" w:lineRule="auto"/>
              <w:jc w:val="both"/>
              <w:rPr>
                <w:rFonts w:ascii="Calibri" w:hAnsi="Calibri" w:cs="Calibri"/>
                <w:color w:val="000000"/>
                <w:sz w:val="20"/>
                <w:szCs w:val="20"/>
              </w:rPr>
            </w:pPr>
            <w:r w:rsidRPr="00F56B84">
              <w:rPr>
                <w:rFonts w:ascii="Calibri" w:hAnsi="Calibri" w:cs="Calibri"/>
                <w:color w:val="000000"/>
                <w:sz w:val="20"/>
                <w:szCs w:val="20"/>
              </w:rPr>
              <w:t>2010</w:t>
            </w:r>
          </w:p>
        </w:tc>
        <w:tc>
          <w:tcPr>
            <w:tcW w:w="2410" w:type="dxa"/>
            <w:tcBorders>
              <w:top w:val="single" w:sz="6" w:space="0" w:color="auto"/>
              <w:left w:val="single" w:sz="6" w:space="0" w:color="auto"/>
              <w:bottom w:val="single" w:sz="12" w:space="0" w:color="auto"/>
              <w:right w:val="single" w:sz="6" w:space="0" w:color="auto"/>
            </w:tcBorders>
          </w:tcPr>
          <w:p w:rsidR="00F56B84" w:rsidRPr="00F56B84" w:rsidRDefault="00F56B84" w:rsidP="00A90052">
            <w:pPr>
              <w:autoSpaceDE w:val="0"/>
              <w:autoSpaceDN w:val="0"/>
              <w:adjustRightInd w:val="0"/>
              <w:spacing w:after="0" w:line="360" w:lineRule="auto"/>
              <w:jc w:val="both"/>
              <w:rPr>
                <w:rFonts w:ascii="Calibri" w:hAnsi="Calibri" w:cs="Calibri"/>
                <w:color w:val="000000"/>
                <w:sz w:val="20"/>
                <w:szCs w:val="20"/>
              </w:rPr>
            </w:pPr>
            <w:r>
              <w:rPr>
                <w:rFonts w:ascii="Calibri" w:hAnsi="Calibri" w:cs="Calibri"/>
                <w:color w:val="000000"/>
                <w:sz w:val="20"/>
                <w:szCs w:val="20"/>
              </w:rPr>
              <w:t>-10,5%</w:t>
            </w:r>
          </w:p>
        </w:tc>
        <w:tc>
          <w:tcPr>
            <w:tcW w:w="2410" w:type="dxa"/>
            <w:tcBorders>
              <w:top w:val="single" w:sz="6" w:space="0" w:color="auto"/>
              <w:left w:val="single" w:sz="6" w:space="0" w:color="auto"/>
              <w:bottom w:val="single" w:sz="12" w:space="0" w:color="auto"/>
              <w:right w:val="single" w:sz="12" w:space="0" w:color="auto"/>
            </w:tcBorders>
          </w:tcPr>
          <w:p w:rsidR="00F56B84" w:rsidRPr="00F56B84" w:rsidRDefault="00F56B84" w:rsidP="00A90052">
            <w:pPr>
              <w:autoSpaceDE w:val="0"/>
              <w:autoSpaceDN w:val="0"/>
              <w:adjustRightInd w:val="0"/>
              <w:spacing w:after="0" w:line="360" w:lineRule="auto"/>
              <w:jc w:val="both"/>
              <w:rPr>
                <w:rFonts w:ascii="Calibri" w:hAnsi="Calibri" w:cs="Calibri"/>
                <w:color w:val="000000"/>
                <w:sz w:val="20"/>
                <w:szCs w:val="20"/>
              </w:rPr>
            </w:pPr>
            <w:r w:rsidRPr="00F56B84">
              <w:rPr>
                <w:rFonts w:ascii="Calibri" w:hAnsi="Calibri" w:cs="Calibri"/>
                <w:color w:val="000000"/>
                <w:sz w:val="20"/>
                <w:szCs w:val="20"/>
              </w:rPr>
              <w:t>340.000</w:t>
            </w:r>
          </w:p>
        </w:tc>
      </w:tr>
    </w:tbl>
    <w:p w:rsidR="00F56B84" w:rsidRDefault="00F56B84" w:rsidP="00A90052">
      <w:pPr>
        <w:spacing w:line="360" w:lineRule="auto"/>
        <w:contextualSpacing/>
        <w:jc w:val="both"/>
        <w:rPr>
          <w:i/>
        </w:rPr>
      </w:pPr>
      <w:r w:rsidRPr="00E12763">
        <w:rPr>
          <w:i/>
        </w:rPr>
        <w:t xml:space="preserve">Tabel </w:t>
      </w:r>
      <w:r>
        <w:rPr>
          <w:i/>
        </w:rPr>
        <w:t>4</w:t>
      </w:r>
      <w:r w:rsidRPr="00E12763">
        <w:rPr>
          <w:i/>
        </w:rPr>
        <w:t>: waardeontwikkeling machine</w:t>
      </w:r>
      <w:r>
        <w:rPr>
          <w:i/>
        </w:rPr>
        <w:t xml:space="preserve"> 2</w:t>
      </w:r>
    </w:p>
    <w:p w:rsidR="00F56B84" w:rsidRDefault="00F56B84" w:rsidP="00F56B84">
      <w:pPr>
        <w:spacing w:line="360" w:lineRule="auto"/>
      </w:pPr>
    </w:p>
    <w:p w:rsidR="00A90052" w:rsidRDefault="00A90052" w:rsidP="00F56B84">
      <w:pPr>
        <w:spacing w:line="360" w:lineRule="auto"/>
      </w:pPr>
    </w:p>
    <w:p w:rsidR="00A90052" w:rsidRDefault="00A90052" w:rsidP="00F56B84">
      <w:pPr>
        <w:spacing w:line="360" w:lineRule="auto"/>
      </w:pPr>
    </w:p>
    <w:tbl>
      <w:tblPr>
        <w:tblW w:w="0" w:type="auto"/>
        <w:tblLayout w:type="fixed"/>
        <w:tblCellMar>
          <w:left w:w="70" w:type="dxa"/>
          <w:right w:w="70" w:type="dxa"/>
        </w:tblCellMar>
        <w:tblLook w:val="0000"/>
      </w:tblPr>
      <w:tblGrid>
        <w:gridCol w:w="779"/>
        <w:gridCol w:w="2410"/>
      </w:tblGrid>
      <w:tr w:rsidR="00A90052" w:rsidRPr="00A90052" w:rsidTr="00A90052">
        <w:trPr>
          <w:trHeight w:val="305"/>
        </w:trPr>
        <w:tc>
          <w:tcPr>
            <w:tcW w:w="779" w:type="dxa"/>
            <w:tcBorders>
              <w:top w:val="single" w:sz="12" w:space="0" w:color="auto"/>
              <w:left w:val="single" w:sz="12" w:space="0" w:color="auto"/>
              <w:bottom w:val="single" w:sz="12" w:space="0" w:color="auto"/>
              <w:right w:val="single" w:sz="6" w:space="0" w:color="auto"/>
            </w:tcBorders>
          </w:tcPr>
          <w:p w:rsidR="00A90052" w:rsidRPr="00A90052" w:rsidRDefault="00A90052" w:rsidP="008C5D80">
            <w:pPr>
              <w:autoSpaceDE w:val="0"/>
              <w:autoSpaceDN w:val="0"/>
              <w:adjustRightInd w:val="0"/>
              <w:spacing w:after="0" w:line="360" w:lineRule="auto"/>
              <w:ind w:left="29778" w:hanging="29778"/>
              <w:jc w:val="both"/>
              <w:rPr>
                <w:rFonts w:ascii="Calibri" w:hAnsi="Calibri" w:cs="Calibri"/>
                <w:b/>
                <w:bCs/>
                <w:color w:val="000000"/>
                <w:sz w:val="20"/>
                <w:szCs w:val="20"/>
              </w:rPr>
            </w:pPr>
            <w:r w:rsidRPr="00A90052">
              <w:rPr>
                <w:rFonts w:ascii="Calibri" w:hAnsi="Calibri" w:cs="Calibri"/>
                <w:b/>
                <w:bCs/>
                <w:color w:val="000000"/>
                <w:sz w:val="20"/>
                <w:szCs w:val="20"/>
              </w:rPr>
              <w:lastRenderedPageBreak/>
              <w:t>Jaar</w:t>
            </w:r>
          </w:p>
        </w:tc>
        <w:tc>
          <w:tcPr>
            <w:tcW w:w="2410" w:type="dxa"/>
            <w:tcBorders>
              <w:top w:val="single" w:sz="12" w:space="0" w:color="auto"/>
              <w:left w:val="single" w:sz="6" w:space="0" w:color="auto"/>
              <w:bottom w:val="single" w:sz="12" w:space="0" w:color="auto"/>
              <w:right w:val="single" w:sz="12" w:space="0" w:color="auto"/>
            </w:tcBorders>
          </w:tcPr>
          <w:p w:rsidR="00A90052" w:rsidRPr="00A90052" w:rsidRDefault="00A90052" w:rsidP="008C5D80">
            <w:pPr>
              <w:autoSpaceDE w:val="0"/>
              <w:autoSpaceDN w:val="0"/>
              <w:adjustRightInd w:val="0"/>
              <w:spacing w:after="0" w:line="360" w:lineRule="auto"/>
              <w:ind w:left="29778" w:hanging="29778"/>
              <w:jc w:val="both"/>
              <w:rPr>
                <w:rFonts w:ascii="Calibri" w:hAnsi="Calibri" w:cs="Calibri"/>
                <w:b/>
                <w:bCs/>
                <w:color w:val="000000"/>
                <w:sz w:val="20"/>
                <w:szCs w:val="20"/>
              </w:rPr>
            </w:pPr>
            <w:r w:rsidRPr="00A90052">
              <w:rPr>
                <w:rFonts w:ascii="Calibri" w:hAnsi="Calibri" w:cs="Calibri"/>
                <w:b/>
                <w:bCs/>
                <w:color w:val="000000"/>
                <w:sz w:val="20"/>
                <w:szCs w:val="20"/>
              </w:rPr>
              <w:t>Goodwill</w:t>
            </w:r>
          </w:p>
        </w:tc>
      </w:tr>
      <w:tr w:rsidR="00A90052" w:rsidRPr="00A90052" w:rsidTr="00A90052">
        <w:trPr>
          <w:trHeight w:val="290"/>
        </w:trPr>
        <w:tc>
          <w:tcPr>
            <w:tcW w:w="779" w:type="dxa"/>
            <w:tcBorders>
              <w:top w:val="nil"/>
              <w:left w:val="single" w:sz="12" w:space="0" w:color="auto"/>
              <w:bottom w:val="single" w:sz="6" w:space="0" w:color="auto"/>
              <w:right w:val="single" w:sz="6" w:space="0" w:color="auto"/>
            </w:tcBorders>
          </w:tcPr>
          <w:p w:rsidR="00A90052" w:rsidRPr="00A90052" w:rsidRDefault="00A90052" w:rsidP="008C5D80">
            <w:pPr>
              <w:autoSpaceDE w:val="0"/>
              <w:autoSpaceDN w:val="0"/>
              <w:adjustRightInd w:val="0"/>
              <w:spacing w:after="0" w:line="360" w:lineRule="auto"/>
              <w:ind w:left="29778" w:hanging="29778"/>
              <w:jc w:val="both"/>
              <w:rPr>
                <w:rFonts w:ascii="Calibri" w:hAnsi="Calibri" w:cs="Calibri"/>
                <w:color w:val="000000"/>
                <w:sz w:val="20"/>
                <w:szCs w:val="20"/>
              </w:rPr>
            </w:pPr>
            <w:r w:rsidRPr="00A90052">
              <w:rPr>
                <w:rFonts w:ascii="Calibri" w:hAnsi="Calibri" w:cs="Calibri"/>
                <w:color w:val="000000"/>
                <w:sz w:val="20"/>
                <w:szCs w:val="20"/>
              </w:rPr>
              <w:t>2001</w:t>
            </w:r>
          </w:p>
        </w:tc>
        <w:tc>
          <w:tcPr>
            <w:tcW w:w="2410" w:type="dxa"/>
            <w:tcBorders>
              <w:top w:val="nil"/>
              <w:left w:val="single" w:sz="6" w:space="0" w:color="auto"/>
              <w:bottom w:val="single" w:sz="6" w:space="0" w:color="auto"/>
              <w:right w:val="single" w:sz="12" w:space="0" w:color="auto"/>
            </w:tcBorders>
          </w:tcPr>
          <w:p w:rsidR="00A90052" w:rsidRPr="00A90052" w:rsidRDefault="00A90052" w:rsidP="008C5D80">
            <w:pPr>
              <w:autoSpaceDE w:val="0"/>
              <w:autoSpaceDN w:val="0"/>
              <w:adjustRightInd w:val="0"/>
              <w:spacing w:after="0" w:line="360" w:lineRule="auto"/>
              <w:ind w:left="29778" w:hanging="29778"/>
              <w:jc w:val="both"/>
              <w:rPr>
                <w:rFonts w:ascii="Calibri" w:hAnsi="Calibri" w:cs="Calibri"/>
                <w:color w:val="000000"/>
                <w:sz w:val="20"/>
                <w:szCs w:val="20"/>
              </w:rPr>
            </w:pPr>
            <w:r w:rsidRPr="00A90052">
              <w:rPr>
                <w:rFonts w:ascii="Calibri" w:hAnsi="Calibri" w:cs="Calibri"/>
                <w:color w:val="000000"/>
                <w:sz w:val="20"/>
                <w:szCs w:val="20"/>
              </w:rPr>
              <w:t>10.000</w:t>
            </w:r>
          </w:p>
        </w:tc>
      </w:tr>
      <w:tr w:rsidR="00A90052" w:rsidRPr="00A90052" w:rsidTr="00A90052">
        <w:trPr>
          <w:trHeight w:val="290"/>
        </w:trPr>
        <w:tc>
          <w:tcPr>
            <w:tcW w:w="779" w:type="dxa"/>
            <w:tcBorders>
              <w:top w:val="single" w:sz="6" w:space="0" w:color="auto"/>
              <w:left w:val="single" w:sz="12" w:space="0" w:color="auto"/>
              <w:bottom w:val="single" w:sz="6" w:space="0" w:color="auto"/>
              <w:right w:val="single" w:sz="6" w:space="0" w:color="auto"/>
            </w:tcBorders>
          </w:tcPr>
          <w:p w:rsidR="00A90052" w:rsidRPr="00A90052" w:rsidRDefault="00A90052" w:rsidP="008C5D80">
            <w:pPr>
              <w:autoSpaceDE w:val="0"/>
              <w:autoSpaceDN w:val="0"/>
              <w:adjustRightInd w:val="0"/>
              <w:spacing w:after="0" w:line="360" w:lineRule="auto"/>
              <w:ind w:left="29778" w:hanging="29778"/>
              <w:jc w:val="both"/>
              <w:rPr>
                <w:rFonts w:ascii="Calibri" w:hAnsi="Calibri" w:cs="Calibri"/>
                <w:color w:val="000000"/>
                <w:sz w:val="20"/>
                <w:szCs w:val="20"/>
              </w:rPr>
            </w:pPr>
            <w:r w:rsidRPr="00A90052">
              <w:rPr>
                <w:rFonts w:ascii="Calibri" w:hAnsi="Calibri" w:cs="Calibri"/>
                <w:color w:val="000000"/>
                <w:sz w:val="20"/>
                <w:szCs w:val="20"/>
              </w:rPr>
              <w:t>2002</w:t>
            </w:r>
          </w:p>
        </w:tc>
        <w:tc>
          <w:tcPr>
            <w:tcW w:w="2410" w:type="dxa"/>
            <w:tcBorders>
              <w:top w:val="single" w:sz="6" w:space="0" w:color="auto"/>
              <w:left w:val="single" w:sz="6" w:space="0" w:color="auto"/>
              <w:bottom w:val="single" w:sz="6" w:space="0" w:color="auto"/>
              <w:right w:val="single" w:sz="12" w:space="0" w:color="auto"/>
            </w:tcBorders>
          </w:tcPr>
          <w:p w:rsidR="00A90052" w:rsidRPr="00A90052" w:rsidRDefault="00A90052" w:rsidP="008C5D80">
            <w:pPr>
              <w:autoSpaceDE w:val="0"/>
              <w:autoSpaceDN w:val="0"/>
              <w:adjustRightInd w:val="0"/>
              <w:spacing w:after="0" w:line="360" w:lineRule="auto"/>
              <w:ind w:left="29778" w:hanging="29778"/>
              <w:jc w:val="both"/>
              <w:rPr>
                <w:rFonts w:ascii="Calibri" w:hAnsi="Calibri" w:cs="Calibri"/>
                <w:color w:val="000000"/>
                <w:sz w:val="20"/>
                <w:szCs w:val="20"/>
              </w:rPr>
            </w:pPr>
            <w:r w:rsidRPr="00A90052">
              <w:rPr>
                <w:rFonts w:ascii="Calibri" w:hAnsi="Calibri" w:cs="Calibri"/>
                <w:color w:val="000000"/>
                <w:sz w:val="20"/>
                <w:szCs w:val="20"/>
              </w:rPr>
              <w:t>25.000</w:t>
            </w:r>
          </w:p>
        </w:tc>
      </w:tr>
      <w:tr w:rsidR="00A90052" w:rsidRPr="00A90052" w:rsidTr="00A90052">
        <w:trPr>
          <w:trHeight w:val="290"/>
        </w:trPr>
        <w:tc>
          <w:tcPr>
            <w:tcW w:w="779" w:type="dxa"/>
            <w:tcBorders>
              <w:top w:val="single" w:sz="6" w:space="0" w:color="auto"/>
              <w:left w:val="single" w:sz="12" w:space="0" w:color="auto"/>
              <w:bottom w:val="single" w:sz="6" w:space="0" w:color="auto"/>
              <w:right w:val="single" w:sz="6" w:space="0" w:color="auto"/>
            </w:tcBorders>
          </w:tcPr>
          <w:p w:rsidR="00A90052" w:rsidRPr="00A90052" w:rsidRDefault="00A90052" w:rsidP="008C5D80">
            <w:pPr>
              <w:autoSpaceDE w:val="0"/>
              <w:autoSpaceDN w:val="0"/>
              <w:adjustRightInd w:val="0"/>
              <w:spacing w:after="0" w:line="360" w:lineRule="auto"/>
              <w:ind w:left="29778" w:hanging="29778"/>
              <w:jc w:val="both"/>
              <w:rPr>
                <w:rFonts w:ascii="Calibri" w:hAnsi="Calibri" w:cs="Calibri"/>
                <w:color w:val="000000"/>
                <w:sz w:val="20"/>
                <w:szCs w:val="20"/>
              </w:rPr>
            </w:pPr>
            <w:r w:rsidRPr="00A90052">
              <w:rPr>
                <w:rFonts w:ascii="Calibri" w:hAnsi="Calibri" w:cs="Calibri"/>
                <w:color w:val="000000"/>
                <w:sz w:val="20"/>
                <w:szCs w:val="20"/>
              </w:rPr>
              <w:t>2003</w:t>
            </w:r>
          </w:p>
        </w:tc>
        <w:tc>
          <w:tcPr>
            <w:tcW w:w="2410" w:type="dxa"/>
            <w:tcBorders>
              <w:top w:val="single" w:sz="6" w:space="0" w:color="auto"/>
              <w:left w:val="single" w:sz="6" w:space="0" w:color="auto"/>
              <w:bottom w:val="single" w:sz="6" w:space="0" w:color="auto"/>
              <w:right w:val="single" w:sz="12" w:space="0" w:color="auto"/>
            </w:tcBorders>
          </w:tcPr>
          <w:p w:rsidR="00A90052" w:rsidRPr="00A90052" w:rsidRDefault="00A90052" w:rsidP="008C5D80">
            <w:pPr>
              <w:autoSpaceDE w:val="0"/>
              <w:autoSpaceDN w:val="0"/>
              <w:adjustRightInd w:val="0"/>
              <w:spacing w:after="0" w:line="360" w:lineRule="auto"/>
              <w:ind w:left="29778" w:hanging="29778"/>
              <w:jc w:val="both"/>
              <w:rPr>
                <w:rFonts w:ascii="Calibri" w:hAnsi="Calibri" w:cs="Calibri"/>
                <w:color w:val="000000"/>
                <w:sz w:val="20"/>
                <w:szCs w:val="20"/>
              </w:rPr>
            </w:pPr>
            <w:r w:rsidRPr="00A90052">
              <w:rPr>
                <w:rFonts w:ascii="Calibri" w:hAnsi="Calibri" w:cs="Calibri"/>
                <w:color w:val="000000"/>
                <w:sz w:val="20"/>
                <w:szCs w:val="20"/>
              </w:rPr>
              <w:t>50.000</w:t>
            </w:r>
          </w:p>
        </w:tc>
      </w:tr>
      <w:tr w:rsidR="00A90052" w:rsidRPr="00A90052" w:rsidTr="00A90052">
        <w:trPr>
          <w:trHeight w:val="290"/>
        </w:trPr>
        <w:tc>
          <w:tcPr>
            <w:tcW w:w="779" w:type="dxa"/>
            <w:tcBorders>
              <w:top w:val="single" w:sz="6" w:space="0" w:color="auto"/>
              <w:left w:val="single" w:sz="12" w:space="0" w:color="auto"/>
              <w:bottom w:val="single" w:sz="6" w:space="0" w:color="auto"/>
              <w:right w:val="single" w:sz="6" w:space="0" w:color="auto"/>
            </w:tcBorders>
          </w:tcPr>
          <w:p w:rsidR="00A90052" w:rsidRPr="00A90052" w:rsidRDefault="00A90052" w:rsidP="008C5D80">
            <w:pPr>
              <w:autoSpaceDE w:val="0"/>
              <w:autoSpaceDN w:val="0"/>
              <w:adjustRightInd w:val="0"/>
              <w:spacing w:after="0" w:line="360" w:lineRule="auto"/>
              <w:ind w:left="29778" w:hanging="29778"/>
              <w:jc w:val="both"/>
              <w:rPr>
                <w:rFonts w:ascii="Calibri" w:hAnsi="Calibri" w:cs="Calibri"/>
                <w:color w:val="000000"/>
                <w:sz w:val="20"/>
                <w:szCs w:val="20"/>
              </w:rPr>
            </w:pPr>
            <w:r w:rsidRPr="00A90052">
              <w:rPr>
                <w:rFonts w:ascii="Calibri" w:hAnsi="Calibri" w:cs="Calibri"/>
                <w:color w:val="000000"/>
                <w:sz w:val="20"/>
                <w:szCs w:val="20"/>
              </w:rPr>
              <w:t>2004</w:t>
            </w:r>
          </w:p>
        </w:tc>
        <w:tc>
          <w:tcPr>
            <w:tcW w:w="2410" w:type="dxa"/>
            <w:tcBorders>
              <w:top w:val="single" w:sz="6" w:space="0" w:color="auto"/>
              <w:left w:val="single" w:sz="6" w:space="0" w:color="auto"/>
              <w:bottom w:val="single" w:sz="6" w:space="0" w:color="auto"/>
              <w:right w:val="single" w:sz="12" w:space="0" w:color="auto"/>
            </w:tcBorders>
          </w:tcPr>
          <w:p w:rsidR="00A90052" w:rsidRPr="00A90052" w:rsidRDefault="00A90052" w:rsidP="008C5D80">
            <w:pPr>
              <w:autoSpaceDE w:val="0"/>
              <w:autoSpaceDN w:val="0"/>
              <w:adjustRightInd w:val="0"/>
              <w:spacing w:after="0" w:line="360" w:lineRule="auto"/>
              <w:ind w:left="29778" w:hanging="29778"/>
              <w:jc w:val="both"/>
              <w:rPr>
                <w:rFonts w:ascii="Calibri" w:hAnsi="Calibri" w:cs="Calibri"/>
                <w:color w:val="000000"/>
                <w:sz w:val="20"/>
                <w:szCs w:val="20"/>
              </w:rPr>
            </w:pPr>
            <w:r w:rsidRPr="00A90052">
              <w:rPr>
                <w:rFonts w:ascii="Calibri" w:hAnsi="Calibri" w:cs="Calibri"/>
                <w:color w:val="000000"/>
                <w:sz w:val="20"/>
                <w:szCs w:val="20"/>
              </w:rPr>
              <w:t>40.000</w:t>
            </w:r>
          </w:p>
        </w:tc>
      </w:tr>
      <w:tr w:rsidR="00A90052" w:rsidRPr="00A90052" w:rsidTr="00A90052">
        <w:trPr>
          <w:trHeight w:val="290"/>
        </w:trPr>
        <w:tc>
          <w:tcPr>
            <w:tcW w:w="779" w:type="dxa"/>
            <w:tcBorders>
              <w:top w:val="single" w:sz="6" w:space="0" w:color="auto"/>
              <w:left w:val="single" w:sz="12" w:space="0" w:color="auto"/>
              <w:bottom w:val="single" w:sz="6" w:space="0" w:color="auto"/>
              <w:right w:val="single" w:sz="6" w:space="0" w:color="auto"/>
            </w:tcBorders>
          </w:tcPr>
          <w:p w:rsidR="00A90052" w:rsidRPr="00A90052" w:rsidRDefault="00A90052" w:rsidP="008C5D80">
            <w:pPr>
              <w:autoSpaceDE w:val="0"/>
              <w:autoSpaceDN w:val="0"/>
              <w:adjustRightInd w:val="0"/>
              <w:spacing w:after="0" w:line="360" w:lineRule="auto"/>
              <w:ind w:left="29778" w:hanging="29778"/>
              <w:jc w:val="both"/>
              <w:rPr>
                <w:rFonts w:ascii="Calibri" w:hAnsi="Calibri" w:cs="Calibri"/>
                <w:color w:val="000000"/>
                <w:sz w:val="20"/>
                <w:szCs w:val="20"/>
              </w:rPr>
            </w:pPr>
            <w:r w:rsidRPr="00A90052">
              <w:rPr>
                <w:rFonts w:ascii="Calibri" w:hAnsi="Calibri" w:cs="Calibri"/>
                <w:color w:val="000000"/>
                <w:sz w:val="20"/>
                <w:szCs w:val="20"/>
              </w:rPr>
              <w:t>2005</w:t>
            </w:r>
          </w:p>
        </w:tc>
        <w:tc>
          <w:tcPr>
            <w:tcW w:w="2410" w:type="dxa"/>
            <w:tcBorders>
              <w:top w:val="single" w:sz="6" w:space="0" w:color="auto"/>
              <w:left w:val="single" w:sz="6" w:space="0" w:color="auto"/>
              <w:bottom w:val="single" w:sz="6" w:space="0" w:color="auto"/>
              <w:right w:val="single" w:sz="12" w:space="0" w:color="auto"/>
            </w:tcBorders>
          </w:tcPr>
          <w:p w:rsidR="00A90052" w:rsidRPr="00A90052" w:rsidRDefault="00A90052" w:rsidP="008C5D80">
            <w:pPr>
              <w:autoSpaceDE w:val="0"/>
              <w:autoSpaceDN w:val="0"/>
              <w:adjustRightInd w:val="0"/>
              <w:spacing w:after="0" w:line="360" w:lineRule="auto"/>
              <w:ind w:left="29778" w:hanging="29778"/>
              <w:jc w:val="both"/>
              <w:rPr>
                <w:rFonts w:ascii="Calibri" w:hAnsi="Calibri" w:cs="Calibri"/>
                <w:color w:val="000000"/>
                <w:sz w:val="20"/>
                <w:szCs w:val="20"/>
              </w:rPr>
            </w:pPr>
            <w:r w:rsidRPr="00A90052">
              <w:rPr>
                <w:rFonts w:ascii="Calibri" w:hAnsi="Calibri" w:cs="Calibri"/>
                <w:color w:val="000000"/>
                <w:sz w:val="20"/>
                <w:szCs w:val="20"/>
              </w:rPr>
              <w:t>100.000</w:t>
            </w:r>
          </w:p>
        </w:tc>
      </w:tr>
      <w:tr w:rsidR="00A90052" w:rsidRPr="00A90052" w:rsidTr="00A90052">
        <w:trPr>
          <w:trHeight w:val="290"/>
        </w:trPr>
        <w:tc>
          <w:tcPr>
            <w:tcW w:w="779" w:type="dxa"/>
            <w:tcBorders>
              <w:top w:val="single" w:sz="6" w:space="0" w:color="auto"/>
              <w:left w:val="single" w:sz="12" w:space="0" w:color="auto"/>
              <w:bottom w:val="single" w:sz="6" w:space="0" w:color="auto"/>
              <w:right w:val="single" w:sz="6" w:space="0" w:color="auto"/>
            </w:tcBorders>
          </w:tcPr>
          <w:p w:rsidR="00A90052" w:rsidRPr="00A90052" w:rsidRDefault="00A90052" w:rsidP="008C5D80">
            <w:pPr>
              <w:autoSpaceDE w:val="0"/>
              <w:autoSpaceDN w:val="0"/>
              <w:adjustRightInd w:val="0"/>
              <w:spacing w:after="0" w:line="360" w:lineRule="auto"/>
              <w:ind w:left="29778" w:hanging="29778"/>
              <w:jc w:val="both"/>
              <w:rPr>
                <w:rFonts w:ascii="Calibri" w:hAnsi="Calibri" w:cs="Calibri"/>
                <w:color w:val="000000"/>
                <w:sz w:val="20"/>
                <w:szCs w:val="20"/>
              </w:rPr>
            </w:pPr>
            <w:r w:rsidRPr="00A90052">
              <w:rPr>
                <w:rFonts w:ascii="Calibri" w:hAnsi="Calibri" w:cs="Calibri"/>
                <w:color w:val="000000"/>
                <w:sz w:val="20"/>
                <w:szCs w:val="20"/>
              </w:rPr>
              <w:t>2006</w:t>
            </w:r>
          </w:p>
        </w:tc>
        <w:tc>
          <w:tcPr>
            <w:tcW w:w="2410" w:type="dxa"/>
            <w:tcBorders>
              <w:top w:val="single" w:sz="6" w:space="0" w:color="auto"/>
              <w:left w:val="single" w:sz="6" w:space="0" w:color="auto"/>
              <w:bottom w:val="single" w:sz="6" w:space="0" w:color="auto"/>
              <w:right w:val="single" w:sz="12" w:space="0" w:color="auto"/>
            </w:tcBorders>
          </w:tcPr>
          <w:p w:rsidR="00A90052" w:rsidRPr="00A90052" w:rsidRDefault="00A90052" w:rsidP="008C5D80">
            <w:pPr>
              <w:autoSpaceDE w:val="0"/>
              <w:autoSpaceDN w:val="0"/>
              <w:adjustRightInd w:val="0"/>
              <w:spacing w:after="0" w:line="360" w:lineRule="auto"/>
              <w:ind w:left="29778" w:hanging="29778"/>
              <w:jc w:val="both"/>
              <w:rPr>
                <w:rFonts w:ascii="Calibri" w:hAnsi="Calibri" w:cs="Calibri"/>
                <w:color w:val="000000"/>
                <w:sz w:val="20"/>
                <w:szCs w:val="20"/>
              </w:rPr>
            </w:pPr>
            <w:r w:rsidRPr="00A90052">
              <w:rPr>
                <w:rFonts w:ascii="Calibri" w:hAnsi="Calibri" w:cs="Calibri"/>
                <w:color w:val="000000"/>
                <w:sz w:val="20"/>
                <w:szCs w:val="20"/>
              </w:rPr>
              <w:t>200.000</w:t>
            </w:r>
          </w:p>
        </w:tc>
      </w:tr>
      <w:tr w:rsidR="00A90052" w:rsidRPr="00A90052" w:rsidTr="00A90052">
        <w:trPr>
          <w:trHeight w:val="290"/>
        </w:trPr>
        <w:tc>
          <w:tcPr>
            <w:tcW w:w="779" w:type="dxa"/>
            <w:tcBorders>
              <w:top w:val="single" w:sz="6" w:space="0" w:color="auto"/>
              <w:left w:val="single" w:sz="12" w:space="0" w:color="auto"/>
              <w:bottom w:val="single" w:sz="6" w:space="0" w:color="auto"/>
              <w:right w:val="single" w:sz="6" w:space="0" w:color="auto"/>
            </w:tcBorders>
          </w:tcPr>
          <w:p w:rsidR="00A90052" w:rsidRPr="00A90052" w:rsidRDefault="00A90052" w:rsidP="008C5D80">
            <w:pPr>
              <w:autoSpaceDE w:val="0"/>
              <w:autoSpaceDN w:val="0"/>
              <w:adjustRightInd w:val="0"/>
              <w:spacing w:after="0" w:line="360" w:lineRule="auto"/>
              <w:ind w:left="29778" w:hanging="29778"/>
              <w:jc w:val="both"/>
              <w:rPr>
                <w:rFonts w:ascii="Calibri" w:hAnsi="Calibri" w:cs="Calibri"/>
                <w:color w:val="000000"/>
                <w:sz w:val="20"/>
                <w:szCs w:val="20"/>
              </w:rPr>
            </w:pPr>
            <w:r w:rsidRPr="00A90052">
              <w:rPr>
                <w:rFonts w:ascii="Calibri" w:hAnsi="Calibri" w:cs="Calibri"/>
                <w:color w:val="000000"/>
                <w:sz w:val="20"/>
                <w:szCs w:val="20"/>
              </w:rPr>
              <w:t>2007</w:t>
            </w:r>
          </w:p>
        </w:tc>
        <w:tc>
          <w:tcPr>
            <w:tcW w:w="2410" w:type="dxa"/>
            <w:tcBorders>
              <w:top w:val="single" w:sz="6" w:space="0" w:color="auto"/>
              <w:left w:val="single" w:sz="6" w:space="0" w:color="auto"/>
              <w:bottom w:val="single" w:sz="6" w:space="0" w:color="auto"/>
              <w:right w:val="single" w:sz="12" w:space="0" w:color="auto"/>
            </w:tcBorders>
          </w:tcPr>
          <w:p w:rsidR="00A90052" w:rsidRPr="00A90052" w:rsidRDefault="00A90052" w:rsidP="008C5D80">
            <w:pPr>
              <w:autoSpaceDE w:val="0"/>
              <w:autoSpaceDN w:val="0"/>
              <w:adjustRightInd w:val="0"/>
              <w:spacing w:after="0" w:line="360" w:lineRule="auto"/>
              <w:ind w:left="29778" w:hanging="29778"/>
              <w:jc w:val="both"/>
              <w:rPr>
                <w:rFonts w:ascii="Calibri" w:hAnsi="Calibri" w:cs="Calibri"/>
                <w:color w:val="000000"/>
                <w:sz w:val="20"/>
                <w:szCs w:val="20"/>
              </w:rPr>
            </w:pPr>
            <w:r w:rsidRPr="00A90052">
              <w:rPr>
                <w:rFonts w:ascii="Calibri" w:hAnsi="Calibri" w:cs="Calibri"/>
                <w:color w:val="000000"/>
                <w:sz w:val="20"/>
                <w:szCs w:val="20"/>
              </w:rPr>
              <w:t>250.000</w:t>
            </w:r>
          </w:p>
        </w:tc>
      </w:tr>
      <w:tr w:rsidR="00A90052" w:rsidRPr="00A90052" w:rsidTr="00A90052">
        <w:trPr>
          <w:trHeight w:val="290"/>
        </w:trPr>
        <w:tc>
          <w:tcPr>
            <w:tcW w:w="779" w:type="dxa"/>
            <w:tcBorders>
              <w:top w:val="single" w:sz="6" w:space="0" w:color="auto"/>
              <w:left w:val="single" w:sz="12" w:space="0" w:color="auto"/>
              <w:bottom w:val="single" w:sz="6" w:space="0" w:color="auto"/>
              <w:right w:val="single" w:sz="6" w:space="0" w:color="auto"/>
            </w:tcBorders>
          </w:tcPr>
          <w:p w:rsidR="00A90052" w:rsidRPr="00A90052" w:rsidRDefault="00A90052" w:rsidP="008C5D80">
            <w:pPr>
              <w:autoSpaceDE w:val="0"/>
              <w:autoSpaceDN w:val="0"/>
              <w:adjustRightInd w:val="0"/>
              <w:spacing w:after="0" w:line="360" w:lineRule="auto"/>
              <w:ind w:left="29778" w:hanging="29778"/>
              <w:jc w:val="both"/>
              <w:rPr>
                <w:rFonts w:ascii="Calibri" w:hAnsi="Calibri" w:cs="Calibri"/>
                <w:color w:val="000000"/>
                <w:sz w:val="20"/>
                <w:szCs w:val="20"/>
              </w:rPr>
            </w:pPr>
            <w:r w:rsidRPr="00A90052">
              <w:rPr>
                <w:rFonts w:ascii="Calibri" w:hAnsi="Calibri" w:cs="Calibri"/>
                <w:color w:val="000000"/>
                <w:sz w:val="20"/>
                <w:szCs w:val="20"/>
              </w:rPr>
              <w:t>2008</w:t>
            </w:r>
          </w:p>
        </w:tc>
        <w:tc>
          <w:tcPr>
            <w:tcW w:w="2410" w:type="dxa"/>
            <w:tcBorders>
              <w:top w:val="single" w:sz="6" w:space="0" w:color="auto"/>
              <w:left w:val="single" w:sz="6" w:space="0" w:color="auto"/>
              <w:bottom w:val="single" w:sz="6" w:space="0" w:color="auto"/>
              <w:right w:val="single" w:sz="12" w:space="0" w:color="auto"/>
            </w:tcBorders>
          </w:tcPr>
          <w:p w:rsidR="00A90052" w:rsidRPr="00A90052" w:rsidRDefault="00A90052" w:rsidP="008C5D80">
            <w:pPr>
              <w:autoSpaceDE w:val="0"/>
              <w:autoSpaceDN w:val="0"/>
              <w:adjustRightInd w:val="0"/>
              <w:spacing w:after="0" w:line="360" w:lineRule="auto"/>
              <w:ind w:left="29778" w:hanging="29778"/>
              <w:jc w:val="both"/>
              <w:rPr>
                <w:rFonts w:ascii="Calibri" w:hAnsi="Calibri" w:cs="Calibri"/>
                <w:color w:val="000000"/>
                <w:sz w:val="20"/>
                <w:szCs w:val="20"/>
              </w:rPr>
            </w:pPr>
            <w:r w:rsidRPr="00A90052">
              <w:rPr>
                <w:rFonts w:ascii="Calibri" w:hAnsi="Calibri" w:cs="Calibri"/>
                <w:color w:val="000000"/>
                <w:sz w:val="20"/>
                <w:szCs w:val="20"/>
              </w:rPr>
              <w:t>300.000</w:t>
            </w:r>
          </w:p>
        </w:tc>
      </w:tr>
      <w:tr w:rsidR="00A90052" w:rsidRPr="00A90052" w:rsidTr="00A90052">
        <w:trPr>
          <w:trHeight w:val="290"/>
        </w:trPr>
        <w:tc>
          <w:tcPr>
            <w:tcW w:w="779" w:type="dxa"/>
            <w:tcBorders>
              <w:top w:val="single" w:sz="6" w:space="0" w:color="auto"/>
              <w:left w:val="single" w:sz="12" w:space="0" w:color="auto"/>
              <w:bottom w:val="single" w:sz="6" w:space="0" w:color="auto"/>
              <w:right w:val="single" w:sz="6" w:space="0" w:color="auto"/>
            </w:tcBorders>
          </w:tcPr>
          <w:p w:rsidR="00A90052" w:rsidRPr="00A90052" w:rsidRDefault="00A90052" w:rsidP="008C5D80">
            <w:pPr>
              <w:autoSpaceDE w:val="0"/>
              <w:autoSpaceDN w:val="0"/>
              <w:adjustRightInd w:val="0"/>
              <w:spacing w:after="0" w:line="360" w:lineRule="auto"/>
              <w:ind w:left="29778" w:hanging="29778"/>
              <w:jc w:val="both"/>
              <w:rPr>
                <w:rFonts w:ascii="Calibri" w:hAnsi="Calibri" w:cs="Calibri"/>
                <w:color w:val="000000"/>
                <w:sz w:val="20"/>
                <w:szCs w:val="20"/>
              </w:rPr>
            </w:pPr>
            <w:r w:rsidRPr="00A90052">
              <w:rPr>
                <w:rFonts w:ascii="Calibri" w:hAnsi="Calibri" w:cs="Calibri"/>
                <w:color w:val="000000"/>
                <w:sz w:val="20"/>
                <w:szCs w:val="20"/>
              </w:rPr>
              <w:t>2009</w:t>
            </w:r>
          </w:p>
        </w:tc>
        <w:tc>
          <w:tcPr>
            <w:tcW w:w="2410" w:type="dxa"/>
            <w:tcBorders>
              <w:top w:val="single" w:sz="6" w:space="0" w:color="auto"/>
              <w:left w:val="single" w:sz="6" w:space="0" w:color="auto"/>
              <w:bottom w:val="single" w:sz="6" w:space="0" w:color="auto"/>
              <w:right w:val="single" w:sz="12" w:space="0" w:color="auto"/>
            </w:tcBorders>
          </w:tcPr>
          <w:p w:rsidR="00A90052" w:rsidRPr="00A90052" w:rsidRDefault="00A90052" w:rsidP="008C5D80">
            <w:pPr>
              <w:autoSpaceDE w:val="0"/>
              <w:autoSpaceDN w:val="0"/>
              <w:adjustRightInd w:val="0"/>
              <w:spacing w:after="0" w:line="360" w:lineRule="auto"/>
              <w:ind w:left="29778" w:hanging="29778"/>
              <w:jc w:val="both"/>
              <w:rPr>
                <w:rFonts w:ascii="Calibri" w:hAnsi="Calibri" w:cs="Calibri"/>
                <w:color w:val="000000"/>
                <w:sz w:val="20"/>
                <w:szCs w:val="20"/>
              </w:rPr>
            </w:pPr>
            <w:r w:rsidRPr="00A90052">
              <w:rPr>
                <w:rFonts w:ascii="Calibri" w:hAnsi="Calibri" w:cs="Calibri"/>
                <w:color w:val="000000"/>
                <w:sz w:val="20"/>
                <w:szCs w:val="20"/>
              </w:rPr>
              <w:t>400.000</w:t>
            </w:r>
          </w:p>
        </w:tc>
      </w:tr>
      <w:tr w:rsidR="00A90052" w:rsidRPr="00A90052" w:rsidTr="00A90052">
        <w:trPr>
          <w:trHeight w:val="305"/>
        </w:trPr>
        <w:tc>
          <w:tcPr>
            <w:tcW w:w="779" w:type="dxa"/>
            <w:tcBorders>
              <w:top w:val="single" w:sz="6" w:space="0" w:color="auto"/>
              <w:left w:val="single" w:sz="12" w:space="0" w:color="auto"/>
              <w:bottom w:val="single" w:sz="12" w:space="0" w:color="auto"/>
              <w:right w:val="single" w:sz="6" w:space="0" w:color="auto"/>
            </w:tcBorders>
          </w:tcPr>
          <w:p w:rsidR="00A90052" w:rsidRPr="00A90052" w:rsidRDefault="00A90052" w:rsidP="008C5D80">
            <w:pPr>
              <w:autoSpaceDE w:val="0"/>
              <w:autoSpaceDN w:val="0"/>
              <w:adjustRightInd w:val="0"/>
              <w:spacing w:after="0" w:line="360" w:lineRule="auto"/>
              <w:ind w:left="29778" w:hanging="29778"/>
              <w:jc w:val="both"/>
              <w:rPr>
                <w:rFonts w:ascii="Calibri" w:hAnsi="Calibri" w:cs="Calibri"/>
                <w:color w:val="000000"/>
                <w:sz w:val="20"/>
                <w:szCs w:val="20"/>
              </w:rPr>
            </w:pPr>
            <w:r w:rsidRPr="00A90052">
              <w:rPr>
                <w:rFonts w:ascii="Calibri" w:hAnsi="Calibri" w:cs="Calibri"/>
                <w:color w:val="000000"/>
                <w:sz w:val="20"/>
                <w:szCs w:val="20"/>
              </w:rPr>
              <w:t>2010</w:t>
            </w:r>
          </w:p>
        </w:tc>
        <w:tc>
          <w:tcPr>
            <w:tcW w:w="2410" w:type="dxa"/>
            <w:tcBorders>
              <w:top w:val="single" w:sz="6" w:space="0" w:color="auto"/>
              <w:left w:val="single" w:sz="6" w:space="0" w:color="auto"/>
              <w:bottom w:val="single" w:sz="12" w:space="0" w:color="auto"/>
              <w:right w:val="single" w:sz="12" w:space="0" w:color="auto"/>
            </w:tcBorders>
          </w:tcPr>
          <w:p w:rsidR="00A90052" w:rsidRPr="00A90052" w:rsidRDefault="00A90052" w:rsidP="008C5D80">
            <w:pPr>
              <w:autoSpaceDE w:val="0"/>
              <w:autoSpaceDN w:val="0"/>
              <w:adjustRightInd w:val="0"/>
              <w:spacing w:after="0" w:line="360" w:lineRule="auto"/>
              <w:ind w:left="29778" w:hanging="29778"/>
              <w:jc w:val="both"/>
              <w:rPr>
                <w:rFonts w:ascii="Calibri" w:hAnsi="Calibri" w:cs="Calibri"/>
                <w:color w:val="000000"/>
                <w:sz w:val="20"/>
                <w:szCs w:val="20"/>
              </w:rPr>
            </w:pPr>
            <w:r w:rsidRPr="00A90052">
              <w:rPr>
                <w:rFonts w:ascii="Calibri" w:hAnsi="Calibri" w:cs="Calibri"/>
                <w:color w:val="000000"/>
                <w:sz w:val="20"/>
                <w:szCs w:val="20"/>
              </w:rPr>
              <w:t>500.000</w:t>
            </w:r>
          </w:p>
        </w:tc>
      </w:tr>
    </w:tbl>
    <w:p w:rsidR="006861A0" w:rsidRDefault="006861A0" w:rsidP="008C5D80">
      <w:pPr>
        <w:spacing w:line="360" w:lineRule="auto"/>
        <w:ind w:left="29778" w:hanging="29778"/>
        <w:jc w:val="both"/>
        <w:rPr>
          <w:i/>
        </w:rPr>
      </w:pPr>
      <w:r w:rsidRPr="00760313">
        <w:rPr>
          <w:i/>
        </w:rPr>
        <w:t xml:space="preserve">Tabel </w:t>
      </w:r>
      <w:r w:rsidR="008C5D80">
        <w:rPr>
          <w:i/>
        </w:rPr>
        <w:t>5</w:t>
      </w:r>
      <w:r w:rsidRPr="00760313">
        <w:rPr>
          <w:i/>
        </w:rPr>
        <w:t>: waardeontwikkeling goodwill</w:t>
      </w:r>
    </w:p>
    <w:p w:rsidR="006861A0" w:rsidRDefault="006861A0" w:rsidP="002A5479">
      <w:pPr>
        <w:pStyle w:val="Bijlage"/>
        <w:spacing w:line="360" w:lineRule="auto"/>
      </w:pPr>
      <w:bookmarkStart w:id="46" w:name="_Toc299740242"/>
      <w:r>
        <w:lastRenderedPageBreak/>
        <w:t>Belastingtarief</w:t>
      </w:r>
      <w:bookmarkEnd w:id="46"/>
    </w:p>
    <w:p w:rsidR="008B4EB6" w:rsidRDefault="008B4EB6" w:rsidP="00A90052">
      <w:pPr>
        <w:spacing w:line="360" w:lineRule="auto"/>
        <w:jc w:val="both"/>
      </w:pPr>
    </w:p>
    <w:tbl>
      <w:tblPr>
        <w:tblW w:w="0" w:type="auto"/>
        <w:tblInd w:w="40" w:type="dxa"/>
        <w:tblLayout w:type="fixed"/>
        <w:tblCellMar>
          <w:left w:w="70" w:type="dxa"/>
          <w:right w:w="70" w:type="dxa"/>
        </w:tblCellMar>
        <w:tblLook w:val="0000"/>
      </w:tblPr>
      <w:tblGrid>
        <w:gridCol w:w="739"/>
        <w:gridCol w:w="2410"/>
      </w:tblGrid>
      <w:tr w:rsidR="00A90052" w:rsidRPr="00A90052" w:rsidTr="00A90052">
        <w:trPr>
          <w:trHeight w:val="305"/>
        </w:trPr>
        <w:tc>
          <w:tcPr>
            <w:tcW w:w="739" w:type="dxa"/>
            <w:tcBorders>
              <w:top w:val="single" w:sz="12" w:space="0" w:color="auto"/>
              <w:left w:val="single" w:sz="12" w:space="0" w:color="auto"/>
              <w:bottom w:val="single" w:sz="12" w:space="0" w:color="auto"/>
              <w:right w:val="single" w:sz="6" w:space="0" w:color="auto"/>
            </w:tcBorders>
          </w:tcPr>
          <w:p w:rsidR="00A90052" w:rsidRPr="00A90052" w:rsidRDefault="00A90052" w:rsidP="008C5D80">
            <w:pPr>
              <w:autoSpaceDE w:val="0"/>
              <w:autoSpaceDN w:val="0"/>
              <w:adjustRightInd w:val="0"/>
              <w:spacing w:after="0" w:line="360" w:lineRule="auto"/>
              <w:jc w:val="both"/>
              <w:rPr>
                <w:rFonts w:ascii="Calibri" w:hAnsi="Calibri" w:cs="Calibri"/>
                <w:b/>
                <w:bCs/>
                <w:color w:val="000000"/>
                <w:sz w:val="20"/>
                <w:szCs w:val="20"/>
              </w:rPr>
            </w:pPr>
            <w:r w:rsidRPr="00A90052">
              <w:rPr>
                <w:rFonts w:ascii="Calibri" w:hAnsi="Calibri" w:cs="Calibri"/>
                <w:b/>
                <w:bCs/>
                <w:color w:val="000000"/>
                <w:sz w:val="20"/>
                <w:szCs w:val="20"/>
              </w:rPr>
              <w:t>Jaar</w:t>
            </w:r>
          </w:p>
        </w:tc>
        <w:tc>
          <w:tcPr>
            <w:tcW w:w="2410" w:type="dxa"/>
            <w:tcBorders>
              <w:top w:val="single" w:sz="12" w:space="0" w:color="auto"/>
              <w:left w:val="single" w:sz="6" w:space="0" w:color="auto"/>
              <w:bottom w:val="single" w:sz="12" w:space="0" w:color="auto"/>
              <w:right w:val="single" w:sz="12" w:space="0" w:color="auto"/>
            </w:tcBorders>
          </w:tcPr>
          <w:p w:rsidR="00A90052" w:rsidRPr="00A90052" w:rsidRDefault="00A90052" w:rsidP="008C5D80">
            <w:pPr>
              <w:autoSpaceDE w:val="0"/>
              <w:autoSpaceDN w:val="0"/>
              <w:adjustRightInd w:val="0"/>
              <w:spacing w:after="0" w:line="360" w:lineRule="auto"/>
              <w:jc w:val="both"/>
              <w:rPr>
                <w:rFonts w:ascii="Calibri" w:hAnsi="Calibri" w:cs="Calibri"/>
                <w:b/>
                <w:bCs/>
                <w:color w:val="000000"/>
                <w:sz w:val="20"/>
                <w:szCs w:val="20"/>
              </w:rPr>
            </w:pPr>
            <w:r w:rsidRPr="00A90052">
              <w:rPr>
                <w:rFonts w:ascii="Calibri" w:hAnsi="Calibri" w:cs="Calibri"/>
                <w:b/>
                <w:bCs/>
                <w:color w:val="000000"/>
                <w:sz w:val="20"/>
                <w:szCs w:val="20"/>
              </w:rPr>
              <w:t xml:space="preserve">VPB </w:t>
            </w:r>
          </w:p>
        </w:tc>
      </w:tr>
      <w:tr w:rsidR="00A90052" w:rsidRPr="00A90052" w:rsidTr="00A90052">
        <w:trPr>
          <w:trHeight w:val="305"/>
        </w:trPr>
        <w:tc>
          <w:tcPr>
            <w:tcW w:w="739" w:type="dxa"/>
            <w:tcBorders>
              <w:top w:val="nil"/>
              <w:left w:val="single" w:sz="12" w:space="0" w:color="auto"/>
              <w:bottom w:val="single" w:sz="6" w:space="0" w:color="auto"/>
              <w:right w:val="single" w:sz="6" w:space="0" w:color="auto"/>
            </w:tcBorders>
          </w:tcPr>
          <w:p w:rsidR="00A90052" w:rsidRPr="00A90052" w:rsidRDefault="00A90052" w:rsidP="008C5D80">
            <w:pPr>
              <w:autoSpaceDE w:val="0"/>
              <w:autoSpaceDN w:val="0"/>
              <w:adjustRightInd w:val="0"/>
              <w:spacing w:after="0" w:line="360" w:lineRule="auto"/>
              <w:jc w:val="both"/>
              <w:rPr>
                <w:rFonts w:ascii="Calibri" w:hAnsi="Calibri" w:cs="Calibri"/>
                <w:color w:val="000000"/>
                <w:sz w:val="20"/>
                <w:szCs w:val="20"/>
              </w:rPr>
            </w:pPr>
            <w:r w:rsidRPr="00A90052">
              <w:rPr>
                <w:rFonts w:ascii="Calibri" w:hAnsi="Calibri" w:cs="Calibri"/>
                <w:color w:val="000000"/>
                <w:sz w:val="20"/>
                <w:szCs w:val="20"/>
              </w:rPr>
              <w:t>2001</w:t>
            </w:r>
          </w:p>
        </w:tc>
        <w:tc>
          <w:tcPr>
            <w:tcW w:w="2410" w:type="dxa"/>
            <w:tcBorders>
              <w:top w:val="nil"/>
              <w:left w:val="single" w:sz="6" w:space="0" w:color="auto"/>
              <w:bottom w:val="single" w:sz="6" w:space="0" w:color="auto"/>
              <w:right w:val="single" w:sz="12" w:space="0" w:color="auto"/>
            </w:tcBorders>
          </w:tcPr>
          <w:p w:rsidR="00A90052" w:rsidRPr="00A90052" w:rsidRDefault="00A90052" w:rsidP="008C5D80">
            <w:pPr>
              <w:autoSpaceDE w:val="0"/>
              <w:autoSpaceDN w:val="0"/>
              <w:adjustRightInd w:val="0"/>
              <w:spacing w:after="0" w:line="360" w:lineRule="auto"/>
              <w:jc w:val="both"/>
              <w:rPr>
                <w:rFonts w:ascii="Calibri" w:hAnsi="Calibri" w:cs="Calibri"/>
                <w:color w:val="000000"/>
                <w:sz w:val="20"/>
                <w:szCs w:val="20"/>
              </w:rPr>
            </w:pPr>
            <w:r w:rsidRPr="00A90052">
              <w:rPr>
                <w:rFonts w:ascii="Calibri" w:hAnsi="Calibri" w:cs="Calibri"/>
                <w:color w:val="000000"/>
                <w:sz w:val="20"/>
                <w:szCs w:val="20"/>
              </w:rPr>
              <w:t>35,0%</w:t>
            </w:r>
          </w:p>
        </w:tc>
      </w:tr>
      <w:tr w:rsidR="00A90052" w:rsidRPr="00A90052" w:rsidTr="00A90052">
        <w:trPr>
          <w:trHeight w:val="290"/>
        </w:trPr>
        <w:tc>
          <w:tcPr>
            <w:tcW w:w="739" w:type="dxa"/>
            <w:tcBorders>
              <w:top w:val="single" w:sz="6" w:space="0" w:color="auto"/>
              <w:left w:val="single" w:sz="12" w:space="0" w:color="auto"/>
              <w:bottom w:val="single" w:sz="6" w:space="0" w:color="auto"/>
              <w:right w:val="single" w:sz="6" w:space="0" w:color="auto"/>
            </w:tcBorders>
          </w:tcPr>
          <w:p w:rsidR="00A90052" w:rsidRPr="00A90052" w:rsidRDefault="00A90052" w:rsidP="008C5D80">
            <w:pPr>
              <w:autoSpaceDE w:val="0"/>
              <w:autoSpaceDN w:val="0"/>
              <w:adjustRightInd w:val="0"/>
              <w:spacing w:after="0" w:line="360" w:lineRule="auto"/>
              <w:jc w:val="both"/>
              <w:rPr>
                <w:rFonts w:ascii="Calibri" w:hAnsi="Calibri" w:cs="Calibri"/>
                <w:color w:val="000000"/>
                <w:sz w:val="20"/>
                <w:szCs w:val="20"/>
              </w:rPr>
            </w:pPr>
            <w:r w:rsidRPr="00A90052">
              <w:rPr>
                <w:rFonts w:ascii="Calibri" w:hAnsi="Calibri" w:cs="Calibri"/>
                <w:color w:val="000000"/>
                <w:sz w:val="20"/>
                <w:szCs w:val="20"/>
              </w:rPr>
              <w:t>2002</w:t>
            </w:r>
          </w:p>
        </w:tc>
        <w:tc>
          <w:tcPr>
            <w:tcW w:w="2410" w:type="dxa"/>
            <w:tcBorders>
              <w:top w:val="single" w:sz="6" w:space="0" w:color="auto"/>
              <w:left w:val="single" w:sz="6" w:space="0" w:color="auto"/>
              <w:bottom w:val="single" w:sz="6" w:space="0" w:color="auto"/>
              <w:right w:val="single" w:sz="12" w:space="0" w:color="auto"/>
            </w:tcBorders>
          </w:tcPr>
          <w:p w:rsidR="00A90052" w:rsidRPr="00A90052" w:rsidRDefault="00A90052" w:rsidP="008C5D80">
            <w:pPr>
              <w:autoSpaceDE w:val="0"/>
              <w:autoSpaceDN w:val="0"/>
              <w:adjustRightInd w:val="0"/>
              <w:spacing w:after="0" w:line="360" w:lineRule="auto"/>
              <w:jc w:val="both"/>
              <w:rPr>
                <w:rFonts w:ascii="Calibri" w:hAnsi="Calibri" w:cs="Calibri"/>
                <w:color w:val="000000"/>
                <w:sz w:val="20"/>
                <w:szCs w:val="20"/>
              </w:rPr>
            </w:pPr>
            <w:r w:rsidRPr="00A90052">
              <w:rPr>
                <w:rFonts w:ascii="Calibri" w:hAnsi="Calibri" w:cs="Calibri"/>
                <w:color w:val="000000"/>
                <w:sz w:val="20"/>
                <w:szCs w:val="20"/>
              </w:rPr>
              <w:t>34,5%</w:t>
            </w:r>
          </w:p>
        </w:tc>
      </w:tr>
      <w:tr w:rsidR="00A90052" w:rsidRPr="00A90052" w:rsidTr="00A90052">
        <w:trPr>
          <w:trHeight w:val="290"/>
        </w:trPr>
        <w:tc>
          <w:tcPr>
            <w:tcW w:w="739" w:type="dxa"/>
            <w:tcBorders>
              <w:top w:val="single" w:sz="6" w:space="0" w:color="auto"/>
              <w:left w:val="single" w:sz="12" w:space="0" w:color="auto"/>
              <w:bottom w:val="single" w:sz="6" w:space="0" w:color="auto"/>
              <w:right w:val="single" w:sz="6" w:space="0" w:color="auto"/>
            </w:tcBorders>
          </w:tcPr>
          <w:p w:rsidR="00A90052" w:rsidRPr="00A90052" w:rsidRDefault="00A90052" w:rsidP="008C5D80">
            <w:pPr>
              <w:autoSpaceDE w:val="0"/>
              <w:autoSpaceDN w:val="0"/>
              <w:adjustRightInd w:val="0"/>
              <w:spacing w:after="0" w:line="360" w:lineRule="auto"/>
              <w:jc w:val="both"/>
              <w:rPr>
                <w:rFonts w:ascii="Calibri" w:hAnsi="Calibri" w:cs="Calibri"/>
                <w:color w:val="000000"/>
                <w:sz w:val="20"/>
                <w:szCs w:val="20"/>
              </w:rPr>
            </w:pPr>
            <w:r w:rsidRPr="00A90052">
              <w:rPr>
                <w:rFonts w:ascii="Calibri" w:hAnsi="Calibri" w:cs="Calibri"/>
                <w:color w:val="000000"/>
                <w:sz w:val="20"/>
                <w:szCs w:val="20"/>
              </w:rPr>
              <w:t>2003</w:t>
            </w:r>
          </w:p>
        </w:tc>
        <w:tc>
          <w:tcPr>
            <w:tcW w:w="2410" w:type="dxa"/>
            <w:tcBorders>
              <w:top w:val="single" w:sz="6" w:space="0" w:color="auto"/>
              <w:left w:val="single" w:sz="6" w:space="0" w:color="auto"/>
              <w:bottom w:val="single" w:sz="6" w:space="0" w:color="auto"/>
              <w:right w:val="single" w:sz="12" w:space="0" w:color="auto"/>
            </w:tcBorders>
          </w:tcPr>
          <w:p w:rsidR="00A90052" w:rsidRPr="00A90052" w:rsidRDefault="00A90052" w:rsidP="008C5D80">
            <w:pPr>
              <w:autoSpaceDE w:val="0"/>
              <w:autoSpaceDN w:val="0"/>
              <w:adjustRightInd w:val="0"/>
              <w:spacing w:after="0" w:line="360" w:lineRule="auto"/>
              <w:jc w:val="both"/>
              <w:rPr>
                <w:rFonts w:ascii="Calibri" w:hAnsi="Calibri" w:cs="Calibri"/>
                <w:color w:val="000000"/>
                <w:sz w:val="20"/>
                <w:szCs w:val="20"/>
              </w:rPr>
            </w:pPr>
            <w:r w:rsidRPr="00A90052">
              <w:rPr>
                <w:rFonts w:ascii="Calibri" w:hAnsi="Calibri" w:cs="Calibri"/>
                <w:color w:val="000000"/>
                <w:sz w:val="20"/>
                <w:szCs w:val="20"/>
              </w:rPr>
              <w:t>34,5%</w:t>
            </w:r>
          </w:p>
        </w:tc>
      </w:tr>
      <w:tr w:rsidR="00A90052" w:rsidRPr="00A90052" w:rsidTr="00A90052">
        <w:trPr>
          <w:trHeight w:val="290"/>
        </w:trPr>
        <w:tc>
          <w:tcPr>
            <w:tcW w:w="739" w:type="dxa"/>
            <w:tcBorders>
              <w:top w:val="single" w:sz="6" w:space="0" w:color="auto"/>
              <w:left w:val="single" w:sz="12" w:space="0" w:color="auto"/>
              <w:bottom w:val="single" w:sz="6" w:space="0" w:color="auto"/>
              <w:right w:val="single" w:sz="6" w:space="0" w:color="auto"/>
            </w:tcBorders>
          </w:tcPr>
          <w:p w:rsidR="00A90052" w:rsidRPr="00A90052" w:rsidRDefault="00A90052" w:rsidP="008C5D80">
            <w:pPr>
              <w:autoSpaceDE w:val="0"/>
              <w:autoSpaceDN w:val="0"/>
              <w:adjustRightInd w:val="0"/>
              <w:spacing w:after="0" w:line="360" w:lineRule="auto"/>
              <w:jc w:val="both"/>
              <w:rPr>
                <w:rFonts w:ascii="Calibri" w:hAnsi="Calibri" w:cs="Calibri"/>
                <w:color w:val="000000"/>
                <w:sz w:val="20"/>
                <w:szCs w:val="20"/>
              </w:rPr>
            </w:pPr>
            <w:r w:rsidRPr="00A90052">
              <w:rPr>
                <w:rFonts w:ascii="Calibri" w:hAnsi="Calibri" w:cs="Calibri"/>
                <w:color w:val="000000"/>
                <w:sz w:val="20"/>
                <w:szCs w:val="20"/>
              </w:rPr>
              <w:t>2004</w:t>
            </w:r>
          </w:p>
        </w:tc>
        <w:tc>
          <w:tcPr>
            <w:tcW w:w="2410" w:type="dxa"/>
            <w:tcBorders>
              <w:top w:val="single" w:sz="6" w:space="0" w:color="auto"/>
              <w:left w:val="single" w:sz="6" w:space="0" w:color="auto"/>
              <w:bottom w:val="single" w:sz="6" w:space="0" w:color="auto"/>
              <w:right w:val="single" w:sz="12" w:space="0" w:color="auto"/>
            </w:tcBorders>
          </w:tcPr>
          <w:p w:rsidR="00A90052" w:rsidRPr="00A90052" w:rsidRDefault="00A90052" w:rsidP="008C5D80">
            <w:pPr>
              <w:autoSpaceDE w:val="0"/>
              <w:autoSpaceDN w:val="0"/>
              <w:adjustRightInd w:val="0"/>
              <w:spacing w:after="0" w:line="360" w:lineRule="auto"/>
              <w:jc w:val="both"/>
              <w:rPr>
                <w:rFonts w:ascii="Calibri" w:hAnsi="Calibri" w:cs="Calibri"/>
                <w:color w:val="000000"/>
                <w:sz w:val="20"/>
                <w:szCs w:val="20"/>
              </w:rPr>
            </w:pPr>
            <w:r w:rsidRPr="00A90052">
              <w:rPr>
                <w:rFonts w:ascii="Calibri" w:hAnsi="Calibri" w:cs="Calibri"/>
                <w:color w:val="000000"/>
                <w:sz w:val="20"/>
                <w:szCs w:val="20"/>
              </w:rPr>
              <w:t>34,5%</w:t>
            </w:r>
          </w:p>
        </w:tc>
      </w:tr>
      <w:tr w:rsidR="00A90052" w:rsidRPr="00A90052" w:rsidTr="00A90052">
        <w:trPr>
          <w:trHeight w:val="290"/>
        </w:trPr>
        <w:tc>
          <w:tcPr>
            <w:tcW w:w="739" w:type="dxa"/>
            <w:tcBorders>
              <w:top w:val="single" w:sz="6" w:space="0" w:color="auto"/>
              <w:left w:val="single" w:sz="12" w:space="0" w:color="auto"/>
              <w:bottom w:val="single" w:sz="6" w:space="0" w:color="auto"/>
              <w:right w:val="single" w:sz="6" w:space="0" w:color="auto"/>
            </w:tcBorders>
          </w:tcPr>
          <w:p w:rsidR="00A90052" w:rsidRPr="00A90052" w:rsidRDefault="00A90052" w:rsidP="008C5D80">
            <w:pPr>
              <w:autoSpaceDE w:val="0"/>
              <w:autoSpaceDN w:val="0"/>
              <w:adjustRightInd w:val="0"/>
              <w:spacing w:after="0" w:line="360" w:lineRule="auto"/>
              <w:jc w:val="both"/>
              <w:rPr>
                <w:rFonts w:ascii="Calibri" w:hAnsi="Calibri" w:cs="Calibri"/>
                <w:color w:val="000000"/>
                <w:sz w:val="20"/>
                <w:szCs w:val="20"/>
              </w:rPr>
            </w:pPr>
            <w:r w:rsidRPr="00A90052">
              <w:rPr>
                <w:rFonts w:ascii="Calibri" w:hAnsi="Calibri" w:cs="Calibri"/>
                <w:color w:val="000000"/>
                <w:sz w:val="20"/>
                <w:szCs w:val="20"/>
              </w:rPr>
              <w:t>2005</w:t>
            </w:r>
          </w:p>
        </w:tc>
        <w:tc>
          <w:tcPr>
            <w:tcW w:w="2410" w:type="dxa"/>
            <w:tcBorders>
              <w:top w:val="single" w:sz="6" w:space="0" w:color="auto"/>
              <w:left w:val="single" w:sz="6" w:space="0" w:color="auto"/>
              <w:bottom w:val="single" w:sz="6" w:space="0" w:color="auto"/>
              <w:right w:val="single" w:sz="12" w:space="0" w:color="auto"/>
            </w:tcBorders>
          </w:tcPr>
          <w:p w:rsidR="00A90052" w:rsidRPr="00A90052" w:rsidRDefault="00A90052" w:rsidP="008C5D80">
            <w:pPr>
              <w:autoSpaceDE w:val="0"/>
              <w:autoSpaceDN w:val="0"/>
              <w:adjustRightInd w:val="0"/>
              <w:spacing w:after="0" w:line="360" w:lineRule="auto"/>
              <w:jc w:val="both"/>
              <w:rPr>
                <w:rFonts w:ascii="Calibri" w:hAnsi="Calibri" w:cs="Calibri"/>
                <w:color w:val="000000"/>
                <w:sz w:val="20"/>
                <w:szCs w:val="20"/>
              </w:rPr>
            </w:pPr>
            <w:r w:rsidRPr="00A90052">
              <w:rPr>
                <w:rFonts w:ascii="Calibri" w:hAnsi="Calibri" w:cs="Calibri"/>
                <w:color w:val="000000"/>
                <w:sz w:val="20"/>
                <w:szCs w:val="20"/>
              </w:rPr>
              <w:t>31,5%</w:t>
            </w:r>
          </w:p>
        </w:tc>
      </w:tr>
      <w:tr w:rsidR="00A90052" w:rsidRPr="00A90052" w:rsidTr="00A90052">
        <w:trPr>
          <w:trHeight w:val="290"/>
        </w:trPr>
        <w:tc>
          <w:tcPr>
            <w:tcW w:w="739" w:type="dxa"/>
            <w:tcBorders>
              <w:top w:val="single" w:sz="6" w:space="0" w:color="auto"/>
              <w:left w:val="single" w:sz="12" w:space="0" w:color="auto"/>
              <w:bottom w:val="single" w:sz="6" w:space="0" w:color="auto"/>
              <w:right w:val="single" w:sz="6" w:space="0" w:color="auto"/>
            </w:tcBorders>
          </w:tcPr>
          <w:p w:rsidR="00A90052" w:rsidRPr="00A90052" w:rsidRDefault="00A90052" w:rsidP="008C5D80">
            <w:pPr>
              <w:autoSpaceDE w:val="0"/>
              <w:autoSpaceDN w:val="0"/>
              <w:adjustRightInd w:val="0"/>
              <w:spacing w:after="0" w:line="360" w:lineRule="auto"/>
              <w:jc w:val="both"/>
              <w:rPr>
                <w:rFonts w:ascii="Calibri" w:hAnsi="Calibri" w:cs="Calibri"/>
                <w:color w:val="000000"/>
                <w:sz w:val="20"/>
                <w:szCs w:val="20"/>
              </w:rPr>
            </w:pPr>
            <w:r w:rsidRPr="00A90052">
              <w:rPr>
                <w:rFonts w:ascii="Calibri" w:hAnsi="Calibri" w:cs="Calibri"/>
                <w:color w:val="000000"/>
                <w:sz w:val="20"/>
                <w:szCs w:val="20"/>
              </w:rPr>
              <w:t>2006</w:t>
            </w:r>
          </w:p>
        </w:tc>
        <w:tc>
          <w:tcPr>
            <w:tcW w:w="2410" w:type="dxa"/>
            <w:tcBorders>
              <w:top w:val="single" w:sz="6" w:space="0" w:color="auto"/>
              <w:left w:val="single" w:sz="6" w:space="0" w:color="auto"/>
              <w:bottom w:val="single" w:sz="6" w:space="0" w:color="auto"/>
              <w:right w:val="single" w:sz="12" w:space="0" w:color="auto"/>
            </w:tcBorders>
          </w:tcPr>
          <w:p w:rsidR="00A90052" w:rsidRPr="00A90052" w:rsidRDefault="00A90052" w:rsidP="008C5D80">
            <w:pPr>
              <w:autoSpaceDE w:val="0"/>
              <w:autoSpaceDN w:val="0"/>
              <w:adjustRightInd w:val="0"/>
              <w:spacing w:after="0" w:line="360" w:lineRule="auto"/>
              <w:jc w:val="both"/>
              <w:rPr>
                <w:rFonts w:ascii="Calibri" w:hAnsi="Calibri" w:cs="Calibri"/>
                <w:color w:val="000000"/>
                <w:sz w:val="20"/>
                <w:szCs w:val="20"/>
              </w:rPr>
            </w:pPr>
            <w:r w:rsidRPr="00A90052">
              <w:rPr>
                <w:rFonts w:ascii="Calibri" w:hAnsi="Calibri" w:cs="Calibri"/>
                <w:color w:val="000000"/>
                <w:sz w:val="20"/>
                <w:szCs w:val="20"/>
              </w:rPr>
              <w:t>29,6%</w:t>
            </w:r>
          </w:p>
        </w:tc>
      </w:tr>
      <w:tr w:rsidR="00A90052" w:rsidRPr="00A90052" w:rsidTr="00A90052">
        <w:trPr>
          <w:trHeight w:val="290"/>
        </w:trPr>
        <w:tc>
          <w:tcPr>
            <w:tcW w:w="739" w:type="dxa"/>
            <w:tcBorders>
              <w:top w:val="single" w:sz="6" w:space="0" w:color="auto"/>
              <w:left w:val="single" w:sz="12" w:space="0" w:color="auto"/>
              <w:bottom w:val="single" w:sz="6" w:space="0" w:color="auto"/>
              <w:right w:val="single" w:sz="6" w:space="0" w:color="auto"/>
            </w:tcBorders>
          </w:tcPr>
          <w:p w:rsidR="00A90052" w:rsidRPr="00A90052" w:rsidRDefault="00A90052" w:rsidP="008C5D80">
            <w:pPr>
              <w:autoSpaceDE w:val="0"/>
              <w:autoSpaceDN w:val="0"/>
              <w:adjustRightInd w:val="0"/>
              <w:spacing w:after="0" w:line="360" w:lineRule="auto"/>
              <w:jc w:val="both"/>
              <w:rPr>
                <w:rFonts w:ascii="Calibri" w:hAnsi="Calibri" w:cs="Calibri"/>
                <w:color w:val="000000"/>
                <w:sz w:val="20"/>
                <w:szCs w:val="20"/>
              </w:rPr>
            </w:pPr>
            <w:r w:rsidRPr="00A90052">
              <w:rPr>
                <w:rFonts w:ascii="Calibri" w:hAnsi="Calibri" w:cs="Calibri"/>
                <w:color w:val="000000"/>
                <w:sz w:val="20"/>
                <w:szCs w:val="20"/>
              </w:rPr>
              <w:t>2007</w:t>
            </w:r>
          </w:p>
        </w:tc>
        <w:tc>
          <w:tcPr>
            <w:tcW w:w="2410" w:type="dxa"/>
            <w:tcBorders>
              <w:top w:val="single" w:sz="6" w:space="0" w:color="auto"/>
              <w:left w:val="single" w:sz="6" w:space="0" w:color="auto"/>
              <w:bottom w:val="single" w:sz="6" w:space="0" w:color="auto"/>
              <w:right w:val="single" w:sz="12" w:space="0" w:color="auto"/>
            </w:tcBorders>
          </w:tcPr>
          <w:p w:rsidR="00A90052" w:rsidRPr="00A90052" w:rsidRDefault="00A90052" w:rsidP="008C5D80">
            <w:pPr>
              <w:autoSpaceDE w:val="0"/>
              <w:autoSpaceDN w:val="0"/>
              <w:adjustRightInd w:val="0"/>
              <w:spacing w:after="0" w:line="360" w:lineRule="auto"/>
              <w:jc w:val="both"/>
              <w:rPr>
                <w:rFonts w:ascii="Calibri" w:hAnsi="Calibri" w:cs="Calibri"/>
                <w:color w:val="000000"/>
                <w:sz w:val="20"/>
                <w:szCs w:val="20"/>
              </w:rPr>
            </w:pPr>
            <w:r w:rsidRPr="00A90052">
              <w:rPr>
                <w:rFonts w:ascii="Calibri" w:hAnsi="Calibri" w:cs="Calibri"/>
                <w:color w:val="000000"/>
                <w:sz w:val="20"/>
                <w:szCs w:val="20"/>
              </w:rPr>
              <w:t>23,5%</w:t>
            </w:r>
          </w:p>
        </w:tc>
      </w:tr>
      <w:tr w:rsidR="00A90052" w:rsidRPr="00A90052" w:rsidTr="00A90052">
        <w:trPr>
          <w:trHeight w:val="290"/>
        </w:trPr>
        <w:tc>
          <w:tcPr>
            <w:tcW w:w="739" w:type="dxa"/>
            <w:tcBorders>
              <w:top w:val="single" w:sz="6" w:space="0" w:color="auto"/>
              <w:left w:val="single" w:sz="12" w:space="0" w:color="auto"/>
              <w:bottom w:val="single" w:sz="6" w:space="0" w:color="auto"/>
              <w:right w:val="single" w:sz="6" w:space="0" w:color="auto"/>
            </w:tcBorders>
          </w:tcPr>
          <w:p w:rsidR="00A90052" w:rsidRPr="00A90052" w:rsidRDefault="00A90052" w:rsidP="008C5D80">
            <w:pPr>
              <w:autoSpaceDE w:val="0"/>
              <w:autoSpaceDN w:val="0"/>
              <w:adjustRightInd w:val="0"/>
              <w:spacing w:after="0" w:line="360" w:lineRule="auto"/>
              <w:jc w:val="both"/>
              <w:rPr>
                <w:rFonts w:ascii="Calibri" w:hAnsi="Calibri" w:cs="Calibri"/>
                <w:color w:val="000000"/>
                <w:sz w:val="20"/>
                <w:szCs w:val="20"/>
              </w:rPr>
            </w:pPr>
            <w:r w:rsidRPr="00A90052">
              <w:rPr>
                <w:rFonts w:ascii="Calibri" w:hAnsi="Calibri" w:cs="Calibri"/>
                <w:color w:val="000000"/>
                <w:sz w:val="20"/>
                <w:szCs w:val="20"/>
              </w:rPr>
              <w:t>2008</w:t>
            </w:r>
          </w:p>
        </w:tc>
        <w:tc>
          <w:tcPr>
            <w:tcW w:w="2410" w:type="dxa"/>
            <w:tcBorders>
              <w:top w:val="single" w:sz="6" w:space="0" w:color="auto"/>
              <w:left w:val="single" w:sz="6" w:space="0" w:color="auto"/>
              <w:bottom w:val="single" w:sz="6" w:space="0" w:color="auto"/>
              <w:right w:val="single" w:sz="12" w:space="0" w:color="auto"/>
            </w:tcBorders>
          </w:tcPr>
          <w:p w:rsidR="00A90052" w:rsidRPr="00A90052" w:rsidRDefault="00A90052" w:rsidP="008C5D80">
            <w:pPr>
              <w:autoSpaceDE w:val="0"/>
              <w:autoSpaceDN w:val="0"/>
              <w:adjustRightInd w:val="0"/>
              <w:spacing w:after="0" w:line="360" w:lineRule="auto"/>
              <w:jc w:val="both"/>
              <w:rPr>
                <w:rFonts w:ascii="Calibri" w:hAnsi="Calibri" w:cs="Calibri"/>
                <w:color w:val="000000"/>
                <w:sz w:val="20"/>
                <w:szCs w:val="20"/>
              </w:rPr>
            </w:pPr>
            <w:r w:rsidRPr="00A90052">
              <w:rPr>
                <w:rFonts w:ascii="Calibri" w:hAnsi="Calibri" w:cs="Calibri"/>
                <w:color w:val="000000"/>
                <w:sz w:val="20"/>
                <w:szCs w:val="20"/>
              </w:rPr>
              <w:t>25,5%</w:t>
            </w:r>
          </w:p>
        </w:tc>
      </w:tr>
      <w:tr w:rsidR="00A90052" w:rsidRPr="00A90052" w:rsidTr="00A90052">
        <w:trPr>
          <w:trHeight w:val="290"/>
        </w:trPr>
        <w:tc>
          <w:tcPr>
            <w:tcW w:w="739" w:type="dxa"/>
            <w:tcBorders>
              <w:top w:val="single" w:sz="6" w:space="0" w:color="auto"/>
              <w:left w:val="single" w:sz="12" w:space="0" w:color="auto"/>
              <w:bottom w:val="single" w:sz="6" w:space="0" w:color="auto"/>
              <w:right w:val="single" w:sz="6" w:space="0" w:color="auto"/>
            </w:tcBorders>
          </w:tcPr>
          <w:p w:rsidR="00A90052" w:rsidRPr="00A90052" w:rsidRDefault="00A90052" w:rsidP="008C5D80">
            <w:pPr>
              <w:autoSpaceDE w:val="0"/>
              <w:autoSpaceDN w:val="0"/>
              <w:adjustRightInd w:val="0"/>
              <w:spacing w:after="0" w:line="360" w:lineRule="auto"/>
              <w:jc w:val="both"/>
              <w:rPr>
                <w:rFonts w:ascii="Calibri" w:hAnsi="Calibri" w:cs="Calibri"/>
                <w:color w:val="000000"/>
                <w:sz w:val="20"/>
                <w:szCs w:val="20"/>
              </w:rPr>
            </w:pPr>
            <w:r w:rsidRPr="00A90052">
              <w:rPr>
                <w:rFonts w:ascii="Calibri" w:hAnsi="Calibri" w:cs="Calibri"/>
                <w:color w:val="000000"/>
                <w:sz w:val="20"/>
                <w:szCs w:val="20"/>
              </w:rPr>
              <w:t>2009</w:t>
            </w:r>
          </w:p>
        </w:tc>
        <w:tc>
          <w:tcPr>
            <w:tcW w:w="2410" w:type="dxa"/>
            <w:tcBorders>
              <w:top w:val="single" w:sz="6" w:space="0" w:color="auto"/>
              <w:left w:val="single" w:sz="6" w:space="0" w:color="auto"/>
              <w:bottom w:val="single" w:sz="6" w:space="0" w:color="auto"/>
              <w:right w:val="single" w:sz="12" w:space="0" w:color="auto"/>
            </w:tcBorders>
          </w:tcPr>
          <w:p w:rsidR="00A90052" w:rsidRPr="00A90052" w:rsidRDefault="00A90052" w:rsidP="008C5D80">
            <w:pPr>
              <w:autoSpaceDE w:val="0"/>
              <w:autoSpaceDN w:val="0"/>
              <w:adjustRightInd w:val="0"/>
              <w:spacing w:after="0" w:line="360" w:lineRule="auto"/>
              <w:jc w:val="both"/>
              <w:rPr>
                <w:rFonts w:ascii="Calibri" w:hAnsi="Calibri" w:cs="Calibri"/>
                <w:color w:val="000000"/>
                <w:sz w:val="20"/>
                <w:szCs w:val="20"/>
              </w:rPr>
            </w:pPr>
            <w:r w:rsidRPr="00A90052">
              <w:rPr>
                <w:rFonts w:ascii="Calibri" w:hAnsi="Calibri" w:cs="Calibri"/>
                <w:color w:val="000000"/>
                <w:sz w:val="20"/>
                <w:szCs w:val="20"/>
              </w:rPr>
              <w:t>25,5%</w:t>
            </w:r>
          </w:p>
        </w:tc>
      </w:tr>
      <w:tr w:rsidR="00A90052" w:rsidRPr="00A90052" w:rsidTr="00A90052">
        <w:trPr>
          <w:trHeight w:val="305"/>
        </w:trPr>
        <w:tc>
          <w:tcPr>
            <w:tcW w:w="739" w:type="dxa"/>
            <w:tcBorders>
              <w:top w:val="single" w:sz="6" w:space="0" w:color="auto"/>
              <w:left w:val="single" w:sz="12" w:space="0" w:color="auto"/>
              <w:bottom w:val="single" w:sz="12" w:space="0" w:color="auto"/>
              <w:right w:val="single" w:sz="6" w:space="0" w:color="auto"/>
            </w:tcBorders>
          </w:tcPr>
          <w:p w:rsidR="00A90052" w:rsidRPr="00A90052" w:rsidRDefault="00A90052" w:rsidP="008C5D80">
            <w:pPr>
              <w:autoSpaceDE w:val="0"/>
              <w:autoSpaceDN w:val="0"/>
              <w:adjustRightInd w:val="0"/>
              <w:spacing w:after="0" w:line="360" w:lineRule="auto"/>
              <w:jc w:val="both"/>
              <w:rPr>
                <w:rFonts w:ascii="Calibri" w:hAnsi="Calibri" w:cs="Calibri"/>
                <w:color w:val="000000"/>
                <w:sz w:val="20"/>
                <w:szCs w:val="20"/>
              </w:rPr>
            </w:pPr>
            <w:r w:rsidRPr="00A90052">
              <w:rPr>
                <w:rFonts w:ascii="Calibri" w:hAnsi="Calibri" w:cs="Calibri"/>
                <w:color w:val="000000"/>
                <w:sz w:val="20"/>
                <w:szCs w:val="20"/>
              </w:rPr>
              <w:t>2010</w:t>
            </w:r>
          </w:p>
        </w:tc>
        <w:tc>
          <w:tcPr>
            <w:tcW w:w="2410" w:type="dxa"/>
            <w:tcBorders>
              <w:top w:val="single" w:sz="6" w:space="0" w:color="auto"/>
              <w:left w:val="single" w:sz="6" w:space="0" w:color="auto"/>
              <w:bottom w:val="single" w:sz="12" w:space="0" w:color="auto"/>
              <w:right w:val="single" w:sz="12" w:space="0" w:color="auto"/>
            </w:tcBorders>
          </w:tcPr>
          <w:p w:rsidR="00A90052" w:rsidRPr="00A90052" w:rsidRDefault="00A90052" w:rsidP="008C5D80">
            <w:pPr>
              <w:autoSpaceDE w:val="0"/>
              <w:autoSpaceDN w:val="0"/>
              <w:adjustRightInd w:val="0"/>
              <w:spacing w:after="0" w:line="360" w:lineRule="auto"/>
              <w:jc w:val="both"/>
              <w:rPr>
                <w:rFonts w:ascii="Calibri" w:hAnsi="Calibri" w:cs="Calibri"/>
                <w:color w:val="000000"/>
                <w:sz w:val="20"/>
                <w:szCs w:val="20"/>
              </w:rPr>
            </w:pPr>
            <w:r w:rsidRPr="00A90052">
              <w:rPr>
                <w:rFonts w:ascii="Calibri" w:hAnsi="Calibri" w:cs="Calibri"/>
                <w:color w:val="000000"/>
                <w:sz w:val="20"/>
                <w:szCs w:val="20"/>
              </w:rPr>
              <w:t>25,5%</w:t>
            </w:r>
          </w:p>
        </w:tc>
      </w:tr>
    </w:tbl>
    <w:p w:rsidR="00A90052" w:rsidRDefault="00A90052" w:rsidP="008C5D80">
      <w:pPr>
        <w:spacing w:line="360" w:lineRule="auto"/>
        <w:jc w:val="both"/>
        <w:rPr>
          <w:i/>
        </w:rPr>
      </w:pPr>
      <w:r w:rsidRPr="00760313">
        <w:rPr>
          <w:i/>
        </w:rPr>
        <w:t xml:space="preserve">Tabel </w:t>
      </w:r>
      <w:r w:rsidR="008C5D80">
        <w:rPr>
          <w:i/>
        </w:rPr>
        <w:t>6</w:t>
      </w:r>
      <w:r>
        <w:rPr>
          <w:i/>
        </w:rPr>
        <w:t>: tarief vennootschapsbelasting</w:t>
      </w:r>
    </w:p>
    <w:p w:rsidR="00A90052" w:rsidRDefault="00A90052" w:rsidP="008C5D80">
      <w:pPr>
        <w:spacing w:line="360" w:lineRule="auto"/>
        <w:jc w:val="both"/>
      </w:pPr>
      <w:r>
        <w:t xml:space="preserve">In deze tabel worden slechts de toptarieven van de VPB gebruikt. In het model wordt geen rekening gehouden met het opstapje in het </w:t>
      </w:r>
      <w:proofErr w:type="spellStart"/>
      <w:r>
        <w:t>VPB-tarief</w:t>
      </w:r>
      <w:proofErr w:type="spellEnd"/>
      <w:r>
        <w:t>.</w:t>
      </w:r>
    </w:p>
    <w:p w:rsidR="00737CBA" w:rsidRDefault="00737CBA" w:rsidP="008C5D80">
      <w:pPr>
        <w:spacing w:line="360" w:lineRule="auto"/>
        <w:jc w:val="both"/>
      </w:pPr>
    </w:p>
    <w:p w:rsidR="006A2001" w:rsidRDefault="006A2001" w:rsidP="002A5479">
      <w:pPr>
        <w:spacing w:line="360" w:lineRule="auto"/>
        <w:rPr>
          <w:i/>
        </w:rPr>
      </w:pPr>
    </w:p>
    <w:p w:rsidR="006861A0" w:rsidRDefault="006861A0" w:rsidP="002A5479">
      <w:pPr>
        <w:pStyle w:val="Bijlage"/>
        <w:spacing w:line="360" w:lineRule="auto"/>
      </w:pPr>
      <w:bookmarkStart w:id="47" w:name="_Toc299740243"/>
      <w:r>
        <w:lastRenderedPageBreak/>
        <w:t>Vermogensaanwasbelasting</w:t>
      </w:r>
      <w:bookmarkEnd w:id="47"/>
    </w:p>
    <w:p w:rsidR="00737CBA" w:rsidRDefault="00737CBA" w:rsidP="008C5D80">
      <w:pPr>
        <w:spacing w:line="360" w:lineRule="auto"/>
        <w:contextualSpacing/>
        <w:jc w:val="both"/>
        <w:rPr>
          <w:i/>
        </w:rPr>
      </w:pPr>
    </w:p>
    <w:tbl>
      <w:tblPr>
        <w:tblW w:w="8961" w:type="dxa"/>
        <w:tblInd w:w="40" w:type="dxa"/>
        <w:tblLayout w:type="fixed"/>
        <w:tblCellMar>
          <w:left w:w="70" w:type="dxa"/>
          <w:right w:w="70" w:type="dxa"/>
        </w:tblCellMar>
        <w:tblLook w:val="0000"/>
      </w:tblPr>
      <w:tblGrid>
        <w:gridCol w:w="739"/>
        <w:gridCol w:w="1843"/>
        <w:gridCol w:w="2268"/>
        <w:gridCol w:w="2268"/>
        <w:gridCol w:w="1843"/>
      </w:tblGrid>
      <w:tr w:rsidR="00891373" w:rsidRPr="008C5D80" w:rsidTr="00891373">
        <w:trPr>
          <w:trHeight w:val="305"/>
        </w:trPr>
        <w:tc>
          <w:tcPr>
            <w:tcW w:w="739" w:type="dxa"/>
            <w:tcBorders>
              <w:top w:val="single" w:sz="12" w:space="0" w:color="auto"/>
              <w:left w:val="single" w:sz="12" w:space="0" w:color="auto"/>
              <w:bottom w:val="single" w:sz="12"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b/>
                <w:bCs/>
                <w:color w:val="000000"/>
                <w:sz w:val="20"/>
                <w:szCs w:val="20"/>
              </w:rPr>
            </w:pPr>
            <w:r w:rsidRPr="008C5D80">
              <w:rPr>
                <w:rFonts w:ascii="Calibri" w:hAnsi="Calibri" w:cs="Calibri"/>
                <w:b/>
                <w:bCs/>
                <w:color w:val="000000"/>
                <w:sz w:val="20"/>
                <w:szCs w:val="20"/>
              </w:rPr>
              <w:t>Jaar</w:t>
            </w:r>
          </w:p>
        </w:tc>
        <w:tc>
          <w:tcPr>
            <w:tcW w:w="1843" w:type="dxa"/>
            <w:tcBorders>
              <w:top w:val="single" w:sz="12" w:space="0" w:color="auto"/>
              <w:left w:val="single" w:sz="6" w:space="0" w:color="auto"/>
              <w:bottom w:val="single" w:sz="12"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b/>
                <w:bCs/>
                <w:color w:val="000000"/>
                <w:sz w:val="20"/>
                <w:szCs w:val="20"/>
              </w:rPr>
            </w:pPr>
            <w:proofErr w:type="spellStart"/>
            <w:r w:rsidRPr="008C5D80">
              <w:rPr>
                <w:rFonts w:ascii="Calibri" w:hAnsi="Calibri" w:cs="Calibri"/>
                <w:b/>
                <w:bCs/>
                <w:color w:val="000000"/>
                <w:sz w:val="20"/>
                <w:szCs w:val="20"/>
              </w:rPr>
              <w:t>Waardeontw</w:t>
            </w:r>
            <w:proofErr w:type="spellEnd"/>
            <w:r w:rsidRPr="008C5D80">
              <w:rPr>
                <w:rFonts w:ascii="Calibri" w:hAnsi="Calibri" w:cs="Calibri"/>
                <w:b/>
                <w:bCs/>
                <w:color w:val="000000"/>
                <w:sz w:val="20"/>
                <w:szCs w:val="20"/>
              </w:rPr>
              <w:t>. Pand</w:t>
            </w:r>
          </w:p>
        </w:tc>
        <w:tc>
          <w:tcPr>
            <w:tcW w:w="2268" w:type="dxa"/>
            <w:tcBorders>
              <w:top w:val="single" w:sz="12" w:space="0" w:color="auto"/>
              <w:left w:val="single" w:sz="6" w:space="0" w:color="auto"/>
              <w:bottom w:val="single" w:sz="12"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b/>
                <w:bCs/>
                <w:color w:val="000000"/>
                <w:sz w:val="20"/>
                <w:szCs w:val="20"/>
              </w:rPr>
            </w:pPr>
            <w:proofErr w:type="spellStart"/>
            <w:r w:rsidRPr="008C5D80">
              <w:rPr>
                <w:rFonts w:ascii="Calibri" w:hAnsi="Calibri" w:cs="Calibri"/>
                <w:b/>
                <w:bCs/>
                <w:color w:val="000000"/>
                <w:sz w:val="20"/>
                <w:szCs w:val="20"/>
              </w:rPr>
              <w:t>Waardeontw</w:t>
            </w:r>
            <w:proofErr w:type="spellEnd"/>
            <w:r w:rsidRPr="008C5D80">
              <w:rPr>
                <w:rFonts w:ascii="Calibri" w:hAnsi="Calibri" w:cs="Calibri"/>
                <w:b/>
                <w:bCs/>
                <w:color w:val="000000"/>
                <w:sz w:val="20"/>
                <w:szCs w:val="20"/>
              </w:rPr>
              <w:t>. Machines</w:t>
            </w:r>
          </w:p>
        </w:tc>
        <w:tc>
          <w:tcPr>
            <w:tcW w:w="2268" w:type="dxa"/>
            <w:tcBorders>
              <w:top w:val="single" w:sz="12" w:space="0" w:color="auto"/>
              <w:left w:val="single" w:sz="6" w:space="0" w:color="auto"/>
              <w:bottom w:val="single" w:sz="12"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b/>
                <w:bCs/>
                <w:color w:val="000000"/>
                <w:sz w:val="20"/>
                <w:szCs w:val="20"/>
              </w:rPr>
            </w:pPr>
            <w:proofErr w:type="spellStart"/>
            <w:r w:rsidRPr="008C5D80">
              <w:rPr>
                <w:rFonts w:ascii="Calibri" w:hAnsi="Calibri" w:cs="Calibri"/>
                <w:b/>
                <w:bCs/>
                <w:color w:val="000000"/>
                <w:sz w:val="20"/>
                <w:szCs w:val="20"/>
              </w:rPr>
              <w:t>Waardeontw</w:t>
            </w:r>
            <w:proofErr w:type="spellEnd"/>
            <w:r w:rsidRPr="008C5D80">
              <w:rPr>
                <w:rFonts w:ascii="Calibri" w:hAnsi="Calibri" w:cs="Calibri"/>
                <w:b/>
                <w:bCs/>
                <w:color w:val="000000"/>
                <w:sz w:val="20"/>
                <w:szCs w:val="20"/>
              </w:rPr>
              <w:t>. Goodwill</w:t>
            </w:r>
          </w:p>
        </w:tc>
        <w:tc>
          <w:tcPr>
            <w:tcW w:w="1843" w:type="dxa"/>
            <w:tcBorders>
              <w:top w:val="single" w:sz="12" w:space="0" w:color="auto"/>
              <w:left w:val="single" w:sz="6" w:space="0" w:color="auto"/>
              <w:bottom w:val="single" w:sz="12" w:space="0" w:color="auto"/>
              <w:right w:val="single" w:sz="12"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b/>
                <w:bCs/>
                <w:color w:val="000000"/>
                <w:sz w:val="20"/>
                <w:szCs w:val="20"/>
              </w:rPr>
            </w:pPr>
            <w:r w:rsidRPr="008C5D80">
              <w:rPr>
                <w:rFonts w:ascii="Calibri" w:hAnsi="Calibri" w:cs="Calibri"/>
                <w:b/>
                <w:bCs/>
                <w:color w:val="000000"/>
                <w:sz w:val="20"/>
                <w:szCs w:val="20"/>
              </w:rPr>
              <w:t>Totale mutatie</w:t>
            </w:r>
          </w:p>
        </w:tc>
      </w:tr>
      <w:tr w:rsidR="00891373" w:rsidRPr="008C5D80" w:rsidTr="00891373">
        <w:trPr>
          <w:trHeight w:val="290"/>
        </w:trPr>
        <w:tc>
          <w:tcPr>
            <w:tcW w:w="739" w:type="dxa"/>
            <w:tcBorders>
              <w:top w:val="nil"/>
              <w:left w:val="single" w:sz="12"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2001</w:t>
            </w:r>
          </w:p>
        </w:tc>
        <w:tc>
          <w:tcPr>
            <w:tcW w:w="1843" w:type="dxa"/>
            <w:tcBorders>
              <w:top w:val="nil"/>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324.000</w:t>
            </w:r>
          </w:p>
        </w:tc>
        <w:tc>
          <w:tcPr>
            <w:tcW w:w="2268" w:type="dxa"/>
            <w:tcBorders>
              <w:top w:val="nil"/>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-20.000</w:t>
            </w:r>
          </w:p>
        </w:tc>
        <w:tc>
          <w:tcPr>
            <w:tcW w:w="2268" w:type="dxa"/>
            <w:tcBorders>
              <w:top w:val="nil"/>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10.000</w:t>
            </w:r>
          </w:p>
        </w:tc>
        <w:tc>
          <w:tcPr>
            <w:tcW w:w="1843" w:type="dxa"/>
            <w:tcBorders>
              <w:top w:val="nil"/>
              <w:left w:val="single" w:sz="6" w:space="0" w:color="auto"/>
              <w:bottom w:val="single" w:sz="6" w:space="0" w:color="auto"/>
              <w:right w:val="single" w:sz="12"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314.000</w:t>
            </w:r>
          </w:p>
        </w:tc>
      </w:tr>
      <w:tr w:rsidR="00891373" w:rsidRPr="008C5D80" w:rsidTr="00891373">
        <w:trPr>
          <w:trHeight w:val="290"/>
        </w:trPr>
        <w:tc>
          <w:tcPr>
            <w:tcW w:w="739" w:type="dxa"/>
            <w:tcBorders>
              <w:top w:val="single" w:sz="6" w:space="0" w:color="auto"/>
              <w:left w:val="single" w:sz="12"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2002</w:t>
            </w:r>
          </w:p>
        </w:tc>
        <w:tc>
          <w:tcPr>
            <w:tcW w:w="1843"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198.528</w:t>
            </w:r>
          </w:p>
        </w:tc>
        <w:tc>
          <w:tcPr>
            <w:tcW w:w="2268"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-10.000</w:t>
            </w:r>
          </w:p>
        </w:tc>
        <w:tc>
          <w:tcPr>
            <w:tcW w:w="2268"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15.000</w:t>
            </w:r>
          </w:p>
        </w:tc>
        <w:tc>
          <w:tcPr>
            <w:tcW w:w="1843" w:type="dxa"/>
            <w:tcBorders>
              <w:top w:val="single" w:sz="6" w:space="0" w:color="auto"/>
              <w:left w:val="single" w:sz="6" w:space="0" w:color="auto"/>
              <w:bottom w:val="single" w:sz="6" w:space="0" w:color="auto"/>
              <w:right w:val="single" w:sz="12"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203.528</w:t>
            </w:r>
          </w:p>
        </w:tc>
      </w:tr>
      <w:tr w:rsidR="00891373" w:rsidRPr="008C5D80" w:rsidTr="00891373">
        <w:trPr>
          <w:trHeight w:val="290"/>
        </w:trPr>
        <w:tc>
          <w:tcPr>
            <w:tcW w:w="739" w:type="dxa"/>
            <w:tcBorders>
              <w:top w:val="single" w:sz="6" w:space="0" w:color="auto"/>
              <w:left w:val="single" w:sz="12"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2003</w:t>
            </w:r>
          </w:p>
        </w:tc>
        <w:tc>
          <w:tcPr>
            <w:tcW w:w="1843"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154.788</w:t>
            </w:r>
          </w:p>
        </w:tc>
        <w:tc>
          <w:tcPr>
            <w:tcW w:w="2268"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 xml:space="preserve">                                                </w:t>
            </w:r>
          </w:p>
        </w:tc>
        <w:tc>
          <w:tcPr>
            <w:tcW w:w="2268"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25.000</w:t>
            </w:r>
          </w:p>
        </w:tc>
        <w:tc>
          <w:tcPr>
            <w:tcW w:w="1843" w:type="dxa"/>
            <w:tcBorders>
              <w:top w:val="single" w:sz="6" w:space="0" w:color="auto"/>
              <w:left w:val="single" w:sz="6" w:space="0" w:color="auto"/>
              <w:bottom w:val="single" w:sz="6" w:space="0" w:color="auto"/>
              <w:right w:val="single" w:sz="12"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179.788</w:t>
            </w:r>
          </w:p>
        </w:tc>
      </w:tr>
      <w:tr w:rsidR="00891373" w:rsidRPr="008C5D80" w:rsidTr="00891373">
        <w:trPr>
          <w:trHeight w:val="290"/>
        </w:trPr>
        <w:tc>
          <w:tcPr>
            <w:tcW w:w="739" w:type="dxa"/>
            <w:tcBorders>
              <w:top w:val="single" w:sz="6" w:space="0" w:color="auto"/>
              <w:left w:val="single" w:sz="12"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2004</w:t>
            </w:r>
          </w:p>
        </w:tc>
        <w:tc>
          <w:tcPr>
            <w:tcW w:w="1843"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119.010</w:t>
            </w:r>
          </w:p>
        </w:tc>
        <w:tc>
          <w:tcPr>
            <w:tcW w:w="2268"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 xml:space="preserve">                                                </w:t>
            </w:r>
          </w:p>
        </w:tc>
        <w:tc>
          <w:tcPr>
            <w:tcW w:w="2268"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-10.000</w:t>
            </w:r>
          </w:p>
        </w:tc>
        <w:tc>
          <w:tcPr>
            <w:tcW w:w="1843" w:type="dxa"/>
            <w:tcBorders>
              <w:top w:val="single" w:sz="6" w:space="0" w:color="auto"/>
              <w:left w:val="single" w:sz="6" w:space="0" w:color="auto"/>
              <w:bottom w:val="single" w:sz="6" w:space="0" w:color="auto"/>
              <w:right w:val="single" w:sz="12"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109.010</w:t>
            </w:r>
          </w:p>
        </w:tc>
      </w:tr>
      <w:tr w:rsidR="00891373" w:rsidRPr="008C5D80" w:rsidTr="00891373">
        <w:trPr>
          <w:trHeight w:val="290"/>
        </w:trPr>
        <w:tc>
          <w:tcPr>
            <w:tcW w:w="739" w:type="dxa"/>
            <w:tcBorders>
              <w:top w:val="single" w:sz="6" w:space="0" w:color="auto"/>
              <w:left w:val="single" w:sz="12"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2005</w:t>
            </w:r>
          </w:p>
        </w:tc>
        <w:tc>
          <w:tcPr>
            <w:tcW w:w="1843"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145.586</w:t>
            </w:r>
          </w:p>
        </w:tc>
        <w:tc>
          <w:tcPr>
            <w:tcW w:w="2268"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 xml:space="preserve">                                                </w:t>
            </w:r>
          </w:p>
        </w:tc>
        <w:tc>
          <w:tcPr>
            <w:tcW w:w="2268"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60.000</w:t>
            </w:r>
          </w:p>
        </w:tc>
        <w:tc>
          <w:tcPr>
            <w:tcW w:w="1843" w:type="dxa"/>
            <w:tcBorders>
              <w:top w:val="single" w:sz="6" w:space="0" w:color="auto"/>
              <w:left w:val="single" w:sz="6" w:space="0" w:color="auto"/>
              <w:bottom w:val="single" w:sz="6" w:space="0" w:color="auto"/>
              <w:right w:val="single" w:sz="12"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205.586</w:t>
            </w:r>
          </w:p>
        </w:tc>
      </w:tr>
      <w:tr w:rsidR="00891373" w:rsidRPr="008C5D80" w:rsidTr="00891373">
        <w:trPr>
          <w:trHeight w:val="290"/>
        </w:trPr>
        <w:tc>
          <w:tcPr>
            <w:tcW w:w="739" w:type="dxa"/>
            <w:tcBorders>
              <w:top w:val="single" w:sz="6" w:space="0" w:color="auto"/>
              <w:left w:val="single" w:sz="12"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2006</w:t>
            </w:r>
          </w:p>
        </w:tc>
        <w:tc>
          <w:tcPr>
            <w:tcW w:w="1843"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125.406</w:t>
            </w:r>
          </w:p>
        </w:tc>
        <w:tc>
          <w:tcPr>
            <w:tcW w:w="2268"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 xml:space="preserve">                                                </w:t>
            </w:r>
          </w:p>
        </w:tc>
        <w:tc>
          <w:tcPr>
            <w:tcW w:w="2268"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100.000</w:t>
            </w:r>
          </w:p>
        </w:tc>
        <w:tc>
          <w:tcPr>
            <w:tcW w:w="1843" w:type="dxa"/>
            <w:tcBorders>
              <w:top w:val="single" w:sz="6" w:space="0" w:color="auto"/>
              <w:left w:val="single" w:sz="6" w:space="0" w:color="auto"/>
              <w:bottom w:val="single" w:sz="6" w:space="0" w:color="auto"/>
              <w:right w:val="single" w:sz="12"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225.406</w:t>
            </w:r>
          </w:p>
        </w:tc>
      </w:tr>
      <w:tr w:rsidR="00891373" w:rsidRPr="008C5D80" w:rsidTr="00891373">
        <w:trPr>
          <w:trHeight w:val="290"/>
        </w:trPr>
        <w:tc>
          <w:tcPr>
            <w:tcW w:w="739" w:type="dxa"/>
            <w:tcBorders>
              <w:top w:val="single" w:sz="6" w:space="0" w:color="auto"/>
              <w:left w:val="single" w:sz="12"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2007</w:t>
            </w:r>
          </w:p>
        </w:tc>
        <w:tc>
          <w:tcPr>
            <w:tcW w:w="1843"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149.516</w:t>
            </w:r>
          </w:p>
        </w:tc>
        <w:tc>
          <w:tcPr>
            <w:tcW w:w="2268"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-40.000</w:t>
            </w:r>
          </w:p>
        </w:tc>
        <w:tc>
          <w:tcPr>
            <w:tcW w:w="2268"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50.000</w:t>
            </w:r>
          </w:p>
        </w:tc>
        <w:tc>
          <w:tcPr>
            <w:tcW w:w="1843" w:type="dxa"/>
            <w:tcBorders>
              <w:top w:val="single" w:sz="6" w:space="0" w:color="auto"/>
              <w:left w:val="single" w:sz="6" w:space="0" w:color="auto"/>
              <w:bottom w:val="single" w:sz="6" w:space="0" w:color="auto"/>
              <w:right w:val="single" w:sz="12"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159.516</w:t>
            </w:r>
          </w:p>
        </w:tc>
      </w:tr>
      <w:tr w:rsidR="00891373" w:rsidRPr="008C5D80" w:rsidTr="00891373">
        <w:trPr>
          <w:trHeight w:val="290"/>
        </w:trPr>
        <w:tc>
          <w:tcPr>
            <w:tcW w:w="739" w:type="dxa"/>
            <w:tcBorders>
              <w:top w:val="single" w:sz="6" w:space="0" w:color="auto"/>
              <w:left w:val="single" w:sz="12"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2008</w:t>
            </w:r>
          </w:p>
        </w:tc>
        <w:tc>
          <w:tcPr>
            <w:tcW w:w="1843"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46.563</w:t>
            </w:r>
          </w:p>
        </w:tc>
        <w:tc>
          <w:tcPr>
            <w:tcW w:w="2268"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-40.000</w:t>
            </w:r>
          </w:p>
        </w:tc>
        <w:tc>
          <w:tcPr>
            <w:tcW w:w="2268"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50.000</w:t>
            </w:r>
          </w:p>
        </w:tc>
        <w:tc>
          <w:tcPr>
            <w:tcW w:w="1843" w:type="dxa"/>
            <w:tcBorders>
              <w:top w:val="single" w:sz="6" w:space="0" w:color="auto"/>
              <w:left w:val="single" w:sz="6" w:space="0" w:color="auto"/>
              <w:bottom w:val="single" w:sz="6" w:space="0" w:color="auto"/>
              <w:right w:val="single" w:sz="12"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56.563</w:t>
            </w:r>
          </w:p>
        </w:tc>
      </w:tr>
      <w:tr w:rsidR="00891373" w:rsidRPr="008C5D80" w:rsidTr="00891373">
        <w:trPr>
          <w:trHeight w:val="290"/>
        </w:trPr>
        <w:tc>
          <w:tcPr>
            <w:tcW w:w="739" w:type="dxa"/>
            <w:tcBorders>
              <w:top w:val="single" w:sz="6" w:space="0" w:color="auto"/>
              <w:left w:val="single" w:sz="12"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2009</w:t>
            </w:r>
          </w:p>
        </w:tc>
        <w:tc>
          <w:tcPr>
            <w:tcW w:w="1843"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-95.523</w:t>
            </w:r>
          </w:p>
        </w:tc>
        <w:tc>
          <w:tcPr>
            <w:tcW w:w="2268"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-40.000</w:t>
            </w:r>
          </w:p>
        </w:tc>
        <w:tc>
          <w:tcPr>
            <w:tcW w:w="2268"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100.000</w:t>
            </w:r>
          </w:p>
        </w:tc>
        <w:tc>
          <w:tcPr>
            <w:tcW w:w="1843" w:type="dxa"/>
            <w:tcBorders>
              <w:top w:val="single" w:sz="6" w:space="0" w:color="auto"/>
              <w:left w:val="single" w:sz="6" w:space="0" w:color="auto"/>
              <w:bottom w:val="single" w:sz="6" w:space="0" w:color="auto"/>
              <w:right w:val="single" w:sz="12"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-35.523</w:t>
            </w:r>
          </w:p>
        </w:tc>
      </w:tr>
      <w:tr w:rsidR="00891373" w:rsidRPr="008C5D80" w:rsidTr="00891373">
        <w:trPr>
          <w:trHeight w:val="305"/>
        </w:trPr>
        <w:tc>
          <w:tcPr>
            <w:tcW w:w="739" w:type="dxa"/>
            <w:tcBorders>
              <w:top w:val="single" w:sz="6" w:space="0" w:color="auto"/>
              <w:left w:val="single" w:sz="12" w:space="0" w:color="auto"/>
              <w:bottom w:val="single" w:sz="12"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2010</w:t>
            </w:r>
          </w:p>
        </w:tc>
        <w:tc>
          <w:tcPr>
            <w:tcW w:w="1843" w:type="dxa"/>
            <w:tcBorders>
              <w:top w:val="single" w:sz="6" w:space="0" w:color="auto"/>
              <w:left w:val="single" w:sz="6" w:space="0" w:color="auto"/>
              <w:bottom w:val="single" w:sz="12"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-51.692</w:t>
            </w:r>
          </w:p>
        </w:tc>
        <w:tc>
          <w:tcPr>
            <w:tcW w:w="2268" w:type="dxa"/>
            <w:tcBorders>
              <w:top w:val="single" w:sz="6" w:space="0" w:color="auto"/>
              <w:left w:val="single" w:sz="6" w:space="0" w:color="auto"/>
              <w:bottom w:val="single" w:sz="12"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-40.000</w:t>
            </w:r>
          </w:p>
        </w:tc>
        <w:tc>
          <w:tcPr>
            <w:tcW w:w="2268" w:type="dxa"/>
            <w:tcBorders>
              <w:top w:val="single" w:sz="6" w:space="0" w:color="auto"/>
              <w:left w:val="single" w:sz="6" w:space="0" w:color="auto"/>
              <w:bottom w:val="single" w:sz="12"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100.000</w:t>
            </w:r>
          </w:p>
        </w:tc>
        <w:tc>
          <w:tcPr>
            <w:tcW w:w="1843" w:type="dxa"/>
            <w:tcBorders>
              <w:top w:val="single" w:sz="6" w:space="0" w:color="auto"/>
              <w:left w:val="single" w:sz="6" w:space="0" w:color="auto"/>
              <w:bottom w:val="single" w:sz="12" w:space="0" w:color="auto"/>
              <w:right w:val="single" w:sz="12"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8.308</w:t>
            </w:r>
          </w:p>
        </w:tc>
      </w:tr>
    </w:tbl>
    <w:p w:rsidR="007171E9" w:rsidRDefault="007171E9" w:rsidP="008C5D80">
      <w:pPr>
        <w:spacing w:line="360" w:lineRule="auto"/>
        <w:contextualSpacing/>
        <w:jc w:val="both"/>
        <w:rPr>
          <w:i/>
        </w:rPr>
      </w:pPr>
      <w:r w:rsidRPr="005E20C1">
        <w:rPr>
          <w:i/>
        </w:rPr>
        <w:t xml:space="preserve">Tabel </w:t>
      </w:r>
      <w:r w:rsidR="008C5D80">
        <w:rPr>
          <w:i/>
        </w:rPr>
        <w:t>8</w:t>
      </w:r>
      <w:r w:rsidRPr="005E20C1">
        <w:rPr>
          <w:i/>
        </w:rPr>
        <w:t xml:space="preserve">: </w:t>
      </w:r>
      <w:r>
        <w:rPr>
          <w:i/>
        </w:rPr>
        <w:t>Berekening totale mutatie</w:t>
      </w:r>
    </w:p>
    <w:p w:rsidR="008C5D80" w:rsidRDefault="008C5D80" w:rsidP="008C5D80">
      <w:pPr>
        <w:spacing w:line="360" w:lineRule="auto"/>
        <w:contextualSpacing/>
        <w:jc w:val="both"/>
        <w:rPr>
          <w:i/>
        </w:rPr>
      </w:pPr>
    </w:p>
    <w:p w:rsidR="008C5D80" w:rsidRDefault="008C5D80" w:rsidP="008C5D80">
      <w:pPr>
        <w:spacing w:line="360" w:lineRule="auto"/>
        <w:contextualSpacing/>
        <w:jc w:val="both"/>
        <w:rPr>
          <w:i/>
        </w:rPr>
      </w:pPr>
    </w:p>
    <w:tbl>
      <w:tblPr>
        <w:tblW w:w="8961" w:type="dxa"/>
        <w:tblInd w:w="40" w:type="dxa"/>
        <w:tblLayout w:type="fixed"/>
        <w:tblCellMar>
          <w:left w:w="70" w:type="dxa"/>
          <w:right w:w="70" w:type="dxa"/>
        </w:tblCellMar>
        <w:tblLook w:val="0000"/>
      </w:tblPr>
      <w:tblGrid>
        <w:gridCol w:w="739"/>
        <w:gridCol w:w="1843"/>
        <w:gridCol w:w="2268"/>
        <w:gridCol w:w="2268"/>
        <w:gridCol w:w="1843"/>
      </w:tblGrid>
      <w:tr w:rsidR="00891373" w:rsidRPr="008C5D80" w:rsidTr="00891373">
        <w:trPr>
          <w:trHeight w:val="305"/>
        </w:trPr>
        <w:tc>
          <w:tcPr>
            <w:tcW w:w="739" w:type="dxa"/>
            <w:tcBorders>
              <w:top w:val="single" w:sz="12" w:space="0" w:color="auto"/>
              <w:left w:val="single" w:sz="12" w:space="0" w:color="auto"/>
              <w:bottom w:val="single" w:sz="12"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b/>
                <w:bCs/>
                <w:color w:val="000000"/>
                <w:sz w:val="20"/>
                <w:szCs w:val="20"/>
              </w:rPr>
            </w:pPr>
            <w:r w:rsidRPr="008C5D80">
              <w:rPr>
                <w:rFonts w:ascii="Calibri" w:hAnsi="Calibri" w:cs="Calibri"/>
                <w:b/>
                <w:bCs/>
                <w:color w:val="000000"/>
                <w:sz w:val="20"/>
                <w:szCs w:val="20"/>
              </w:rPr>
              <w:t>Jaar</w:t>
            </w:r>
          </w:p>
        </w:tc>
        <w:tc>
          <w:tcPr>
            <w:tcW w:w="1843" w:type="dxa"/>
            <w:tcBorders>
              <w:top w:val="single" w:sz="12" w:space="0" w:color="auto"/>
              <w:left w:val="single" w:sz="6" w:space="0" w:color="auto"/>
              <w:bottom w:val="single" w:sz="12"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b/>
                <w:bCs/>
                <w:color w:val="000000"/>
                <w:sz w:val="20"/>
                <w:szCs w:val="20"/>
              </w:rPr>
            </w:pPr>
            <w:r w:rsidRPr="008C5D80">
              <w:rPr>
                <w:rFonts w:ascii="Calibri" w:hAnsi="Calibri" w:cs="Calibri"/>
                <w:b/>
                <w:bCs/>
                <w:color w:val="000000"/>
                <w:sz w:val="20"/>
                <w:szCs w:val="20"/>
              </w:rPr>
              <w:t>VPB over mutatie</w:t>
            </w:r>
          </w:p>
        </w:tc>
        <w:tc>
          <w:tcPr>
            <w:tcW w:w="2268" w:type="dxa"/>
            <w:tcBorders>
              <w:top w:val="single" w:sz="12" w:space="0" w:color="auto"/>
              <w:left w:val="single" w:sz="6" w:space="0" w:color="auto"/>
              <w:bottom w:val="single" w:sz="12"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b/>
                <w:bCs/>
                <w:color w:val="000000"/>
                <w:sz w:val="20"/>
                <w:szCs w:val="20"/>
              </w:rPr>
            </w:pPr>
            <w:proofErr w:type="spellStart"/>
            <w:r w:rsidRPr="008C5D80">
              <w:rPr>
                <w:rFonts w:ascii="Calibri" w:hAnsi="Calibri" w:cs="Calibri"/>
                <w:b/>
                <w:bCs/>
                <w:color w:val="000000"/>
                <w:sz w:val="20"/>
                <w:szCs w:val="20"/>
              </w:rPr>
              <w:t>Waardeontw</w:t>
            </w:r>
            <w:proofErr w:type="spellEnd"/>
            <w:r w:rsidRPr="008C5D80">
              <w:rPr>
                <w:rFonts w:ascii="Calibri" w:hAnsi="Calibri" w:cs="Calibri"/>
                <w:b/>
                <w:bCs/>
                <w:color w:val="000000"/>
                <w:sz w:val="20"/>
                <w:szCs w:val="20"/>
              </w:rPr>
              <w:t>. Na VPB</w:t>
            </w:r>
          </w:p>
        </w:tc>
        <w:tc>
          <w:tcPr>
            <w:tcW w:w="2268" w:type="dxa"/>
            <w:tcBorders>
              <w:top w:val="single" w:sz="12" w:space="0" w:color="auto"/>
              <w:left w:val="single" w:sz="6" w:space="0" w:color="auto"/>
              <w:bottom w:val="single" w:sz="12"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b/>
                <w:bCs/>
                <w:color w:val="000000"/>
                <w:sz w:val="20"/>
                <w:szCs w:val="20"/>
              </w:rPr>
            </w:pPr>
            <w:r w:rsidRPr="008C5D80">
              <w:rPr>
                <w:rFonts w:ascii="Calibri" w:hAnsi="Calibri" w:cs="Calibri"/>
                <w:b/>
                <w:bCs/>
                <w:color w:val="000000"/>
                <w:sz w:val="20"/>
                <w:szCs w:val="20"/>
              </w:rPr>
              <w:t>AB Heffing</w:t>
            </w:r>
          </w:p>
        </w:tc>
        <w:tc>
          <w:tcPr>
            <w:tcW w:w="1843" w:type="dxa"/>
            <w:tcBorders>
              <w:top w:val="single" w:sz="12" w:space="0" w:color="auto"/>
              <w:left w:val="single" w:sz="6" w:space="0" w:color="auto"/>
              <w:bottom w:val="single" w:sz="12" w:space="0" w:color="auto"/>
              <w:right w:val="single" w:sz="12"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b/>
                <w:bCs/>
                <w:color w:val="000000"/>
                <w:sz w:val="20"/>
                <w:szCs w:val="20"/>
              </w:rPr>
            </w:pPr>
            <w:r w:rsidRPr="008C5D80">
              <w:rPr>
                <w:rFonts w:ascii="Calibri" w:hAnsi="Calibri" w:cs="Calibri"/>
                <w:b/>
                <w:bCs/>
                <w:color w:val="000000"/>
                <w:sz w:val="20"/>
                <w:szCs w:val="20"/>
              </w:rPr>
              <w:t>VPB + AB</w:t>
            </w:r>
          </w:p>
        </w:tc>
      </w:tr>
      <w:tr w:rsidR="008C5D80" w:rsidRPr="008C5D80" w:rsidTr="00891373">
        <w:trPr>
          <w:trHeight w:val="290"/>
        </w:trPr>
        <w:tc>
          <w:tcPr>
            <w:tcW w:w="739" w:type="dxa"/>
            <w:tcBorders>
              <w:top w:val="nil"/>
              <w:left w:val="single" w:sz="12"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2001</w:t>
            </w:r>
          </w:p>
        </w:tc>
        <w:tc>
          <w:tcPr>
            <w:tcW w:w="1843" w:type="dxa"/>
            <w:tcBorders>
              <w:top w:val="nil"/>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109.900</w:t>
            </w:r>
          </w:p>
        </w:tc>
        <w:tc>
          <w:tcPr>
            <w:tcW w:w="2268" w:type="dxa"/>
            <w:tcBorders>
              <w:top w:val="nil"/>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204.100</w:t>
            </w:r>
          </w:p>
        </w:tc>
        <w:tc>
          <w:tcPr>
            <w:tcW w:w="2268" w:type="dxa"/>
            <w:tcBorders>
              <w:top w:val="nil"/>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51.025</w:t>
            </w:r>
          </w:p>
        </w:tc>
        <w:tc>
          <w:tcPr>
            <w:tcW w:w="1843" w:type="dxa"/>
            <w:tcBorders>
              <w:top w:val="nil"/>
              <w:left w:val="single" w:sz="6" w:space="0" w:color="auto"/>
              <w:bottom w:val="single" w:sz="6" w:space="0" w:color="auto"/>
              <w:right w:val="single" w:sz="12"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160.925</w:t>
            </w:r>
          </w:p>
        </w:tc>
      </w:tr>
      <w:tr w:rsidR="008C5D80" w:rsidRPr="008C5D80" w:rsidTr="00891373">
        <w:trPr>
          <w:trHeight w:val="290"/>
        </w:trPr>
        <w:tc>
          <w:tcPr>
            <w:tcW w:w="739" w:type="dxa"/>
            <w:tcBorders>
              <w:top w:val="single" w:sz="6" w:space="0" w:color="auto"/>
              <w:left w:val="single" w:sz="12"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2002</w:t>
            </w:r>
          </w:p>
        </w:tc>
        <w:tc>
          <w:tcPr>
            <w:tcW w:w="1843"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70.217</w:t>
            </w:r>
          </w:p>
        </w:tc>
        <w:tc>
          <w:tcPr>
            <w:tcW w:w="2268"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133.311</w:t>
            </w:r>
          </w:p>
        </w:tc>
        <w:tc>
          <w:tcPr>
            <w:tcW w:w="2268"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33.328</w:t>
            </w:r>
          </w:p>
        </w:tc>
        <w:tc>
          <w:tcPr>
            <w:tcW w:w="1843" w:type="dxa"/>
            <w:tcBorders>
              <w:top w:val="single" w:sz="6" w:space="0" w:color="auto"/>
              <w:left w:val="single" w:sz="6" w:space="0" w:color="auto"/>
              <w:bottom w:val="single" w:sz="6" w:space="0" w:color="auto"/>
              <w:right w:val="single" w:sz="12"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103.545</w:t>
            </w:r>
          </w:p>
        </w:tc>
      </w:tr>
      <w:tr w:rsidR="008C5D80" w:rsidRPr="008C5D80" w:rsidTr="00891373">
        <w:trPr>
          <w:trHeight w:val="290"/>
        </w:trPr>
        <w:tc>
          <w:tcPr>
            <w:tcW w:w="739" w:type="dxa"/>
            <w:tcBorders>
              <w:top w:val="single" w:sz="6" w:space="0" w:color="auto"/>
              <w:left w:val="single" w:sz="12"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2003</w:t>
            </w:r>
          </w:p>
        </w:tc>
        <w:tc>
          <w:tcPr>
            <w:tcW w:w="1843"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62.027</w:t>
            </w:r>
          </w:p>
        </w:tc>
        <w:tc>
          <w:tcPr>
            <w:tcW w:w="2268"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117.761</w:t>
            </w:r>
          </w:p>
        </w:tc>
        <w:tc>
          <w:tcPr>
            <w:tcW w:w="2268"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29.440</w:t>
            </w:r>
          </w:p>
        </w:tc>
        <w:tc>
          <w:tcPr>
            <w:tcW w:w="1843" w:type="dxa"/>
            <w:tcBorders>
              <w:top w:val="single" w:sz="6" w:space="0" w:color="auto"/>
              <w:left w:val="single" w:sz="6" w:space="0" w:color="auto"/>
              <w:bottom w:val="single" w:sz="6" w:space="0" w:color="auto"/>
              <w:right w:val="single" w:sz="12"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91.467</w:t>
            </w:r>
          </w:p>
        </w:tc>
      </w:tr>
      <w:tr w:rsidR="008C5D80" w:rsidRPr="008C5D80" w:rsidTr="00891373">
        <w:trPr>
          <w:trHeight w:val="290"/>
        </w:trPr>
        <w:tc>
          <w:tcPr>
            <w:tcW w:w="739" w:type="dxa"/>
            <w:tcBorders>
              <w:top w:val="single" w:sz="6" w:space="0" w:color="auto"/>
              <w:left w:val="single" w:sz="12"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2004</w:t>
            </w:r>
          </w:p>
        </w:tc>
        <w:tc>
          <w:tcPr>
            <w:tcW w:w="1843"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37.609</w:t>
            </w:r>
          </w:p>
        </w:tc>
        <w:tc>
          <w:tcPr>
            <w:tcW w:w="2268"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71.402</w:t>
            </w:r>
          </w:p>
        </w:tc>
        <w:tc>
          <w:tcPr>
            <w:tcW w:w="2268"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17.850</w:t>
            </w:r>
          </w:p>
        </w:tc>
        <w:tc>
          <w:tcPr>
            <w:tcW w:w="1843" w:type="dxa"/>
            <w:tcBorders>
              <w:top w:val="single" w:sz="6" w:space="0" w:color="auto"/>
              <w:left w:val="single" w:sz="6" w:space="0" w:color="auto"/>
              <w:bottom w:val="single" w:sz="6" w:space="0" w:color="auto"/>
              <w:right w:val="single" w:sz="12"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55.459</w:t>
            </w:r>
          </w:p>
        </w:tc>
      </w:tr>
      <w:tr w:rsidR="008C5D80" w:rsidRPr="008C5D80" w:rsidTr="00891373">
        <w:trPr>
          <w:trHeight w:val="290"/>
        </w:trPr>
        <w:tc>
          <w:tcPr>
            <w:tcW w:w="739" w:type="dxa"/>
            <w:tcBorders>
              <w:top w:val="single" w:sz="6" w:space="0" w:color="auto"/>
              <w:left w:val="single" w:sz="12"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2005</w:t>
            </w:r>
          </w:p>
        </w:tc>
        <w:tc>
          <w:tcPr>
            <w:tcW w:w="1843"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64.760</w:t>
            </w:r>
          </w:p>
        </w:tc>
        <w:tc>
          <w:tcPr>
            <w:tcW w:w="2268"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140.826</w:t>
            </w:r>
          </w:p>
        </w:tc>
        <w:tc>
          <w:tcPr>
            <w:tcW w:w="2268"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35.207</w:t>
            </w:r>
          </w:p>
        </w:tc>
        <w:tc>
          <w:tcPr>
            <w:tcW w:w="1843" w:type="dxa"/>
            <w:tcBorders>
              <w:top w:val="single" w:sz="6" w:space="0" w:color="auto"/>
              <w:left w:val="single" w:sz="6" w:space="0" w:color="auto"/>
              <w:bottom w:val="single" w:sz="6" w:space="0" w:color="auto"/>
              <w:right w:val="single" w:sz="12"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99.966</w:t>
            </w:r>
          </w:p>
        </w:tc>
      </w:tr>
      <w:tr w:rsidR="008C5D80" w:rsidRPr="008C5D80" w:rsidTr="00891373">
        <w:trPr>
          <w:trHeight w:val="290"/>
        </w:trPr>
        <w:tc>
          <w:tcPr>
            <w:tcW w:w="739" w:type="dxa"/>
            <w:tcBorders>
              <w:top w:val="single" w:sz="6" w:space="0" w:color="auto"/>
              <w:left w:val="single" w:sz="12"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2006</w:t>
            </w:r>
          </w:p>
        </w:tc>
        <w:tc>
          <w:tcPr>
            <w:tcW w:w="1843"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66.720</w:t>
            </w:r>
          </w:p>
        </w:tc>
        <w:tc>
          <w:tcPr>
            <w:tcW w:w="2268"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158.686</w:t>
            </w:r>
          </w:p>
        </w:tc>
        <w:tc>
          <w:tcPr>
            <w:tcW w:w="2268"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39.671</w:t>
            </w:r>
          </w:p>
        </w:tc>
        <w:tc>
          <w:tcPr>
            <w:tcW w:w="1843" w:type="dxa"/>
            <w:tcBorders>
              <w:top w:val="single" w:sz="6" w:space="0" w:color="auto"/>
              <w:left w:val="single" w:sz="6" w:space="0" w:color="auto"/>
              <w:bottom w:val="single" w:sz="6" w:space="0" w:color="auto"/>
              <w:right w:val="single" w:sz="12"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106.391</w:t>
            </w:r>
          </w:p>
        </w:tc>
      </w:tr>
      <w:tr w:rsidR="008C5D80" w:rsidRPr="008C5D80" w:rsidTr="00891373">
        <w:trPr>
          <w:trHeight w:val="290"/>
        </w:trPr>
        <w:tc>
          <w:tcPr>
            <w:tcW w:w="739" w:type="dxa"/>
            <w:tcBorders>
              <w:top w:val="single" w:sz="6" w:space="0" w:color="auto"/>
              <w:left w:val="single" w:sz="12"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2007</w:t>
            </w:r>
          </w:p>
        </w:tc>
        <w:tc>
          <w:tcPr>
            <w:tcW w:w="1843"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40.677</w:t>
            </w:r>
          </w:p>
        </w:tc>
        <w:tc>
          <w:tcPr>
            <w:tcW w:w="2268"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118.840</w:t>
            </w:r>
          </w:p>
        </w:tc>
        <w:tc>
          <w:tcPr>
            <w:tcW w:w="2268"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26.145</w:t>
            </w:r>
          </w:p>
        </w:tc>
        <w:tc>
          <w:tcPr>
            <w:tcW w:w="1843" w:type="dxa"/>
            <w:tcBorders>
              <w:top w:val="single" w:sz="6" w:space="0" w:color="auto"/>
              <w:left w:val="single" w:sz="6" w:space="0" w:color="auto"/>
              <w:bottom w:val="single" w:sz="6" w:space="0" w:color="auto"/>
              <w:right w:val="single" w:sz="12"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66.821</w:t>
            </w:r>
          </w:p>
        </w:tc>
      </w:tr>
      <w:tr w:rsidR="008C5D80" w:rsidRPr="008C5D80" w:rsidTr="00891373">
        <w:trPr>
          <w:trHeight w:val="290"/>
        </w:trPr>
        <w:tc>
          <w:tcPr>
            <w:tcW w:w="739" w:type="dxa"/>
            <w:tcBorders>
              <w:top w:val="single" w:sz="6" w:space="0" w:color="auto"/>
              <w:left w:val="single" w:sz="12"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2008</w:t>
            </w:r>
          </w:p>
        </w:tc>
        <w:tc>
          <w:tcPr>
            <w:tcW w:w="1843"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14.424</w:t>
            </w:r>
          </w:p>
        </w:tc>
        <w:tc>
          <w:tcPr>
            <w:tcW w:w="2268"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42.140</w:t>
            </w:r>
          </w:p>
        </w:tc>
        <w:tc>
          <w:tcPr>
            <w:tcW w:w="2268"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10.535</w:t>
            </w:r>
          </w:p>
        </w:tc>
        <w:tc>
          <w:tcPr>
            <w:tcW w:w="1843" w:type="dxa"/>
            <w:tcBorders>
              <w:top w:val="single" w:sz="6" w:space="0" w:color="auto"/>
              <w:left w:val="single" w:sz="6" w:space="0" w:color="auto"/>
              <w:bottom w:val="single" w:sz="6" w:space="0" w:color="auto"/>
              <w:right w:val="single" w:sz="12"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24.959</w:t>
            </w:r>
          </w:p>
        </w:tc>
      </w:tr>
      <w:tr w:rsidR="008C5D80" w:rsidRPr="008C5D80" w:rsidTr="00891373">
        <w:trPr>
          <w:trHeight w:val="290"/>
        </w:trPr>
        <w:tc>
          <w:tcPr>
            <w:tcW w:w="739" w:type="dxa"/>
            <w:tcBorders>
              <w:top w:val="single" w:sz="6" w:space="0" w:color="auto"/>
              <w:left w:val="single" w:sz="12"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2009</w:t>
            </w:r>
          </w:p>
        </w:tc>
        <w:tc>
          <w:tcPr>
            <w:tcW w:w="1843"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-9.058</w:t>
            </w:r>
          </w:p>
        </w:tc>
        <w:tc>
          <w:tcPr>
            <w:tcW w:w="2268"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-26.465</w:t>
            </w:r>
          </w:p>
        </w:tc>
        <w:tc>
          <w:tcPr>
            <w:tcW w:w="2268" w:type="dxa"/>
            <w:tcBorders>
              <w:top w:val="single" w:sz="6" w:space="0" w:color="auto"/>
              <w:left w:val="single" w:sz="6" w:space="0" w:color="auto"/>
              <w:bottom w:val="single" w:sz="6"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-6.616</w:t>
            </w:r>
          </w:p>
        </w:tc>
        <w:tc>
          <w:tcPr>
            <w:tcW w:w="1843" w:type="dxa"/>
            <w:tcBorders>
              <w:top w:val="single" w:sz="6" w:space="0" w:color="auto"/>
              <w:left w:val="single" w:sz="6" w:space="0" w:color="auto"/>
              <w:bottom w:val="single" w:sz="6" w:space="0" w:color="auto"/>
              <w:right w:val="single" w:sz="12"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-15.674</w:t>
            </w:r>
          </w:p>
        </w:tc>
      </w:tr>
      <w:tr w:rsidR="008C5D80" w:rsidRPr="008C5D80" w:rsidTr="00891373">
        <w:trPr>
          <w:trHeight w:val="305"/>
        </w:trPr>
        <w:tc>
          <w:tcPr>
            <w:tcW w:w="739" w:type="dxa"/>
            <w:tcBorders>
              <w:top w:val="single" w:sz="6" w:space="0" w:color="auto"/>
              <w:left w:val="single" w:sz="12" w:space="0" w:color="auto"/>
              <w:bottom w:val="nil"/>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2010</w:t>
            </w:r>
          </w:p>
        </w:tc>
        <w:tc>
          <w:tcPr>
            <w:tcW w:w="1843" w:type="dxa"/>
            <w:tcBorders>
              <w:top w:val="single" w:sz="6" w:space="0" w:color="auto"/>
              <w:left w:val="single" w:sz="6" w:space="0" w:color="auto"/>
              <w:bottom w:val="nil"/>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2.118</w:t>
            </w:r>
          </w:p>
        </w:tc>
        <w:tc>
          <w:tcPr>
            <w:tcW w:w="2268" w:type="dxa"/>
            <w:tcBorders>
              <w:top w:val="single" w:sz="6" w:space="0" w:color="auto"/>
              <w:left w:val="single" w:sz="6" w:space="0" w:color="auto"/>
              <w:bottom w:val="nil"/>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6.189</w:t>
            </w:r>
          </w:p>
        </w:tc>
        <w:tc>
          <w:tcPr>
            <w:tcW w:w="2268" w:type="dxa"/>
            <w:tcBorders>
              <w:top w:val="single" w:sz="6" w:space="0" w:color="auto"/>
              <w:left w:val="single" w:sz="6" w:space="0" w:color="auto"/>
              <w:bottom w:val="nil"/>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1.547</w:t>
            </w:r>
          </w:p>
        </w:tc>
        <w:tc>
          <w:tcPr>
            <w:tcW w:w="1843" w:type="dxa"/>
            <w:tcBorders>
              <w:top w:val="single" w:sz="6" w:space="0" w:color="auto"/>
              <w:left w:val="single" w:sz="6" w:space="0" w:color="auto"/>
              <w:bottom w:val="nil"/>
              <w:right w:val="single" w:sz="12"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color w:val="000000"/>
                <w:sz w:val="20"/>
                <w:szCs w:val="20"/>
              </w:rPr>
            </w:pPr>
            <w:r w:rsidRPr="008C5D80">
              <w:rPr>
                <w:rFonts w:ascii="Calibri" w:hAnsi="Calibri" w:cs="Calibri"/>
                <w:color w:val="000000"/>
                <w:sz w:val="20"/>
                <w:szCs w:val="20"/>
              </w:rPr>
              <w:t>3.666</w:t>
            </w:r>
          </w:p>
        </w:tc>
      </w:tr>
      <w:tr w:rsidR="00891373" w:rsidRPr="008C5D80" w:rsidTr="00891373">
        <w:trPr>
          <w:trHeight w:val="305"/>
        </w:trPr>
        <w:tc>
          <w:tcPr>
            <w:tcW w:w="739" w:type="dxa"/>
            <w:tcBorders>
              <w:top w:val="single" w:sz="12" w:space="0" w:color="auto"/>
              <w:left w:val="single" w:sz="12" w:space="0" w:color="auto"/>
              <w:bottom w:val="single" w:sz="12"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b/>
                <w:bCs/>
                <w:color w:val="000000"/>
                <w:sz w:val="20"/>
                <w:szCs w:val="20"/>
              </w:rPr>
            </w:pPr>
            <w:r w:rsidRPr="008C5D80">
              <w:rPr>
                <w:rFonts w:ascii="Calibri" w:hAnsi="Calibri" w:cs="Calibri"/>
                <w:b/>
                <w:bCs/>
                <w:color w:val="000000"/>
                <w:sz w:val="20"/>
                <w:szCs w:val="20"/>
              </w:rPr>
              <w:t>Totaal</w:t>
            </w:r>
          </w:p>
        </w:tc>
        <w:tc>
          <w:tcPr>
            <w:tcW w:w="1843" w:type="dxa"/>
            <w:tcBorders>
              <w:top w:val="single" w:sz="12" w:space="0" w:color="auto"/>
              <w:left w:val="single" w:sz="6" w:space="0" w:color="auto"/>
              <w:bottom w:val="single" w:sz="12"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b/>
                <w:bCs/>
                <w:color w:val="000000"/>
                <w:sz w:val="20"/>
                <w:szCs w:val="20"/>
              </w:rPr>
            </w:pPr>
            <w:r w:rsidRPr="008C5D80">
              <w:rPr>
                <w:rFonts w:ascii="Calibri" w:hAnsi="Calibri" w:cs="Calibri"/>
                <w:b/>
                <w:bCs/>
                <w:color w:val="000000"/>
                <w:sz w:val="20"/>
                <w:szCs w:val="20"/>
              </w:rPr>
              <w:t>459.393</w:t>
            </w:r>
          </w:p>
        </w:tc>
        <w:tc>
          <w:tcPr>
            <w:tcW w:w="2268" w:type="dxa"/>
            <w:tcBorders>
              <w:top w:val="single" w:sz="12" w:space="0" w:color="auto"/>
              <w:left w:val="single" w:sz="6" w:space="0" w:color="auto"/>
              <w:bottom w:val="single" w:sz="12"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b/>
                <w:bCs/>
                <w:color w:val="000000"/>
                <w:sz w:val="20"/>
                <w:szCs w:val="20"/>
              </w:rPr>
            </w:pPr>
            <w:r w:rsidRPr="008C5D80">
              <w:rPr>
                <w:rFonts w:ascii="Calibri" w:hAnsi="Calibri" w:cs="Calibri"/>
                <w:b/>
                <w:bCs/>
                <w:color w:val="000000"/>
                <w:sz w:val="20"/>
                <w:szCs w:val="20"/>
              </w:rPr>
              <w:t>966.790</w:t>
            </w:r>
          </w:p>
        </w:tc>
        <w:tc>
          <w:tcPr>
            <w:tcW w:w="2268" w:type="dxa"/>
            <w:tcBorders>
              <w:top w:val="single" w:sz="12" w:space="0" w:color="auto"/>
              <w:left w:val="single" w:sz="6" w:space="0" w:color="auto"/>
              <w:bottom w:val="single" w:sz="12" w:space="0" w:color="auto"/>
              <w:right w:val="single" w:sz="6"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b/>
                <w:bCs/>
                <w:color w:val="000000"/>
                <w:sz w:val="20"/>
                <w:szCs w:val="20"/>
              </w:rPr>
            </w:pPr>
            <w:r w:rsidRPr="008C5D80">
              <w:rPr>
                <w:rFonts w:ascii="Calibri" w:hAnsi="Calibri" w:cs="Calibri"/>
                <w:b/>
                <w:bCs/>
                <w:color w:val="000000"/>
                <w:sz w:val="20"/>
                <w:szCs w:val="20"/>
              </w:rPr>
              <w:t>238.132</w:t>
            </w:r>
          </w:p>
        </w:tc>
        <w:tc>
          <w:tcPr>
            <w:tcW w:w="1843" w:type="dxa"/>
            <w:tcBorders>
              <w:top w:val="single" w:sz="12" w:space="0" w:color="auto"/>
              <w:left w:val="single" w:sz="6" w:space="0" w:color="auto"/>
              <w:bottom w:val="single" w:sz="12" w:space="0" w:color="auto"/>
              <w:right w:val="single" w:sz="12" w:space="0" w:color="auto"/>
            </w:tcBorders>
          </w:tcPr>
          <w:p w:rsidR="008C5D80" w:rsidRPr="008C5D80" w:rsidRDefault="008C5D80" w:rsidP="008C5D80">
            <w:pPr>
              <w:autoSpaceDE w:val="0"/>
              <w:autoSpaceDN w:val="0"/>
              <w:adjustRightInd w:val="0"/>
              <w:spacing w:after="0" w:line="360" w:lineRule="auto"/>
              <w:jc w:val="both"/>
              <w:rPr>
                <w:rFonts w:ascii="Calibri" w:hAnsi="Calibri" w:cs="Calibri"/>
                <w:b/>
                <w:bCs/>
                <w:color w:val="000000"/>
                <w:sz w:val="20"/>
                <w:szCs w:val="20"/>
              </w:rPr>
            </w:pPr>
            <w:r w:rsidRPr="008C5D80">
              <w:rPr>
                <w:rFonts w:ascii="Calibri" w:hAnsi="Calibri" w:cs="Calibri"/>
                <w:b/>
                <w:bCs/>
                <w:color w:val="000000"/>
                <w:sz w:val="20"/>
                <w:szCs w:val="20"/>
              </w:rPr>
              <w:t>697.525</w:t>
            </w:r>
          </w:p>
        </w:tc>
      </w:tr>
    </w:tbl>
    <w:p w:rsidR="00DD55FA" w:rsidRPr="00B75221" w:rsidRDefault="008C5D80" w:rsidP="008C5D80">
      <w:pPr>
        <w:spacing w:line="360" w:lineRule="auto"/>
        <w:jc w:val="both"/>
        <w:rPr>
          <w:i/>
        </w:rPr>
      </w:pPr>
      <w:r>
        <w:rPr>
          <w:i/>
        </w:rPr>
        <w:t>Tabel 9: Berekening belastingheffing (VPB en AB) bij vermogensaanwasbelasting</w:t>
      </w:r>
    </w:p>
    <w:sectPr w:rsidR="00DD55FA" w:rsidRPr="00B75221" w:rsidSect="00152F58">
      <w:footerReference w:type="default" r:id="rId8"/>
      <w:pgSz w:w="11906" w:h="16838"/>
      <w:pgMar w:top="1417" w:right="1417" w:bottom="1417" w:left="1417" w:header="708" w:footer="708" w:gutter="0"/>
      <w:pgNumType w:fmt="numberInDash"/>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E271C" w:rsidRDefault="00FE271C" w:rsidP="00192A8C">
      <w:pPr>
        <w:spacing w:after="0" w:line="240" w:lineRule="auto"/>
      </w:pPr>
      <w:r>
        <w:separator/>
      </w:r>
    </w:p>
  </w:endnote>
  <w:endnote w:type="continuationSeparator" w:id="0">
    <w:p w:rsidR="00FE271C" w:rsidRDefault="00FE271C" w:rsidP="00192A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A00002EF" w:usb1="420020EB" w:usb2="00000000" w:usb3="00000000" w:csb0="0000009F" w:csb1="00000000"/>
  </w:font>
  <w:font w:name="GulliverRegularRoman">
    <w:altName w:val="Cambria"/>
    <w:panose1 w:val="00000000000000000000"/>
    <w:charset w:val="00"/>
    <w:family w:val="auto"/>
    <w:notTrueType/>
    <w:pitch w:val="default"/>
    <w:sig w:usb0="00000003" w:usb1="00000000" w:usb2="00000000" w:usb3="00000000" w:csb0="00000001" w:csb1="00000000"/>
  </w:font>
  <w:font w:name="Univers-Bold">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324050"/>
      <w:docPartObj>
        <w:docPartGallery w:val="Page Numbers (Bottom of Page)"/>
        <w:docPartUnique/>
      </w:docPartObj>
    </w:sdtPr>
    <w:sdtContent>
      <w:p w:rsidR="00AA5362" w:rsidRDefault="00054C53">
        <w:pPr>
          <w:pStyle w:val="Voettekst"/>
          <w:jc w:val="center"/>
        </w:pPr>
        <w:fldSimple w:instr=" PAGE   \* MERGEFORMAT ">
          <w:r w:rsidR="00053514">
            <w:rPr>
              <w:noProof/>
            </w:rPr>
            <w:t>- 2 -</w:t>
          </w:r>
        </w:fldSimple>
      </w:p>
    </w:sdtContent>
  </w:sdt>
  <w:p w:rsidR="00AA5362" w:rsidRDefault="00AA5362">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E271C" w:rsidRDefault="00FE271C" w:rsidP="00192A8C">
      <w:pPr>
        <w:spacing w:after="0" w:line="240" w:lineRule="auto"/>
      </w:pPr>
      <w:r>
        <w:separator/>
      </w:r>
    </w:p>
  </w:footnote>
  <w:footnote w:type="continuationSeparator" w:id="0">
    <w:p w:rsidR="00FE271C" w:rsidRDefault="00FE271C" w:rsidP="00192A8C">
      <w:pPr>
        <w:spacing w:after="0" w:line="240" w:lineRule="auto"/>
      </w:pPr>
      <w:r>
        <w:continuationSeparator/>
      </w:r>
    </w:p>
  </w:footnote>
  <w:footnote w:id="1">
    <w:p w:rsidR="00AA5362" w:rsidRPr="00747E54" w:rsidRDefault="00AA5362" w:rsidP="002270F3">
      <w:pPr>
        <w:pStyle w:val="Voetnoottekst"/>
      </w:pPr>
      <w:r>
        <w:rPr>
          <w:rStyle w:val="Voetnootmarkering"/>
        </w:rPr>
        <w:footnoteRef/>
      </w:r>
      <w:r w:rsidRPr="00747E54">
        <w:t xml:space="preserve">  Bijvoorbeeld: </w:t>
      </w:r>
      <w:proofErr w:type="spellStart"/>
      <w:r w:rsidRPr="00747E54">
        <w:t>Holmes</w:t>
      </w:r>
      <w:proofErr w:type="spellEnd"/>
      <w:r w:rsidRPr="00747E54">
        <w:t xml:space="preserve"> (2001), blz. 35.</w:t>
      </w:r>
    </w:p>
  </w:footnote>
  <w:footnote w:id="2">
    <w:p w:rsidR="00AA5362" w:rsidRPr="00173C11" w:rsidRDefault="00AA5362" w:rsidP="006861A0">
      <w:pPr>
        <w:pStyle w:val="Voetnoottekst"/>
      </w:pPr>
      <w:r w:rsidRPr="00173C11">
        <w:rPr>
          <w:rStyle w:val="Voetnootmarkering"/>
        </w:rPr>
        <w:footnoteRef/>
      </w:r>
      <w:r w:rsidRPr="00173C11">
        <w:rPr>
          <w:rFonts w:cs="GulliverRegularRoman"/>
        </w:rPr>
        <w:t xml:space="preserve"> </w:t>
      </w:r>
      <w:r w:rsidRPr="00747E54">
        <w:rPr>
          <w:rFonts w:cs="GulliverRegularRoman"/>
        </w:rPr>
        <w:t>Dool</w:t>
      </w:r>
      <w:r>
        <w:rPr>
          <w:rFonts w:cs="GulliverRegularRoman"/>
        </w:rPr>
        <w:t>, van den (</w:t>
      </w:r>
      <w:r w:rsidRPr="00747E54">
        <w:rPr>
          <w:rFonts w:cs="GulliverRegularRoman"/>
        </w:rPr>
        <w:t>2009</w:t>
      </w:r>
      <w:r>
        <w:rPr>
          <w:rFonts w:cs="GulliverRegularRoman"/>
        </w:rPr>
        <w:t>)</w:t>
      </w:r>
      <w:r w:rsidRPr="00747E54">
        <w:rPr>
          <w:rFonts w:cs="GulliverRegularRoman"/>
        </w:rPr>
        <w:t>, blz. 94.</w:t>
      </w:r>
    </w:p>
  </w:footnote>
  <w:footnote w:id="3">
    <w:p w:rsidR="00AA5362" w:rsidRPr="00D55BC4" w:rsidRDefault="00AA5362" w:rsidP="006861A0">
      <w:pPr>
        <w:pStyle w:val="Voetnoottekst"/>
      </w:pPr>
      <w:r w:rsidRPr="00173C11">
        <w:rPr>
          <w:rStyle w:val="Voetnootmarkering"/>
        </w:rPr>
        <w:footnoteRef/>
      </w:r>
      <w:r w:rsidRPr="00D55BC4">
        <w:t xml:space="preserve"> </w:t>
      </w:r>
      <w:proofErr w:type="spellStart"/>
      <w:r w:rsidRPr="00D55BC4">
        <w:t>Haig</w:t>
      </w:r>
      <w:proofErr w:type="spellEnd"/>
      <w:r w:rsidRPr="00D55BC4">
        <w:t xml:space="preserve"> (1921).</w:t>
      </w:r>
    </w:p>
  </w:footnote>
  <w:footnote w:id="4">
    <w:p w:rsidR="00AA5362" w:rsidRPr="001D3D47" w:rsidRDefault="00AA5362" w:rsidP="002270F3">
      <w:pPr>
        <w:pStyle w:val="Voetnoottekst"/>
      </w:pPr>
      <w:r w:rsidRPr="001D3D47">
        <w:rPr>
          <w:rStyle w:val="Voetnootmarkering"/>
        </w:rPr>
        <w:footnoteRef/>
      </w:r>
      <w:r w:rsidRPr="001D3D47">
        <w:t xml:space="preserve"> </w:t>
      </w:r>
      <w:r>
        <w:t>Dool, van den (2009), blz. 97.</w:t>
      </w:r>
    </w:p>
  </w:footnote>
  <w:footnote w:id="5">
    <w:p w:rsidR="00AA5362" w:rsidRPr="001D3D47" w:rsidRDefault="00AA5362" w:rsidP="006861A0">
      <w:pPr>
        <w:pStyle w:val="Voetnoottekst"/>
      </w:pPr>
      <w:r w:rsidRPr="001D3D47">
        <w:rPr>
          <w:rStyle w:val="Voetnootmarkering"/>
        </w:rPr>
        <w:footnoteRef/>
      </w:r>
      <w:r w:rsidRPr="00862E18">
        <w:t xml:space="preserve"> </w:t>
      </w:r>
      <w:proofErr w:type="spellStart"/>
      <w:r w:rsidRPr="00862E18">
        <w:rPr>
          <w:rFonts w:cs="GulliverRegularRoman"/>
        </w:rPr>
        <w:t>Haig</w:t>
      </w:r>
      <w:proofErr w:type="spellEnd"/>
      <w:r w:rsidRPr="00862E18">
        <w:rPr>
          <w:rFonts w:cs="GulliverRegularRoman"/>
        </w:rPr>
        <w:t xml:space="preserve"> (1921)</w:t>
      </w:r>
    </w:p>
  </w:footnote>
  <w:footnote w:id="6">
    <w:p w:rsidR="00AA5362" w:rsidRPr="00862E18" w:rsidRDefault="00AA5362" w:rsidP="006861A0">
      <w:pPr>
        <w:pStyle w:val="Voetnoottekst"/>
      </w:pPr>
      <w:r w:rsidRPr="001D3D47">
        <w:rPr>
          <w:rStyle w:val="Voetnootmarkering"/>
        </w:rPr>
        <w:footnoteRef/>
      </w:r>
      <w:r w:rsidRPr="00862E18">
        <w:t xml:space="preserve"> Simons (1938), blz. 50.</w:t>
      </w:r>
    </w:p>
  </w:footnote>
  <w:footnote w:id="7">
    <w:p w:rsidR="00AA5362" w:rsidRDefault="00AA5362" w:rsidP="006861A0">
      <w:pPr>
        <w:pStyle w:val="Voetnoottekst"/>
      </w:pPr>
      <w:r w:rsidRPr="001D3D47">
        <w:rPr>
          <w:rStyle w:val="Voetnootmarkering"/>
        </w:rPr>
        <w:footnoteRef/>
      </w:r>
      <w:r>
        <w:t xml:space="preserve"> </w:t>
      </w:r>
      <w:r w:rsidRPr="001D3D47">
        <w:rPr>
          <w:rFonts w:cs="GulliverRegularRoman"/>
        </w:rPr>
        <w:t>Dool</w:t>
      </w:r>
      <w:r>
        <w:rPr>
          <w:rFonts w:cs="GulliverRegularRoman"/>
        </w:rPr>
        <w:t>, van den (</w:t>
      </w:r>
      <w:r w:rsidRPr="001D3D47">
        <w:rPr>
          <w:rFonts w:cs="GulliverRegularRoman"/>
        </w:rPr>
        <w:t>2009</w:t>
      </w:r>
      <w:r>
        <w:rPr>
          <w:rFonts w:cs="GulliverRegularRoman"/>
        </w:rPr>
        <w:t>)</w:t>
      </w:r>
      <w:r w:rsidRPr="001D3D47">
        <w:rPr>
          <w:rFonts w:cs="GulliverRegularRoman"/>
        </w:rPr>
        <w:t>, blz</w:t>
      </w:r>
      <w:r>
        <w:rPr>
          <w:rFonts w:cs="GulliverRegularRoman"/>
        </w:rPr>
        <w:t>. 99.</w:t>
      </w:r>
      <w:r>
        <w:rPr>
          <w:rFonts w:ascii="GulliverRegularRoman" w:hAnsi="GulliverRegularRoman" w:cs="GulliverRegularRoman"/>
          <w:sz w:val="17"/>
          <w:szCs w:val="17"/>
        </w:rPr>
        <w:t xml:space="preserve"> </w:t>
      </w:r>
    </w:p>
  </w:footnote>
  <w:footnote w:id="8">
    <w:p w:rsidR="00AA5362" w:rsidRPr="00655AA8" w:rsidRDefault="00AA5362" w:rsidP="006861A0">
      <w:pPr>
        <w:pStyle w:val="Voetnoottekst"/>
        <w:rPr>
          <w:lang w:val="en-US"/>
        </w:rPr>
      </w:pPr>
      <w:r>
        <w:rPr>
          <w:rStyle w:val="Voetnootmarkering"/>
        </w:rPr>
        <w:footnoteRef/>
      </w:r>
      <w:r w:rsidRPr="00655AA8">
        <w:rPr>
          <w:lang w:val="en-US"/>
        </w:rPr>
        <w:t xml:space="preserve"> Gayer &amp; Rosen (2008), blz. 383.</w:t>
      </w:r>
    </w:p>
  </w:footnote>
  <w:footnote w:id="9">
    <w:p w:rsidR="00AA5362" w:rsidRPr="001F07CD" w:rsidRDefault="00AA5362" w:rsidP="00E91B87">
      <w:pPr>
        <w:pStyle w:val="Voetnoottekst"/>
        <w:rPr>
          <w:lang w:val="en-US"/>
        </w:rPr>
      </w:pPr>
      <w:r>
        <w:rPr>
          <w:rStyle w:val="Voetnootmarkering"/>
        </w:rPr>
        <w:footnoteRef/>
      </w:r>
      <w:r w:rsidRPr="001F07CD">
        <w:rPr>
          <w:lang w:val="en-US"/>
        </w:rPr>
        <w:t xml:space="preserve"> </w:t>
      </w:r>
      <w:r>
        <w:rPr>
          <w:lang w:val="en-US"/>
        </w:rPr>
        <w:t xml:space="preserve"> Gayer &amp; Rosen (2008), </w:t>
      </w:r>
      <w:proofErr w:type="spellStart"/>
      <w:r>
        <w:rPr>
          <w:lang w:val="en-US"/>
        </w:rPr>
        <w:t>blz</w:t>
      </w:r>
      <w:proofErr w:type="spellEnd"/>
      <w:r>
        <w:rPr>
          <w:lang w:val="en-US"/>
        </w:rPr>
        <w:t>. 382.</w:t>
      </w:r>
    </w:p>
  </w:footnote>
  <w:footnote w:id="10">
    <w:p w:rsidR="00AA5362" w:rsidRPr="001D3D47" w:rsidRDefault="00AA5362" w:rsidP="00E91B87">
      <w:pPr>
        <w:pStyle w:val="Voetnoottekst"/>
        <w:rPr>
          <w:lang w:val="en-US"/>
        </w:rPr>
      </w:pPr>
      <w:r>
        <w:rPr>
          <w:rStyle w:val="Voetnootmarkering"/>
        </w:rPr>
        <w:footnoteRef/>
      </w:r>
      <w:r w:rsidRPr="001D3D47">
        <w:rPr>
          <w:lang w:val="en-US"/>
        </w:rPr>
        <w:t xml:space="preserve"> </w:t>
      </w:r>
      <w:r>
        <w:rPr>
          <w:lang w:val="en-US"/>
        </w:rPr>
        <w:t xml:space="preserve">T. Gayer, H.S. Rosen (2008), </w:t>
      </w:r>
      <w:proofErr w:type="spellStart"/>
      <w:r>
        <w:rPr>
          <w:lang w:val="en-US"/>
        </w:rPr>
        <w:t>blz</w:t>
      </w:r>
      <w:proofErr w:type="spellEnd"/>
      <w:r>
        <w:rPr>
          <w:lang w:val="en-US"/>
        </w:rPr>
        <w:t>. 384.</w:t>
      </w:r>
    </w:p>
  </w:footnote>
  <w:footnote w:id="11">
    <w:p w:rsidR="00AA5362" w:rsidRDefault="00AA5362" w:rsidP="00E91B87">
      <w:pPr>
        <w:pStyle w:val="Voetnoottekst"/>
      </w:pPr>
      <w:r>
        <w:rPr>
          <w:rStyle w:val="Voetnootmarkering"/>
        </w:rPr>
        <w:footnoteRef/>
      </w:r>
      <w:r>
        <w:t xml:space="preserve"> Cursus Belastingrecht, Inkomstenbelasting, </w:t>
      </w:r>
      <w:r w:rsidRPr="00BF7402">
        <w:t>5.0.5.C.b</w:t>
      </w:r>
      <w:r>
        <w:t>.</w:t>
      </w:r>
    </w:p>
  </w:footnote>
  <w:footnote w:id="12">
    <w:p w:rsidR="00AA5362" w:rsidRDefault="00AA5362" w:rsidP="00E91B87">
      <w:pPr>
        <w:pStyle w:val="Voetnoottekst"/>
      </w:pPr>
      <w:r>
        <w:rPr>
          <w:rStyle w:val="Voetnootmarkering"/>
        </w:rPr>
        <w:footnoteRef/>
      </w:r>
      <w:r>
        <w:t xml:space="preserve"> </w:t>
      </w:r>
      <w:proofErr w:type="spellStart"/>
      <w:r>
        <w:t>Caanen</w:t>
      </w:r>
      <w:proofErr w:type="spellEnd"/>
      <w:r>
        <w:t xml:space="preserve"> (1993), blz. 7.</w:t>
      </w:r>
    </w:p>
  </w:footnote>
  <w:footnote w:id="13">
    <w:p w:rsidR="00AA5362" w:rsidRDefault="00AA5362" w:rsidP="00E91B87">
      <w:pPr>
        <w:pStyle w:val="Voetnoottekst"/>
      </w:pPr>
      <w:r>
        <w:rPr>
          <w:rStyle w:val="Voetnootmarkering"/>
        </w:rPr>
        <w:footnoteRef/>
      </w:r>
      <w:r>
        <w:t xml:space="preserve"> Stevens (2009), blz. 173.</w:t>
      </w:r>
    </w:p>
  </w:footnote>
  <w:footnote w:id="14">
    <w:p w:rsidR="00AA5362" w:rsidRDefault="00AA5362" w:rsidP="00E91B87">
      <w:pPr>
        <w:pStyle w:val="Voetnoottekst"/>
      </w:pPr>
      <w:r>
        <w:rPr>
          <w:rStyle w:val="Voetnootmarkering"/>
        </w:rPr>
        <w:footnoteRef/>
      </w:r>
      <w:r>
        <w:t xml:space="preserve"> Heithuis, Kavelaars &amp; </w:t>
      </w:r>
      <w:proofErr w:type="spellStart"/>
      <w:r>
        <w:t>Schuver</w:t>
      </w:r>
      <w:proofErr w:type="spellEnd"/>
      <w:r>
        <w:t xml:space="preserve"> (2009), blz. 86.</w:t>
      </w:r>
    </w:p>
  </w:footnote>
  <w:footnote w:id="15">
    <w:p w:rsidR="00AA5362" w:rsidRPr="00BD1CB7" w:rsidRDefault="00AA5362" w:rsidP="00E91B87">
      <w:pPr>
        <w:pStyle w:val="Voetnoottekst"/>
        <w:rPr>
          <w:lang w:val="en-US"/>
        </w:rPr>
      </w:pPr>
      <w:r>
        <w:rPr>
          <w:rStyle w:val="Voetnootmarkering"/>
        </w:rPr>
        <w:footnoteRef/>
      </w:r>
      <w:r w:rsidRPr="00BD1CB7">
        <w:rPr>
          <w:lang w:val="en-US"/>
        </w:rPr>
        <w:t xml:space="preserve"> Stevens (2009), </w:t>
      </w:r>
      <w:proofErr w:type="spellStart"/>
      <w:r w:rsidRPr="00BD1CB7">
        <w:rPr>
          <w:lang w:val="en-US"/>
        </w:rPr>
        <w:t>blz</w:t>
      </w:r>
      <w:proofErr w:type="spellEnd"/>
      <w:r w:rsidRPr="00BD1CB7">
        <w:rPr>
          <w:lang w:val="en-US"/>
        </w:rPr>
        <w:t>. 174.</w:t>
      </w:r>
    </w:p>
  </w:footnote>
  <w:footnote w:id="16">
    <w:p w:rsidR="00AA5362" w:rsidRPr="00BD1CB7" w:rsidRDefault="00AA5362" w:rsidP="00E91B87">
      <w:pPr>
        <w:pStyle w:val="Voetnoottekst"/>
        <w:rPr>
          <w:lang w:val="en-US"/>
        </w:rPr>
      </w:pPr>
      <w:r>
        <w:rPr>
          <w:rStyle w:val="Voetnootmarkering"/>
        </w:rPr>
        <w:footnoteRef/>
      </w:r>
      <w:r w:rsidRPr="00BD1CB7">
        <w:rPr>
          <w:lang w:val="en-US"/>
        </w:rPr>
        <w:t xml:space="preserve"> </w:t>
      </w:r>
      <w:proofErr w:type="spellStart"/>
      <w:r w:rsidRPr="00BD1CB7">
        <w:rPr>
          <w:lang w:val="en-US"/>
        </w:rPr>
        <w:t>Caanen</w:t>
      </w:r>
      <w:proofErr w:type="spellEnd"/>
      <w:r w:rsidRPr="00BD1CB7">
        <w:rPr>
          <w:lang w:val="en-US"/>
        </w:rPr>
        <w:t xml:space="preserve"> (1993), </w:t>
      </w:r>
      <w:proofErr w:type="spellStart"/>
      <w:r w:rsidRPr="00BD1CB7">
        <w:rPr>
          <w:lang w:val="en-US"/>
        </w:rPr>
        <w:t>blz</w:t>
      </w:r>
      <w:proofErr w:type="spellEnd"/>
      <w:r w:rsidRPr="00BD1CB7">
        <w:rPr>
          <w:lang w:val="en-US"/>
        </w:rPr>
        <w:t>. 94.</w:t>
      </w:r>
    </w:p>
  </w:footnote>
  <w:footnote w:id="17">
    <w:p w:rsidR="00AA5362" w:rsidRPr="000C7627" w:rsidRDefault="00AA5362" w:rsidP="00A93E05">
      <w:pPr>
        <w:pStyle w:val="Voetnoottekst"/>
        <w:rPr>
          <w:lang w:val="en-US"/>
        </w:rPr>
      </w:pPr>
      <w:r>
        <w:rPr>
          <w:rStyle w:val="Voetnootmarkering"/>
        </w:rPr>
        <w:footnoteRef/>
      </w:r>
      <w:r w:rsidRPr="00061522">
        <w:rPr>
          <w:lang w:val="en-US"/>
        </w:rPr>
        <w:t xml:space="preserve"> </w:t>
      </w:r>
      <w:r w:rsidRPr="000C7627">
        <w:rPr>
          <w:lang w:val="en-US"/>
        </w:rPr>
        <w:t>Conclusions and recommendations of the committee of independent experts on company taxation</w:t>
      </w:r>
      <w:r>
        <w:rPr>
          <w:lang w:val="en-US"/>
        </w:rPr>
        <w:t xml:space="preserve"> (1992), </w:t>
      </w:r>
      <w:proofErr w:type="spellStart"/>
      <w:r>
        <w:rPr>
          <w:lang w:val="en-US"/>
        </w:rPr>
        <w:t>blz</w:t>
      </w:r>
      <w:proofErr w:type="spellEnd"/>
      <w:r>
        <w:rPr>
          <w:lang w:val="en-US"/>
        </w:rPr>
        <w:t>. 42.</w:t>
      </w:r>
    </w:p>
  </w:footnote>
  <w:footnote w:id="18">
    <w:p w:rsidR="00AA5362" w:rsidRPr="00BD1CB7" w:rsidRDefault="00AA5362" w:rsidP="006861A0">
      <w:pPr>
        <w:pStyle w:val="Voetnoottekst"/>
      </w:pPr>
      <w:r>
        <w:rPr>
          <w:rStyle w:val="Voetnootmarkering"/>
        </w:rPr>
        <w:footnoteRef/>
      </w:r>
      <w:r w:rsidRPr="00BD1CB7">
        <w:t xml:space="preserve"> </w:t>
      </w:r>
      <w:proofErr w:type="spellStart"/>
      <w:r w:rsidRPr="00BD1CB7">
        <w:t>Gayer</w:t>
      </w:r>
      <w:proofErr w:type="spellEnd"/>
      <w:r w:rsidRPr="00BD1CB7">
        <w:t xml:space="preserve"> &amp; </w:t>
      </w:r>
      <w:proofErr w:type="spellStart"/>
      <w:r w:rsidRPr="00BD1CB7">
        <w:t>Rosen</w:t>
      </w:r>
      <w:proofErr w:type="spellEnd"/>
      <w:r w:rsidRPr="00BD1CB7">
        <w:t xml:space="preserve"> (2008), blz. 402.</w:t>
      </w:r>
    </w:p>
  </w:footnote>
  <w:footnote w:id="19">
    <w:p w:rsidR="00AA5362" w:rsidRDefault="00AA5362" w:rsidP="00A93E05">
      <w:pPr>
        <w:pStyle w:val="Voetnoottekst"/>
      </w:pPr>
      <w:r>
        <w:rPr>
          <w:rStyle w:val="Voetnootmarkering"/>
        </w:rPr>
        <w:footnoteRef/>
      </w:r>
      <w:r>
        <w:t xml:space="preserve"> </w:t>
      </w:r>
      <w:r>
        <w:rPr>
          <w:rFonts w:cs="GulliverRegularRoman"/>
        </w:rPr>
        <w:t>Dool, van den (2009), blz. 105.</w:t>
      </w:r>
    </w:p>
  </w:footnote>
  <w:footnote w:id="20">
    <w:p w:rsidR="00AA5362" w:rsidRDefault="00AA5362" w:rsidP="006861A0">
      <w:pPr>
        <w:pStyle w:val="Voetnoottekst"/>
      </w:pPr>
      <w:r>
        <w:rPr>
          <w:rStyle w:val="Voetnootmarkering"/>
        </w:rPr>
        <w:footnoteRef/>
      </w:r>
      <w:r>
        <w:t xml:space="preserve"> </w:t>
      </w:r>
      <w:r w:rsidRPr="00014A20">
        <w:t>Kamerstukken II 1998/99, 26 727</w:t>
      </w:r>
      <w:r>
        <w:t xml:space="preserve">, </w:t>
      </w:r>
      <w:proofErr w:type="spellStart"/>
      <w:r>
        <w:t>nr</w:t>
      </w:r>
      <w:proofErr w:type="spellEnd"/>
      <w:r>
        <w:t xml:space="preserve"> 3.</w:t>
      </w:r>
    </w:p>
  </w:footnote>
  <w:footnote w:id="21">
    <w:p w:rsidR="00AA5362" w:rsidRDefault="00AA5362" w:rsidP="006861A0">
      <w:pPr>
        <w:pStyle w:val="Voetnoottekst"/>
      </w:pPr>
      <w:r>
        <w:rPr>
          <w:rStyle w:val="Voetnootmarkering"/>
        </w:rPr>
        <w:footnoteRef/>
      </w:r>
      <w:r>
        <w:t xml:space="preserve"> Dool, van den &amp; Heithuis (2010), blz. 188.</w:t>
      </w:r>
    </w:p>
  </w:footnote>
  <w:footnote w:id="22">
    <w:p w:rsidR="00AA5362" w:rsidRDefault="00AA5362" w:rsidP="00332C8D">
      <w:r>
        <w:rPr>
          <w:rStyle w:val="Voetnootmarkering"/>
          <w:rFonts w:cs="Arial"/>
        </w:rPr>
        <w:footnoteRef/>
      </w:r>
      <w:r w:rsidRPr="001E05AB">
        <w:t xml:space="preserve"> </w:t>
      </w:r>
      <w:r w:rsidRPr="00332C8D">
        <w:rPr>
          <w:sz w:val="20"/>
          <w:szCs w:val="20"/>
        </w:rPr>
        <w:t>Cursus Belastingrecht, Inkomstenbelasting, 4.2.2.B.</w:t>
      </w:r>
    </w:p>
  </w:footnote>
  <w:footnote w:id="23">
    <w:p w:rsidR="00AA5362" w:rsidRDefault="00AA5362" w:rsidP="006861A0">
      <w:pPr>
        <w:pStyle w:val="Voetnoottekst"/>
      </w:pPr>
      <w:r>
        <w:rPr>
          <w:rStyle w:val="Voetnootmarkering"/>
        </w:rPr>
        <w:footnoteRef/>
      </w:r>
      <w:r>
        <w:t xml:space="preserve"> Koeslag &amp; </w:t>
      </w:r>
      <w:proofErr w:type="spellStart"/>
      <w:r>
        <w:t>Oosting</w:t>
      </w:r>
      <w:proofErr w:type="spellEnd"/>
      <w:r>
        <w:t xml:space="preserve"> (2008), blz. 101.</w:t>
      </w:r>
    </w:p>
  </w:footnote>
  <w:footnote w:id="24">
    <w:p w:rsidR="00AA5362" w:rsidRDefault="00AA5362" w:rsidP="006861A0">
      <w:pPr>
        <w:pStyle w:val="Voetnoottekst"/>
      </w:pPr>
      <w:r>
        <w:rPr>
          <w:rStyle w:val="Voetnootmarkering"/>
        </w:rPr>
        <w:footnoteRef/>
      </w:r>
      <w:r>
        <w:t xml:space="preserve"> </w:t>
      </w:r>
      <w:proofErr w:type="spellStart"/>
      <w:r>
        <w:t>Wasch</w:t>
      </w:r>
      <w:proofErr w:type="spellEnd"/>
      <w:r>
        <w:t xml:space="preserve"> (2010), blz. 125.</w:t>
      </w:r>
    </w:p>
  </w:footnote>
  <w:footnote w:id="25">
    <w:p w:rsidR="00AA5362" w:rsidRDefault="00AA5362" w:rsidP="006861A0">
      <w:pPr>
        <w:pStyle w:val="Voetnoottekst"/>
      </w:pPr>
      <w:r>
        <w:rPr>
          <w:rStyle w:val="Voetnootmarkering"/>
        </w:rPr>
        <w:footnoteRef/>
      </w:r>
      <w:r>
        <w:t xml:space="preserve"> Bos (</w:t>
      </w:r>
      <w:r w:rsidRPr="00531D48">
        <w:t>2003</w:t>
      </w:r>
      <w:r>
        <w:t>), blz. 41.</w:t>
      </w:r>
    </w:p>
  </w:footnote>
  <w:footnote w:id="26">
    <w:p w:rsidR="00AA5362" w:rsidRDefault="00AA5362" w:rsidP="006861A0">
      <w:pPr>
        <w:pStyle w:val="Voetnoottekst"/>
      </w:pPr>
      <w:r>
        <w:rPr>
          <w:rStyle w:val="Voetnootmarkering"/>
        </w:rPr>
        <w:footnoteRef/>
      </w:r>
      <w:r>
        <w:t xml:space="preserve"> Cursus Belastingrecht Inkomstenbelasting, paragraaf 5.1.4.B.</w:t>
      </w:r>
    </w:p>
  </w:footnote>
  <w:footnote w:id="27">
    <w:p w:rsidR="00AA5362" w:rsidRDefault="00AA5362" w:rsidP="006861A0">
      <w:pPr>
        <w:pStyle w:val="Voetnoottekst"/>
      </w:pPr>
      <w:r>
        <w:rPr>
          <w:rStyle w:val="Voetnootmarkering"/>
        </w:rPr>
        <w:footnoteRef/>
      </w:r>
      <w:r>
        <w:t xml:space="preserve"> Cursus Belastingrecht Inkomstenbelasting, paragraaf 3.2.29.B.a1.</w:t>
      </w:r>
    </w:p>
  </w:footnote>
  <w:footnote w:id="28">
    <w:p w:rsidR="00AA5362" w:rsidRDefault="00AA5362" w:rsidP="006861A0">
      <w:pPr>
        <w:pStyle w:val="Voetnoottekst"/>
      </w:pPr>
      <w:r>
        <w:rPr>
          <w:rStyle w:val="Voetnootmarkering"/>
        </w:rPr>
        <w:footnoteRef/>
      </w:r>
      <w:r>
        <w:t xml:space="preserve"> Heithuis et al (2009), </w:t>
      </w:r>
      <w:proofErr w:type="spellStart"/>
      <w:r>
        <w:t>blz</w:t>
      </w:r>
      <w:proofErr w:type="spellEnd"/>
      <w:r>
        <w:t xml:space="preserve"> 86.</w:t>
      </w:r>
    </w:p>
  </w:footnote>
  <w:footnote w:id="29">
    <w:p w:rsidR="00AA5362" w:rsidRDefault="00AA5362" w:rsidP="006861A0">
      <w:pPr>
        <w:pStyle w:val="Voetnoottekst"/>
      </w:pPr>
      <w:r>
        <w:rPr>
          <w:rStyle w:val="Voetnootmarkering"/>
        </w:rPr>
        <w:footnoteRef/>
      </w:r>
      <w:r>
        <w:t xml:space="preserve"> Stevens (2009), blz. 219.</w:t>
      </w:r>
    </w:p>
  </w:footnote>
  <w:footnote w:id="30">
    <w:p w:rsidR="00AA5362" w:rsidRDefault="00AA5362" w:rsidP="00104AAC">
      <w:pPr>
        <w:pStyle w:val="Voetnoottekst"/>
      </w:pPr>
      <w:r>
        <w:rPr>
          <w:rStyle w:val="Voetnootmarkering"/>
        </w:rPr>
        <w:footnoteRef/>
      </w:r>
      <w:r>
        <w:t xml:space="preserve"> </w:t>
      </w:r>
      <w:proofErr w:type="spellStart"/>
      <w:r>
        <w:t>Russo</w:t>
      </w:r>
      <w:proofErr w:type="spellEnd"/>
      <w:r>
        <w:t xml:space="preserve"> (2004), blz. 49.</w:t>
      </w:r>
    </w:p>
  </w:footnote>
  <w:footnote w:id="31">
    <w:p w:rsidR="00AA5362" w:rsidRDefault="00AA5362" w:rsidP="006861A0">
      <w:pPr>
        <w:pStyle w:val="Voetnoottekst"/>
      </w:pPr>
      <w:r>
        <w:rPr>
          <w:rStyle w:val="Voetnootmarkering"/>
        </w:rPr>
        <w:footnoteRef/>
      </w:r>
      <w:r>
        <w:t xml:space="preserve"> </w:t>
      </w:r>
      <w:proofErr w:type="spellStart"/>
      <w:r>
        <w:t>Lips</w:t>
      </w:r>
      <w:proofErr w:type="spellEnd"/>
      <w:r>
        <w:t xml:space="preserve"> (2010), blz. 139.</w:t>
      </w:r>
    </w:p>
  </w:footnote>
  <w:footnote w:id="32">
    <w:p w:rsidR="00AA5362" w:rsidRDefault="00AA5362" w:rsidP="006861A0">
      <w:pPr>
        <w:pStyle w:val="Voetnoottekst"/>
      </w:pPr>
      <w:r>
        <w:rPr>
          <w:rStyle w:val="Voetnootmarkering"/>
        </w:rPr>
        <w:footnoteRef/>
      </w:r>
      <w:r>
        <w:t xml:space="preserve"> Cursus Belastingrecht Inkomstenbelasting, paragraaf 3.2.25.B.b.</w:t>
      </w:r>
    </w:p>
  </w:footnote>
  <w:footnote w:id="33">
    <w:p w:rsidR="00AA5362" w:rsidRDefault="00AA5362" w:rsidP="006861A0">
      <w:pPr>
        <w:pStyle w:val="Voetnoottekst"/>
      </w:pPr>
      <w:r>
        <w:rPr>
          <w:rStyle w:val="Voetnootmarkering"/>
        </w:rPr>
        <w:footnoteRef/>
      </w:r>
      <w:r>
        <w:t xml:space="preserve"> Stevens (1978).</w:t>
      </w:r>
    </w:p>
  </w:footnote>
  <w:footnote w:id="34">
    <w:p w:rsidR="00AA5362" w:rsidRDefault="00AA5362" w:rsidP="006861A0">
      <w:pPr>
        <w:pStyle w:val="Voetnoottekst"/>
      </w:pPr>
      <w:r>
        <w:rPr>
          <w:rStyle w:val="Voetnootmarkering"/>
        </w:rPr>
        <w:footnoteRef/>
      </w:r>
      <w:r>
        <w:t xml:space="preserve"> Cornelisse (1992).</w:t>
      </w:r>
    </w:p>
  </w:footnote>
  <w:footnote w:id="35">
    <w:p w:rsidR="00AA5362" w:rsidRDefault="00AA5362" w:rsidP="006861A0">
      <w:pPr>
        <w:pStyle w:val="Voetnoottekst"/>
      </w:pPr>
      <w:r>
        <w:rPr>
          <w:rStyle w:val="Voetnootmarkering"/>
        </w:rPr>
        <w:footnoteRef/>
      </w:r>
      <w:r>
        <w:t xml:space="preserve"> Adriani &amp; Oven, van (1953), blz. 136. </w:t>
      </w:r>
    </w:p>
  </w:footnote>
  <w:footnote w:id="36">
    <w:p w:rsidR="00AA5362" w:rsidRDefault="00AA5362" w:rsidP="006861A0">
      <w:pPr>
        <w:pStyle w:val="Voetnoottekst"/>
      </w:pPr>
      <w:r>
        <w:rPr>
          <w:rStyle w:val="Voetnootmarkering"/>
        </w:rPr>
        <w:footnoteRef/>
      </w:r>
      <w:r>
        <w:t xml:space="preserve"> </w:t>
      </w:r>
      <w:proofErr w:type="spellStart"/>
      <w:r>
        <w:t>Niessen</w:t>
      </w:r>
      <w:proofErr w:type="spellEnd"/>
      <w:r>
        <w:t xml:space="preserve"> (2010), blz. 262.</w:t>
      </w:r>
    </w:p>
  </w:footnote>
  <w:footnote w:id="37">
    <w:p w:rsidR="00AA5362" w:rsidRDefault="00AA5362" w:rsidP="006861A0">
      <w:pPr>
        <w:pStyle w:val="Voetnoottekst"/>
      </w:pPr>
      <w:r>
        <w:rPr>
          <w:rStyle w:val="Voetnootmarkering"/>
        </w:rPr>
        <w:footnoteRef/>
      </w:r>
      <w:r>
        <w:t xml:space="preserve"> Dool, van den (2010), blz. 50.</w:t>
      </w:r>
    </w:p>
  </w:footnote>
  <w:footnote w:id="38">
    <w:p w:rsidR="00AA5362" w:rsidRDefault="00AA5362">
      <w:pPr>
        <w:pStyle w:val="Voetnoottekst"/>
      </w:pPr>
      <w:r>
        <w:rPr>
          <w:rStyle w:val="Voetnootmarkering"/>
        </w:rPr>
        <w:footnoteRef/>
      </w:r>
      <w:r>
        <w:t xml:space="preserve"> In deze scriptie worden uitsluitend berekeningen gemaakt betrekking hebbend op vermogenswinsten. Er wordt dan ook geen rekening gehouden met aflossingen en verschuldigde rente op de lening.</w:t>
      </w:r>
    </w:p>
  </w:footnote>
  <w:footnote w:id="39">
    <w:p w:rsidR="00AA5362" w:rsidRDefault="00AA5362" w:rsidP="006861A0">
      <w:pPr>
        <w:pStyle w:val="Voetnoottekst"/>
      </w:pPr>
      <w:r>
        <w:rPr>
          <w:rStyle w:val="Voetnootmarkering"/>
        </w:rPr>
        <w:footnoteRef/>
      </w:r>
      <w:r>
        <w:t xml:space="preserve"> </w:t>
      </w:r>
      <w:r w:rsidRPr="008E5F09">
        <w:t>Fiscale Encyclopedie De Vakstudie Inkomstenbelasting, Artikel 2.12, Aantekening 2 Tijdelijke verlaging tarief voor het jaar 2007</w:t>
      </w:r>
      <w:r>
        <w:t>.</w:t>
      </w:r>
    </w:p>
  </w:footnote>
  <w:footnote w:id="40">
    <w:p w:rsidR="00AA5362" w:rsidRDefault="00AA5362" w:rsidP="006861A0">
      <w:pPr>
        <w:pStyle w:val="Voetnoottekst"/>
      </w:pPr>
      <w:r>
        <w:rPr>
          <w:rStyle w:val="Voetnootmarkering"/>
        </w:rPr>
        <w:footnoteRef/>
      </w:r>
      <w:r>
        <w:t xml:space="preserve"> Dool, van den (2010), blz. 51.</w:t>
      </w:r>
    </w:p>
  </w:footnote>
  <w:footnote w:id="41">
    <w:p w:rsidR="00AA5362" w:rsidRDefault="00AA5362">
      <w:pPr>
        <w:pStyle w:val="Voetnoottekst"/>
      </w:pPr>
      <w:r>
        <w:rPr>
          <w:rStyle w:val="Voetnootmarkering"/>
        </w:rPr>
        <w:footnoteRef/>
      </w:r>
      <w:r>
        <w:t xml:space="preserve"> Dit percentage is gepubliceerd door De Nederlandsche Bank en is te vinden via de volgende link: </w:t>
      </w:r>
      <w:r w:rsidRPr="00AB2DF8">
        <w:t>http://www.statistics.dnb.nl/index.cgi?lang=nl&amp;todo=Rentes</w:t>
      </w:r>
    </w:p>
  </w:footnote>
  <w:footnote w:id="42">
    <w:p w:rsidR="00AA5362" w:rsidRDefault="00AA5362" w:rsidP="006861A0">
      <w:pPr>
        <w:pStyle w:val="Voetnoottekst"/>
      </w:pPr>
      <w:r>
        <w:rPr>
          <w:rStyle w:val="Voetnootmarkering"/>
        </w:rPr>
        <w:footnoteRef/>
      </w:r>
      <w:r>
        <w:t xml:space="preserve"> Berekening ontleend aan: Dool, van den (2010), blz. 50.</w:t>
      </w:r>
    </w:p>
  </w:footnote>
  <w:footnote w:id="43">
    <w:p w:rsidR="00AA5362" w:rsidRDefault="00AA5362" w:rsidP="00AA5362">
      <w:pPr>
        <w:pStyle w:val="Voetnoottekst"/>
      </w:pPr>
      <w:r>
        <w:rPr>
          <w:rStyle w:val="Voetnootmarkering"/>
        </w:rPr>
        <w:footnoteRef/>
      </w:r>
      <w:r>
        <w:t xml:space="preserve"> Cijfers zijn herleid uit toegestuurde cijfers door de Waarderingskamer. De Waarderingskamer heeft de cijfers gebaseerd op door de gemeenten toegestuurde overzichten</w:t>
      </w:r>
    </w:p>
  </w:footnote>
  <w:footnote w:id="44">
    <w:p w:rsidR="00AA5362" w:rsidRDefault="00AA5362" w:rsidP="00AA5362">
      <w:pPr>
        <w:pStyle w:val="Voetnoottekst"/>
      </w:pPr>
      <w:r>
        <w:rPr>
          <w:rStyle w:val="Voetnootmarkering"/>
        </w:rPr>
        <w:footnoteRef/>
      </w:r>
      <w:r>
        <w:t xml:space="preserve"> </w:t>
      </w:r>
      <w:r w:rsidRPr="00B6749E">
        <w:t>http://statline.cbs.nl/StatWeb/publication/?DM=SLNL&amp;PA=71311NED&amp;D1=0,4&amp;D2=0-1,61,70,87,108,137,145,172,176,221-222,230,255,l&amp;D3=12,25,38,51,64,77,90,103,116,129,142,155,168,181,194&amp;HDR=T&amp;STB=G1,G2&amp;VW=T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21899"/>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10431AEF"/>
    <w:multiLevelType w:val="hybridMultilevel"/>
    <w:tmpl w:val="0624091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28F60F61"/>
    <w:multiLevelType w:val="hybridMultilevel"/>
    <w:tmpl w:val="390E1762"/>
    <w:lvl w:ilvl="0" w:tplc="77009DC0">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295B42CE"/>
    <w:multiLevelType w:val="hybridMultilevel"/>
    <w:tmpl w:val="F0DA68A6"/>
    <w:lvl w:ilvl="0" w:tplc="54C6BD3E">
      <w:start w:val="1"/>
      <w:numFmt w:val="decimal"/>
      <w:lvlText w:val="Hoofdstuk %1 -"/>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2E6A52C4"/>
    <w:multiLevelType w:val="hybridMultilevel"/>
    <w:tmpl w:val="78AA757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40B52A54"/>
    <w:multiLevelType w:val="hybridMultilevel"/>
    <w:tmpl w:val="5872748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497429D5"/>
    <w:multiLevelType w:val="hybridMultilevel"/>
    <w:tmpl w:val="297CC3F4"/>
    <w:lvl w:ilvl="0" w:tplc="DD187EDC">
      <w:start w:val="1"/>
      <w:numFmt w:val="upperRoman"/>
      <w:pStyle w:val="Bijlage"/>
      <w:lvlText w:val="Bijlage %1 -"/>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55113E10"/>
    <w:multiLevelType w:val="hybridMultilevel"/>
    <w:tmpl w:val="76BA4AF2"/>
    <w:lvl w:ilvl="0" w:tplc="7E2A7106">
      <w:start w:val="1"/>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57E3720B"/>
    <w:multiLevelType w:val="hybridMultilevel"/>
    <w:tmpl w:val="528ADE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6C041561"/>
    <w:multiLevelType w:val="hybridMultilevel"/>
    <w:tmpl w:val="FEB27EBA"/>
    <w:lvl w:ilvl="0" w:tplc="0270D898">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6E1B4F90"/>
    <w:multiLevelType w:val="multilevel"/>
    <w:tmpl w:val="6672BB74"/>
    <w:lvl w:ilvl="0">
      <w:start w:val="1"/>
      <w:numFmt w:val="decimal"/>
      <w:pStyle w:val="Kop1"/>
      <w:lvlText w:val="Hoofdstuk %1 - "/>
      <w:lvlJc w:val="left"/>
      <w:pPr>
        <w:ind w:left="360" w:hanging="360"/>
      </w:pPr>
      <w:rPr>
        <w:rFonts w:hint="default"/>
      </w:rPr>
    </w:lvl>
    <w:lvl w:ilvl="1">
      <w:start w:val="1"/>
      <w:numFmt w:val="decimal"/>
      <w:pStyle w:val="Kop2"/>
      <w:lvlText w:val="%1.%2"/>
      <w:lvlJc w:val="left"/>
      <w:pPr>
        <w:ind w:left="576" w:hanging="576"/>
      </w:pPr>
      <w:rPr>
        <w:rFonts w:hint="default"/>
      </w:rPr>
    </w:lvl>
    <w:lvl w:ilvl="2">
      <w:start w:val="1"/>
      <w:numFmt w:val="decimal"/>
      <w:pStyle w:val="Kop3"/>
      <w:lvlText w:val="%1.%2.%3"/>
      <w:lvlJc w:val="left"/>
      <w:pPr>
        <w:ind w:left="720" w:hanging="720"/>
      </w:pPr>
      <w:rPr>
        <w:rFonts w:hint="default"/>
      </w:rPr>
    </w:lvl>
    <w:lvl w:ilvl="3">
      <w:start w:val="1"/>
      <w:numFmt w:val="decimal"/>
      <w:pStyle w:val="Kop4"/>
      <w:lvlText w:val="%1.%2.%3.%4"/>
      <w:lvlJc w:val="left"/>
      <w:pPr>
        <w:ind w:left="864" w:hanging="864"/>
      </w:pPr>
      <w:rPr>
        <w:rFonts w:hint="default"/>
      </w:rPr>
    </w:lvl>
    <w:lvl w:ilvl="4">
      <w:start w:val="1"/>
      <w:numFmt w:val="decimal"/>
      <w:pStyle w:val="Kop5"/>
      <w:lvlText w:val="%1.%2.%3.%4.%5"/>
      <w:lvlJc w:val="left"/>
      <w:pPr>
        <w:ind w:left="1008" w:hanging="1008"/>
      </w:pPr>
      <w:rPr>
        <w:rFonts w:hint="default"/>
      </w:rPr>
    </w:lvl>
    <w:lvl w:ilvl="5">
      <w:start w:val="1"/>
      <w:numFmt w:val="decimal"/>
      <w:pStyle w:val="Kop6"/>
      <w:lvlText w:val="%1.%2.%3.%4.%5.%6"/>
      <w:lvlJc w:val="left"/>
      <w:pPr>
        <w:ind w:left="1152" w:hanging="1152"/>
      </w:pPr>
      <w:rPr>
        <w:rFonts w:hint="default"/>
      </w:rPr>
    </w:lvl>
    <w:lvl w:ilvl="6">
      <w:start w:val="1"/>
      <w:numFmt w:val="decimal"/>
      <w:pStyle w:val="Kop7"/>
      <w:lvlText w:val="%1.%2.%3.%4.%5.%6.%7"/>
      <w:lvlJc w:val="left"/>
      <w:pPr>
        <w:ind w:left="1296" w:hanging="1296"/>
      </w:pPr>
      <w:rPr>
        <w:rFonts w:hint="default"/>
      </w:rPr>
    </w:lvl>
    <w:lvl w:ilvl="7">
      <w:start w:val="1"/>
      <w:numFmt w:val="decimal"/>
      <w:pStyle w:val="Kop8"/>
      <w:lvlText w:val="%1.%2.%3.%4.%5.%6.%7.%8"/>
      <w:lvlJc w:val="left"/>
      <w:pPr>
        <w:ind w:left="1440" w:hanging="1440"/>
      </w:pPr>
      <w:rPr>
        <w:rFonts w:hint="default"/>
      </w:rPr>
    </w:lvl>
    <w:lvl w:ilvl="8">
      <w:start w:val="1"/>
      <w:numFmt w:val="decimal"/>
      <w:pStyle w:val="Kop9"/>
      <w:lvlText w:val="%1.%2.%3.%4.%5.%6.%7.%8.%9"/>
      <w:lvlJc w:val="left"/>
      <w:pPr>
        <w:ind w:left="1584" w:hanging="1584"/>
      </w:pPr>
      <w:rPr>
        <w:rFonts w:hint="default"/>
      </w:rPr>
    </w:lvl>
  </w:abstractNum>
  <w:abstractNum w:abstractNumId="11">
    <w:nsid w:val="7CFE5FC7"/>
    <w:multiLevelType w:val="hybridMultilevel"/>
    <w:tmpl w:val="4596F89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9"/>
  </w:num>
  <w:num w:numId="4">
    <w:abstractNumId w:val="10"/>
  </w:num>
  <w:num w:numId="5">
    <w:abstractNumId w:val="3"/>
  </w:num>
  <w:num w:numId="6">
    <w:abstractNumId w:val="3"/>
    <w:lvlOverride w:ilvl="0">
      <w:startOverride w:val="1"/>
    </w:lvlOverride>
  </w:num>
  <w:num w:numId="7">
    <w:abstractNumId w:val="0"/>
  </w:num>
  <w:num w:numId="8">
    <w:abstractNumId w:val="6"/>
  </w:num>
  <w:num w:numId="9">
    <w:abstractNumId w:val="4"/>
  </w:num>
  <w:num w:numId="10">
    <w:abstractNumId w:val="8"/>
  </w:num>
  <w:num w:numId="11">
    <w:abstractNumId w:val="11"/>
  </w:num>
  <w:num w:numId="12">
    <w:abstractNumId w:val="1"/>
  </w:num>
  <w:num w:numId="1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proofState w:spelling="clean"/>
  <w:defaultTabStop w:val="709"/>
  <w:hyphenationZone w:val="425"/>
  <w:characterSpacingControl w:val="doNotCompress"/>
  <w:footnotePr>
    <w:footnote w:id="-1"/>
    <w:footnote w:id="0"/>
  </w:footnotePr>
  <w:endnotePr>
    <w:endnote w:id="-1"/>
    <w:endnote w:id="0"/>
  </w:endnotePr>
  <w:compat/>
  <w:rsids>
    <w:rsidRoot w:val="00DF23A0"/>
    <w:rsid w:val="00012F6C"/>
    <w:rsid w:val="000236E5"/>
    <w:rsid w:val="0003218E"/>
    <w:rsid w:val="00047FB6"/>
    <w:rsid w:val="00053514"/>
    <w:rsid w:val="00054C53"/>
    <w:rsid w:val="00081618"/>
    <w:rsid w:val="00096D1E"/>
    <w:rsid w:val="000A47AF"/>
    <w:rsid w:val="000A60BD"/>
    <w:rsid w:val="000D0E0C"/>
    <w:rsid w:val="000D3C75"/>
    <w:rsid w:val="00104AAC"/>
    <w:rsid w:val="00121310"/>
    <w:rsid w:val="001300C7"/>
    <w:rsid w:val="00134D5E"/>
    <w:rsid w:val="001433E8"/>
    <w:rsid w:val="00143EF7"/>
    <w:rsid w:val="00150F73"/>
    <w:rsid w:val="00152AFF"/>
    <w:rsid w:val="00152F58"/>
    <w:rsid w:val="00166897"/>
    <w:rsid w:val="001713C4"/>
    <w:rsid w:val="00172ABE"/>
    <w:rsid w:val="0018363D"/>
    <w:rsid w:val="00184B5A"/>
    <w:rsid w:val="00192A8C"/>
    <w:rsid w:val="001E2A4D"/>
    <w:rsid w:val="00213152"/>
    <w:rsid w:val="002270F3"/>
    <w:rsid w:val="00227169"/>
    <w:rsid w:val="00236F84"/>
    <w:rsid w:val="00240043"/>
    <w:rsid w:val="002870D3"/>
    <w:rsid w:val="00292C47"/>
    <w:rsid w:val="00294877"/>
    <w:rsid w:val="002A5479"/>
    <w:rsid w:val="002B0A8B"/>
    <w:rsid w:val="002B6D6A"/>
    <w:rsid w:val="002C5A19"/>
    <w:rsid w:val="002E11BA"/>
    <w:rsid w:val="00312620"/>
    <w:rsid w:val="00312FD5"/>
    <w:rsid w:val="00326EDB"/>
    <w:rsid w:val="00332C8D"/>
    <w:rsid w:val="003666C6"/>
    <w:rsid w:val="00384D98"/>
    <w:rsid w:val="003872A3"/>
    <w:rsid w:val="003874B8"/>
    <w:rsid w:val="00392D17"/>
    <w:rsid w:val="00392D9A"/>
    <w:rsid w:val="00394A1A"/>
    <w:rsid w:val="003A0DE1"/>
    <w:rsid w:val="003A6ACB"/>
    <w:rsid w:val="003C4973"/>
    <w:rsid w:val="003C5E03"/>
    <w:rsid w:val="003C7640"/>
    <w:rsid w:val="003E0F09"/>
    <w:rsid w:val="003E505C"/>
    <w:rsid w:val="004059C3"/>
    <w:rsid w:val="004146D6"/>
    <w:rsid w:val="004153BD"/>
    <w:rsid w:val="00442D96"/>
    <w:rsid w:val="004447E6"/>
    <w:rsid w:val="00455673"/>
    <w:rsid w:val="00491D76"/>
    <w:rsid w:val="004E7A8E"/>
    <w:rsid w:val="00503228"/>
    <w:rsid w:val="00504786"/>
    <w:rsid w:val="00506A8B"/>
    <w:rsid w:val="005110FC"/>
    <w:rsid w:val="00530747"/>
    <w:rsid w:val="005322A6"/>
    <w:rsid w:val="005377BA"/>
    <w:rsid w:val="00540D83"/>
    <w:rsid w:val="00550EDD"/>
    <w:rsid w:val="00551D2D"/>
    <w:rsid w:val="00561D0C"/>
    <w:rsid w:val="00573700"/>
    <w:rsid w:val="00577B9E"/>
    <w:rsid w:val="00597236"/>
    <w:rsid w:val="005C3281"/>
    <w:rsid w:val="005E7B98"/>
    <w:rsid w:val="006079D4"/>
    <w:rsid w:val="00617A68"/>
    <w:rsid w:val="00632908"/>
    <w:rsid w:val="00641F4D"/>
    <w:rsid w:val="00642488"/>
    <w:rsid w:val="0064298D"/>
    <w:rsid w:val="00652435"/>
    <w:rsid w:val="00653110"/>
    <w:rsid w:val="00655AA8"/>
    <w:rsid w:val="00673D3E"/>
    <w:rsid w:val="006861A0"/>
    <w:rsid w:val="006916ED"/>
    <w:rsid w:val="006A00FC"/>
    <w:rsid w:val="006A15FE"/>
    <w:rsid w:val="006A2001"/>
    <w:rsid w:val="006A2727"/>
    <w:rsid w:val="006C3A71"/>
    <w:rsid w:val="006C632F"/>
    <w:rsid w:val="006F6157"/>
    <w:rsid w:val="006F7ED5"/>
    <w:rsid w:val="0070746A"/>
    <w:rsid w:val="007171E9"/>
    <w:rsid w:val="0072423F"/>
    <w:rsid w:val="0072638A"/>
    <w:rsid w:val="00730267"/>
    <w:rsid w:val="00737CBA"/>
    <w:rsid w:val="00747E54"/>
    <w:rsid w:val="00755131"/>
    <w:rsid w:val="007607B1"/>
    <w:rsid w:val="00774235"/>
    <w:rsid w:val="007764DD"/>
    <w:rsid w:val="00783F14"/>
    <w:rsid w:val="00791150"/>
    <w:rsid w:val="007A4DB7"/>
    <w:rsid w:val="007B48B4"/>
    <w:rsid w:val="008063BA"/>
    <w:rsid w:val="00811476"/>
    <w:rsid w:val="00812104"/>
    <w:rsid w:val="00816D49"/>
    <w:rsid w:val="00832EB1"/>
    <w:rsid w:val="00835831"/>
    <w:rsid w:val="008375FA"/>
    <w:rsid w:val="00852441"/>
    <w:rsid w:val="00862E18"/>
    <w:rsid w:val="00872BA4"/>
    <w:rsid w:val="00891373"/>
    <w:rsid w:val="008B4EB6"/>
    <w:rsid w:val="008C5D80"/>
    <w:rsid w:val="008D0B7B"/>
    <w:rsid w:val="008E329C"/>
    <w:rsid w:val="008F4307"/>
    <w:rsid w:val="00930607"/>
    <w:rsid w:val="009327BD"/>
    <w:rsid w:val="0093479F"/>
    <w:rsid w:val="009501B6"/>
    <w:rsid w:val="00961C62"/>
    <w:rsid w:val="00962859"/>
    <w:rsid w:val="00977C03"/>
    <w:rsid w:val="009912CC"/>
    <w:rsid w:val="00993C4A"/>
    <w:rsid w:val="009A18BB"/>
    <w:rsid w:val="009A75D2"/>
    <w:rsid w:val="009E17E0"/>
    <w:rsid w:val="009E3492"/>
    <w:rsid w:val="009E52C9"/>
    <w:rsid w:val="00A14706"/>
    <w:rsid w:val="00A243F6"/>
    <w:rsid w:val="00A300A6"/>
    <w:rsid w:val="00A41191"/>
    <w:rsid w:val="00A55D64"/>
    <w:rsid w:val="00A560D0"/>
    <w:rsid w:val="00A90052"/>
    <w:rsid w:val="00A93E05"/>
    <w:rsid w:val="00AA5362"/>
    <w:rsid w:val="00AB0C7F"/>
    <w:rsid w:val="00AB2DF8"/>
    <w:rsid w:val="00AB3776"/>
    <w:rsid w:val="00AB441C"/>
    <w:rsid w:val="00AC6D3B"/>
    <w:rsid w:val="00AD7230"/>
    <w:rsid w:val="00AE6BA3"/>
    <w:rsid w:val="00AF178E"/>
    <w:rsid w:val="00AF333C"/>
    <w:rsid w:val="00AF41F2"/>
    <w:rsid w:val="00B210BD"/>
    <w:rsid w:val="00B2426B"/>
    <w:rsid w:val="00B557CE"/>
    <w:rsid w:val="00B56315"/>
    <w:rsid w:val="00B85597"/>
    <w:rsid w:val="00B9442F"/>
    <w:rsid w:val="00BC164C"/>
    <w:rsid w:val="00BD1CB7"/>
    <w:rsid w:val="00C03BA7"/>
    <w:rsid w:val="00C33803"/>
    <w:rsid w:val="00C41234"/>
    <w:rsid w:val="00C75339"/>
    <w:rsid w:val="00C835DD"/>
    <w:rsid w:val="00C92F92"/>
    <w:rsid w:val="00CA10BF"/>
    <w:rsid w:val="00CC68F9"/>
    <w:rsid w:val="00CF2C90"/>
    <w:rsid w:val="00D22546"/>
    <w:rsid w:val="00D32F26"/>
    <w:rsid w:val="00D33098"/>
    <w:rsid w:val="00D35051"/>
    <w:rsid w:val="00D431C7"/>
    <w:rsid w:val="00D523F6"/>
    <w:rsid w:val="00D55BC4"/>
    <w:rsid w:val="00D64CAF"/>
    <w:rsid w:val="00D71507"/>
    <w:rsid w:val="00D75434"/>
    <w:rsid w:val="00D76E91"/>
    <w:rsid w:val="00D77CD6"/>
    <w:rsid w:val="00D85C92"/>
    <w:rsid w:val="00DA0B3D"/>
    <w:rsid w:val="00DB1B58"/>
    <w:rsid w:val="00DB317F"/>
    <w:rsid w:val="00DB5D22"/>
    <w:rsid w:val="00DD55FA"/>
    <w:rsid w:val="00DE3344"/>
    <w:rsid w:val="00DE73B7"/>
    <w:rsid w:val="00DF23A0"/>
    <w:rsid w:val="00E16228"/>
    <w:rsid w:val="00E173CA"/>
    <w:rsid w:val="00E20149"/>
    <w:rsid w:val="00E44DE8"/>
    <w:rsid w:val="00E461B2"/>
    <w:rsid w:val="00E74FB1"/>
    <w:rsid w:val="00E7575B"/>
    <w:rsid w:val="00E91B87"/>
    <w:rsid w:val="00E94D1C"/>
    <w:rsid w:val="00E95DD5"/>
    <w:rsid w:val="00EA6164"/>
    <w:rsid w:val="00EC3664"/>
    <w:rsid w:val="00EC530A"/>
    <w:rsid w:val="00ED3551"/>
    <w:rsid w:val="00EE6516"/>
    <w:rsid w:val="00EF0FDC"/>
    <w:rsid w:val="00F10C40"/>
    <w:rsid w:val="00F26A9C"/>
    <w:rsid w:val="00F4257D"/>
    <w:rsid w:val="00F56B84"/>
    <w:rsid w:val="00F75A3E"/>
    <w:rsid w:val="00F9466F"/>
    <w:rsid w:val="00FB7A3B"/>
    <w:rsid w:val="00FE0B19"/>
    <w:rsid w:val="00FE271C"/>
    <w:rsid w:val="00FE3625"/>
    <w:rsid w:val="00FF1FDA"/>
    <w:rsid w:val="00FF7924"/>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8"/>
    <o:shapelayout v:ext="edit">
      <o:idmap v:ext="edit" data="1"/>
      <o:rules v:ext="edit">
        <o:r id="V:Rule19" type="connector" idref="#_x0000_s1029"/>
        <o:r id="V:Rule20" type="connector" idref="#_x0000_s1037"/>
        <o:r id="V:Rule21" type="connector" idref="#AutoShape 6"/>
        <o:r id="V:Rule22" type="connector" idref="#_x0000_s1028"/>
        <o:r id="V:Rule23" type="connector" idref="#_x0000_s1033"/>
        <o:r id="V:Rule24" type="connector" idref="#_x0000_s1036"/>
        <o:r id="V:Rule25" type="connector" idref="#_x0000_s1031"/>
        <o:r id="V:Rule26" type="connector" idref="#_x0000_s1038"/>
        <o:r id="V:Rule27" type="connector" idref="#_x0000_s1032"/>
        <o:r id="V:Rule28" type="connector" idref="#AutoShape 4"/>
        <o:r id="V:Rule29" type="connector" idref="#_x0000_s1039"/>
        <o:r id="V:Rule30" type="connector" idref="#_x0000_s1027"/>
        <o:r id="V:Rule31" type="connector" idref="#AutoShape 3"/>
        <o:r id="V:Rule32" type="connector" idref="#_x0000_s1040"/>
        <o:r id="V:Rule33" type="connector" idref="#AutoShape 7"/>
        <o:r id="V:Rule34" type="connector" idref="#AutoShape 2"/>
        <o:r id="V:Rule35" type="connector" idref="#AutoShape 12"/>
        <o:r id="V:Rule36" type="connector" idref="#_x0000_s103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192A8C"/>
  </w:style>
  <w:style w:type="paragraph" w:styleId="Kop1">
    <w:name w:val="heading 1"/>
    <w:basedOn w:val="Standaard"/>
    <w:next w:val="Standaard"/>
    <w:link w:val="Kop1Char"/>
    <w:uiPriority w:val="9"/>
    <w:qFormat/>
    <w:rsid w:val="00D35051"/>
    <w:pPr>
      <w:keepNext/>
      <w:keepLines/>
      <w:pageBreakBefore/>
      <w:numPr>
        <w:numId w:val="4"/>
      </w:numPr>
      <w:tabs>
        <w:tab w:val="left" w:pos="1843"/>
      </w:tab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D35051"/>
    <w:pPr>
      <w:keepNext/>
      <w:keepLines/>
      <w:numPr>
        <w:ilvl w:val="1"/>
        <w:numId w:val="4"/>
      </w:numPr>
      <w:spacing w:before="200" w:after="12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D35051"/>
    <w:pPr>
      <w:keepNext/>
      <w:keepLines/>
      <w:numPr>
        <w:ilvl w:val="2"/>
        <w:numId w:val="4"/>
      </w:numPr>
      <w:spacing w:before="200" w:after="120"/>
      <w:outlineLvl w:val="2"/>
    </w:pPr>
    <w:rPr>
      <w:rFonts w:asciiTheme="majorHAnsi" w:eastAsiaTheme="majorEastAsia" w:hAnsiTheme="majorHAnsi" w:cstheme="majorBidi"/>
      <w:b/>
      <w:bCs/>
      <w:color w:val="4F81BD" w:themeColor="accent1"/>
    </w:rPr>
  </w:style>
  <w:style w:type="paragraph" w:styleId="Kop4">
    <w:name w:val="heading 4"/>
    <w:basedOn w:val="Standaard"/>
    <w:next w:val="Standaard"/>
    <w:link w:val="Kop4Char"/>
    <w:uiPriority w:val="9"/>
    <w:semiHidden/>
    <w:unhideWhenUsed/>
    <w:qFormat/>
    <w:rsid w:val="00DA0B3D"/>
    <w:pPr>
      <w:keepNext/>
      <w:keepLines/>
      <w:numPr>
        <w:ilvl w:val="3"/>
        <w:numId w:val="4"/>
      </w:numPr>
      <w:spacing w:before="200" w:after="0"/>
      <w:outlineLvl w:val="3"/>
    </w:pPr>
    <w:rPr>
      <w:rFonts w:asciiTheme="majorHAnsi" w:eastAsiaTheme="majorEastAsia" w:hAnsiTheme="majorHAnsi" w:cstheme="majorBidi"/>
      <w:b/>
      <w:bCs/>
      <w:i/>
      <w:iCs/>
      <w:color w:val="4F81BD" w:themeColor="accent1"/>
    </w:rPr>
  </w:style>
  <w:style w:type="paragraph" w:styleId="Kop5">
    <w:name w:val="heading 5"/>
    <w:basedOn w:val="Standaard"/>
    <w:next w:val="Standaard"/>
    <w:link w:val="Kop5Char"/>
    <w:uiPriority w:val="9"/>
    <w:semiHidden/>
    <w:unhideWhenUsed/>
    <w:qFormat/>
    <w:rsid w:val="00DA0B3D"/>
    <w:pPr>
      <w:keepNext/>
      <w:keepLines/>
      <w:numPr>
        <w:ilvl w:val="4"/>
        <w:numId w:val="4"/>
      </w:numPr>
      <w:spacing w:before="200" w:after="0"/>
      <w:outlineLvl w:val="4"/>
    </w:pPr>
    <w:rPr>
      <w:rFonts w:asciiTheme="majorHAnsi" w:eastAsiaTheme="majorEastAsia" w:hAnsiTheme="majorHAnsi" w:cstheme="majorBidi"/>
      <w:color w:val="243F60" w:themeColor="accent1" w:themeShade="7F"/>
    </w:rPr>
  </w:style>
  <w:style w:type="paragraph" w:styleId="Kop6">
    <w:name w:val="heading 6"/>
    <w:basedOn w:val="Standaard"/>
    <w:next w:val="Standaard"/>
    <w:link w:val="Kop6Char"/>
    <w:uiPriority w:val="9"/>
    <w:semiHidden/>
    <w:unhideWhenUsed/>
    <w:qFormat/>
    <w:rsid w:val="00DA0B3D"/>
    <w:pPr>
      <w:keepNext/>
      <w:keepLines/>
      <w:numPr>
        <w:ilvl w:val="5"/>
        <w:numId w:val="4"/>
      </w:numPr>
      <w:spacing w:before="200" w:after="0"/>
      <w:outlineLvl w:val="5"/>
    </w:pPr>
    <w:rPr>
      <w:rFonts w:asciiTheme="majorHAnsi" w:eastAsiaTheme="majorEastAsia" w:hAnsiTheme="majorHAnsi" w:cstheme="majorBidi"/>
      <w:i/>
      <w:iCs/>
      <w:color w:val="243F60" w:themeColor="accent1" w:themeShade="7F"/>
    </w:rPr>
  </w:style>
  <w:style w:type="paragraph" w:styleId="Kop7">
    <w:name w:val="heading 7"/>
    <w:basedOn w:val="Standaard"/>
    <w:next w:val="Standaard"/>
    <w:link w:val="Kop7Char"/>
    <w:uiPriority w:val="9"/>
    <w:semiHidden/>
    <w:unhideWhenUsed/>
    <w:qFormat/>
    <w:rsid w:val="00DA0B3D"/>
    <w:pPr>
      <w:keepNext/>
      <w:keepLines/>
      <w:numPr>
        <w:ilvl w:val="6"/>
        <w:numId w:val="4"/>
      </w:numPr>
      <w:spacing w:before="200" w:after="0"/>
      <w:outlineLvl w:val="6"/>
    </w:pPr>
    <w:rPr>
      <w:rFonts w:asciiTheme="majorHAnsi" w:eastAsiaTheme="majorEastAsia" w:hAnsiTheme="majorHAnsi" w:cstheme="majorBidi"/>
      <w:i/>
      <w:iCs/>
      <w:color w:val="404040" w:themeColor="text1" w:themeTint="BF"/>
    </w:rPr>
  </w:style>
  <w:style w:type="paragraph" w:styleId="Kop8">
    <w:name w:val="heading 8"/>
    <w:basedOn w:val="Standaard"/>
    <w:next w:val="Standaard"/>
    <w:link w:val="Kop8Char"/>
    <w:uiPriority w:val="9"/>
    <w:semiHidden/>
    <w:unhideWhenUsed/>
    <w:qFormat/>
    <w:rsid w:val="00DA0B3D"/>
    <w:pPr>
      <w:keepNext/>
      <w:keepLines/>
      <w:numPr>
        <w:ilvl w:val="7"/>
        <w:numId w:val="4"/>
      </w:numPr>
      <w:spacing w:before="200" w:after="0"/>
      <w:outlineLvl w:val="7"/>
    </w:pPr>
    <w:rPr>
      <w:rFonts w:asciiTheme="majorHAnsi" w:eastAsiaTheme="majorEastAsia" w:hAnsiTheme="majorHAnsi" w:cstheme="majorBidi"/>
      <w:color w:val="404040" w:themeColor="text1" w:themeTint="BF"/>
      <w:sz w:val="20"/>
      <w:szCs w:val="20"/>
    </w:rPr>
  </w:style>
  <w:style w:type="paragraph" w:styleId="Kop9">
    <w:name w:val="heading 9"/>
    <w:basedOn w:val="Standaard"/>
    <w:next w:val="Standaard"/>
    <w:link w:val="Kop9Char"/>
    <w:uiPriority w:val="9"/>
    <w:semiHidden/>
    <w:unhideWhenUsed/>
    <w:qFormat/>
    <w:rsid w:val="00DA0B3D"/>
    <w:pPr>
      <w:keepNext/>
      <w:keepLines/>
      <w:numPr>
        <w:ilvl w:val="8"/>
        <w:numId w:val="4"/>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192A8C"/>
    <w:pPr>
      <w:ind w:left="720"/>
      <w:contextualSpacing/>
    </w:pPr>
  </w:style>
  <w:style w:type="paragraph" w:styleId="Voetnoottekst">
    <w:name w:val="footnote text"/>
    <w:basedOn w:val="Standaard"/>
    <w:link w:val="VoetnoottekstChar"/>
    <w:uiPriority w:val="99"/>
    <w:unhideWhenUsed/>
    <w:rsid w:val="00192A8C"/>
    <w:pPr>
      <w:spacing w:after="0" w:line="240" w:lineRule="auto"/>
    </w:pPr>
    <w:rPr>
      <w:sz w:val="20"/>
      <w:szCs w:val="20"/>
    </w:rPr>
  </w:style>
  <w:style w:type="character" w:customStyle="1" w:styleId="VoetnoottekstChar">
    <w:name w:val="Voetnoottekst Char"/>
    <w:basedOn w:val="Standaardalinea-lettertype"/>
    <w:link w:val="Voetnoottekst"/>
    <w:uiPriority w:val="99"/>
    <w:rsid w:val="00192A8C"/>
    <w:rPr>
      <w:sz w:val="20"/>
      <w:szCs w:val="20"/>
    </w:rPr>
  </w:style>
  <w:style w:type="character" w:styleId="Voetnootmarkering">
    <w:name w:val="footnote reference"/>
    <w:basedOn w:val="Standaardalinea-lettertype"/>
    <w:uiPriority w:val="99"/>
    <w:unhideWhenUsed/>
    <w:rsid w:val="00192A8C"/>
    <w:rPr>
      <w:vertAlign w:val="superscript"/>
    </w:rPr>
  </w:style>
  <w:style w:type="character" w:styleId="Verwijzingopmerking">
    <w:name w:val="annotation reference"/>
    <w:basedOn w:val="Standaardalinea-lettertype"/>
    <w:uiPriority w:val="99"/>
    <w:semiHidden/>
    <w:unhideWhenUsed/>
    <w:rsid w:val="00192A8C"/>
    <w:rPr>
      <w:sz w:val="18"/>
      <w:szCs w:val="18"/>
    </w:rPr>
  </w:style>
  <w:style w:type="paragraph" w:styleId="Tekstopmerking">
    <w:name w:val="annotation text"/>
    <w:basedOn w:val="Standaard"/>
    <w:link w:val="TekstopmerkingChar"/>
    <w:uiPriority w:val="99"/>
    <w:semiHidden/>
    <w:unhideWhenUsed/>
    <w:rsid w:val="00192A8C"/>
    <w:pPr>
      <w:spacing w:line="240" w:lineRule="auto"/>
    </w:pPr>
    <w:rPr>
      <w:sz w:val="24"/>
      <w:szCs w:val="24"/>
    </w:rPr>
  </w:style>
  <w:style w:type="character" w:customStyle="1" w:styleId="TekstopmerkingChar">
    <w:name w:val="Tekst opmerking Char"/>
    <w:basedOn w:val="Standaardalinea-lettertype"/>
    <w:link w:val="Tekstopmerking"/>
    <w:uiPriority w:val="99"/>
    <w:semiHidden/>
    <w:rsid w:val="00192A8C"/>
    <w:rPr>
      <w:sz w:val="24"/>
      <w:szCs w:val="24"/>
    </w:rPr>
  </w:style>
  <w:style w:type="paragraph" w:styleId="Ballontekst">
    <w:name w:val="Balloon Text"/>
    <w:basedOn w:val="Standaard"/>
    <w:link w:val="BallontekstChar"/>
    <w:uiPriority w:val="99"/>
    <w:semiHidden/>
    <w:unhideWhenUsed/>
    <w:rsid w:val="00192A8C"/>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192A8C"/>
    <w:rPr>
      <w:rFonts w:ascii="Tahoma" w:hAnsi="Tahoma" w:cs="Tahoma"/>
      <w:sz w:val="16"/>
      <w:szCs w:val="16"/>
    </w:rPr>
  </w:style>
  <w:style w:type="character" w:styleId="Hyperlink">
    <w:name w:val="Hyperlink"/>
    <w:basedOn w:val="Standaardalinea-lettertype"/>
    <w:uiPriority w:val="99"/>
    <w:unhideWhenUsed/>
    <w:rsid w:val="00192A8C"/>
    <w:rPr>
      <w:color w:val="0000FF" w:themeColor="hyperlink"/>
      <w:u w:val="single"/>
    </w:rPr>
  </w:style>
  <w:style w:type="paragraph" w:styleId="Koptekst">
    <w:name w:val="header"/>
    <w:basedOn w:val="Standaard"/>
    <w:link w:val="KoptekstChar"/>
    <w:uiPriority w:val="99"/>
    <w:semiHidden/>
    <w:unhideWhenUsed/>
    <w:rsid w:val="00192A8C"/>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192A8C"/>
  </w:style>
  <w:style w:type="paragraph" w:styleId="Voettekst">
    <w:name w:val="footer"/>
    <w:basedOn w:val="Standaard"/>
    <w:link w:val="VoettekstChar"/>
    <w:uiPriority w:val="99"/>
    <w:unhideWhenUsed/>
    <w:rsid w:val="00192A8C"/>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192A8C"/>
  </w:style>
  <w:style w:type="table" w:styleId="Tabelraster">
    <w:name w:val="Table Grid"/>
    <w:basedOn w:val="Standaardtabel"/>
    <w:uiPriority w:val="59"/>
    <w:rsid w:val="006861A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Inhopg1">
    <w:name w:val="toc 1"/>
    <w:basedOn w:val="Standaard"/>
    <w:next w:val="Standaard"/>
    <w:autoRedefine/>
    <w:uiPriority w:val="39"/>
    <w:rsid w:val="00977C03"/>
    <w:pPr>
      <w:spacing w:before="120" w:after="120" w:line="240" w:lineRule="auto"/>
    </w:pPr>
    <w:rPr>
      <w:rFonts w:ascii="Times New Roman" w:eastAsia="Times New Roman" w:hAnsi="Times New Roman" w:cs="Times New Roman"/>
      <w:b/>
      <w:bCs/>
      <w:caps/>
      <w:sz w:val="20"/>
      <w:szCs w:val="20"/>
      <w:lang w:eastAsia="nl-NL"/>
    </w:rPr>
  </w:style>
  <w:style w:type="character" w:customStyle="1" w:styleId="Kop1Char">
    <w:name w:val="Kop 1 Char"/>
    <w:basedOn w:val="Standaardalinea-lettertype"/>
    <w:link w:val="Kop1"/>
    <w:uiPriority w:val="9"/>
    <w:rsid w:val="00D35051"/>
    <w:rPr>
      <w:rFonts w:asciiTheme="majorHAnsi" w:eastAsiaTheme="majorEastAsia" w:hAnsiTheme="majorHAnsi" w:cstheme="majorBidi"/>
      <w:b/>
      <w:bCs/>
      <w:color w:val="365F91" w:themeColor="accent1" w:themeShade="BF"/>
      <w:sz w:val="28"/>
      <w:szCs w:val="28"/>
    </w:rPr>
  </w:style>
  <w:style w:type="character" w:customStyle="1" w:styleId="Kop2Char">
    <w:name w:val="Kop 2 Char"/>
    <w:basedOn w:val="Standaardalinea-lettertype"/>
    <w:link w:val="Kop2"/>
    <w:uiPriority w:val="9"/>
    <w:rsid w:val="00D35051"/>
    <w:rPr>
      <w:rFonts w:asciiTheme="majorHAnsi" w:eastAsiaTheme="majorEastAsia" w:hAnsiTheme="majorHAnsi" w:cstheme="majorBidi"/>
      <w:b/>
      <w:bCs/>
      <w:color w:val="4F81BD" w:themeColor="accent1"/>
      <w:sz w:val="26"/>
      <w:szCs w:val="26"/>
    </w:rPr>
  </w:style>
  <w:style w:type="character" w:customStyle="1" w:styleId="Kop3Char">
    <w:name w:val="Kop 3 Char"/>
    <w:basedOn w:val="Standaardalinea-lettertype"/>
    <w:link w:val="Kop3"/>
    <w:uiPriority w:val="9"/>
    <w:rsid w:val="00D35051"/>
    <w:rPr>
      <w:rFonts w:asciiTheme="majorHAnsi" w:eastAsiaTheme="majorEastAsia" w:hAnsiTheme="majorHAnsi" w:cstheme="majorBidi"/>
      <w:b/>
      <w:bCs/>
      <w:color w:val="4F81BD" w:themeColor="accent1"/>
    </w:rPr>
  </w:style>
  <w:style w:type="character" w:customStyle="1" w:styleId="Kop4Char">
    <w:name w:val="Kop 4 Char"/>
    <w:basedOn w:val="Standaardalinea-lettertype"/>
    <w:link w:val="Kop4"/>
    <w:uiPriority w:val="9"/>
    <w:semiHidden/>
    <w:rsid w:val="00DA0B3D"/>
    <w:rPr>
      <w:rFonts w:asciiTheme="majorHAnsi" w:eastAsiaTheme="majorEastAsia" w:hAnsiTheme="majorHAnsi" w:cstheme="majorBidi"/>
      <w:b/>
      <w:bCs/>
      <w:i/>
      <w:iCs/>
      <w:color w:val="4F81BD" w:themeColor="accent1"/>
    </w:rPr>
  </w:style>
  <w:style w:type="character" w:customStyle="1" w:styleId="Kop5Char">
    <w:name w:val="Kop 5 Char"/>
    <w:basedOn w:val="Standaardalinea-lettertype"/>
    <w:link w:val="Kop5"/>
    <w:uiPriority w:val="9"/>
    <w:semiHidden/>
    <w:rsid w:val="00DA0B3D"/>
    <w:rPr>
      <w:rFonts w:asciiTheme="majorHAnsi" w:eastAsiaTheme="majorEastAsia" w:hAnsiTheme="majorHAnsi" w:cstheme="majorBidi"/>
      <w:color w:val="243F60" w:themeColor="accent1" w:themeShade="7F"/>
    </w:rPr>
  </w:style>
  <w:style w:type="character" w:customStyle="1" w:styleId="Kop6Char">
    <w:name w:val="Kop 6 Char"/>
    <w:basedOn w:val="Standaardalinea-lettertype"/>
    <w:link w:val="Kop6"/>
    <w:uiPriority w:val="9"/>
    <w:semiHidden/>
    <w:rsid w:val="00DA0B3D"/>
    <w:rPr>
      <w:rFonts w:asciiTheme="majorHAnsi" w:eastAsiaTheme="majorEastAsia" w:hAnsiTheme="majorHAnsi" w:cstheme="majorBidi"/>
      <w:i/>
      <w:iCs/>
      <w:color w:val="243F60" w:themeColor="accent1" w:themeShade="7F"/>
    </w:rPr>
  </w:style>
  <w:style w:type="character" w:customStyle="1" w:styleId="Kop7Char">
    <w:name w:val="Kop 7 Char"/>
    <w:basedOn w:val="Standaardalinea-lettertype"/>
    <w:link w:val="Kop7"/>
    <w:uiPriority w:val="9"/>
    <w:semiHidden/>
    <w:rsid w:val="00DA0B3D"/>
    <w:rPr>
      <w:rFonts w:asciiTheme="majorHAnsi" w:eastAsiaTheme="majorEastAsia" w:hAnsiTheme="majorHAnsi" w:cstheme="majorBidi"/>
      <w:i/>
      <w:iCs/>
      <w:color w:val="404040" w:themeColor="text1" w:themeTint="BF"/>
    </w:rPr>
  </w:style>
  <w:style w:type="character" w:customStyle="1" w:styleId="Kop8Char">
    <w:name w:val="Kop 8 Char"/>
    <w:basedOn w:val="Standaardalinea-lettertype"/>
    <w:link w:val="Kop8"/>
    <w:uiPriority w:val="9"/>
    <w:semiHidden/>
    <w:rsid w:val="00DA0B3D"/>
    <w:rPr>
      <w:rFonts w:asciiTheme="majorHAnsi" w:eastAsiaTheme="majorEastAsia" w:hAnsiTheme="majorHAnsi" w:cstheme="majorBidi"/>
      <w:color w:val="404040" w:themeColor="text1" w:themeTint="BF"/>
      <w:sz w:val="20"/>
      <w:szCs w:val="20"/>
    </w:rPr>
  </w:style>
  <w:style w:type="character" w:customStyle="1" w:styleId="Kop9Char">
    <w:name w:val="Kop 9 Char"/>
    <w:basedOn w:val="Standaardalinea-lettertype"/>
    <w:link w:val="Kop9"/>
    <w:uiPriority w:val="9"/>
    <w:semiHidden/>
    <w:rsid w:val="00DA0B3D"/>
    <w:rPr>
      <w:rFonts w:asciiTheme="majorHAnsi" w:eastAsiaTheme="majorEastAsia" w:hAnsiTheme="majorHAnsi" w:cstheme="majorBidi"/>
      <w:i/>
      <w:iCs/>
      <w:color w:val="404040" w:themeColor="text1" w:themeTint="BF"/>
      <w:sz w:val="20"/>
      <w:szCs w:val="20"/>
    </w:rPr>
  </w:style>
  <w:style w:type="paragraph" w:customStyle="1" w:styleId="Bijlage">
    <w:name w:val="Bijlage"/>
    <w:basedOn w:val="Kop1"/>
    <w:qFormat/>
    <w:rsid w:val="00081618"/>
    <w:pPr>
      <w:numPr>
        <w:numId w:val="8"/>
      </w:numPr>
    </w:pPr>
  </w:style>
  <w:style w:type="paragraph" w:styleId="Kopvaninhoudsopgave">
    <w:name w:val="TOC Heading"/>
    <w:basedOn w:val="Kop1"/>
    <w:next w:val="Standaard"/>
    <w:uiPriority w:val="39"/>
    <w:unhideWhenUsed/>
    <w:qFormat/>
    <w:rsid w:val="00152F58"/>
    <w:pPr>
      <w:numPr>
        <w:numId w:val="0"/>
      </w:numPr>
      <w:outlineLvl w:val="9"/>
    </w:pPr>
  </w:style>
  <w:style w:type="paragraph" w:styleId="Inhopg2">
    <w:name w:val="toc 2"/>
    <w:basedOn w:val="Standaard"/>
    <w:next w:val="Standaard"/>
    <w:autoRedefine/>
    <w:uiPriority w:val="39"/>
    <w:unhideWhenUsed/>
    <w:rsid w:val="00152F58"/>
    <w:pPr>
      <w:spacing w:after="100"/>
      <w:ind w:left="220"/>
    </w:pPr>
  </w:style>
  <w:style w:type="paragraph" w:styleId="Inhopg3">
    <w:name w:val="toc 3"/>
    <w:basedOn w:val="Standaard"/>
    <w:next w:val="Standaard"/>
    <w:autoRedefine/>
    <w:uiPriority w:val="39"/>
    <w:unhideWhenUsed/>
    <w:rsid w:val="00152F58"/>
    <w:pPr>
      <w:spacing w:after="100"/>
      <w:ind w:left="440"/>
    </w:pPr>
  </w:style>
  <w:style w:type="paragraph" w:customStyle="1" w:styleId="Literatuurlijst">
    <w:name w:val="Literatuurlijst"/>
    <w:basedOn w:val="Kop1"/>
    <w:qFormat/>
    <w:rsid w:val="00641F4D"/>
    <w:pPr>
      <w:numPr>
        <w:numId w:val="0"/>
      </w:numPr>
    </w:pPr>
  </w:style>
  <w:style w:type="paragraph" w:styleId="Onderwerpvanopmerking">
    <w:name w:val="annotation subject"/>
    <w:basedOn w:val="Tekstopmerking"/>
    <w:next w:val="Tekstopmerking"/>
    <w:link w:val="OnderwerpvanopmerkingChar"/>
    <w:uiPriority w:val="99"/>
    <w:semiHidden/>
    <w:unhideWhenUsed/>
    <w:rsid w:val="00EA6164"/>
    <w:rPr>
      <w:b/>
      <w:bCs/>
      <w:sz w:val="20"/>
      <w:szCs w:val="20"/>
    </w:rPr>
  </w:style>
  <w:style w:type="character" w:customStyle="1" w:styleId="OnderwerpvanopmerkingChar">
    <w:name w:val="Onderwerp van opmerking Char"/>
    <w:basedOn w:val="TekstopmerkingChar"/>
    <w:link w:val="Onderwerpvanopmerking"/>
    <w:uiPriority w:val="99"/>
    <w:semiHidden/>
    <w:rsid w:val="00EA6164"/>
    <w:rPr>
      <w:b/>
      <w:bCs/>
      <w:sz w:val="20"/>
      <w:szCs w:val="20"/>
    </w:rPr>
  </w:style>
  <w:style w:type="paragraph" w:styleId="Revisie">
    <w:name w:val="Revision"/>
    <w:hidden/>
    <w:uiPriority w:val="99"/>
    <w:semiHidden/>
    <w:rsid w:val="00E7575B"/>
    <w:pPr>
      <w:spacing w:after="0" w:line="240" w:lineRule="auto"/>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sid w:val="00192A8C"/>
  </w:style>
  <w:style w:type="paragraph" w:styleId="Kop1">
    <w:name w:val="heading 1"/>
    <w:basedOn w:val="Normaal"/>
    <w:next w:val="Normaal"/>
    <w:link w:val="Kop1Teken"/>
    <w:uiPriority w:val="9"/>
    <w:qFormat/>
    <w:rsid w:val="00D35051"/>
    <w:pPr>
      <w:keepNext/>
      <w:keepLines/>
      <w:pageBreakBefore/>
      <w:numPr>
        <w:numId w:val="4"/>
      </w:numPr>
      <w:tabs>
        <w:tab w:val="left" w:pos="1843"/>
      </w:tab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Normaal"/>
    <w:next w:val="Normaal"/>
    <w:link w:val="Kop2Teken"/>
    <w:uiPriority w:val="9"/>
    <w:unhideWhenUsed/>
    <w:qFormat/>
    <w:rsid w:val="00D35051"/>
    <w:pPr>
      <w:keepNext/>
      <w:keepLines/>
      <w:numPr>
        <w:ilvl w:val="1"/>
        <w:numId w:val="4"/>
      </w:numPr>
      <w:spacing w:before="200" w:after="120"/>
      <w:ind w:left="578" w:hanging="578"/>
      <w:outlineLvl w:val="1"/>
    </w:pPr>
    <w:rPr>
      <w:rFonts w:asciiTheme="majorHAnsi" w:eastAsiaTheme="majorEastAsia" w:hAnsiTheme="majorHAnsi" w:cstheme="majorBidi"/>
      <w:b/>
      <w:bCs/>
      <w:color w:val="4F81BD" w:themeColor="accent1"/>
      <w:sz w:val="26"/>
      <w:szCs w:val="26"/>
    </w:rPr>
  </w:style>
  <w:style w:type="paragraph" w:styleId="Kop3">
    <w:name w:val="heading 3"/>
    <w:basedOn w:val="Normaal"/>
    <w:next w:val="Normaal"/>
    <w:link w:val="Kop3Teken"/>
    <w:uiPriority w:val="9"/>
    <w:unhideWhenUsed/>
    <w:qFormat/>
    <w:rsid w:val="00D35051"/>
    <w:pPr>
      <w:keepNext/>
      <w:keepLines/>
      <w:numPr>
        <w:ilvl w:val="2"/>
        <w:numId w:val="4"/>
      </w:numPr>
      <w:spacing w:before="200" w:after="120"/>
      <w:outlineLvl w:val="2"/>
    </w:pPr>
    <w:rPr>
      <w:rFonts w:asciiTheme="majorHAnsi" w:eastAsiaTheme="majorEastAsia" w:hAnsiTheme="majorHAnsi" w:cstheme="majorBidi"/>
      <w:b/>
      <w:bCs/>
      <w:color w:val="4F81BD" w:themeColor="accent1"/>
    </w:rPr>
  </w:style>
  <w:style w:type="paragraph" w:styleId="Kop4">
    <w:name w:val="heading 4"/>
    <w:basedOn w:val="Normaal"/>
    <w:next w:val="Normaal"/>
    <w:link w:val="Kop4Teken"/>
    <w:uiPriority w:val="9"/>
    <w:semiHidden/>
    <w:unhideWhenUsed/>
    <w:qFormat/>
    <w:rsid w:val="00DA0B3D"/>
    <w:pPr>
      <w:keepNext/>
      <w:keepLines/>
      <w:numPr>
        <w:ilvl w:val="3"/>
        <w:numId w:val="4"/>
      </w:numPr>
      <w:spacing w:before="200" w:after="0"/>
      <w:outlineLvl w:val="3"/>
    </w:pPr>
    <w:rPr>
      <w:rFonts w:asciiTheme="majorHAnsi" w:eastAsiaTheme="majorEastAsia" w:hAnsiTheme="majorHAnsi" w:cstheme="majorBidi"/>
      <w:b/>
      <w:bCs/>
      <w:i/>
      <w:iCs/>
      <w:color w:val="4F81BD" w:themeColor="accent1"/>
    </w:rPr>
  </w:style>
  <w:style w:type="paragraph" w:styleId="Kop5">
    <w:name w:val="heading 5"/>
    <w:basedOn w:val="Normaal"/>
    <w:next w:val="Normaal"/>
    <w:link w:val="Kop5Teken"/>
    <w:uiPriority w:val="9"/>
    <w:semiHidden/>
    <w:unhideWhenUsed/>
    <w:qFormat/>
    <w:rsid w:val="00DA0B3D"/>
    <w:pPr>
      <w:keepNext/>
      <w:keepLines/>
      <w:numPr>
        <w:ilvl w:val="4"/>
        <w:numId w:val="4"/>
      </w:numPr>
      <w:spacing w:before="200" w:after="0"/>
      <w:outlineLvl w:val="4"/>
    </w:pPr>
    <w:rPr>
      <w:rFonts w:asciiTheme="majorHAnsi" w:eastAsiaTheme="majorEastAsia" w:hAnsiTheme="majorHAnsi" w:cstheme="majorBidi"/>
      <w:color w:val="243F60" w:themeColor="accent1" w:themeShade="7F"/>
    </w:rPr>
  </w:style>
  <w:style w:type="paragraph" w:styleId="Kop6">
    <w:name w:val="heading 6"/>
    <w:basedOn w:val="Normaal"/>
    <w:next w:val="Normaal"/>
    <w:link w:val="Kop6Teken"/>
    <w:uiPriority w:val="9"/>
    <w:semiHidden/>
    <w:unhideWhenUsed/>
    <w:qFormat/>
    <w:rsid w:val="00DA0B3D"/>
    <w:pPr>
      <w:keepNext/>
      <w:keepLines/>
      <w:numPr>
        <w:ilvl w:val="5"/>
        <w:numId w:val="4"/>
      </w:numPr>
      <w:spacing w:before="200" w:after="0"/>
      <w:outlineLvl w:val="5"/>
    </w:pPr>
    <w:rPr>
      <w:rFonts w:asciiTheme="majorHAnsi" w:eastAsiaTheme="majorEastAsia" w:hAnsiTheme="majorHAnsi" w:cstheme="majorBidi"/>
      <w:i/>
      <w:iCs/>
      <w:color w:val="243F60" w:themeColor="accent1" w:themeShade="7F"/>
    </w:rPr>
  </w:style>
  <w:style w:type="paragraph" w:styleId="Kop7">
    <w:name w:val="heading 7"/>
    <w:basedOn w:val="Normaal"/>
    <w:next w:val="Normaal"/>
    <w:link w:val="Kop7Teken"/>
    <w:uiPriority w:val="9"/>
    <w:semiHidden/>
    <w:unhideWhenUsed/>
    <w:qFormat/>
    <w:rsid w:val="00DA0B3D"/>
    <w:pPr>
      <w:keepNext/>
      <w:keepLines/>
      <w:numPr>
        <w:ilvl w:val="6"/>
        <w:numId w:val="4"/>
      </w:numPr>
      <w:spacing w:before="200" w:after="0"/>
      <w:outlineLvl w:val="6"/>
    </w:pPr>
    <w:rPr>
      <w:rFonts w:asciiTheme="majorHAnsi" w:eastAsiaTheme="majorEastAsia" w:hAnsiTheme="majorHAnsi" w:cstheme="majorBidi"/>
      <w:i/>
      <w:iCs/>
      <w:color w:val="404040" w:themeColor="text1" w:themeTint="BF"/>
    </w:rPr>
  </w:style>
  <w:style w:type="paragraph" w:styleId="Kop8">
    <w:name w:val="heading 8"/>
    <w:basedOn w:val="Normaal"/>
    <w:next w:val="Normaal"/>
    <w:link w:val="Kop8Teken"/>
    <w:uiPriority w:val="9"/>
    <w:semiHidden/>
    <w:unhideWhenUsed/>
    <w:qFormat/>
    <w:rsid w:val="00DA0B3D"/>
    <w:pPr>
      <w:keepNext/>
      <w:keepLines/>
      <w:numPr>
        <w:ilvl w:val="7"/>
        <w:numId w:val="4"/>
      </w:numPr>
      <w:spacing w:before="200" w:after="0"/>
      <w:outlineLvl w:val="7"/>
    </w:pPr>
    <w:rPr>
      <w:rFonts w:asciiTheme="majorHAnsi" w:eastAsiaTheme="majorEastAsia" w:hAnsiTheme="majorHAnsi" w:cstheme="majorBidi"/>
      <w:color w:val="404040" w:themeColor="text1" w:themeTint="BF"/>
      <w:sz w:val="20"/>
      <w:szCs w:val="20"/>
    </w:rPr>
  </w:style>
  <w:style w:type="paragraph" w:styleId="Kop9">
    <w:name w:val="heading 9"/>
    <w:basedOn w:val="Normaal"/>
    <w:next w:val="Normaal"/>
    <w:link w:val="Kop9Teken"/>
    <w:uiPriority w:val="9"/>
    <w:semiHidden/>
    <w:unhideWhenUsed/>
    <w:qFormat/>
    <w:rsid w:val="00DA0B3D"/>
    <w:pPr>
      <w:keepNext/>
      <w:keepLines/>
      <w:numPr>
        <w:ilvl w:val="8"/>
        <w:numId w:val="4"/>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Normaal"/>
    <w:uiPriority w:val="34"/>
    <w:qFormat/>
    <w:rsid w:val="00192A8C"/>
    <w:pPr>
      <w:ind w:left="720"/>
      <w:contextualSpacing/>
    </w:pPr>
  </w:style>
  <w:style w:type="paragraph" w:styleId="Voetnoottekst">
    <w:name w:val="footnote text"/>
    <w:basedOn w:val="Normaal"/>
    <w:link w:val="VoetnoottekstTeken"/>
    <w:uiPriority w:val="99"/>
    <w:unhideWhenUsed/>
    <w:rsid w:val="00192A8C"/>
    <w:pPr>
      <w:spacing w:after="0" w:line="240" w:lineRule="auto"/>
    </w:pPr>
    <w:rPr>
      <w:sz w:val="20"/>
      <w:szCs w:val="20"/>
    </w:rPr>
  </w:style>
  <w:style w:type="character" w:customStyle="1" w:styleId="VoetnoottekstTeken">
    <w:name w:val="Voetnoottekst Teken"/>
    <w:basedOn w:val="Standaardalinea-lettertype"/>
    <w:link w:val="Voetnoottekst"/>
    <w:uiPriority w:val="99"/>
    <w:rsid w:val="00192A8C"/>
    <w:rPr>
      <w:sz w:val="20"/>
      <w:szCs w:val="20"/>
    </w:rPr>
  </w:style>
  <w:style w:type="character" w:styleId="Voetnootmarkering">
    <w:name w:val="footnote reference"/>
    <w:basedOn w:val="Standaardalinea-lettertype"/>
    <w:uiPriority w:val="99"/>
    <w:unhideWhenUsed/>
    <w:rsid w:val="00192A8C"/>
    <w:rPr>
      <w:vertAlign w:val="superscript"/>
    </w:rPr>
  </w:style>
  <w:style w:type="character" w:styleId="Verwijzingopmerking">
    <w:name w:val="annotation reference"/>
    <w:basedOn w:val="Standaardalinea-lettertype"/>
    <w:uiPriority w:val="99"/>
    <w:semiHidden/>
    <w:unhideWhenUsed/>
    <w:rsid w:val="00192A8C"/>
    <w:rPr>
      <w:sz w:val="18"/>
      <w:szCs w:val="18"/>
    </w:rPr>
  </w:style>
  <w:style w:type="paragraph" w:styleId="Tekstopmerking">
    <w:name w:val="annotation text"/>
    <w:basedOn w:val="Normaal"/>
    <w:link w:val="TekstopmerkingTeken"/>
    <w:uiPriority w:val="99"/>
    <w:semiHidden/>
    <w:unhideWhenUsed/>
    <w:rsid w:val="00192A8C"/>
    <w:pPr>
      <w:spacing w:line="240" w:lineRule="auto"/>
    </w:pPr>
    <w:rPr>
      <w:sz w:val="24"/>
      <w:szCs w:val="24"/>
    </w:rPr>
  </w:style>
  <w:style w:type="character" w:customStyle="1" w:styleId="TekstopmerkingTeken">
    <w:name w:val="Tekst opmerking Teken"/>
    <w:basedOn w:val="Standaardalinea-lettertype"/>
    <w:link w:val="Tekstopmerking"/>
    <w:uiPriority w:val="99"/>
    <w:semiHidden/>
    <w:rsid w:val="00192A8C"/>
    <w:rPr>
      <w:sz w:val="24"/>
      <w:szCs w:val="24"/>
    </w:rPr>
  </w:style>
  <w:style w:type="paragraph" w:styleId="Ballontekst">
    <w:name w:val="Balloon Text"/>
    <w:basedOn w:val="Normaal"/>
    <w:link w:val="BallontekstTeken"/>
    <w:uiPriority w:val="99"/>
    <w:semiHidden/>
    <w:unhideWhenUsed/>
    <w:rsid w:val="00192A8C"/>
    <w:pPr>
      <w:spacing w:after="0" w:line="240" w:lineRule="auto"/>
    </w:pPr>
    <w:rPr>
      <w:rFonts w:ascii="Tahoma" w:hAnsi="Tahoma" w:cs="Tahoma"/>
      <w:sz w:val="16"/>
      <w:szCs w:val="16"/>
    </w:rPr>
  </w:style>
  <w:style w:type="character" w:customStyle="1" w:styleId="BallontekstTeken">
    <w:name w:val="Ballontekst Teken"/>
    <w:basedOn w:val="Standaardalinea-lettertype"/>
    <w:link w:val="Ballontekst"/>
    <w:uiPriority w:val="99"/>
    <w:semiHidden/>
    <w:rsid w:val="00192A8C"/>
    <w:rPr>
      <w:rFonts w:ascii="Tahoma" w:hAnsi="Tahoma" w:cs="Tahoma"/>
      <w:sz w:val="16"/>
      <w:szCs w:val="16"/>
    </w:rPr>
  </w:style>
  <w:style w:type="character" w:styleId="Hyperlink">
    <w:name w:val="Hyperlink"/>
    <w:basedOn w:val="Standaardalinea-lettertype"/>
    <w:uiPriority w:val="99"/>
    <w:unhideWhenUsed/>
    <w:rsid w:val="00192A8C"/>
    <w:rPr>
      <w:color w:val="0000FF" w:themeColor="hyperlink"/>
      <w:u w:val="single"/>
    </w:rPr>
  </w:style>
  <w:style w:type="paragraph" w:styleId="Koptekst">
    <w:name w:val="header"/>
    <w:basedOn w:val="Normaal"/>
    <w:link w:val="KoptekstTeken"/>
    <w:uiPriority w:val="99"/>
    <w:semiHidden/>
    <w:unhideWhenUsed/>
    <w:rsid w:val="00192A8C"/>
    <w:pPr>
      <w:tabs>
        <w:tab w:val="center" w:pos="4536"/>
        <w:tab w:val="right" w:pos="9072"/>
      </w:tabs>
      <w:spacing w:after="0" w:line="240" w:lineRule="auto"/>
    </w:pPr>
  </w:style>
  <w:style w:type="character" w:customStyle="1" w:styleId="KoptekstTeken">
    <w:name w:val="Koptekst Teken"/>
    <w:basedOn w:val="Standaardalinea-lettertype"/>
    <w:link w:val="Koptekst"/>
    <w:uiPriority w:val="99"/>
    <w:semiHidden/>
    <w:rsid w:val="00192A8C"/>
  </w:style>
  <w:style w:type="paragraph" w:styleId="Voettekst">
    <w:name w:val="footer"/>
    <w:basedOn w:val="Normaal"/>
    <w:link w:val="VoettekstTeken"/>
    <w:uiPriority w:val="99"/>
    <w:unhideWhenUsed/>
    <w:rsid w:val="00192A8C"/>
    <w:pPr>
      <w:tabs>
        <w:tab w:val="center" w:pos="4536"/>
        <w:tab w:val="right" w:pos="9072"/>
      </w:tabs>
      <w:spacing w:after="0" w:line="240" w:lineRule="auto"/>
    </w:pPr>
  </w:style>
  <w:style w:type="character" w:customStyle="1" w:styleId="VoettekstTeken">
    <w:name w:val="Voettekst Teken"/>
    <w:basedOn w:val="Standaardalinea-lettertype"/>
    <w:link w:val="Voettekst"/>
    <w:uiPriority w:val="99"/>
    <w:rsid w:val="00192A8C"/>
  </w:style>
  <w:style w:type="table" w:styleId="Tabelraster">
    <w:name w:val="Table Grid"/>
    <w:basedOn w:val="Standaardtabel"/>
    <w:uiPriority w:val="59"/>
    <w:rsid w:val="006861A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Inhopg1">
    <w:name w:val="toc 1"/>
    <w:basedOn w:val="Normaal"/>
    <w:next w:val="Normaal"/>
    <w:autoRedefine/>
    <w:uiPriority w:val="39"/>
    <w:rsid w:val="00977C03"/>
    <w:pPr>
      <w:spacing w:before="120" w:after="120" w:line="240" w:lineRule="auto"/>
    </w:pPr>
    <w:rPr>
      <w:rFonts w:ascii="Times New Roman" w:eastAsia="Times New Roman" w:hAnsi="Times New Roman" w:cs="Times New Roman"/>
      <w:b/>
      <w:bCs/>
      <w:caps/>
      <w:sz w:val="20"/>
      <w:szCs w:val="20"/>
      <w:lang w:eastAsia="nl-NL"/>
    </w:rPr>
  </w:style>
  <w:style w:type="character" w:customStyle="1" w:styleId="Kop1Teken">
    <w:name w:val="Kop 1 Teken"/>
    <w:basedOn w:val="Standaardalinea-lettertype"/>
    <w:link w:val="Kop1"/>
    <w:uiPriority w:val="9"/>
    <w:rsid w:val="00D35051"/>
    <w:rPr>
      <w:rFonts w:asciiTheme="majorHAnsi" w:eastAsiaTheme="majorEastAsia" w:hAnsiTheme="majorHAnsi" w:cstheme="majorBidi"/>
      <w:b/>
      <w:bCs/>
      <w:color w:val="365F91" w:themeColor="accent1" w:themeShade="BF"/>
      <w:sz w:val="28"/>
      <w:szCs w:val="28"/>
    </w:rPr>
  </w:style>
  <w:style w:type="character" w:customStyle="1" w:styleId="Kop2Teken">
    <w:name w:val="Kop 2 Teken"/>
    <w:basedOn w:val="Standaardalinea-lettertype"/>
    <w:link w:val="Kop2"/>
    <w:uiPriority w:val="9"/>
    <w:rsid w:val="00D35051"/>
    <w:rPr>
      <w:rFonts w:asciiTheme="majorHAnsi" w:eastAsiaTheme="majorEastAsia" w:hAnsiTheme="majorHAnsi" w:cstheme="majorBidi"/>
      <w:b/>
      <w:bCs/>
      <w:color w:val="4F81BD" w:themeColor="accent1"/>
      <w:sz w:val="26"/>
      <w:szCs w:val="26"/>
    </w:rPr>
  </w:style>
  <w:style w:type="character" w:customStyle="1" w:styleId="Kop3Teken">
    <w:name w:val="Kop 3 Teken"/>
    <w:basedOn w:val="Standaardalinea-lettertype"/>
    <w:link w:val="Kop3"/>
    <w:uiPriority w:val="9"/>
    <w:rsid w:val="00D35051"/>
    <w:rPr>
      <w:rFonts w:asciiTheme="majorHAnsi" w:eastAsiaTheme="majorEastAsia" w:hAnsiTheme="majorHAnsi" w:cstheme="majorBidi"/>
      <w:b/>
      <w:bCs/>
      <w:color w:val="4F81BD" w:themeColor="accent1"/>
    </w:rPr>
  </w:style>
  <w:style w:type="character" w:customStyle="1" w:styleId="Kop4Teken">
    <w:name w:val="Kop 4 Teken"/>
    <w:basedOn w:val="Standaardalinea-lettertype"/>
    <w:link w:val="Kop4"/>
    <w:uiPriority w:val="9"/>
    <w:semiHidden/>
    <w:rsid w:val="00DA0B3D"/>
    <w:rPr>
      <w:rFonts w:asciiTheme="majorHAnsi" w:eastAsiaTheme="majorEastAsia" w:hAnsiTheme="majorHAnsi" w:cstheme="majorBidi"/>
      <w:b/>
      <w:bCs/>
      <w:i/>
      <w:iCs/>
      <w:color w:val="4F81BD" w:themeColor="accent1"/>
    </w:rPr>
  </w:style>
  <w:style w:type="character" w:customStyle="1" w:styleId="Kop5Teken">
    <w:name w:val="Kop 5 Teken"/>
    <w:basedOn w:val="Standaardalinea-lettertype"/>
    <w:link w:val="Kop5"/>
    <w:uiPriority w:val="9"/>
    <w:semiHidden/>
    <w:rsid w:val="00DA0B3D"/>
    <w:rPr>
      <w:rFonts w:asciiTheme="majorHAnsi" w:eastAsiaTheme="majorEastAsia" w:hAnsiTheme="majorHAnsi" w:cstheme="majorBidi"/>
      <w:color w:val="243F60" w:themeColor="accent1" w:themeShade="7F"/>
    </w:rPr>
  </w:style>
  <w:style w:type="character" w:customStyle="1" w:styleId="Kop6Teken">
    <w:name w:val="Kop 6 Teken"/>
    <w:basedOn w:val="Standaardalinea-lettertype"/>
    <w:link w:val="Kop6"/>
    <w:uiPriority w:val="9"/>
    <w:semiHidden/>
    <w:rsid w:val="00DA0B3D"/>
    <w:rPr>
      <w:rFonts w:asciiTheme="majorHAnsi" w:eastAsiaTheme="majorEastAsia" w:hAnsiTheme="majorHAnsi" w:cstheme="majorBidi"/>
      <w:i/>
      <w:iCs/>
      <w:color w:val="243F60" w:themeColor="accent1" w:themeShade="7F"/>
    </w:rPr>
  </w:style>
  <w:style w:type="character" w:customStyle="1" w:styleId="Kop7Teken">
    <w:name w:val="Kop 7 Teken"/>
    <w:basedOn w:val="Standaardalinea-lettertype"/>
    <w:link w:val="Kop7"/>
    <w:uiPriority w:val="9"/>
    <w:semiHidden/>
    <w:rsid w:val="00DA0B3D"/>
    <w:rPr>
      <w:rFonts w:asciiTheme="majorHAnsi" w:eastAsiaTheme="majorEastAsia" w:hAnsiTheme="majorHAnsi" w:cstheme="majorBidi"/>
      <w:i/>
      <w:iCs/>
      <w:color w:val="404040" w:themeColor="text1" w:themeTint="BF"/>
    </w:rPr>
  </w:style>
  <w:style w:type="character" w:customStyle="1" w:styleId="Kop8Teken">
    <w:name w:val="Kop 8 Teken"/>
    <w:basedOn w:val="Standaardalinea-lettertype"/>
    <w:link w:val="Kop8"/>
    <w:uiPriority w:val="9"/>
    <w:semiHidden/>
    <w:rsid w:val="00DA0B3D"/>
    <w:rPr>
      <w:rFonts w:asciiTheme="majorHAnsi" w:eastAsiaTheme="majorEastAsia" w:hAnsiTheme="majorHAnsi" w:cstheme="majorBidi"/>
      <w:color w:val="404040" w:themeColor="text1" w:themeTint="BF"/>
      <w:sz w:val="20"/>
      <w:szCs w:val="20"/>
    </w:rPr>
  </w:style>
  <w:style w:type="character" w:customStyle="1" w:styleId="Kop9Teken">
    <w:name w:val="Kop 9 Teken"/>
    <w:basedOn w:val="Standaardalinea-lettertype"/>
    <w:link w:val="Kop9"/>
    <w:uiPriority w:val="9"/>
    <w:semiHidden/>
    <w:rsid w:val="00DA0B3D"/>
    <w:rPr>
      <w:rFonts w:asciiTheme="majorHAnsi" w:eastAsiaTheme="majorEastAsia" w:hAnsiTheme="majorHAnsi" w:cstheme="majorBidi"/>
      <w:i/>
      <w:iCs/>
      <w:color w:val="404040" w:themeColor="text1" w:themeTint="BF"/>
      <w:sz w:val="20"/>
      <w:szCs w:val="20"/>
    </w:rPr>
  </w:style>
  <w:style w:type="paragraph" w:customStyle="1" w:styleId="Bijlage">
    <w:name w:val="Bijlage"/>
    <w:basedOn w:val="Kop1"/>
    <w:qFormat/>
    <w:rsid w:val="00081618"/>
    <w:pPr>
      <w:numPr>
        <w:numId w:val="8"/>
      </w:numPr>
    </w:pPr>
  </w:style>
  <w:style w:type="paragraph" w:styleId="Kopvaninhoudsopgave">
    <w:name w:val="TOC Heading"/>
    <w:basedOn w:val="Kop1"/>
    <w:next w:val="Normaal"/>
    <w:uiPriority w:val="39"/>
    <w:unhideWhenUsed/>
    <w:qFormat/>
    <w:rsid w:val="00152F58"/>
    <w:pPr>
      <w:numPr>
        <w:numId w:val="0"/>
      </w:numPr>
      <w:outlineLvl w:val="9"/>
    </w:pPr>
  </w:style>
  <w:style w:type="paragraph" w:styleId="Inhopg2">
    <w:name w:val="toc 2"/>
    <w:basedOn w:val="Normaal"/>
    <w:next w:val="Normaal"/>
    <w:autoRedefine/>
    <w:uiPriority w:val="39"/>
    <w:unhideWhenUsed/>
    <w:rsid w:val="00152F58"/>
    <w:pPr>
      <w:spacing w:after="100"/>
      <w:ind w:left="220"/>
    </w:pPr>
  </w:style>
  <w:style w:type="paragraph" w:styleId="Inhopg3">
    <w:name w:val="toc 3"/>
    <w:basedOn w:val="Normaal"/>
    <w:next w:val="Normaal"/>
    <w:autoRedefine/>
    <w:uiPriority w:val="39"/>
    <w:unhideWhenUsed/>
    <w:rsid w:val="00152F58"/>
    <w:pPr>
      <w:spacing w:after="100"/>
      <w:ind w:left="440"/>
    </w:pPr>
  </w:style>
  <w:style w:type="paragraph" w:customStyle="1" w:styleId="Literatuurlijst">
    <w:name w:val="Literatuurlijst"/>
    <w:basedOn w:val="Kop1"/>
    <w:qFormat/>
    <w:rsid w:val="00641F4D"/>
    <w:pPr>
      <w:numPr>
        <w:numId w:val="0"/>
      </w:numPr>
    </w:pPr>
  </w:style>
  <w:style w:type="paragraph" w:styleId="Onderwerpvanopmerking">
    <w:name w:val="annotation subject"/>
    <w:basedOn w:val="Tekstopmerking"/>
    <w:next w:val="Tekstopmerking"/>
    <w:link w:val="OnderwerpvanopmerkingTeken"/>
    <w:uiPriority w:val="99"/>
    <w:semiHidden/>
    <w:unhideWhenUsed/>
    <w:rsid w:val="00EA6164"/>
    <w:rPr>
      <w:b/>
      <w:bCs/>
      <w:sz w:val="20"/>
      <w:szCs w:val="20"/>
    </w:rPr>
  </w:style>
  <w:style w:type="character" w:customStyle="1" w:styleId="OnderwerpvanopmerkingTeken">
    <w:name w:val="Onderwerp van opmerking Teken"/>
    <w:basedOn w:val="TekstopmerkingTeken"/>
    <w:link w:val="Onderwerpvanopmerking"/>
    <w:uiPriority w:val="99"/>
    <w:semiHidden/>
    <w:rsid w:val="00EA6164"/>
    <w:rPr>
      <w:b/>
      <w:bCs/>
      <w:sz w:val="20"/>
      <w:szCs w:val="20"/>
    </w:rPr>
  </w:style>
  <w:style w:type="paragraph" w:styleId="Revisie">
    <w:name w:val="Revision"/>
    <w:hidden/>
    <w:uiPriority w:val="99"/>
    <w:semiHidden/>
    <w:rsid w:val="00E7575B"/>
    <w:pPr>
      <w:spacing w:after="0" w:line="240" w:lineRule="auto"/>
    </w:pPr>
  </w:style>
</w:styles>
</file>

<file path=word/webSettings.xml><?xml version="1.0" encoding="utf-8"?>
<w:webSettings xmlns:r="http://schemas.openxmlformats.org/officeDocument/2006/relationships" xmlns:w="http://schemas.openxmlformats.org/wordprocessingml/2006/main">
  <w:divs>
    <w:div w:id="2630677">
      <w:bodyDiv w:val="1"/>
      <w:marLeft w:val="0"/>
      <w:marRight w:val="0"/>
      <w:marTop w:val="0"/>
      <w:marBottom w:val="0"/>
      <w:divBdr>
        <w:top w:val="none" w:sz="0" w:space="0" w:color="auto"/>
        <w:left w:val="none" w:sz="0" w:space="0" w:color="auto"/>
        <w:bottom w:val="none" w:sz="0" w:space="0" w:color="auto"/>
        <w:right w:val="none" w:sz="0" w:space="0" w:color="auto"/>
      </w:divBdr>
    </w:div>
    <w:div w:id="25450825">
      <w:bodyDiv w:val="1"/>
      <w:marLeft w:val="0"/>
      <w:marRight w:val="0"/>
      <w:marTop w:val="0"/>
      <w:marBottom w:val="0"/>
      <w:divBdr>
        <w:top w:val="none" w:sz="0" w:space="0" w:color="auto"/>
        <w:left w:val="none" w:sz="0" w:space="0" w:color="auto"/>
        <w:bottom w:val="none" w:sz="0" w:space="0" w:color="auto"/>
        <w:right w:val="none" w:sz="0" w:space="0" w:color="auto"/>
      </w:divBdr>
    </w:div>
    <w:div w:id="26224520">
      <w:bodyDiv w:val="1"/>
      <w:marLeft w:val="0"/>
      <w:marRight w:val="0"/>
      <w:marTop w:val="0"/>
      <w:marBottom w:val="0"/>
      <w:divBdr>
        <w:top w:val="none" w:sz="0" w:space="0" w:color="auto"/>
        <w:left w:val="none" w:sz="0" w:space="0" w:color="auto"/>
        <w:bottom w:val="none" w:sz="0" w:space="0" w:color="auto"/>
        <w:right w:val="none" w:sz="0" w:space="0" w:color="auto"/>
      </w:divBdr>
    </w:div>
    <w:div w:id="148714908">
      <w:bodyDiv w:val="1"/>
      <w:marLeft w:val="0"/>
      <w:marRight w:val="0"/>
      <w:marTop w:val="0"/>
      <w:marBottom w:val="0"/>
      <w:divBdr>
        <w:top w:val="none" w:sz="0" w:space="0" w:color="auto"/>
        <w:left w:val="none" w:sz="0" w:space="0" w:color="auto"/>
        <w:bottom w:val="none" w:sz="0" w:space="0" w:color="auto"/>
        <w:right w:val="none" w:sz="0" w:space="0" w:color="auto"/>
      </w:divBdr>
    </w:div>
    <w:div w:id="161163477">
      <w:bodyDiv w:val="1"/>
      <w:marLeft w:val="0"/>
      <w:marRight w:val="0"/>
      <w:marTop w:val="0"/>
      <w:marBottom w:val="0"/>
      <w:divBdr>
        <w:top w:val="none" w:sz="0" w:space="0" w:color="auto"/>
        <w:left w:val="none" w:sz="0" w:space="0" w:color="auto"/>
        <w:bottom w:val="none" w:sz="0" w:space="0" w:color="auto"/>
        <w:right w:val="none" w:sz="0" w:space="0" w:color="auto"/>
      </w:divBdr>
    </w:div>
    <w:div w:id="223955446">
      <w:bodyDiv w:val="1"/>
      <w:marLeft w:val="0"/>
      <w:marRight w:val="0"/>
      <w:marTop w:val="0"/>
      <w:marBottom w:val="0"/>
      <w:divBdr>
        <w:top w:val="none" w:sz="0" w:space="0" w:color="auto"/>
        <w:left w:val="none" w:sz="0" w:space="0" w:color="auto"/>
        <w:bottom w:val="none" w:sz="0" w:space="0" w:color="auto"/>
        <w:right w:val="none" w:sz="0" w:space="0" w:color="auto"/>
      </w:divBdr>
    </w:div>
    <w:div w:id="281962009">
      <w:bodyDiv w:val="1"/>
      <w:marLeft w:val="0"/>
      <w:marRight w:val="0"/>
      <w:marTop w:val="0"/>
      <w:marBottom w:val="0"/>
      <w:divBdr>
        <w:top w:val="none" w:sz="0" w:space="0" w:color="auto"/>
        <w:left w:val="none" w:sz="0" w:space="0" w:color="auto"/>
        <w:bottom w:val="none" w:sz="0" w:space="0" w:color="auto"/>
        <w:right w:val="none" w:sz="0" w:space="0" w:color="auto"/>
      </w:divBdr>
    </w:div>
    <w:div w:id="291445602">
      <w:bodyDiv w:val="1"/>
      <w:marLeft w:val="0"/>
      <w:marRight w:val="0"/>
      <w:marTop w:val="0"/>
      <w:marBottom w:val="0"/>
      <w:divBdr>
        <w:top w:val="none" w:sz="0" w:space="0" w:color="auto"/>
        <w:left w:val="none" w:sz="0" w:space="0" w:color="auto"/>
        <w:bottom w:val="none" w:sz="0" w:space="0" w:color="auto"/>
        <w:right w:val="none" w:sz="0" w:space="0" w:color="auto"/>
      </w:divBdr>
    </w:div>
    <w:div w:id="357781161">
      <w:bodyDiv w:val="1"/>
      <w:marLeft w:val="0"/>
      <w:marRight w:val="0"/>
      <w:marTop w:val="0"/>
      <w:marBottom w:val="0"/>
      <w:divBdr>
        <w:top w:val="none" w:sz="0" w:space="0" w:color="auto"/>
        <w:left w:val="none" w:sz="0" w:space="0" w:color="auto"/>
        <w:bottom w:val="none" w:sz="0" w:space="0" w:color="auto"/>
        <w:right w:val="none" w:sz="0" w:space="0" w:color="auto"/>
      </w:divBdr>
    </w:div>
    <w:div w:id="372776985">
      <w:bodyDiv w:val="1"/>
      <w:marLeft w:val="0"/>
      <w:marRight w:val="0"/>
      <w:marTop w:val="0"/>
      <w:marBottom w:val="0"/>
      <w:divBdr>
        <w:top w:val="none" w:sz="0" w:space="0" w:color="auto"/>
        <w:left w:val="none" w:sz="0" w:space="0" w:color="auto"/>
        <w:bottom w:val="none" w:sz="0" w:space="0" w:color="auto"/>
        <w:right w:val="none" w:sz="0" w:space="0" w:color="auto"/>
      </w:divBdr>
    </w:div>
    <w:div w:id="430512252">
      <w:bodyDiv w:val="1"/>
      <w:marLeft w:val="0"/>
      <w:marRight w:val="0"/>
      <w:marTop w:val="0"/>
      <w:marBottom w:val="0"/>
      <w:divBdr>
        <w:top w:val="none" w:sz="0" w:space="0" w:color="auto"/>
        <w:left w:val="none" w:sz="0" w:space="0" w:color="auto"/>
        <w:bottom w:val="none" w:sz="0" w:space="0" w:color="auto"/>
        <w:right w:val="none" w:sz="0" w:space="0" w:color="auto"/>
      </w:divBdr>
    </w:div>
    <w:div w:id="437989256">
      <w:bodyDiv w:val="1"/>
      <w:marLeft w:val="0"/>
      <w:marRight w:val="0"/>
      <w:marTop w:val="0"/>
      <w:marBottom w:val="0"/>
      <w:divBdr>
        <w:top w:val="none" w:sz="0" w:space="0" w:color="auto"/>
        <w:left w:val="none" w:sz="0" w:space="0" w:color="auto"/>
        <w:bottom w:val="none" w:sz="0" w:space="0" w:color="auto"/>
        <w:right w:val="none" w:sz="0" w:space="0" w:color="auto"/>
      </w:divBdr>
    </w:div>
    <w:div w:id="531693592">
      <w:bodyDiv w:val="1"/>
      <w:marLeft w:val="0"/>
      <w:marRight w:val="0"/>
      <w:marTop w:val="0"/>
      <w:marBottom w:val="0"/>
      <w:divBdr>
        <w:top w:val="none" w:sz="0" w:space="0" w:color="auto"/>
        <w:left w:val="none" w:sz="0" w:space="0" w:color="auto"/>
        <w:bottom w:val="none" w:sz="0" w:space="0" w:color="auto"/>
        <w:right w:val="none" w:sz="0" w:space="0" w:color="auto"/>
      </w:divBdr>
    </w:div>
    <w:div w:id="640429180">
      <w:bodyDiv w:val="1"/>
      <w:marLeft w:val="0"/>
      <w:marRight w:val="0"/>
      <w:marTop w:val="0"/>
      <w:marBottom w:val="0"/>
      <w:divBdr>
        <w:top w:val="none" w:sz="0" w:space="0" w:color="auto"/>
        <w:left w:val="none" w:sz="0" w:space="0" w:color="auto"/>
        <w:bottom w:val="none" w:sz="0" w:space="0" w:color="auto"/>
        <w:right w:val="none" w:sz="0" w:space="0" w:color="auto"/>
      </w:divBdr>
    </w:div>
    <w:div w:id="699934438">
      <w:bodyDiv w:val="1"/>
      <w:marLeft w:val="0"/>
      <w:marRight w:val="0"/>
      <w:marTop w:val="0"/>
      <w:marBottom w:val="0"/>
      <w:divBdr>
        <w:top w:val="none" w:sz="0" w:space="0" w:color="auto"/>
        <w:left w:val="none" w:sz="0" w:space="0" w:color="auto"/>
        <w:bottom w:val="none" w:sz="0" w:space="0" w:color="auto"/>
        <w:right w:val="none" w:sz="0" w:space="0" w:color="auto"/>
      </w:divBdr>
    </w:div>
    <w:div w:id="730663011">
      <w:bodyDiv w:val="1"/>
      <w:marLeft w:val="0"/>
      <w:marRight w:val="0"/>
      <w:marTop w:val="0"/>
      <w:marBottom w:val="0"/>
      <w:divBdr>
        <w:top w:val="none" w:sz="0" w:space="0" w:color="auto"/>
        <w:left w:val="none" w:sz="0" w:space="0" w:color="auto"/>
        <w:bottom w:val="none" w:sz="0" w:space="0" w:color="auto"/>
        <w:right w:val="none" w:sz="0" w:space="0" w:color="auto"/>
      </w:divBdr>
    </w:div>
    <w:div w:id="758142699">
      <w:bodyDiv w:val="1"/>
      <w:marLeft w:val="0"/>
      <w:marRight w:val="0"/>
      <w:marTop w:val="0"/>
      <w:marBottom w:val="0"/>
      <w:divBdr>
        <w:top w:val="none" w:sz="0" w:space="0" w:color="auto"/>
        <w:left w:val="none" w:sz="0" w:space="0" w:color="auto"/>
        <w:bottom w:val="none" w:sz="0" w:space="0" w:color="auto"/>
        <w:right w:val="none" w:sz="0" w:space="0" w:color="auto"/>
      </w:divBdr>
    </w:div>
    <w:div w:id="849638875">
      <w:bodyDiv w:val="1"/>
      <w:marLeft w:val="0"/>
      <w:marRight w:val="0"/>
      <w:marTop w:val="0"/>
      <w:marBottom w:val="0"/>
      <w:divBdr>
        <w:top w:val="none" w:sz="0" w:space="0" w:color="auto"/>
        <w:left w:val="none" w:sz="0" w:space="0" w:color="auto"/>
        <w:bottom w:val="none" w:sz="0" w:space="0" w:color="auto"/>
        <w:right w:val="none" w:sz="0" w:space="0" w:color="auto"/>
      </w:divBdr>
    </w:div>
    <w:div w:id="942803000">
      <w:bodyDiv w:val="1"/>
      <w:marLeft w:val="0"/>
      <w:marRight w:val="0"/>
      <w:marTop w:val="0"/>
      <w:marBottom w:val="0"/>
      <w:divBdr>
        <w:top w:val="none" w:sz="0" w:space="0" w:color="auto"/>
        <w:left w:val="none" w:sz="0" w:space="0" w:color="auto"/>
        <w:bottom w:val="none" w:sz="0" w:space="0" w:color="auto"/>
        <w:right w:val="none" w:sz="0" w:space="0" w:color="auto"/>
      </w:divBdr>
    </w:div>
    <w:div w:id="1072580539">
      <w:bodyDiv w:val="1"/>
      <w:marLeft w:val="0"/>
      <w:marRight w:val="0"/>
      <w:marTop w:val="0"/>
      <w:marBottom w:val="0"/>
      <w:divBdr>
        <w:top w:val="none" w:sz="0" w:space="0" w:color="auto"/>
        <w:left w:val="none" w:sz="0" w:space="0" w:color="auto"/>
        <w:bottom w:val="none" w:sz="0" w:space="0" w:color="auto"/>
        <w:right w:val="none" w:sz="0" w:space="0" w:color="auto"/>
      </w:divBdr>
    </w:div>
    <w:div w:id="1101141895">
      <w:bodyDiv w:val="1"/>
      <w:marLeft w:val="0"/>
      <w:marRight w:val="0"/>
      <w:marTop w:val="0"/>
      <w:marBottom w:val="0"/>
      <w:divBdr>
        <w:top w:val="none" w:sz="0" w:space="0" w:color="auto"/>
        <w:left w:val="none" w:sz="0" w:space="0" w:color="auto"/>
        <w:bottom w:val="none" w:sz="0" w:space="0" w:color="auto"/>
        <w:right w:val="none" w:sz="0" w:space="0" w:color="auto"/>
      </w:divBdr>
    </w:div>
    <w:div w:id="1336376682">
      <w:bodyDiv w:val="1"/>
      <w:marLeft w:val="0"/>
      <w:marRight w:val="0"/>
      <w:marTop w:val="0"/>
      <w:marBottom w:val="0"/>
      <w:divBdr>
        <w:top w:val="none" w:sz="0" w:space="0" w:color="auto"/>
        <w:left w:val="none" w:sz="0" w:space="0" w:color="auto"/>
        <w:bottom w:val="none" w:sz="0" w:space="0" w:color="auto"/>
        <w:right w:val="none" w:sz="0" w:space="0" w:color="auto"/>
      </w:divBdr>
    </w:div>
    <w:div w:id="1365717710">
      <w:bodyDiv w:val="1"/>
      <w:marLeft w:val="0"/>
      <w:marRight w:val="0"/>
      <w:marTop w:val="0"/>
      <w:marBottom w:val="0"/>
      <w:divBdr>
        <w:top w:val="none" w:sz="0" w:space="0" w:color="auto"/>
        <w:left w:val="none" w:sz="0" w:space="0" w:color="auto"/>
        <w:bottom w:val="none" w:sz="0" w:space="0" w:color="auto"/>
        <w:right w:val="none" w:sz="0" w:space="0" w:color="auto"/>
      </w:divBdr>
    </w:div>
    <w:div w:id="1509248819">
      <w:bodyDiv w:val="1"/>
      <w:marLeft w:val="0"/>
      <w:marRight w:val="0"/>
      <w:marTop w:val="0"/>
      <w:marBottom w:val="0"/>
      <w:divBdr>
        <w:top w:val="none" w:sz="0" w:space="0" w:color="auto"/>
        <w:left w:val="none" w:sz="0" w:space="0" w:color="auto"/>
        <w:bottom w:val="none" w:sz="0" w:space="0" w:color="auto"/>
        <w:right w:val="none" w:sz="0" w:space="0" w:color="auto"/>
      </w:divBdr>
    </w:div>
    <w:div w:id="1527251869">
      <w:bodyDiv w:val="1"/>
      <w:marLeft w:val="0"/>
      <w:marRight w:val="0"/>
      <w:marTop w:val="0"/>
      <w:marBottom w:val="0"/>
      <w:divBdr>
        <w:top w:val="none" w:sz="0" w:space="0" w:color="auto"/>
        <w:left w:val="none" w:sz="0" w:space="0" w:color="auto"/>
        <w:bottom w:val="none" w:sz="0" w:space="0" w:color="auto"/>
        <w:right w:val="none" w:sz="0" w:space="0" w:color="auto"/>
      </w:divBdr>
    </w:div>
    <w:div w:id="1541166319">
      <w:bodyDiv w:val="1"/>
      <w:marLeft w:val="0"/>
      <w:marRight w:val="0"/>
      <w:marTop w:val="0"/>
      <w:marBottom w:val="0"/>
      <w:divBdr>
        <w:top w:val="none" w:sz="0" w:space="0" w:color="auto"/>
        <w:left w:val="none" w:sz="0" w:space="0" w:color="auto"/>
        <w:bottom w:val="none" w:sz="0" w:space="0" w:color="auto"/>
        <w:right w:val="none" w:sz="0" w:space="0" w:color="auto"/>
      </w:divBdr>
    </w:div>
    <w:div w:id="1546914053">
      <w:bodyDiv w:val="1"/>
      <w:marLeft w:val="0"/>
      <w:marRight w:val="0"/>
      <w:marTop w:val="0"/>
      <w:marBottom w:val="0"/>
      <w:divBdr>
        <w:top w:val="none" w:sz="0" w:space="0" w:color="auto"/>
        <w:left w:val="none" w:sz="0" w:space="0" w:color="auto"/>
        <w:bottom w:val="none" w:sz="0" w:space="0" w:color="auto"/>
        <w:right w:val="none" w:sz="0" w:space="0" w:color="auto"/>
      </w:divBdr>
    </w:div>
    <w:div w:id="1724060576">
      <w:bodyDiv w:val="1"/>
      <w:marLeft w:val="0"/>
      <w:marRight w:val="0"/>
      <w:marTop w:val="0"/>
      <w:marBottom w:val="0"/>
      <w:divBdr>
        <w:top w:val="none" w:sz="0" w:space="0" w:color="auto"/>
        <w:left w:val="none" w:sz="0" w:space="0" w:color="auto"/>
        <w:bottom w:val="none" w:sz="0" w:space="0" w:color="auto"/>
        <w:right w:val="none" w:sz="0" w:space="0" w:color="auto"/>
      </w:divBdr>
    </w:div>
    <w:div w:id="1774979216">
      <w:bodyDiv w:val="1"/>
      <w:marLeft w:val="0"/>
      <w:marRight w:val="0"/>
      <w:marTop w:val="0"/>
      <w:marBottom w:val="0"/>
      <w:divBdr>
        <w:top w:val="none" w:sz="0" w:space="0" w:color="auto"/>
        <w:left w:val="none" w:sz="0" w:space="0" w:color="auto"/>
        <w:bottom w:val="none" w:sz="0" w:space="0" w:color="auto"/>
        <w:right w:val="none" w:sz="0" w:space="0" w:color="auto"/>
      </w:divBdr>
    </w:div>
    <w:div w:id="1838691512">
      <w:bodyDiv w:val="1"/>
      <w:marLeft w:val="0"/>
      <w:marRight w:val="0"/>
      <w:marTop w:val="0"/>
      <w:marBottom w:val="0"/>
      <w:divBdr>
        <w:top w:val="none" w:sz="0" w:space="0" w:color="auto"/>
        <w:left w:val="none" w:sz="0" w:space="0" w:color="auto"/>
        <w:bottom w:val="none" w:sz="0" w:space="0" w:color="auto"/>
        <w:right w:val="none" w:sz="0" w:space="0" w:color="auto"/>
      </w:divBdr>
    </w:div>
    <w:div w:id="1864662704">
      <w:bodyDiv w:val="1"/>
      <w:marLeft w:val="0"/>
      <w:marRight w:val="0"/>
      <w:marTop w:val="0"/>
      <w:marBottom w:val="0"/>
      <w:divBdr>
        <w:top w:val="none" w:sz="0" w:space="0" w:color="auto"/>
        <w:left w:val="none" w:sz="0" w:space="0" w:color="auto"/>
        <w:bottom w:val="none" w:sz="0" w:space="0" w:color="auto"/>
        <w:right w:val="none" w:sz="0" w:space="0" w:color="auto"/>
      </w:divBdr>
    </w:div>
    <w:div w:id="1893734235">
      <w:bodyDiv w:val="1"/>
      <w:marLeft w:val="0"/>
      <w:marRight w:val="0"/>
      <w:marTop w:val="0"/>
      <w:marBottom w:val="0"/>
      <w:divBdr>
        <w:top w:val="none" w:sz="0" w:space="0" w:color="auto"/>
        <w:left w:val="none" w:sz="0" w:space="0" w:color="auto"/>
        <w:bottom w:val="none" w:sz="0" w:space="0" w:color="auto"/>
        <w:right w:val="none" w:sz="0" w:space="0" w:color="auto"/>
      </w:divBdr>
    </w:div>
    <w:div w:id="1896157458">
      <w:bodyDiv w:val="1"/>
      <w:marLeft w:val="0"/>
      <w:marRight w:val="0"/>
      <w:marTop w:val="0"/>
      <w:marBottom w:val="0"/>
      <w:divBdr>
        <w:top w:val="none" w:sz="0" w:space="0" w:color="auto"/>
        <w:left w:val="none" w:sz="0" w:space="0" w:color="auto"/>
        <w:bottom w:val="none" w:sz="0" w:space="0" w:color="auto"/>
        <w:right w:val="none" w:sz="0" w:space="0" w:color="auto"/>
      </w:divBdr>
    </w:div>
    <w:div w:id="1916548719">
      <w:bodyDiv w:val="1"/>
      <w:marLeft w:val="0"/>
      <w:marRight w:val="0"/>
      <w:marTop w:val="0"/>
      <w:marBottom w:val="0"/>
      <w:divBdr>
        <w:top w:val="none" w:sz="0" w:space="0" w:color="auto"/>
        <w:left w:val="none" w:sz="0" w:space="0" w:color="auto"/>
        <w:bottom w:val="none" w:sz="0" w:space="0" w:color="auto"/>
        <w:right w:val="none" w:sz="0" w:space="0" w:color="auto"/>
      </w:divBdr>
    </w:div>
    <w:div w:id="1942688907">
      <w:bodyDiv w:val="1"/>
      <w:marLeft w:val="0"/>
      <w:marRight w:val="0"/>
      <w:marTop w:val="0"/>
      <w:marBottom w:val="0"/>
      <w:divBdr>
        <w:top w:val="none" w:sz="0" w:space="0" w:color="auto"/>
        <w:left w:val="none" w:sz="0" w:space="0" w:color="auto"/>
        <w:bottom w:val="none" w:sz="0" w:space="0" w:color="auto"/>
        <w:right w:val="none" w:sz="0" w:space="0" w:color="auto"/>
      </w:divBdr>
    </w:div>
    <w:div w:id="1943030939">
      <w:bodyDiv w:val="1"/>
      <w:marLeft w:val="0"/>
      <w:marRight w:val="0"/>
      <w:marTop w:val="0"/>
      <w:marBottom w:val="0"/>
      <w:divBdr>
        <w:top w:val="none" w:sz="0" w:space="0" w:color="auto"/>
        <w:left w:val="none" w:sz="0" w:space="0" w:color="auto"/>
        <w:bottom w:val="none" w:sz="0" w:space="0" w:color="auto"/>
        <w:right w:val="none" w:sz="0" w:space="0" w:color="auto"/>
      </w:divBdr>
    </w:div>
    <w:div w:id="2006131774">
      <w:bodyDiv w:val="1"/>
      <w:marLeft w:val="0"/>
      <w:marRight w:val="0"/>
      <w:marTop w:val="0"/>
      <w:marBottom w:val="0"/>
      <w:divBdr>
        <w:top w:val="none" w:sz="0" w:space="0" w:color="auto"/>
        <w:left w:val="none" w:sz="0" w:space="0" w:color="auto"/>
        <w:bottom w:val="none" w:sz="0" w:space="0" w:color="auto"/>
        <w:right w:val="none" w:sz="0" w:space="0" w:color="auto"/>
      </w:divBdr>
    </w:div>
    <w:div w:id="2025932272">
      <w:bodyDiv w:val="1"/>
      <w:marLeft w:val="0"/>
      <w:marRight w:val="0"/>
      <w:marTop w:val="0"/>
      <w:marBottom w:val="0"/>
      <w:divBdr>
        <w:top w:val="none" w:sz="0" w:space="0" w:color="auto"/>
        <w:left w:val="none" w:sz="0" w:space="0" w:color="auto"/>
        <w:bottom w:val="none" w:sz="0" w:space="0" w:color="auto"/>
        <w:right w:val="none" w:sz="0" w:space="0" w:color="auto"/>
      </w:divBdr>
    </w:div>
    <w:div w:id="2050110782">
      <w:bodyDiv w:val="1"/>
      <w:marLeft w:val="0"/>
      <w:marRight w:val="0"/>
      <w:marTop w:val="0"/>
      <w:marBottom w:val="0"/>
      <w:divBdr>
        <w:top w:val="none" w:sz="0" w:space="0" w:color="auto"/>
        <w:left w:val="none" w:sz="0" w:space="0" w:color="auto"/>
        <w:bottom w:val="none" w:sz="0" w:space="0" w:color="auto"/>
        <w:right w:val="none" w:sz="0" w:space="0" w:color="auto"/>
      </w:divBdr>
    </w:div>
    <w:div w:id="2081902102">
      <w:bodyDiv w:val="1"/>
      <w:marLeft w:val="0"/>
      <w:marRight w:val="0"/>
      <w:marTop w:val="0"/>
      <w:marBottom w:val="0"/>
      <w:divBdr>
        <w:top w:val="none" w:sz="0" w:space="0" w:color="auto"/>
        <w:left w:val="none" w:sz="0" w:space="0" w:color="auto"/>
        <w:bottom w:val="none" w:sz="0" w:space="0" w:color="auto"/>
        <w:right w:val="none" w:sz="0" w:space="0" w:color="auto"/>
      </w:divBdr>
    </w:div>
    <w:div w:id="2121341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7F48A1-7426-4421-99CE-841A319760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37</Pages>
  <Words>10606</Words>
  <Characters>58337</Characters>
  <Application>Microsoft Office Word</Application>
  <DocSecurity>0</DocSecurity>
  <Lines>486</Lines>
  <Paragraphs>137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68806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Mariëtte</dc:creator>
  <cp:lastModifiedBy>Mariëtte</cp:lastModifiedBy>
  <cp:revision>4</cp:revision>
  <cp:lastPrinted>2011-07-29T20:08:00Z</cp:lastPrinted>
  <dcterms:created xsi:type="dcterms:W3CDTF">2011-07-29T20:01:00Z</dcterms:created>
  <dcterms:modified xsi:type="dcterms:W3CDTF">2011-07-29T20:08:00Z</dcterms:modified>
</cp:coreProperties>
</file>