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BBF" w:rsidRPr="00D31E3F" w:rsidRDefault="00165BBF" w:rsidP="00B51D74">
      <w:pPr>
        <w:rPr>
          <w:rFonts w:ascii="Arial" w:hAnsi="Arial" w:cs="Arial"/>
          <w:lang w:val="nl-NL"/>
        </w:rPr>
      </w:pPr>
      <w:r w:rsidRPr="00D31E3F">
        <w:rPr>
          <w:rFonts w:ascii="Arial" w:hAnsi="Arial" w:cs="Arial"/>
          <w:b/>
          <w:sz w:val="28"/>
          <w:szCs w:val="28"/>
          <w:lang w:val="nl-NL"/>
        </w:rPr>
        <w:t>ERASMUS UNIVERSITEIT ROTTERDAM</w:t>
      </w:r>
      <w:r w:rsidRPr="00D31E3F">
        <w:rPr>
          <w:rFonts w:ascii="Arial" w:hAnsi="Arial" w:cs="Arial"/>
          <w:lang w:val="nl-NL"/>
        </w:rPr>
        <w:tab/>
      </w:r>
      <w:r w:rsidRPr="00D31E3F">
        <w:rPr>
          <w:rFonts w:ascii="Arial" w:hAnsi="Arial" w:cs="Arial"/>
          <w:lang w:val="nl-NL"/>
        </w:rPr>
        <w:tab/>
      </w:r>
      <w:r w:rsidRPr="00D31E3F">
        <w:rPr>
          <w:rFonts w:ascii="Arial" w:hAnsi="Arial" w:cs="Arial"/>
          <w:lang w:val="nl-NL"/>
        </w:rPr>
        <w:tab/>
        <w:t>Nadruk verboden</w:t>
      </w: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b/>
          <w:lang w:val="nl-NL"/>
        </w:rPr>
      </w:pPr>
      <w:r w:rsidRPr="00D31E3F">
        <w:rPr>
          <w:rFonts w:ascii="Arial" w:hAnsi="Arial" w:cs="Arial"/>
          <w:b/>
          <w:lang w:val="nl-NL"/>
        </w:rPr>
        <w:t>Erasmus School of Economics</w:t>
      </w: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b/>
          <w:lang w:val="nl-NL"/>
        </w:rPr>
      </w:pPr>
      <w:r w:rsidRPr="00D31E3F">
        <w:rPr>
          <w:rFonts w:ascii="Arial" w:hAnsi="Arial" w:cs="Arial"/>
          <w:b/>
          <w:lang w:val="nl-NL"/>
        </w:rPr>
        <w:t>Bachelorscriptie</w:t>
      </w:r>
    </w:p>
    <w:p w:rsidR="00165BBF" w:rsidRPr="00D31E3F" w:rsidRDefault="00165BBF" w:rsidP="00B51D74">
      <w:pPr>
        <w:rPr>
          <w:rFonts w:ascii="Arial" w:hAnsi="Arial" w:cs="Arial"/>
          <w:lang w:val="nl-NL"/>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rPr>
          <w:rFonts w:ascii="Arial" w:hAnsi="Arial" w:cs="Arial"/>
          <w:sz w:val="36"/>
          <w:szCs w:val="36"/>
          <w:lang w:val="nl-NL"/>
        </w:rPr>
      </w:pP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lang w:val="nl-NL"/>
        </w:rPr>
      </w:pPr>
    </w:p>
    <w:p w:rsidR="00165BBF" w:rsidRPr="0077093B" w:rsidRDefault="00165BBF" w:rsidP="00C265C0">
      <w:pPr>
        <w:jc w:val="center"/>
        <w:rPr>
          <w:rFonts w:ascii="Arial" w:hAnsi="Arial" w:cs="Arial"/>
          <w:sz w:val="40"/>
          <w:szCs w:val="40"/>
          <w:lang w:val="nl-NL"/>
        </w:rPr>
      </w:pPr>
      <w:r w:rsidRPr="0077093B">
        <w:rPr>
          <w:rFonts w:ascii="Arial" w:hAnsi="Arial" w:cs="Arial"/>
          <w:sz w:val="40"/>
          <w:szCs w:val="40"/>
          <w:lang w:val="nl-NL"/>
        </w:rPr>
        <w:t>Voorraadwaardering in het licht van de CCCTB</w:t>
      </w: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lang w:val="nl-NL"/>
        </w:rPr>
      </w:pPr>
    </w:p>
    <w:p w:rsidR="00165BBF" w:rsidRPr="00D31E3F" w:rsidRDefault="00165BBF" w:rsidP="00B51D74">
      <w:pPr>
        <w:rPr>
          <w:rFonts w:ascii="Arial" w:hAnsi="Arial" w:cs="Arial"/>
          <w:lang w:val="nl-NL" w:eastAsia="nl-NL"/>
        </w:rPr>
      </w:pPr>
    </w:p>
    <w:p w:rsidR="00165BBF" w:rsidRPr="00D31E3F" w:rsidRDefault="00165BBF" w:rsidP="00B51D74">
      <w:pPr>
        <w:rPr>
          <w:rFonts w:ascii="Arial" w:hAnsi="Arial" w:cs="Arial"/>
          <w:lang w:val="nl-NL" w:eastAsia="nl-NL"/>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pStyle w:val="TOC1"/>
        <w:tabs>
          <w:tab w:val="right" w:leader="dot" w:pos="9062"/>
        </w:tabs>
        <w:spacing w:before="0" w:after="0"/>
        <w:rPr>
          <w:rFonts w:ascii="Arial" w:hAnsi="Arial" w:cs="Arial"/>
          <w:b w:val="0"/>
          <w:sz w:val="24"/>
          <w:szCs w:val="24"/>
        </w:rPr>
      </w:pPr>
    </w:p>
    <w:p w:rsidR="00165BBF" w:rsidRPr="00D31E3F" w:rsidRDefault="00165BBF" w:rsidP="00B51D74">
      <w:pPr>
        <w:rPr>
          <w:rFonts w:ascii="Arial" w:hAnsi="Arial" w:cs="Arial"/>
          <w:lang w:val="nl-NL" w:eastAsia="nl-NL"/>
        </w:rPr>
      </w:pPr>
    </w:p>
    <w:p w:rsidR="00165BBF" w:rsidRPr="00D31E3F" w:rsidRDefault="00165BBF" w:rsidP="00B51D74">
      <w:pPr>
        <w:rPr>
          <w:rFonts w:ascii="Arial" w:hAnsi="Arial" w:cs="Arial"/>
          <w:lang w:val="nl-NL" w:eastAsia="nl-NL"/>
        </w:rPr>
      </w:pPr>
    </w:p>
    <w:p w:rsidR="00165BBF" w:rsidRPr="00D31E3F" w:rsidRDefault="00165BBF" w:rsidP="00B51D74">
      <w:pPr>
        <w:rPr>
          <w:rFonts w:ascii="Arial" w:hAnsi="Arial" w:cs="Arial"/>
          <w:lang w:val="nl-NL" w:eastAsia="nl-NL"/>
        </w:rPr>
      </w:pPr>
    </w:p>
    <w:p w:rsidR="00165BBF" w:rsidRPr="00D31E3F" w:rsidRDefault="00165BBF" w:rsidP="00B51D74">
      <w:pPr>
        <w:rPr>
          <w:rFonts w:ascii="Arial" w:hAnsi="Arial" w:cs="Arial"/>
          <w:lang w:val="nl-NL" w:eastAsia="nl-NL"/>
        </w:rPr>
      </w:pPr>
    </w:p>
    <w:p w:rsidR="00165BBF" w:rsidRPr="00D31E3F" w:rsidRDefault="00165BBF" w:rsidP="00B51D74">
      <w:pPr>
        <w:rPr>
          <w:rFonts w:ascii="Arial" w:hAnsi="Arial" w:cs="Arial"/>
          <w:lang w:val="nl-NL" w:eastAsia="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Default="00165BBF" w:rsidP="00B51D74">
      <w:pPr>
        <w:rPr>
          <w:rFonts w:ascii="Arial" w:hAnsi="Arial" w:cs="Arial"/>
          <w:lang w:val="nl-NL"/>
        </w:rPr>
      </w:pPr>
    </w:p>
    <w:p w:rsidR="00165BBF" w:rsidRPr="00D31E3F" w:rsidRDefault="00165BBF" w:rsidP="00B51D74">
      <w:pPr>
        <w:rPr>
          <w:rFonts w:ascii="Arial" w:hAnsi="Arial" w:cs="Arial"/>
          <w:lang w:val="nl-NL"/>
        </w:rPr>
      </w:pPr>
      <w:r w:rsidRPr="00D31E3F">
        <w:rPr>
          <w:rFonts w:ascii="Arial" w:hAnsi="Arial" w:cs="Arial"/>
          <w:lang w:val="nl-NL"/>
        </w:rPr>
        <w:t>Naam student: Marijke van Veen</w:t>
      </w:r>
    </w:p>
    <w:p w:rsidR="00165BBF" w:rsidRPr="00D31E3F" w:rsidRDefault="00165BBF" w:rsidP="00B51D74">
      <w:pPr>
        <w:rPr>
          <w:rFonts w:ascii="Arial" w:hAnsi="Arial" w:cs="Arial"/>
          <w:lang w:val="nl-NL"/>
        </w:rPr>
      </w:pPr>
      <w:r w:rsidRPr="00D31E3F">
        <w:rPr>
          <w:rFonts w:ascii="Arial" w:hAnsi="Arial" w:cs="Arial"/>
          <w:lang w:val="nl-NL"/>
        </w:rPr>
        <w:t>Studentnummer: 287862</w:t>
      </w:r>
    </w:p>
    <w:p w:rsidR="00165BBF" w:rsidRPr="00D31E3F" w:rsidRDefault="00165BBF" w:rsidP="00B51D74">
      <w:pPr>
        <w:rPr>
          <w:rFonts w:ascii="Arial" w:hAnsi="Arial" w:cs="Arial"/>
          <w:lang w:val="nl-NL"/>
        </w:rPr>
      </w:pPr>
      <w:r w:rsidRPr="00D31E3F">
        <w:rPr>
          <w:rFonts w:ascii="Arial" w:hAnsi="Arial" w:cs="Arial"/>
          <w:lang w:val="nl-NL"/>
        </w:rPr>
        <w:t xml:space="preserve">Begeleider: </w:t>
      </w:r>
      <w:r w:rsidRPr="00D31E3F">
        <w:rPr>
          <w:rFonts w:ascii="Arial" w:hAnsi="Arial" w:cs="Arial"/>
          <w:bCs/>
          <w:kern w:val="36"/>
          <w:lang w:val="nl-NL" w:eastAsia="nl-NL"/>
        </w:rPr>
        <w:t>Mr. R.B.N. van Ovost</w:t>
      </w:r>
    </w:p>
    <w:p w:rsidR="00165BBF" w:rsidRPr="00D31E3F" w:rsidRDefault="00165BBF">
      <w:pPr>
        <w:rPr>
          <w:rFonts w:ascii="Arial" w:hAnsi="Arial" w:cs="Arial"/>
          <w:lang w:val="nl-NL"/>
        </w:rPr>
      </w:pPr>
      <w:r w:rsidRPr="00D31E3F">
        <w:rPr>
          <w:rFonts w:ascii="Arial" w:hAnsi="Arial" w:cs="Arial"/>
          <w:lang w:val="nl-NL"/>
        </w:rPr>
        <w:t>Datum</w:t>
      </w:r>
      <w:r>
        <w:rPr>
          <w:rFonts w:ascii="Arial" w:hAnsi="Arial" w:cs="Arial"/>
          <w:lang w:val="nl-NL"/>
        </w:rPr>
        <w:t>: 8 jul</w:t>
      </w:r>
      <w:r w:rsidRPr="00D31E3F">
        <w:rPr>
          <w:rFonts w:ascii="Arial" w:hAnsi="Arial" w:cs="Arial"/>
          <w:lang w:val="nl-NL"/>
        </w:rPr>
        <w:t>i 2011</w:t>
      </w:r>
    </w:p>
    <w:p w:rsidR="00165BBF" w:rsidRPr="00D31E3F" w:rsidRDefault="00165BBF">
      <w:pPr>
        <w:spacing w:after="200" w:line="276" w:lineRule="auto"/>
        <w:rPr>
          <w:rFonts w:ascii="Arial" w:hAnsi="Arial" w:cs="Arial"/>
          <w:lang w:val="nl-NL"/>
        </w:rPr>
      </w:pPr>
      <w:r w:rsidRPr="00D31E3F">
        <w:rPr>
          <w:rFonts w:ascii="Arial" w:hAnsi="Arial" w:cs="Arial"/>
          <w:lang w:val="nl-NL"/>
        </w:rPr>
        <w:br w:type="page"/>
      </w:r>
    </w:p>
    <w:p w:rsidR="00165BBF" w:rsidRPr="00D31E3F" w:rsidRDefault="00165BBF">
      <w:pPr>
        <w:rPr>
          <w:b/>
          <w:sz w:val="28"/>
          <w:szCs w:val="28"/>
          <w:lang w:val="nl-NL"/>
        </w:rPr>
      </w:pPr>
      <w:r w:rsidRPr="00D31E3F">
        <w:rPr>
          <w:b/>
          <w:sz w:val="28"/>
          <w:szCs w:val="28"/>
          <w:lang w:val="nl-NL"/>
        </w:rPr>
        <w:t>Inhoudsopgave</w:t>
      </w:r>
    </w:p>
    <w:p w:rsidR="00165BBF" w:rsidRDefault="00165BBF">
      <w:pPr>
        <w:pStyle w:val="TOC1"/>
        <w:tabs>
          <w:tab w:val="right" w:leader="dot" w:pos="9062"/>
        </w:tabs>
      </w:pPr>
    </w:p>
    <w:p w:rsidR="00165BBF" w:rsidRDefault="00165BBF">
      <w:pPr>
        <w:pStyle w:val="TOC1"/>
        <w:tabs>
          <w:tab w:val="right" w:leader="dot" w:pos="9062"/>
        </w:tabs>
        <w:rPr>
          <w:webHidden/>
        </w:rPr>
      </w:pPr>
      <w:r>
        <w:t>Inleiding</w:t>
      </w:r>
      <w:r w:rsidRPr="000D43EF">
        <w:rPr>
          <w:webHidden/>
        </w:rPr>
        <w:tab/>
      </w:r>
      <w:r w:rsidRPr="000D43EF">
        <w:rPr>
          <w:webHidden/>
        </w:rPr>
        <w:fldChar w:fldCharType="begin"/>
      </w:r>
      <w:r w:rsidRPr="000D43EF">
        <w:rPr>
          <w:webHidden/>
        </w:rPr>
        <w:instrText xml:space="preserve"> PAGEREF _Toc297060721 \h </w:instrText>
      </w:r>
      <w:r w:rsidRPr="000D43EF">
        <w:rPr>
          <w:webHidden/>
        </w:rPr>
      </w:r>
      <w:r w:rsidRPr="000D43EF">
        <w:rPr>
          <w:webHidden/>
        </w:rPr>
        <w:fldChar w:fldCharType="separate"/>
      </w:r>
      <w:r>
        <w:rPr>
          <w:noProof/>
          <w:webHidden/>
        </w:rPr>
        <w:t>2</w:t>
      </w:r>
      <w:r w:rsidRPr="000D43EF">
        <w:rPr>
          <w:webHidden/>
        </w:rPr>
        <w:fldChar w:fldCharType="end"/>
      </w:r>
    </w:p>
    <w:p w:rsidR="00165BBF" w:rsidRDefault="00165BBF">
      <w:pPr>
        <w:pStyle w:val="TOC1"/>
        <w:tabs>
          <w:tab w:val="right" w:leader="dot" w:pos="9062"/>
        </w:tabs>
        <w:rPr>
          <w:rFonts w:ascii="Calibri" w:hAnsi="Calibri"/>
          <w:b w:val="0"/>
          <w:bCs w:val="0"/>
          <w:caps w:val="0"/>
          <w:noProof/>
          <w:sz w:val="22"/>
          <w:szCs w:val="22"/>
        </w:rPr>
      </w:pPr>
      <w:r>
        <w:fldChar w:fldCharType="begin"/>
      </w:r>
      <w:r>
        <w:instrText xml:space="preserve"> TOC \o "1-2" \h \z \u </w:instrText>
      </w:r>
      <w:r>
        <w:fldChar w:fldCharType="separate"/>
      </w:r>
      <w:hyperlink w:anchor="_Toc297060721" w:history="1">
        <w:r>
          <w:rPr>
            <w:rStyle w:val="Hyperlink"/>
            <w:noProof/>
          </w:rPr>
          <w:t>hOOFDSTUK 1 VOORRAADWAARDERING VOLGENS GOED KOOPMANSGEBRUIK</w:t>
        </w:r>
        <w:r>
          <w:rPr>
            <w:noProof/>
            <w:webHidden/>
          </w:rPr>
          <w:tab/>
          <w:t>4</w:t>
        </w:r>
      </w:hyperlink>
    </w:p>
    <w:p w:rsidR="00165BBF" w:rsidRDefault="00165BBF" w:rsidP="000D43EF">
      <w:pPr>
        <w:pStyle w:val="TOC1"/>
        <w:tabs>
          <w:tab w:val="right" w:leader="dot" w:pos="9062"/>
        </w:tabs>
        <w:ind w:left="284"/>
        <w:rPr>
          <w:rFonts w:ascii="Calibri" w:hAnsi="Calibri"/>
          <w:b w:val="0"/>
          <w:bCs w:val="0"/>
          <w:caps w:val="0"/>
          <w:noProof/>
          <w:sz w:val="22"/>
          <w:szCs w:val="22"/>
        </w:rPr>
      </w:pPr>
      <w:r>
        <w:fldChar w:fldCharType="begin"/>
      </w:r>
      <w:r>
        <w:instrText xml:space="preserve"> TOC \o "1-2" \h \z \u </w:instrText>
      </w:r>
      <w:r>
        <w:fldChar w:fldCharType="separate"/>
      </w:r>
      <w:hyperlink w:anchor="_Toc297060721" w:history="1">
        <w:r w:rsidRPr="000D43EF">
          <w:rPr>
            <w:rStyle w:val="Hyperlink"/>
            <w:b w:val="0"/>
            <w:noProof/>
            <w:u w:val="none"/>
          </w:rPr>
          <w:t>1.1</w:t>
        </w:r>
        <w:r>
          <w:rPr>
            <w:rStyle w:val="Hyperlink"/>
            <w:b w:val="0"/>
            <w:noProof/>
            <w:u w:val="none"/>
          </w:rPr>
          <w:t xml:space="preserve"> </w:t>
        </w:r>
        <w:r w:rsidRPr="000D43EF">
          <w:rPr>
            <w:rStyle w:val="Hyperlink"/>
            <w:b w:val="0"/>
            <w:noProof/>
            <w:u w:val="none"/>
          </w:rPr>
          <w:t>Inleiding</w:t>
        </w:r>
        <w:r>
          <w:rPr>
            <w:noProof/>
            <w:webHidden/>
          </w:rPr>
          <w:tab/>
          <w:t>4</w:t>
        </w:r>
      </w:hyperlink>
    </w:p>
    <w:p w:rsidR="00165BBF" w:rsidRDefault="00165BBF" w:rsidP="000D43EF">
      <w:pPr>
        <w:pStyle w:val="TOC1"/>
        <w:tabs>
          <w:tab w:val="right" w:leader="dot" w:pos="9062"/>
        </w:tabs>
        <w:ind w:left="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1.2 Goed koopmansgebruik</w:t>
        </w:r>
        <w:r>
          <w:rPr>
            <w:noProof/>
            <w:webHidden/>
          </w:rPr>
          <w:tab/>
          <w:t>4</w:t>
        </w:r>
      </w:hyperlink>
    </w:p>
    <w:p w:rsidR="00165BBF" w:rsidRDefault="00165BBF" w:rsidP="000D43EF">
      <w:pPr>
        <w:pStyle w:val="TOC1"/>
        <w:tabs>
          <w:tab w:val="right" w:leader="dot" w:pos="9062"/>
        </w:tabs>
        <w:ind w:left="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1.3 voorraadwaardering</w:t>
        </w:r>
        <w:r>
          <w:rPr>
            <w:noProof/>
            <w:webHidden/>
          </w:rPr>
          <w:tab/>
          <w:t>6</w:t>
        </w:r>
      </w:hyperlink>
    </w:p>
    <w:p w:rsidR="00165BBF" w:rsidRPr="000D43EF" w:rsidRDefault="00165BBF" w:rsidP="000D43EF">
      <w:pPr>
        <w:pStyle w:val="TOC1"/>
        <w:tabs>
          <w:tab w:val="right" w:leader="dot" w:pos="9062"/>
        </w:tabs>
        <w:ind w:left="284"/>
        <w:rPr>
          <w:rFonts w:ascii="Calibri" w:hAnsi="Calibri"/>
          <w:b w:val="0"/>
          <w:bCs w:val="0"/>
          <w:caps w:val="0"/>
          <w:noProof/>
          <w:sz w:val="22"/>
          <w:szCs w:val="22"/>
        </w:rPr>
      </w:pPr>
      <w:r>
        <w:fldChar w:fldCharType="end"/>
      </w:r>
      <w:r w:rsidRPr="000D43EF">
        <w:fldChar w:fldCharType="begin"/>
      </w:r>
      <w:r w:rsidRPr="000D43EF">
        <w:instrText xml:space="preserve"> TOC \o "1-2" \h \z \u </w:instrText>
      </w:r>
      <w:r w:rsidRPr="000D43EF">
        <w:fldChar w:fldCharType="separate"/>
      </w:r>
      <w:hyperlink w:anchor="_Toc297060721" w:history="1">
        <w:r>
          <w:rPr>
            <w:rStyle w:val="Hyperlink"/>
            <w:b w:val="0"/>
            <w:noProof/>
            <w:u w:val="none"/>
          </w:rPr>
          <w:t>1.4 ONderhanden werk</w:t>
        </w:r>
        <w:r w:rsidRPr="000D43EF">
          <w:rPr>
            <w:noProof/>
            <w:webHidden/>
          </w:rPr>
          <w:tab/>
        </w:r>
        <w:r>
          <w:rPr>
            <w:noProof/>
            <w:webHidden/>
          </w:rPr>
          <w:t>11</w:t>
        </w:r>
      </w:hyperlink>
    </w:p>
    <w:p w:rsidR="00165BBF" w:rsidRDefault="00165BBF" w:rsidP="00EA6EF0">
      <w:pPr>
        <w:pStyle w:val="TOC1"/>
        <w:tabs>
          <w:tab w:val="right" w:leader="dot" w:pos="9062"/>
        </w:tabs>
        <w:ind w:firstLine="284"/>
        <w:rPr>
          <w:rFonts w:ascii="Calibri" w:hAnsi="Calibri"/>
          <w:b w:val="0"/>
          <w:bCs w:val="0"/>
          <w:caps w:val="0"/>
          <w:noProof/>
          <w:sz w:val="22"/>
          <w:szCs w:val="22"/>
        </w:rPr>
      </w:pPr>
      <w:r w:rsidRPr="000D43EF">
        <w:fldChar w:fldCharType="end"/>
      </w:r>
      <w:r>
        <w:fldChar w:fldCharType="end"/>
      </w:r>
      <w:r>
        <w:fldChar w:fldCharType="begin"/>
      </w:r>
      <w:r>
        <w:instrText xml:space="preserve"> TOC \o "1-2" \h \z \u </w:instrText>
      </w:r>
      <w:r>
        <w:fldChar w:fldCharType="separate"/>
      </w:r>
      <w:hyperlink w:anchor="_Toc297060721" w:history="1">
        <w:r>
          <w:rPr>
            <w:rStyle w:val="Hyperlink"/>
            <w:b w:val="0"/>
            <w:noProof/>
            <w:u w:val="none"/>
          </w:rPr>
          <w:t>1.5 Conclusie</w:t>
        </w:r>
        <w:r>
          <w:rPr>
            <w:noProof/>
            <w:webHidden/>
          </w:rPr>
          <w:tab/>
          <w:t>12</w:t>
        </w:r>
      </w:hyperlink>
    </w:p>
    <w:p w:rsidR="00165BBF" w:rsidRPr="00EA6EF0" w:rsidRDefault="00165BBF" w:rsidP="00EA6EF0">
      <w:pPr>
        <w:pStyle w:val="TOC1"/>
        <w:tabs>
          <w:tab w:val="right" w:leader="dot" w:pos="9062"/>
        </w:tabs>
        <w:rPr>
          <w:rFonts w:ascii="Calibri" w:hAnsi="Calibri"/>
          <w:b w:val="0"/>
          <w:bCs w:val="0"/>
          <w:caps w:val="0"/>
          <w:noProof/>
          <w:sz w:val="22"/>
          <w:szCs w:val="22"/>
        </w:rPr>
      </w:pPr>
      <w:r>
        <w:fldChar w:fldCharType="end"/>
      </w:r>
      <w:hyperlink w:anchor="_Toc297060721" w:history="1">
        <w:r w:rsidRPr="00EA6EF0">
          <w:rPr>
            <w:rStyle w:val="Hyperlink"/>
            <w:noProof/>
            <w:color w:val="auto"/>
            <w:u w:val="none"/>
          </w:rPr>
          <w:t xml:space="preserve">hOOFDSTUK </w:t>
        </w:r>
        <w:r>
          <w:rPr>
            <w:rStyle w:val="Hyperlink"/>
            <w:noProof/>
            <w:color w:val="auto"/>
            <w:u w:val="none"/>
          </w:rPr>
          <w:t>2</w:t>
        </w:r>
        <w:r w:rsidRPr="00EA6EF0">
          <w:rPr>
            <w:rStyle w:val="Hyperlink"/>
            <w:noProof/>
            <w:color w:val="auto"/>
            <w:u w:val="none"/>
          </w:rPr>
          <w:t xml:space="preserve"> VOORRAADWAARDERING VOLGENS </w:t>
        </w:r>
        <w:r>
          <w:rPr>
            <w:rStyle w:val="Hyperlink"/>
            <w:noProof/>
            <w:color w:val="auto"/>
            <w:u w:val="none"/>
          </w:rPr>
          <w:t>ifrs</w:t>
        </w:r>
        <w:r w:rsidRPr="00EA6EF0">
          <w:rPr>
            <w:noProof/>
            <w:webHidden/>
          </w:rPr>
          <w:tab/>
        </w:r>
        <w:r>
          <w:rPr>
            <w:noProof/>
            <w:webHidden/>
          </w:rPr>
          <w:t>1</w:t>
        </w:r>
        <w:r w:rsidRPr="00EA6EF0">
          <w:rPr>
            <w:noProof/>
            <w:webHidden/>
          </w:rPr>
          <w:t>4</w:t>
        </w:r>
      </w:hyperlink>
    </w:p>
    <w:p w:rsidR="00165BBF" w:rsidRDefault="00165BBF" w:rsidP="00751CE4">
      <w:pPr>
        <w:pStyle w:val="TOC1"/>
        <w:tabs>
          <w:tab w:val="right" w:leader="dot" w:pos="9062"/>
        </w:tabs>
        <w:ind w:left="284"/>
        <w:rPr>
          <w:rFonts w:ascii="Calibri" w:hAnsi="Calibri"/>
          <w:b w:val="0"/>
          <w:bCs w:val="0"/>
          <w:caps w:val="0"/>
          <w:noProof/>
          <w:sz w:val="22"/>
          <w:szCs w:val="22"/>
        </w:rPr>
      </w:pPr>
      <w:r>
        <w:fldChar w:fldCharType="begin"/>
      </w:r>
      <w:r>
        <w:instrText xml:space="preserve"> TOC \o "1-2" \h \z \u </w:instrText>
      </w:r>
      <w:r>
        <w:fldChar w:fldCharType="separate"/>
      </w:r>
      <w:hyperlink w:anchor="_Toc297060721" w:history="1">
        <w:r>
          <w:rPr>
            <w:rStyle w:val="Hyperlink"/>
            <w:b w:val="0"/>
            <w:noProof/>
            <w:u w:val="none"/>
          </w:rPr>
          <w:t>2</w:t>
        </w:r>
        <w:r w:rsidRPr="000D43EF">
          <w:rPr>
            <w:rStyle w:val="Hyperlink"/>
            <w:b w:val="0"/>
            <w:noProof/>
            <w:u w:val="none"/>
          </w:rPr>
          <w:t>.1</w:t>
        </w:r>
        <w:r>
          <w:rPr>
            <w:rStyle w:val="Hyperlink"/>
            <w:b w:val="0"/>
            <w:noProof/>
            <w:u w:val="none"/>
          </w:rPr>
          <w:t xml:space="preserve"> </w:t>
        </w:r>
        <w:r w:rsidRPr="000D43EF">
          <w:rPr>
            <w:rStyle w:val="Hyperlink"/>
            <w:b w:val="0"/>
            <w:noProof/>
            <w:u w:val="none"/>
          </w:rPr>
          <w:t>Inleiding</w:t>
        </w:r>
        <w:r>
          <w:rPr>
            <w:noProof/>
            <w:webHidden/>
          </w:rPr>
          <w:tab/>
          <w:t>14</w:t>
        </w:r>
      </w:hyperlink>
    </w:p>
    <w:p w:rsidR="00165BBF" w:rsidRDefault="00165BBF" w:rsidP="00751CE4">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2.2 ifrs</w:t>
        </w:r>
        <w:r>
          <w:rPr>
            <w:noProof/>
            <w:webHidden/>
          </w:rPr>
          <w:tab/>
          <w:t>14</w:t>
        </w:r>
      </w:hyperlink>
    </w:p>
    <w:p w:rsidR="00165BBF" w:rsidRDefault="00165BBF" w:rsidP="00751CE4">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2.3 voorraadwaardering</w:t>
        </w:r>
        <w:r>
          <w:rPr>
            <w:noProof/>
            <w:webHidden/>
          </w:rPr>
          <w:tab/>
          <w:t>15</w:t>
        </w:r>
      </w:hyperlink>
    </w:p>
    <w:p w:rsidR="00165BBF" w:rsidRDefault="00165BBF" w:rsidP="00751CE4">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2.4 Onderhanden werk</w:t>
        </w:r>
        <w:r>
          <w:rPr>
            <w:noProof/>
            <w:webHidden/>
          </w:rPr>
          <w:tab/>
          <w:t>17</w:t>
        </w:r>
      </w:hyperlink>
    </w:p>
    <w:p w:rsidR="00165BBF" w:rsidRDefault="00165BBF" w:rsidP="00751CE4">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2.5 ifrs versus Goed koopmansgebruik</w:t>
        </w:r>
        <w:r>
          <w:rPr>
            <w:noProof/>
            <w:webHidden/>
          </w:rPr>
          <w:tab/>
          <w:t>19</w:t>
        </w:r>
      </w:hyperlink>
    </w:p>
    <w:p w:rsidR="00165BBF" w:rsidRDefault="00165BBF" w:rsidP="00751CE4">
      <w:pPr>
        <w:pStyle w:val="TOC1"/>
        <w:tabs>
          <w:tab w:val="right" w:leader="dot" w:pos="9062"/>
        </w:tabs>
        <w:ind w:firstLine="284"/>
        <w:rPr>
          <w:rFonts w:ascii="Calibri" w:hAnsi="Calibri"/>
          <w:b w:val="0"/>
          <w:bCs w:val="0"/>
          <w:caps w:val="0"/>
          <w:noProof/>
          <w:sz w:val="22"/>
          <w:szCs w:val="22"/>
        </w:rPr>
      </w:pPr>
      <w:r>
        <w:fldChar w:fldCharType="end"/>
      </w:r>
      <w:r>
        <w:rPr>
          <w:b w:val="0"/>
        </w:rPr>
        <w:t>2.6 conclusie</w:t>
      </w:r>
      <w:r>
        <w:fldChar w:fldCharType="begin"/>
      </w:r>
      <w:r>
        <w:instrText xml:space="preserve"> TOC \o "1-2" \h \z \u </w:instrText>
      </w:r>
      <w:r>
        <w:fldChar w:fldCharType="separate"/>
      </w:r>
      <w:hyperlink w:anchor="_Toc297060721" w:history="1">
        <w:r>
          <w:rPr>
            <w:noProof/>
            <w:webHidden/>
          </w:rPr>
          <w:tab/>
          <w:t>21</w:t>
        </w:r>
      </w:hyperlink>
    </w:p>
    <w:p w:rsidR="00165BBF" w:rsidRPr="002E5497" w:rsidRDefault="00165BBF" w:rsidP="00E43EA2">
      <w:pPr>
        <w:pStyle w:val="TOC1"/>
        <w:tabs>
          <w:tab w:val="right" w:leader="dot" w:pos="9062"/>
        </w:tabs>
        <w:rPr>
          <w:rFonts w:ascii="Calibri" w:hAnsi="Calibri"/>
          <w:b w:val="0"/>
          <w:bCs w:val="0"/>
          <w:caps w:val="0"/>
          <w:noProof/>
          <w:sz w:val="22"/>
          <w:szCs w:val="22"/>
        </w:rPr>
      </w:pPr>
      <w:r>
        <w:fldChar w:fldCharType="end"/>
      </w:r>
      <w:hyperlink w:anchor="_Toc297060721" w:history="1">
        <w:r w:rsidRPr="002E5497">
          <w:rPr>
            <w:rStyle w:val="Hyperlink"/>
            <w:noProof/>
            <w:color w:val="auto"/>
            <w:u w:val="none"/>
          </w:rPr>
          <w:t>hOOFDSTUK 3 VOORRAADWAARDERING onder ccctb</w:t>
        </w:r>
        <w:r w:rsidRPr="002E5497">
          <w:rPr>
            <w:noProof/>
            <w:webHidden/>
          </w:rPr>
          <w:tab/>
          <w:t>23</w:t>
        </w:r>
      </w:hyperlink>
    </w:p>
    <w:p w:rsidR="00165BBF" w:rsidRDefault="00165BBF" w:rsidP="00E43EA2">
      <w:pPr>
        <w:pStyle w:val="TOC1"/>
        <w:tabs>
          <w:tab w:val="right" w:leader="dot" w:pos="9062"/>
        </w:tabs>
        <w:ind w:left="284"/>
        <w:rPr>
          <w:rFonts w:ascii="Calibri" w:hAnsi="Calibri"/>
          <w:b w:val="0"/>
          <w:bCs w:val="0"/>
          <w:caps w:val="0"/>
          <w:noProof/>
          <w:sz w:val="22"/>
          <w:szCs w:val="22"/>
        </w:rPr>
      </w:pPr>
      <w:r>
        <w:fldChar w:fldCharType="begin"/>
      </w:r>
      <w:r>
        <w:instrText xml:space="preserve"> TOC \o "1-2" \h \z \u </w:instrText>
      </w:r>
      <w:r>
        <w:fldChar w:fldCharType="separate"/>
      </w:r>
      <w:hyperlink w:anchor="_Toc297060721" w:history="1">
        <w:r>
          <w:rPr>
            <w:rStyle w:val="Hyperlink"/>
            <w:b w:val="0"/>
            <w:noProof/>
            <w:u w:val="none"/>
          </w:rPr>
          <w:t xml:space="preserve">3.1 </w:t>
        </w:r>
        <w:r w:rsidRPr="000D43EF">
          <w:rPr>
            <w:rStyle w:val="Hyperlink"/>
            <w:b w:val="0"/>
            <w:noProof/>
            <w:u w:val="none"/>
          </w:rPr>
          <w:t>Inleiding</w:t>
        </w:r>
        <w:r>
          <w:rPr>
            <w:noProof/>
            <w:webHidden/>
          </w:rPr>
          <w:tab/>
          <w:t>23</w:t>
        </w:r>
      </w:hyperlink>
    </w:p>
    <w:p w:rsidR="00165BBF" w:rsidRDefault="00165BBF" w:rsidP="00E43EA2">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3.2 op weg naar de ccctb</w:t>
        </w:r>
        <w:r>
          <w:rPr>
            <w:noProof/>
            <w:webHidden/>
          </w:rPr>
          <w:tab/>
          <w:t>23</w:t>
        </w:r>
      </w:hyperlink>
    </w:p>
    <w:p w:rsidR="00165BBF" w:rsidRDefault="00165BBF" w:rsidP="00E43EA2">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3.3 winstbepaling</w:t>
        </w:r>
        <w:r>
          <w:rPr>
            <w:noProof/>
            <w:webHidden/>
          </w:rPr>
          <w:tab/>
          <w:t>24</w:t>
        </w:r>
      </w:hyperlink>
    </w:p>
    <w:p w:rsidR="00165BBF" w:rsidRDefault="00165BBF" w:rsidP="00E43EA2">
      <w:pPr>
        <w:pStyle w:val="TOC1"/>
        <w:tabs>
          <w:tab w:val="right" w:leader="dot" w:pos="9062"/>
        </w:tabs>
        <w:ind w:firstLine="284"/>
        <w:rPr>
          <w:rFonts w:ascii="Calibri" w:hAnsi="Calibri"/>
          <w:b w:val="0"/>
          <w:bCs w:val="0"/>
          <w:caps w:val="0"/>
          <w:noProof/>
          <w:sz w:val="22"/>
          <w:szCs w:val="22"/>
        </w:rPr>
      </w:pPr>
      <w:r>
        <w:fldChar w:fldCharType="end"/>
      </w:r>
      <w:r>
        <w:fldChar w:fldCharType="begin"/>
      </w:r>
      <w:r>
        <w:instrText xml:space="preserve"> TOC \o "1-2" \h \z \u </w:instrText>
      </w:r>
      <w:r>
        <w:fldChar w:fldCharType="separate"/>
      </w:r>
      <w:hyperlink w:anchor="_Toc297060721" w:history="1">
        <w:r>
          <w:rPr>
            <w:rStyle w:val="Hyperlink"/>
            <w:b w:val="0"/>
            <w:noProof/>
            <w:u w:val="none"/>
          </w:rPr>
          <w:t>3.4 ccctb: huidige stand van zaken</w:t>
        </w:r>
        <w:r>
          <w:rPr>
            <w:noProof/>
            <w:webHidden/>
          </w:rPr>
          <w:tab/>
          <w:t>27</w:t>
        </w:r>
      </w:hyperlink>
    </w:p>
    <w:p w:rsidR="00165BBF" w:rsidRPr="002E5497" w:rsidRDefault="00165BBF" w:rsidP="00E43EA2">
      <w:pPr>
        <w:pStyle w:val="TOC1"/>
        <w:tabs>
          <w:tab w:val="right" w:leader="dot" w:pos="9062"/>
        </w:tabs>
        <w:ind w:firstLine="284"/>
        <w:rPr>
          <w:rFonts w:ascii="Calibri" w:hAnsi="Calibri"/>
          <w:b w:val="0"/>
          <w:bCs w:val="0"/>
          <w:caps w:val="0"/>
          <w:noProof/>
          <w:sz w:val="22"/>
          <w:szCs w:val="22"/>
        </w:rPr>
      </w:pPr>
      <w:r>
        <w:fldChar w:fldCharType="end"/>
      </w:r>
      <w:r w:rsidRPr="002E5497">
        <w:fldChar w:fldCharType="begin"/>
      </w:r>
      <w:r w:rsidRPr="002E5497">
        <w:instrText xml:space="preserve"> TOC \o "1-2" \h \z \u </w:instrText>
      </w:r>
      <w:r w:rsidRPr="002E5497">
        <w:fldChar w:fldCharType="separate"/>
      </w:r>
      <w:hyperlink w:anchor="_Toc297060721" w:history="1">
        <w:r w:rsidRPr="002E5497">
          <w:rPr>
            <w:rStyle w:val="Hyperlink"/>
            <w:b w:val="0"/>
            <w:noProof/>
            <w:color w:val="auto"/>
            <w:u w:val="none"/>
          </w:rPr>
          <w:t>3.5 conclusie</w:t>
        </w:r>
        <w:r w:rsidRPr="002E5497">
          <w:rPr>
            <w:noProof/>
            <w:webHidden/>
          </w:rPr>
          <w:tab/>
          <w:t>2</w:t>
        </w:r>
      </w:hyperlink>
      <w:r>
        <w:t>9</w:t>
      </w:r>
    </w:p>
    <w:p w:rsidR="00165BBF" w:rsidRPr="002E5497" w:rsidRDefault="00165BBF" w:rsidP="002E5497">
      <w:pPr>
        <w:pStyle w:val="TOC1"/>
        <w:tabs>
          <w:tab w:val="right" w:leader="dot" w:pos="9062"/>
        </w:tabs>
        <w:rPr>
          <w:rFonts w:ascii="Calibri" w:hAnsi="Calibri"/>
          <w:b w:val="0"/>
          <w:bCs w:val="0"/>
          <w:caps w:val="0"/>
          <w:noProof/>
          <w:sz w:val="22"/>
          <w:szCs w:val="22"/>
        </w:rPr>
      </w:pPr>
      <w:r w:rsidRPr="002E5497">
        <w:fldChar w:fldCharType="end"/>
      </w:r>
      <w:hyperlink w:anchor="_Toc297060721" w:history="1">
        <w:r w:rsidRPr="002E5497">
          <w:rPr>
            <w:rStyle w:val="Hyperlink"/>
            <w:noProof/>
            <w:color w:val="auto"/>
            <w:u w:val="none"/>
          </w:rPr>
          <w:t>hOOFDSTUK 4 conclusie</w:t>
        </w:r>
        <w:r w:rsidRPr="002E5497">
          <w:rPr>
            <w:noProof/>
            <w:webHidden/>
          </w:rPr>
          <w:tab/>
        </w:r>
        <w:r>
          <w:rPr>
            <w:noProof/>
            <w:webHidden/>
          </w:rPr>
          <w:t>3</w:t>
        </w:r>
      </w:hyperlink>
      <w:r>
        <w:t>1</w:t>
      </w:r>
    </w:p>
    <w:p w:rsidR="00165BBF" w:rsidRPr="002E5497" w:rsidRDefault="00165BBF" w:rsidP="002E5497">
      <w:pPr>
        <w:pStyle w:val="TOC1"/>
        <w:tabs>
          <w:tab w:val="right" w:leader="dot" w:pos="9062"/>
        </w:tabs>
        <w:rPr>
          <w:rFonts w:ascii="Calibri" w:hAnsi="Calibri"/>
          <w:b w:val="0"/>
          <w:bCs w:val="0"/>
          <w:caps w:val="0"/>
          <w:noProof/>
          <w:sz w:val="22"/>
          <w:szCs w:val="22"/>
        </w:rPr>
      </w:pPr>
      <w:hyperlink w:anchor="_Toc297060721" w:history="1">
        <w:r>
          <w:rPr>
            <w:rStyle w:val="Hyperlink"/>
            <w:noProof/>
            <w:color w:val="auto"/>
            <w:u w:val="none"/>
          </w:rPr>
          <w:t>bijlage rekenvoorbeelden</w:t>
        </w:r>
        <w:r w:rsidRPr="002E5497">
          <w:rPr>
            <w:noProof/>
            <w:webHidden/>
          </w:rPr>
          <w:tab/>
        </w:r>
        <w:r>
          <w:rPr>
            <w:noProof/>
            <w:webHidden/>
          </w:rPr>
          <w:t>3</w:t>
        </w:r>
      </w:hyperlink>
      <w:r>
        <w:t>3</w:t>
      </w:r>
    </w:p>
    <w:p w:rsidR="00165BBF" w:rsidRPr="002E5497" w:rsidRDefault="00165BBF" w:rsidP="002E5497">
      <w:pPr>
        <w:pStyle w:val="TOC1"/>
        <w:tabs>
          <w:tab w:val="right" w:leader="dot" w:pos="9062"/>
        </w:tabs>
        <w:rPr>
          <w:rFonts w:ascii="Calibri" w:hAnsi="Calibri"/>
          <w:b w:val="0"/>
          <w:bCs w:val="0"/>
          <w:caps w:val="0"/>
          <w:noProof/>
          <w:sz w:val="22"/>
          <w:szCs w:val="22"/>
        </w:rPr>
      </w:pPr>
      <w:hyperlink w:anchor="_Toc297060721" w:history="1">
        <w:r>
          <w:rPr>
            <w:rStyle w:val="Hyperlink"/>
            <w:noProof/>
            <w:color w:val="auto"/>
            <w:u w:val="none"/>
          </w:rPr>
          <w:t>bronvermelding</w:t>
        </w:r>
        <w:r w:rsidRPr="002E5497">
          <w:rPr>
            <w:noProof/>
            <w:webHidden/>
          </w:rPr>
          <w:tab/>
        </w:r>
        <w:r>
          <w:rPr>
            <w:noProof/>
            <w:webHidden/>
          </w:rPr>
          <w:t>3</w:t>
        </w:r>
      </w:hyperlink>
      <w:r>
        <w:t>6</w:t>
      </w:r>
    </w:p>
    <w:p w:rsidR="00165BBF" w:rsidRDefault="00165BBF">
      <w:pPr>
        <w:spacing w:after="200" w:line="276" w:lineRule="auto"/>
        <w:rPr>
          <w:lang w:val="nl-NL"/>
        </w:rPr>
      </w:pPr>
    </w:p>
    <w:p w:rsidR="00165BBF" w:rsidRPr="00D31E3F" w:rsidRDefault="00165BBF">
      <w:pPr>
        <w:spacing w:after="200" w:line="276" w:lineRule="auto"/>
        <w:rPr>
          <w:lang w:val="nl-NL"/>
        </w:rPr>
      </w:pPr>
      <w:r w:rsidRPr="00D31E3F">
        <w:rPr>
          <w:lang w:val="nl-NL"/>
        </w:rPr>
        <w:br w:type="page"/>
      </w:r>
    </w:p>
    <w:p w:rsidR="00165BBF" w:rsidRPr="00D31E3F" w:rsidRDefault="00165BBF" w:rsidP="00C265C0">
      <w:pPr>
        <w:pStyle w:val="Heading1"/>
        <w:spacing w:line="360" w:lineRule="auto"/>
        <w:rPr>
          <w:sz w:val="28"/>
          <w:szCs w:val="28"/>
        </w:rPr>
      </w:pPr>
      <w:bookmarkStart w:id="0" w:name="_Toc297060721"/>
      <w:r w:rsidRPr="00D31E3F">
        <w:rPr>
          <w:sz w:val="28"/>
          <w:szCs w:val="28"/>
        </w:rPr>
        <w:t>Inleiding</w:t>
      </w:r>
      <w:bookmarkEnd w:id="0"/>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 xml:space="preserve">In Europees verband is onderzocht of een Europese winstbelasting haalbaar is. Dit bleek niet het geval te zijn, </w:t>
      </w:r>
      <w:r>
        <w:rPr>
          <w:lang w:val="nl-NL"/>
        </w:rPr>
        <w:t xml:space="preserve">mede </w:t>
      </w:r>
      <w:r w:rsidRPr="00D31E3F">
        <w:rPr>
          <w:lang w:val="nl-NL"/>
        </w:rPr>
        <w:t>door de zeer vele en grote onderlinge verschillen tussen de nationale belastingsystemen van de afzonderlijke lidstaten. Gekeken wordt nu of harmonisatie mogelijk is, door de invoering van een gemeenschappelijke grondslag waarover EU-lidstaten hun winstbelasting heffen.</w:t>
      </w:r>
      <w:r w:rsidRPr="00D31E3F">
        <w:rPr>
          <w:rStyle w:val="FootnoteReference"/>
          <w:lang w:val="nl-NL"/>
        </w:rPr>
        <w:footnoteReference w:id="2"/>
      </w:r>
      <w:r w:rsidRPr="00D31E3F">
        <w:rPr>
          <w:lang w:val="nl-NL"/>
        </w:rPr>
        <w:t xml:space="preserve"> Het gaat om de CCCTB, de Common Consolidated Corporate Tax Base. Hiertoe heeft de Europese Commissie de CCCTB-Working Group in het leven geroepen. Deze werkgroep is onderverdeeld in diverse sub-werkgroepen. De werkgroep heeft zogenoemde working papers geschreven, met als doel tot een (concept)richtlijn inzake de CCCTB te komen.</w:t>
      </w:r>
      <w:r w:rsidRPr="00D31E3F">
        <w:rPr>
          <w:rStyle w:val="FootnoteReference"/>
          <w:lang w:val="nl-NL"/>
        </w:rPr>
        <w:footnoteReference w:id="3"/>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In eerste aanleg werd voor een geharmoniseerde grondslag aansluiting gezocht bij de International Financial Reporting Standards (IFRS). De IFRS regels zijn ontwikkeld door de International Accounting Standards Board (IASB). Deze gezaghebbende organisatie is een internationaal samenwerkingsverband van nationale accountantsorganisaties en heeft als doel om op wereldniveau de regels voor de externe verslaggeving te harmoniseren.</w:t>
      </w:r>
      <w:r w:rsidRPr="00D31E3F">
        <w:rPr>
          <w:rStyle w:val="FootnoteReference"/>
          <w:lang w:val="nl-NL"/>
        </w:rPr>
        <w:footnoteReference w:id="4"/>
      </w:r>
      <w:r w:rsidRPr="00D31E3F">
        <w:rPr>
          <w:lang w:val="nl-NL"/>
        </w:rPr>
        <w:t xml:space="preserve"> Het is echter niet mogelijk gebleken om een formele link te leggen met IAS/IFRS. Dit komt doordat vele lidstaten het gebruik van IAS/IFRS niet voor alle bedrijven toestaan en doordat bepaalde regels niet geschikt bleken voor belastingdoeleinden. Gesteld wordt dat bedrijven daarom uit moeten gaan van de nationale GAAP (generally accepted accounting principles) en op een aantal punten aanpassingen zullen moeten maken om tegemoet te komen aan de uniforme basis van de CCCTB.</w:t>
      </w:r>
      <w:r w:rsidRPr="00D31E3F">
        <w:rPr>
          <w:rStyle w:val="FootnoteReference"/>
          <w:lang w:val="nl-NL"/>
        </w:rPr>
        <w:footnoteReference w:id="5"/>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In 2005 zijn de IFRS regels verplicht gesteld voor Europese beursgenoteerde bedrijven. Zoals gezegd zijn de IFRS regels voorgeschreven voor de externe verslaggeving, gericht op de commerciële jaarrekening. In Nederland ontstaat hierdoor op sommige punten spanning met de fiscale jaarrekening, die gebaseerd is op goed</w:t>
      </w:r>
      <w:r>
        <w:rPr>
          <w:lang w:val="nl-NL"/>
        </w:rPr>
        <w:t xml:space="preserve"> </w:t>
      </w:r>
      <w:r w:rsidRPr="00D31E3F">
        <w:rPr>
          <w:lang w:val="nl-NL"/>
        </w:rPr>
        <w:t xml:space="preserve">koopmansgebruik (art. 3.25 wet IB). </w:t>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Een van deze punten betreft de voorraadwaardering. Uit jurisprudentie is gebleken dat voorraadwaardering voor de fiscale jaarrekening mag geschieden tegen kostprijs of lagere marktwaarde, of op basis van het lifo-, fifo- of ijzerenvoorraadstelsel. Deze methoden zijn in overeenstemming met goed koopmansgebruik.</w:t>
      </w:r>
      <w:r w:rsidRPr="00D31E3F">
        <w:rPr>
          <w:rStyle w:val="FootnoteReference"/>
          <w:lang w:val="nl-NL"/>
        </w:rPr>
        <w:footnoteReference w:id="6"/>
      </w:r>
      <w:r w:rsidRPr="00D31E3F">
        <w:rPr>
          <w:lang w:val="nl-NL"/>
        </w:rPr>
        <w:t xml:space="preserve"> Maar de invulling die de IASB aan voorraadwaardering heeft gegeven verschilt met de invulling van goed koopmansgebruik.</w:t>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 xml:space="preserve">De CCCTB werkgroep komt in working paper 57 met een voorstel met betrekking tot de wijze van voorraadwaardering. Benadrukt wordt dat de belastingbetaler consistent moet zijn in zijn keuze. </w:t>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In deze scriptie wil ik onderzoeken of de volgens goedkoopmansgebruik toegestane methoden voor fiscale voorraadwaardering passen binnen de accountantsregels van IFRS en de regels van een mogelijke Europese belastinggrondslag (CCCTB). Hiertoe heb ik de volgende onderzoeksvraag geformuleerd:</w:t>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i/>
          <w:iCs/>
          <w:lang w:val="nl-NL"/>
        </w:rPr>
        <w:t>“Zijn de in Nederland fiscaal toegestane methoden van voorraadwaardering houdbaar voor de CCCTB?”</w:t>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Om deze vraag te kunnen beantwoorden heb ik de volgende deelvragen geformuleerd:</w:t>
      </w:r>
    </w:p>
    <w:p w:rsidR="00165BBF" w:rsidRPr="00D31E3F" w:rsidRDefault="00165BBF" w:rsidP="00C265C0">
      <w:pPr>
        <w:numPr>
          <w:ilvl w:val="0"/>
          <w:numId w:val="1"/>
        </w:numPr>
        <w:spacing w:line="360" w:lineRule="auto"/>
        <w:rPr>
          <w:lang w:val="nl-NL"/>
        </w:rPr>
      </w:pPr>
      <w:r w:rsidRPr="00D31E3F">
        <w:rPr>
          <w:lang w:val="nl-NL"/>
        </w:rPr>
        <w:t>Hoe vindt voorraadwaardering plaats volgens goedkoopmansgebruik?</w:t>
      </w:r>
    </w:p>
    <w:p w:rsidR="00165BBF" w:rsidRPr="00D31E3F" w:rsidRDefault="00165BBF" w:rsidP="00C265C0">
      <w:pPr>
        <w:numPr>
          <w:ilvl w:val="0"/>
          <w:numId w:val="1"/>
        </w:numPr>
        <w:spacing w:line="360" w:lineRule="auto"/>
        <w:rPr>
          <w:u w:val="double"/>
          <w:lang w:val="nl-NL"/>
        </w:rPr>
      </w:pPr>
      <w:r w:rsidRPr="00D31E3F">
        <w:rPr>
          <w:lang w:val="nl-NL"/>
        </w:rPr>
        <w:t>Hoe vindt voorraadwaardering plaats volgens IFRS?</w:t>
      </w:r>
    </w:p>
    <w:p w:rsidR="00165BBF" w:rsidRPr="00D31E3F" w:rsidRDefault="00165BBF" w:rsidP="00C265C0">
      <w:pPr>
        <w:numPr>
          <w:ilvl w:val="0"/>
          <w:numId w:val="1"/>
        </w:numPr>
        <w:spacing w:line="360" w:lineRule="auto"/>
        <w:rPr>
          <w:u w:val="double"/>
          <w:lang w:val="nl-NL"/>
        </w:rPr>
      </w:pPr>
      <w:r w:rsidRPr="00D31E3F">
        <w:rPr>
          <w:lang w:val="nl-NL"/>
        </w:rPr>
        <w:t>Hoe vindt voorraadwaardering plaats volgens de CCCTB-werkgroep?</w:t>
      </w:r>
    </w:p>
    <w:p w:rsidR="00165BBF" w:rsidRPr="00D31E3F" w:rsidRDefault="00165BBF" w:rsidP="00C265C0">
      <w:pPr>
        <w:spacing w:line="360" w:lineRule="auto"/>
        <w:rPr>
          <w:lang w:val="nl-NL"/>
        </w:rPr>
      </w:pPr>
    </w:p>
    <w:p w:rsidR="00165BBF" w:rsidRPr="00D31E3F" w:rsidRDefault="00165BBF" w:rsidP="00C265C0">
      <w:pPr>
        <w:spacing w:line="360" w:lineRule="auto"/>
        <w:rPr>
          <w:lang w:val="nl-NL"/>
        </w:rPr>
      </w:pPr>
      <w:r w:rsidRPr="00D31E3F">
        <w:rPr>
          <w:lang w:val="nl-NL"/>
        </w:rPr>
        <w:t>Bovengenoemde vragen zullen door middel van een literatuuronderzoek beantwoord worden.</w:t>
      </w:r>
    </w:p>
    <w:p w:rsidR="00165BBF" w:rsidRPr="00D31E3F" w:rsidRDefault="00165BBF" w:rsidP="00C265C0">
      <w:pPr>
        <w:spacing w:line="360" w:lineRule="auto"/>
        <w:rPr>
          <w:u w:val="double"/>
          <w:lang w:val="nl-NL"/>
        </w:rPr>
      </w:pPr>
      <w:r w:rsidRPr="00D31E3F">
        <w:rPr>
          <w:lang w:val="nl-NL"/>
        </w:rPr>
        <w:t>Deze scriptie zal bestaan uit vier hoofdstukken: in hoofdstuk 1, 2 en 3 zullen respectievelijk deelvragen 1, 2 en 3 aan bod komen. Hoofdstuk 4 bevat de conclusie en daarmee het antwoord op de probleemstelling.</w:t>
      </w:r>
    </w:p>
    <w:p w:rsidR="00165BBF" w:rsidRPr="00D31E3F" w:rsidRDefault="00165BBF">
      <w:pPr>
        <w:spacing w:after="200" w:line="276" w:lineRule="auto"/>
        <w:rPr>
          <w:lang w:val="nl-NL"/>
        </w:rPr>
      </w:pPr>
      <w:r w:rsidRPr="00D31E3F">
        <w:rPr>
          <w:lang w:val="nl-NL"/>
        </w:rPr>
        <w:br w:type="page"/>
      </w:r>
    </w:p>
    <w:p w:rsidR="00165BBF" w:rsidRPr="00D31E3F" w:rsidRDefault="00165BBF" w:rsidP="0086751F">
      <w:pPr>
        <w:spacing w:line="360" w:lineRule="auto"/>
        <w:rPr>
          <w:b/>
          <w:sz w:val="28"/>
          <w:szCs w:val="28"/>
          <w:lang w:val="nl-NL"/>
        </w:rPr>
      </w:pPr>
      <w:r w:rsidRPr="00D31E3F">
        <w:rPr>
          <w:b/>
          <w:sz w:val="28"/>
          <w:szCs w:val="28"/>
          <w:lang w:val="nl-NL"/>
        </w:rPr>
        <w:t>Hoofdstuk 1</w:t>
      </w:r>
      <w:r w:rsidRPr="00D31E3F">
        <w:rPr>
          <w:b/>
          <w:sz w:val="28"/>
          <w:szCs w:val="28"/>
          <w:lang w:val="nl-NL"/>
        </w:rPr>
        <w:tab/>
        <w:t>Voorraadwaardering volgens goed koopmansgebruik</w:t>
      </w:r>
    </w:p>
    <w:p w:rsidR="00165BBF" w:rsidRPr="00D31E3F" w:rsidRDefault="00165BBF" w:rsidP="0086751F">
      <w:pPr>
        <w:spacing w:line="360" w:lineRule="auto"/>
        <w:rPr>
          <w:b/>
          <w:lang w:val="nl-NL"/>
        </w:rPr>
      </w:pPr>
    </w:p>
    <w:p w:rsidR="00165BBF" w:rsidRPr="00D31E3F" w:rsidRDefault="00165BBF" w:rsidP="0086751F">
      <w:pPr>
        <w:spacing w:line="360" w:lineRule="auto"/>
        <w:rPr>
          <w:b/>
          <w:lang w:val="nl-NL"/>
        </w:rPr>
      </w:pPr>
      <w:r w:rsidRPr="00D31E3F">
        <w:rPr>
          <w:b/>
          <w:lang w:val="nl-NL"/>
        </w:rPr>
        <w:t>1.1 Inleiding</w:t>
      </w:r>
    </w:p>
    <w:p w:rsidR="00165BBF" w:rsidRPr="00D31E3F" w:rsidRDefault="00165BBF" w:rsidP="0086751F">
      <w:pPr>
        <w:spacing w:line="360" w:lineRule="auto"/>
        <w:rPr>
          <w:lang w:val="nl-NL"/>
        </w:rPr>
      </w:pPr>
      <w:r w:rsidRPr="00D31E3F">
        <w:rPr>
          <w:lang w:val="nl-NL"/>
        </w:rPr>
        <w:t>Dit eerste hoofdstuk gaat over de in Nederland fiscaal toegestane methoden van voorraadwaardering. In de wettekst is nergens opgenomen welke specifieke methoden wel en welke niet gehanteerd mogen worden. Wel wordt in artikel 3.25 IB (betreffende de jaarwinst) het begrip goed koopmansgebruik genoemd. Dit begrip omvat een aantal beginselen die bepalend zijn voor de totstandkoming van de jaarwinst. Jurisprudentie heeft invulling gegeven aan wat goed koopmansgebruik inhoudt. Hieruit is naar voren gekomen dat bepaalde methoden van voorraadwaardering fiscaal niet toegestaan zijn. Dit hoofdstuk geeft antwoord op de vraag:</w:t>
      </w:r>
    </w:p>
    <w:p w:rsidR="00165BBF" w:rsidRPr="00D31E3F" w:rsidRDefault="00165BBF" w:rsidP="0086751F">
      <w:pPr>
        <w:spacing w:line="360" w:lineRule="auto"/>
        <w:rPr>
          <w:lang w:val="nl-NL"/>
        </w:rPr>
      </w:pPr>
      <w:r w:rsidRPr="00D31E3F">
        <w:rPr>
          <w:lang w:val="nl-NL"/>
        </w:rPr>
        <w:t>“Hoe vindt voorraadwaardering plaats volgens goedkoopmansgebruik?”</w:t>
      </w:r>
    </w:p>
    <w:p w:rsidR="00165BBF" w:rsidRPr="00D31E3F" w:rsidRDefault="00165BBF" w:rsidP="0086751F">
      <w:pPr>
        <w:spacing w:line="360" w:lineRule="auto"/>
        <w:rPr>
          <w:lang w:val="nl-NL"/>
        </w:rPr>
      </w:pPr>
    </w:p>
    <w:p w:rsidR="00165BBF" w:rsidRPr="00D31E3F" w:rsidRDefault="00165BBF" w:rsidP="0086751F">
      <w:pPr>
        <w:spacing w:line="360" w:lineRule="auto"/>
        <w:rPr>
          <w:lang w:val="nl-NL"/>
        </w:rPr>
      </w:pPr>
      <w:r w:rsidRPr="00D31E3F">
        <w:rPr>
          <w:b/>
          <w:lang w:val="nl-NL"/>
        </w:rPr>
        <w:t>1.2 Goed Koopmansgebruik</w:t>
      </w:r>
    </w:p>
    <w:p w:rsidR="00165BBF" w:rsidRPr="00D31E3F" w:rsidRDefault="00165BBF" w:rsidP="0086751F">
      <w:pPr>
        <w:spacing w:line="360" w:lineRule="auto"/>
        <w:rPr>
          <w:lang w:val="nl-NL"/>
        </w:rPr>
      </w:pPr>
      <w:r w:rsidRPr="00D31E3F">
        <w:rPr>
          <w:lang w:val="nl-NL"/>
        </w:rPr>
        <w:t xml:space="preserve">Het uitgangspunt voor de bepaling van de jaarwinst is artikel 3.25 IB. Dit artikel luidt als volgt: </w:t>
      </w:r>
      <w:r w:rsidRPr="00D31E3F">
        <w:rPr>
          <w:i/>
          <w:lang w:val="nl-NL"/>
        </w:rPr>
        <w:t>“De in een kalenderjaar genoten winst wordt bepaald volgens goed koopmansgebruik, met inachtneming van een bestendige gedragslijn die onafhankelijk is van de vermoedelijke uitkomst. De bestendige gedragslijn kan alleen worden gewijzigd indien goed koopmansgebruik dit rechtvaardigt.”</w:t>
      </w:r>
    </w:p>
    <w:p w:rsidR="00165BBF" w:rsidRPr="00D31E3F" w:rsidRDefault="00165BBF" w:rsidP="0086751F">
      <w:pPr>
        <w:spacing w:line="360" w:lineRule="auto"/>
        <w:rPr>
          <w:lang w:val="nl-NL"/>
        </w:rPr>
      </w:pPr>
      <w:r w:rsidRPr="00D31E3F">
        <w:rPr>
          <w:lang w:val="nl-NL"/>
        </w:rPr>
        <w:t>Het goed koopmansgebruik speelt een centrale rol in de bepaling voor de jaarwinst. Maar nergens in de wet is opgenomen wat dit goed koopmansgebruik precies inhoudt. Bewust is ervoor gekozen om de invulling van dit begrip tot stand te laten komen door jurisprudentie. Hierdoor is het een dynamisch begrip en past het goed koopmansgebruik zich aan aan de eisen van de tijd.</w:t>
      </w:r>
      <w:r w:rsidRPr="00D31E3F">
        <w:rPr>
          <w:rStyle w:val="FootnoteReference"/>
          <w:lang w:val="nl-NL"/>
        </w:rPr>
        <w:footnoteReference w:id="7"/>
      </w:r>
    </w:p>
    <w:p w:rsidR="00165BBF" w:rsidRPr="00D31E3F" w:rsidRDefault="00165BBF" w:rsidP="0086751F">
      <w:pPr>
        <w:spacing w:line="360" w:lineRule="auto"/>
        <w:rPr>
          <w:lang w:val="nl-NL"/>
        </w:rPr>
      </w:pPr>
    </w:p>
    <w:p w:rsidR="00165BBF" w:rsidRPr="00D31E3F" w:rsidRDefault="00165BBF" w:rsidP="0086751F">
      <w:pPr>
        <w:spacing w:line="360" w:lineRule="auto"/>
        <w:rPr>
          <w:lang w:val="nl-NL"/>
        </w:rPr>
      </w:pPr>
      <w:r w:rsidRPr="00D31E3F">
        <w:rPr>
          <w:lang w:val="nl-NL"/>
        </w:rPr>
        <w:t>Een belangrijk arrest was HR 8 mei 1957, BNB 1957/208. Hierin is bepaald dat in beginsel de opvattingen van de bedrijfseconomie omtrent de juiste wijze van winstbepaling als uitgangspunt dienen voor goed koopmansgebruik. Dit gaat echter niet op als de bedrijfseconomische inzichten in strijd zijn met een belastingwet, of in strijd zijn met de algemene opzet of een beginsel van de belastingwet.</w:t>
      </w:r>
    </w:p>
    <w:p w:rsidR="00165BBF" w:rsidRPr="00D31E3F" w:rsidRDefault="00165BBF" w:rsidP="0086751F">
      <w:pPr>
        <w:spacing w:line="360" w:lineRule="auto"/>
        <w:rPr>
          <w:lang w:val="nl-NL"/>
        </w:rPr>
      </w:pPr>
    </w:p>
    <w:p w:rsidR="00165BBF" w:rsidRPr="00D31E3F" w:rsidRDefault="00165BBF" w:rsidP="0086751F">
      <w:pPr>
        <w:spacing w:line="360" w:lineRule="auto"/>
        <w:rPr>
          <w:lang w:val="nl-NL"/>
        </w:rPr>
      </w:pPr>
    </w:p>
    <w:p w:rsidR="00165BBF" w:rsidRPr="00D31E3F" w:rsidRDefault="00165BBF" w:rsidP="0086751F">
      <w:pPr>
        <w:spacing w:line="360" w:lineRule="auto"/>
        <w:rPr>
          <w:lang w:val="nl-NL"/>
        </w:rPr>
      </w:pPr>
      <w:r w:rsidRPr="00D31E3F">
        <w:rPr>
          <w:lang w:val="nl-NL"/>
        </w:rPr>
        <w:t>In artikel 3.25 IB is sprake van een ‘bestendige gedragslijn’. Deze eis gaat uit van de continuïteit van de onderneming en is gericht op de vergelijkbaarheid van de jaarresultaten. De ondernemer is vrij in zijn keuze voor een winstbepalingsstelsel, zo lang dit binnen de grenzen van goed koopmansgebruik blijft. Een stelselwijziging is toelaatbaar als er bijvoorbeeld sprake is van verbeterde inzichten of veranderingen in wettelijke bepalingen.</w:t>
      </w:r>
      <w:r w:rsidRPr="00D31E3F">
        <w:rPr>
          <w:rStyle w:val="FootnoteReference"/>
          <w:lang w:val="nl-NL"/>
        </w:rPr>
        <w:footnoteReference w:id="8"/>
      </w:r>
      <w:r w:rsidRPr="00D31E3F">
        <w:rPr>
          <w:lang w:val="nl-NL"/>
        </w:rPr>
        <w:t xml:space="preserve"> Een stelselwijziging is niet toegestaan als dit een incidenteel fiscaal voordeel tot gevolg heeft. Of het nieuwe stelsel tot een betere wijze van winstbepaling zou leiden is in dat geval niet relevant (HR 10 september 1986, BNB 1986/323).</w:t>
      </w:r>
    </w:p>
    <w:p w:rsidR="00165BBF" w:rsidRPr="00D31E3F" w:rsidRDefault="00165BBF" w:rsidP="0086751F">
      <w:pPr>
        <w:spacing w:line="360" w:lineRule="auto"/>
        <w:rPr>
          <w:lang w:val="nl-NL"/>
        </w:rPr>
      </w:pPr>
    </w:p>
    <w:p w:rsidR="00165BBF" w:rsidRPr="00D31E3F" w:rsidRDefault="00165BBF" w:rsidP="0086751F">
      <w:pPr>
        <w:spacing w:line="360" w:lineRule="auto"/>
        <w:rPr>
          <w:lang w:val="nl-NL"/>
        </w:rPr>
      </w:pPr>
      <w:r w:rsidRPr="00D31E3F">
        <w:rPr>
          <w:lang w:val="nl-NL"/>
        </w:rPr>
        <w:t>Uit de rechtspraak is verder naar voren gekomen dat goed koopmansgebruik gebaseerd is op drie beginselen, te weten het realisatiebeginsel, het voorzichtigheidsbeginsel en het eenvoudbeginsel.</w:t>
      </w:r>
    </w:p>
    <w:p w:rsidR="00165BBF" w:rsidRPr="00D31E3F" w:rsidRDefault="00165BBF" w:rsidP="0086751F">
      <w:pPr>
        <w:spacing w:line="360" w:lineRule="auto"/>
        <w:rPr>
          <w:lang w:val="nl-NL"/>
        </w:rPr>
      </w:pPr>
    </w:p>
    <w:p w:rsidR="00165BBF" w:rsidRPr="00D31E3F" w:rsidRDefault="00165BBF" w:rsidP="0086751F">
      <w:pPr>
        <w:spacing w:line="360" w:lineRule="auto"/>
        <w:rPr>
          <w:u w:val="single"/>
          <w:lang w:val="nl-NL"/>
        </w:rPr>
      </w:pPr>
      <w:r w:rsidRPr="00D31E3F">
        <w:rPr>
          <w:u w:val="single"/>
          <w:lang w:val="nl-NL"/>
        </w:rPr>
        <w:t>Realisatiebeginsel</w:t>
      </w:r>
      <w:r w:rsidRPr="00D31E3F">
        <w:rPr>
          <w:rStyle w:val="FootnoteReference"/>
          <w:u w:val="single"/>
          <w:lang w:val="nl-NL"/>
        </w:rPr>
        <w:footnoteReference w:id="9"/>
      </w:r>
    </w:p>
    <w:p w:rsidR="00165BBF" w:rsidRPr="00D31E3F" w:rsidRDefault="00165BBF" w:rsidP="0086751F">
      <w:pPr>
        <w:spacing w:line="360" w:lineRule="auto"/>
        <w:rPr>
          <w:lang w:val="nl-NL"/>
        </w:rPr>
      </w:pPr>
      <w:r w:rsidRPr="00D31E3F">
        <w:rPr>
          <w:lang w:val="nl-NL"/>
        </w:rPr>
        <w:t>Het realisatiebeginsel houdt in dat een ondernemer zijn voordelen en lasten moet toerekenen aan het jaar waarop ze betrekking hebben. Dit blijkt uit de arresten HR 8 april 1953, BNB 1953/146 en HR 7 juni 1961, BNB 1961/314. Een andere benaming voor realisatiebeginsel is ook wel veroorzakingsbeginsel. Het beginsel is erop gericht te voorkomen dat een ondernemer zijn winst gaat verschuiven naar een jaar dat voor hem fiscaal voordeliger is. Beslissend voor het moment van realisatie is de levering van een goed of de verrichting van een dienst.</w:t>
      </w:r>
    </w:p>
    <w:p w:rsidR="00165BBF" w:rsidRPr="00D31E3F" w:rsidRDefault="00165BBF" w:rsidP="0086751F">
      <w:pPr>
        <w:spacing w:line="360" w:lineRule="auto"/>
        <w:rPr>
          <w:lang w:val="nl-NL"/>
        </w:rPr>
      </w:pPr>
      <w:r w:rsidRPr="00D31E3F">
        <w:rPr>
          <w:lang w:val="nl-NL"/>
        </w:rPr>
        <w:t>Onderdeel van het realisatiebeginsel is het matchingbeginsel. Dit principe houdt in dat uitgaven zoveel mogelijk ten laste horen te komen van de periode waarin de opbrengsten, die verband houden met deze uitgaven, gerealiseerd worden.</w:t>
      </w:r>
    </w:p>
    <w:p w:rsidR="00165BBF" w:rsidRPr="00D31E3F" w:rsidRDefault="00165BBF" w:rsidP="0086751F">
      <w:pPr>
        <w:spacing w:line="360" w:lineRule="auto"/>
        <w:rPr>
          <w:lang w:val="nl-NL"/>
        </w:rPr>
      </w:pPr>
    </w:p>
    <w:p w:rsidR="00165BBF" w:rsidRPr="00D31E3F" w:rsidRDefault="00165BBF" w:rsidP="0086751F">
      <w:pPr>
        <w:spacing w:line="360" w:lineRule="auto"/>
        <w:rPr>
          <w:u w:val="single"/>
          <w:lang w:val="nl-NL"/>
        </w:rPr>
      </w:pPr>
      <w:r w:rsidRPr="00D31E3F">
        <w:rPr>
          <w:u w:val="single"/>
          <w:lang w:val="nl-NL"/>
        </w:rPr>
        <w:t>Voorzichtigheidsbeginsel</w:t>
      </w:r>
    </w:p>
    <w:p w:rsidR="00165BBF" w:rsidRPr="00D31E3F" w:rsidRDefault="00165BBF" w:rsidP="0086751F">
      <w:pPr>
        <w:spacing w:line="360" w:lineRule="auto"/>
        <w:rPr>
          <w:lang w:val="nl-NL"/>
        </w:rPr>
      </w:pPr>
      <w:r w:rsidRPr="00D31E3F">
        <w:rPr>
          <w:lang w:val="nl-NL"/>
        </w:rPr>
        <w:t>Het voorzichtigheidsbeginsel houdt in dat verliezen al mogen worden afgetrokken als ze verwacht worden (maar nog niet gerealiseerd zijn), en opbrengsten hoeven pas in het resultaat meegenomen te worden als ze daadwerkelijk behaald zijn. Het realiteitsbeginsel en het voorzichtigheidsbeginsel kunnen in strijd zijn met elkaar. Dr. J. Doornebal concludeert dat de Hoge Raad meer dan voorheen extra gewicht lijkt toe te kennen aan het realiteitsbeginsel, hetgeen in het algemeen ten koste gaat van het voorzichtigheidsbeginsel.</w:t>
      </w:r>
      <w:r w:rsidRPr="00D31E3F">
        <w:rPr>
          <w:rStyle w:val="FootnoteReference"/>
          <w:lang w:val="nl-NL"/>
        </w:rPr>
        <w:footnoteReference w:id="10"/>
      </w:r>
    </w:p>
    <w:p w:rsidR="00165BBF" w:rsidRPr="00D31E3F" w:rsidRDefault="00165BBF" w:rsidP="0086751F">
      <w:pPr>
        <w:spacing w:line="360" w:lineRule="auto"/>
        <w:rPr>
          <w:lang w:val="nl-NL"/>
        </w:rPr>
      </w:pPr>
    </w:p>
    <w:p w:rsidR="00165BBF" w:rsidRPr="00D31E3F" w:rsidRDefault="00165BBF" w:rsidP="0086751F">
      <w:pPr>
        <w:spacing w:line="360" w:lineRule="auto"/>
        <w:rPr>
          <w:u w:val="single"/>
          <w:lang w:val="nl-NL"/>
        </w:rPr>
      </w:pPr>
      <w:r w:rsidRPr="00D31E3F">
        <w:rPr>
          <w:u w:val="single"/>
          <w:lang w:val="nl-NL"/>
        </w:rPr>
        <w:t>Eenvoudbeginsel</w:t>
      </w:r>
    </w:p>
    <w:p w:rsidR="00165BBF" w:rsidRPr="00D31E3F" w:rsidRDefault="00165BBF" w:rsidP="0086751F">
      <w:pPr>
        <w:spacing w:line="360" w:lineRule="auto"/>
        <w:rPr>
          <w:lang w:val="nl-NL"/>
        </w:rPr>
      </w:pPr>
      <w:r w:rsidRPr="00D31E3F">
        <w:rPr>
          <w:lang w:val="nl-NL"/>
        </w:rPr>
        <w:t>Op grond van het eenvoudbeginsel hoeft een systeem van winstberekening niet gecompliceerd te zijn. Uitgangspunt is dat het systeem praktisch hanteerbaar is en voor de fiscus goed controleerbaar.</w:t>
      </w:r>
      <w:r w:rsidRPr="00D31E3F">
        <w:rPr>
          <w:rStyle w:val="FootnoteReference"/>
          <w:lang w:val="nl-NL"/>
        </w:rPr>
        <w:footnoteReference w:id="11"/>
      </w:r>
      <w:r w:rsidRPr="00D31E3F">
        <w:rPr>
          <w:lang w:val="nl-NL"/>
        </w:rPr>
        <w:t xml:space="preserve"> Van belang is de aard en omvang van de onderneming. Kleinere ondernemingen mogen eenvoudigere systemen hanteren dan grotere ondernemingen.</w:t>
      </w:r>
    </w:p>
    <w:p w:rsidR="00165BBF" w:rsidRPr="00D31E3F" w:rsidRDefault="00165BBF" w:rsidP="0086751F">
      <w:pPr>
        <w:spacing w:line="360" w:lineRule="auto"/>
        <w:rPr>
          <w:lang w:val="nl-NL"/>
        </w:rPr>
      </w:pPr>
      <w:r w:rsidRPr="00D31E3F">
        <w:rPr>
          <w:lang w:val="nl-NL"/>
        </w:rPr>
        <w:t xml:space="preserve">Een voorbeeld van het eenvoudprincipe is het Besluit van 14 november 2000, V-N 2000/53.1, waarin is opgenomen dat activa met een aanschaffingsprijs van minder dan € 450 ineens ten laste van de winst mogen worden gebracht. Een ander voorbeeld uit de jurisprudentie is HR 8 oktober 1958, BNB 1958/352 waarin bepaald is dat debiteuren collectief gewaardeerd mogen worden. </w:t>
      </w:r>
    </w:p>
    <w:p w:rsidR="00165BBF" w:rsidRPr="00D31E3F" w:rsidRDefault="00165BBF" w:rsidP="0086751F">
      <w:pPr>
        <w:spacing w:line="360" w:lineRule="auto"/>
        <w:rPr>
          <w:lang w:val="nl-NL"/>
        </w:rPr>
      </w:pPr>
    </w:p>
    <w:p w:rsidR="00165BBF" w:rsidRPr="00D31E3F" w:rsidRDefault="00165BBF" w:rsidP="0086751F">
      <w:pPr>
        <w:spacing w:line="360" w:lineRule="auto"/>
        <w:rPr>
          <w:lang w:val="nl-NL"/>
        </w:rPr>
      </w:pPr>
      <w:r w:rsidRPr="00D31E3F">
        <w:rPr>
          <w:lang w:val="nl-NL"/>
        </w:rPr>
        <w:t>Bovengenoemde beginselen vormen de basis van goed koopmansgebruik. Met deze principes als uitgangspunt kan een concrete invulling gegeven worden aan de voorraadwaardering.</w:t>
      </w:r>
    </w:p>
    <w:p w:rsidR="00165BBF" w:rsidRPr="00D31E3F" w:rsidRDefault="00165BBF" w:rsidP="0086751F">
      <w:pPr>
        <w:spacing w:line="360" w:lineRule="auto"/>
        <w:rPr>
          <w:lang w:val="nl-NL"/>
        </w:rPr>
      </w:pPr>
    </w:p>
    <w:p w:rsidR="00165BBF" w:rsidRPr="00D31E3F" w:rsidRDefault="00165BBF" w:rsidP="0086751F">
      <w:pPr>
        <w:spacing w:line="360" w:lineRule="auto"/>
        <w:rPr>
          <w:b/>
          <w:lang w:val="nl-NL"/>
        </w:rPr>
      </w:pPr>
      <w:r w:rsidRPr="00D31E3F">
        <w:rPr>
          <w:b/>
          <w:lang w:val="nl-NL"/>
        </w:rPr>
        <w:t>1.3 Voorraadwaardering</w:t>
      </w:r>
    </w:p>
    <w:p w:rsidR="00165BBF" w:rsidRPr="00D31E3F" w:rsidRDefault="00165BBF" w:rsidP="0086751F">
      <w:pPr>
        <w:spacing w:line="360" w:lineRule="auto"/>
        <w:rPr>
          <w:lang w:val="nl-NL"/>
        </w:rPr>
      </w:pPr>
      <w:r w:rsidRPr="00D31E3F">
        <w:rPr>
          <w:lang w:val="nl-NL"/>
        </w:rPr>
        <w:t xml:space="preserve">Voordat tot waardering overgegaan kan worden, moet eerst worden vastgelegd wat tot de voorraad gerekend wordt. </w:t>
      </w:r>
    </w:p>
    <w:p w:rsidR="00165BBF" w:rsidRPr="00D31E3F" w:rsidRDefault="00165BBF" w:rsidP="0086751F">
      <w:pPr>
        <w:spacing w:line="360" w:lineRule="auto"/>
        <w:rPr>
          <w:lang w:val="nl-NL"/>
        </w:rPr>
      </w:pPr>
      <w:r w:rsidRPr="00D31E3F">
        <w:rPr>
          <w:lang w:val="nl-NL"/>
        </w:rPr>
        <w:t xml:space="preserve">Boekhoudkundig wordt onderscheid gemaakt tussen vaste en vlottende activa. Activa die niet langer dan één productieproces mee gaan worden of die op korte termijn zijn om te zetten in liquide </w:t>
      </w:r>
      <w:r>
        <w:rPr>
          <w:lang w:val="nl-NL"/>
        </w:rPr>
        <w:t xml:space="preserve">middelen worden aangemerkt als </w:t>
      </w:r>
      <w:r w:rsidRPr="00D31E3F">
        <w:rPr>
          <w:lang w:val="nl-NL"/>
        </w:rPr>
        <w:t>vlottende activa. Voorraad valt onder deze laatste categorie. Essers geeft de volgende definitie van voorraad: “Onder voorraad is te verstaan het geheel van tot het vlottend kapitaal behorende zaken die:</w:t>
      </w:r>
    </w:p>
    <w:p w:rsidR="00165BBF" w:rsidRPr="00D31E3F" w:rsidRDefault="00165BBF" w:rsidP="0086751F">
      <w:pPr>
        <w:pStyle w:val="ListParagraph"/>
        <w:numPr>
          <w:ilvl w:val="0"/>
          <w:numId w:val="2"/>
        </w:numPr>
        <w:spacing w:after="0" w:line="360" w:lineRule="auto"/>
        <w:rPr>
          <w:rFonts w:ascii="Times New Roman" w:hAnsi="Times New Roman"/>
          <w:sz w:val="24"/>
          <w:szCs w:val="24"/>
        </w:rPr>
      </w:pPr>
      <w:r w:rsidRPr="00D31E3F">
        <w:rPr>
          <w:rFonts w:ascii="Times New Roman" w:hAnsi="Times New Roman"/>
          <w:sz w:val="24"/>
          <w:szCs w:val="24"/>
        </w:rPr>
        <w:t>zijn bestemd voor de verkoop; dan wel</w:t>
      </w:r>
    </w:p>
    <w:p w:rsidR="00165BBF" w:rsidRPr="00D31E3F" w:rsidRDefault="00165BBF" w:rsidP="0086751F">
      <w:pPr>
        <w:pStyle w:val="ListParagraph"/>
        <w:numPr>
          <w:ilvl w:val="0"/>
          <w:numId w:val="2"/>
        </w:numPr>
        <w:spacing w:after="0" w:line="360" w:lineRule="auto"/>
        <w:rPr>
          <w:rFonts w:ascii="Times New Roman" w:hAnsi="Times New Roman"/>
          <w:sz w:val="24"/>
          <w:szCs w:val="24"/>
        </w:rPr>
      </w:pPr>
      <w:r w:rsidRPr="00D31E3F">
        <w:rPr>
          <w:rFonts w:ascii="Times New Roman" w:hAnsi="Times New Roman"/>
          <w:sz w:val="24"/>
          <w:szCs w:val="24"/>
        </w:rPr>
        <w:t>zijn bestemd ter bewerking voor zodanige verkoop; dan wel</w:t>
      </w:r>
    </w:p>
    <w:p w:rsidR="00165BBF" w:rsidRPr="00D31E3F" w:rsidRDefault="00165BBF" w:rsidP="0086751F">
      <w:pPr>
        <w:pStyle w:val="ListParagraph"/>
        <w:numPr>
          <w:ilvl w:val="0"/>
          <w:numId w:val="2"/>
        </w:numPr>
        <w:spacing w:after="0" w:line="360" w:lineRule="auto"/>
        <w:rPr>
          <w:rFonts w:ascii="Times New Roman" w:hAnsi="Times New Roman"/>
          <w:sz w:val="24"/>
          <w:szCs w:val="24"/>
        </w:rPr>
      </w:pPr>
      <w:r w:rsidRPr="00D31E3F">
        <w:rPr>
          <w:rFonts w:ascii="Times New Roman" w:hAnsi="Times New Roman"/>
          <w:sz w:val="24"/>
          <w:szCs w:val="24"/>
        </w:rPr>
        <w:t>bij eerste aanwending economisch geheel in een voor de verkoop bestemde zaak opgaan, ook al zijn zij technisch hierin niet meer terug te vinden.”</w:t>
      </w:r>
      <w:r w:rsidRPr="00D31E3F">
        <w:rPr>
          <w:rStyle w:val="FootnoteReference"/>
          <w:rFonts w:ascii="Times New Roman" w:hAnsi="Times New Roman"/>
          <w:sz w:val="24"/>
          <w:szCs w:val="24"/>
        </w:rPr>
        <w:footnoteReference w:id="12"/>
      </w:r>
    </w:p>
    <w:p w:rsidR="00165BBF" w:rsidRPr="00D31E3F" w:rsidRDefault="00165BBF" w:rsidP="0086751F">
      <w:pPr>
        <w:spacing w:line="360" w:lineRule="auto"/>
        <w:rPr>
          <w:lang w:val="nl-NL"/>
        </w:rPr>
      </w:pPr>
    </w:p>
    <w:p w:rsidR="00165BBF" w:rsidRPr="00D31E3F" w:rsidRDefault="00165BBF" w:rsidP="0086751F">
      <w:pPr>
        <w:spacing w:line="360" w:lineRule="auto"/>
        <w:rPr>
          <w:iCs/>
          <w:lang w:val="nl-NL" w:eastAsia="nl-NL"/>
        </w:rPr>
      </w:pPr>
      <w:r w:rsidRPr="00D31E3F">
        <w:rPr>
          <w:lang w:val="nl-NL"/>
        </w:rPr>
        <w:t xml:space="preserve">De basis voor deze definitie is vastgelegd in </w:t>
      </w:r>
      <w:r w:rsidRPr="00D31E3F">
        <w:rPr>
          <w:iCs/>
          <w:lang w:val="nl-NL" w:eastAsia="nl-NL"/>
        </w:rPr>
        <w:t xml:space="preserve">HR 17 april 1957, </w:t>
      </w:r>
      <w:hyperlink r:id="rId7" w:history="1">
        <w:r w:rsidRPr="00D31E3F">
          <w:rPr>
            <w:iCs/>
            <w:lang w:val="nl-NL" w:eastAsia="nl-NL"/>
          </w:rPr>
          <w:t>BNB 1957/238</w:t>
        </w:r>
      </w:hyperlink>
      <w:r w:rsidRPr="00D31E3F">
        <w:rPr>
          <w:iCs/>
          <w:lang w:val="nl-NL" w:eastAsia="nl-NL"/>
        </w:rPr>
        <w:t>. Hierin is opgenomen dat onder voorraad te verstaan is het geheel van zaken die ter bewerking, verwerking of verkoop en derhalve als bestemd voor de omzet in het bedrijf aanwezig zijn.</w:t>
      </w:r>
    </w:p>
    <w:p w:rsidR="00165BBF" w:rsidRPr="00D31E3F" w:rsidRDefault="00165BBF" w:rsidP="0086751F">
      <w:pPr>
        <w:spacing w:line="360" w:lineRule="auto"/>
        <w:rPr>
          <w:iCs/>
          <w:lang w:val="nl-NL" w:eastAsia="nl-NL"/>
        </w:rPr>
      </w:pPr>
      <w:r w:rsidRPr="00D31E3F">
        <w:rPr>
          <w:iCs/>
          <w:lang w:val="nl-NL" w:eastAsia="nl-NL"/>
        </w:rPr>
        <w:t xml:space="preserve">Onderhanden werk is een onderdeel van de voorraad, maar hierop zijn afzonderlijke waarderingsregels van toepassing. Zie hieromtrent paragraaf 1.4. </w:t>
      </w:r>
    </w:p>
    <w:p w:rsidR="00165BBF" w:rsidRPr="00D31E3F" w:rsidRDefault="00165BBF" w:rsidP="0086751F">
      <w:pPr>
        <w:spacing w:line="360" w:lineRule="auto"/>
        <w:rPr>
          <w:iCs/>
          <w:lang w:val="nl-NL" w:eastAsia="nl-NL"/>
        </w:rPr>
      </w:pPr>
    </w:p>
    <w:p w:rsidR="00165BBF" w:rsidRPr="00D31E3F" w:rsidRDefault="00165BBF" w:rsidP="0086751F">
      <w:pPr>
        <w:spacing w:line="360" w:lineRule="auto"/>
        <w:rPr>
          <w:iCs/>
          <w:lang w:val="nl-NL" w:eastAsia="nl-NL"/>
        </w:rPr>
      </w:pPr>
      <w:r w:rsidRPr="00D31E3F">
        <w:rPr>
          <w:iCs/>
          <w:lang w:val="nl-NL" w:eastAsia="nl-NL"/>
        </w:rPr>
        <w:t>In voorraden kan op verschillende manieren onderscheid gemaakt worden. De eerste is het onderscheid tussen de technische en de economische voorraad. De technische voorraad omvat de goederen die feitelijk in de onderneming aanwezig zijn. De economische voorraad omvat de technische voorraad, vermeerderd met de gekochte, maar nog niet aan de onderneming geleverde goederen, en verminderd met de goederen met de goederen die al zijn verkocht, maar nog niet door de onderneming zijn afgeleverd. Over de economische voorraad loopt de ondernemer een prijsrisico.</w:t>
      </w:r>
      <w:r w:rsidRPr="00D31E3F">
        <w:rPr>
          <w:rStyle w:val="FootnoteReference"/>
          <w:iCs/>
          <w:lang w:val="nl-NL" w:eastAsia="nl-NL"/>
        </w:rPr>
        <w:footnoteReference w:id="13"/>
      </w:r>
      <w:r w:rsidRPr="00D31E3F">
        <w:rPr>
          <w:iCs/>
          <w:lang w:val="nl-NL" w:eastAsia="nl-NL"/>
        </w:rPr>
        <w:t xml:space="preserve"> In HR 19 juni 1957, BNB 1957/240 is beslist dat b</w:t>
      </w:r>
      <w:r w:rsidRPr="00D31E3F">
        <w:rPr>
          <w:lang w:val="nl-NL"/>
        </w:rPr>
        <w:t>ij de bepaling van de aanwezige voorraad volgens goed koopmansgebruik rekening mag worden gehouden met voorkopen en voorverkopen (economische voorraad).</w:t>
      </w:r>
    </w:p>
    <w:p w:rsidR="00165BBF" w:rsidRPr="00D31E3F" w:rsidRDefault="00165BBF" w:rsidP="0086751F">
      <w:pPr>
        <w:spacing w:line="360" w:lineRule="auto"/>
        <w:rPr>
          <w:iCs/>
          <w:lang w:val="nl-NL" w:eastAsia="nl-NL"/>
        </w:rPr>
      </w:pPr>
    </w:p>
    <w:p w:rsidR="00165BBF" w:rsidRPr="00D31E3F" w:rsidRDefault="00165BBF" w:rsidP="0086751F">
      <w:pPr>
        <w:spacing w:line="360" w:lineRule="auto"/>
        <w:rPr>
          <w:iCs/>
          <w:lang w:val="nl-NL" w:eastAsia="nl-NL"/>
        </w:rPr>
      </w:pPr>
      <w:r w:rsidRPr="00D31E3F">
        <w:rPr>
          <w:iCs/>
          <w:lang w:val="nl-NL" w:eastAsia="nl-NL"/>
        </w:rPr>
        <w:t>Ook is het onderscheid in de voorraad tussen courante en niet-courante goederen van belang. Niet-courante goederen zijn goederen die moeilijk te verkopen zijn, omdat ze bijvoorbeeld uit de mode geraakt zijn. De waardering van deze niet-courante goederen gebeurt volgens het voorzichtigheidsbeginsel. Volgens HR 10 juni 1959, BNB 1959/262 is het in overeenstemming met goed koopmansgebruik om deze voorraad te waarderen tegen de verwachte verkoopprijs verminderd met een opslag voor algemene kosten en winst (bij benadering de marktwaarde op de inkoopmarkt).</w:t>
      </w:r>
      <w:r w:rsidRPr="00D31E3F">
        <w:rPr>
          <w:rStyle w:val="FootnoteReference"/>
          <w:iCs/>
          <w:lang w:val="nl-NL" w:eastAsia="nl-NL"/>
        </w:rPr>
        <w:footnoteReference w:id="14"/>
      </w:r>
      <w:r w:rsidRPr="00D31E3F">
        <w:rPr>
          <w:iCs/>
          <w:lang w:val="nl-NL" w:eastAsia="nl-NL"/>
        </w:rPr>
        <w:t xml:space="preserve"> </w:t>
      </w:r>
      <w:r w:rsidRPr="00D31E3F">
        <w:rPr>
          <w:rStyle w:val="FootnoteReference"/>
          <w:iCs/>
          <w:lang w:val="nl-NL" w:eastAsia="nl-NL"/>
        </w:rPr>
        <w:footnoteReference w:id="15"/>
      </w:r>
    </w:p>
    <w:p w:rsidR="00165BBF" w:rsidRPr="00D31E3F" w:rsidRDefault="00165BBF" w:rsidP="0086751F">
      <w:pPr>
        <w:spacing w:line="360" w:lineRule="auto"/>
        <w:rPr>
          <w:iCs/>
          <w:lang w:val="nl-NL" w:eastAsia="nl-NL"/>
        </w:rPr>
      </w:pPr>
    </w:p>
    <w:p w:rsidR="00165BBF" w:rsidRPr="00D31E3F" w:rsidRDefault="00165BBF" w:rsidP="0086751F">
      <w:pPr>
        <w:spacing w:line="360" w:lineRule="auto"/>
        <w:rPr>
          <w:iCs/>
          <w:lang w:val="nl-NL" w:eastAsia="nl-NL"/>
        </w:rPr>
      </w:pPr>
      <w:r w:rsidRPr="00D31E3F">
        <w:rPr>
          <w:iCs/>
          <w:lang w:val="nl-NL" w:eastAsia="nl-NL"/>
        </w:rPr>
        <w:t xml:space="preserve">Tot slot is van belang of de voorraad goederen ingekocht is of zelf in de onderneming is voortgebracht. In HR 30 mei 1956, BNB 1956/222 is bepaald dat </w:t>
      </w:r>
      <w:r w:rsidRPr="00D31E3F">
        <w:rPr>
          <w:lang w:val="nl-NL" w:eastAsia="nl-NL"/>
        </w:rPr>
        <w:t>onder voortbrengingskosten ten aanzien van fabrikaten en halffabrikaten niet een aandeel in het constante deel van de algemene bedrijfskosten</w:t>
      </w:r>
      <w:r>
        <w:rPr>
          <w:rStyle w:val="FootnoteReference"/>
          <w:lang w:val="nl-NL" w:eastAsia="nl-NL"/>
        </w:rPr>
        <w:footnoteReference w:id="16"/>
      </w:r>
      <w:r w:rsidRPr="00D31E3F">
        <w:rPr>
          <w:lang w:val="nl-NL" w:eastAsia="nl-NL"/>
        </w:rPr>
        <w:t xml:space="preserve"> is begrepen (differentiële kostprijs); volgens goed koopmansgebruik behoeft daarmee bij de waardering geen rekening te worden gehouden. De Hoge Raad bepaalde hiermee dat naast de integrale kostprijs ook de differentiële kostprijs toegestaan is.</w:t>
      </w:r>
    </w:p>
    <w:p w:rsidR="00165BBF" w:rsidRPr="00D31E3F" w:rsidRDefault="00165BBF" w:rsidP="0086751F">
      <w:pPr>
        <w:spacing w:line="360" w:lineRule="auto"/>
        <w:rPr>
          <w:iCs/>
          <w:lang w:val="nl-NL" w:eastAsia="nl-NL"/>
        </w:rPr>
      </w:pPr>
    </w:p>
    <w:p w:rsidR="00165BBF" w:rsidRDefault="00165BBF" w:rsidP="0086751F">
      <w:pPr>
        <w:spacing w:line="360" w:lineRule="auto"/>
        <w:rPr>
          <w:iCs/>
          <w:lang w:val="nl-NL" w:eastAsia="nl-NL"/>
        </w:rPr>
      </w:pPr>
      <w:r w:rsidRPr="00D31E3F">
        <w:rPr>
          <w:iCs/>
          <w:lang w:val="nl-NL" w:eastAsia="nl-NL"/>
        </w:rPr>
        <w:t xml:space="preserve">Uit de rechtspraak is gebleken welke waarderingsmethoden toegestaan zijn voor de voorraad in het algemeen. In de voorraadwaardering kan een onderscheid gemaakt worden tussen nominalistische en substantialistische methoden. </w:t>
      </w:r>
      <w:r>
        <w:rPr>
          <w:iCs/>
          <w:lang w:val="nl-NL" w:eastAsia="nl-NL"/>
        </w:rPr>
        <w:t>Een nominalistische winstbepalingsmethode rekent in termen van geld. De methode handhaaft het vermogen waarmee de onderneming gestart is. Wanneer de onderneming de voorraadwinst ook uitkeert, raakt het bedrijf ‘uitgehold’, zodat het voortbestaan van de onderneming in gevaar kan komen. Substantialistische winstbepalingsmethoden zijn gericht op handhaving van de substantie, het productieapparaat. Bij deze methoden gaat het om de goederen.</w:t>
      </w:r>
      <w:r>
        <w:rPr>
          <w:rStyle w:val="FootnoteReference"/>
          <w:iCs/>
          <w:lang w:val="nl-NL" w:eastAsia="nl-NL"/>
        </w:rPr>
        <w:footnoteReference w:id="17"/>
      </w:r>
    </w:p>
    <w:p w:rsidR="00165BBF" w:rsidRPr="00D31E3F" w:rsidRDefault="00165BBF" w:rsidP="0086751F">
      <w:pPr>
        <w:spacing w:line="360" w:lineRule="auto"/>
        <w:rPr>
          <w:lang w:val="nl-NL"/>
        </w:rPr>
      </w:pPr>
      <w:r w:rsidRPr="00D31E3F">
        <w:rPr>
          <w:iCs/>
          <w:lang w:val="nl-NL" w:eastAsia="nl-NL"/>
        </w:rPr>
        <w:t xml:space="preserve">De methoden van voorraadwaardering voor de fiscale jaarrekening die volgens de jurisprudentie zijn toegestaan, zijn: tegen </w:t>
      </w:r>
      <w:r w:rsidRPr="00D31E3F">
        <w:rPr>
          <w:lang w:val="nl-NL"/>
        </w:rPr>
        <w:t>kostprijs of lagere marktwaarde, of op basis van het lifo-, fifo- of ijzerenvoorraadstelsel.</w:t>
      </w:r>
      <w:r>
        <w:rPr>
          <w:lang w:val="nl-NL"/>
        </w:rPr>
        <w:t xml:space="preserve"> </w:t>
      </w:r>
      <w:r w:rsidRPr="00D31E3F">
        <w:rPr>
          <w:lang w:val="nl-NL"/>
        </w:rPr>
        <w:t xml:space="preserve">Hierna zullen deze methoden verder toegelicht worden. </w:t>
      </w:r>
    </w:p>
    <w:p w:rsidR="00165BBF" w:rsidRPr="00D31E3F" w:rsidRDefault="00165BBF" w:rsidP="0086751F">
      <w:pPr>
        <w:spacing w:line="360" w:lineRule="auto"/>
        <w:rPr>
          <w:lang w:val="nl-NL"/>
        </w:rPr>
      </w:pPr>
    </w:p>
    <w:p w:rsidR="00165BBF" w:rsidRPr="00D31E3F" w:rsidRDefault="00165BBF" w:rsidP="0086751F">
      <w:pPr>
        <w:spacing w:line="360" w:lineRule="auto"/>
        <w:rPr>
          <w:u w:val="single"/>
          <w:lang w:val="nl-NL"/>
        </w:rPr>
      </w:pPr>
      <w:r w:rsidRPr="00D31E3F">
        <w:rPr>
          <w:u w:val="single"/>
          <w:lang w:val="nl-NL"/>
        </w:rPr>
        <w:t>Voorraadwaardering tegen kostprijs of lagere marktwaarde</w:t>
      </w:r>
      <w:r w:rsidRPr="00D31E3F">
        <w:rPr>
          <w:rStyle w:val="FootnoteReference"/>
          <w:u w:val="single"/>
          <w:lang w:val="nl-NL"/>
        </w:rPr>
        <w:footnoteReference w:id="18"/>
      </w:r>
    </w:p>
    <w:p w:rsidR="00165BBF" w:rsidRPr="00D31E3F" w:rsidRDefault="00165BBF" w:rsidP="0086751F">
      <w:pPr>
        <w:spacing w:line="360" w:lineRule="auto"/>
        <w:rPr>
          <w:lang w:val="nl-NL" w:eastAsia="nl-NL"/>
        </w:rPr>
      </w:pPr>
      <w:r w:rsidRPr="00D31E3F">
        <w:rPr>
          <w:lang w:val="nl-NL" w:eastAsia="nl-NL"/>
        </w:rPr>
        <w:t xml:space="preserve">Bij de nominalistische stelsels van voorraadwaardering worden drie stelsels onderscheiden welke alle overeenkomstig goed koopmansgebruik zijn: </w:t>
      </w:r>
    </w:p>
    <w:p w:rsidR="00165BBF" w:rsidRPr="00D31E3F" w:rsidRDefault="00165BBF" w:rsidP="0086751F">
      <w:pPr>
        <w:pStyle w:val="ListParagraph"/>
        <w:numPr>
          <w:ilvl w:val="0"/>
          <w:numId w:val="4"/>
        </w:numPr>
        <w:spacing w:after="0" w:line="360" w:lineRule="auto"/>
        <w:rPr>
          <w:rFonts w:ascii="Times New Roman" w:hAnsi="Times New Roman"/>
          <w:sz w:val="24"/>
          <w:szCs w:val="24"/>
          <w:lang w:eastAsia="nl-NL"/>
        </w:rPr>
      </w:pPr>
      <w:r w:rsidRPr="00D31E3F">
        <w:rPr>
          <w:rFonts w:ascii="Times New Roman" w:hAnsi="Times New Roman"/>
          <w:sz w:val="24"/>
          <w:szCs w:val="24"/>
          <w:lang w:eastAsia="nl-NL"/>
        </w:rPr>
        <w:t>waardering op kostprijs</w:t>
      </w:r>
    </w:p>
    <w:p w:rsidR="00165BBF" w:rsidRPr="00D31E3F" w:rsidRDefault="00165BBF" w:rsidP="0086751F">
      <w:pPr>
        <w:pStyle w:val="ListParagraph"/>
        <w:numPr>
          <w:ilvl w:val="0"/>
          <w:numId w:val="4"/>
        </w:numPr>
        <w:spacing w:after="0" w:line="360" w:lineRule="auto"/>
        <w:rPr>
          <w:rFonts w:ascii="Times New Roman" w:hAnsi="Times New Roman"/>
          <w:sz w:val="24"/>
          <w:szCs w:val="24"/>
          <w:lang w:eastAsia="nl-NL"/>
        </w:rPr>
      </w:pPr>
      <w:r w:rsidRPr="00D31E3F">
        <w:rPr>
          <w:rFonts w:ascii="Times New Roman" w:hAnsi="Times New Roman"/>
          <w:sz w:val="24"/>
          <w:szCs w:val="24"/>
          <w:lang w:eastAsia="nl-NL"/>
        </w:rPr>
        <w:t>waardering op marktwaarde</w:t>
      </w:r>
    </w:p>
    <w:p w:rsidR="00165BBF" w:rsidRPr="00D31E3F" w:rsidRDefault="00165BBF" w:rsidP="0086751F">
      <w:pPr>
        <w:pStyle w:val="ListParagraph"/>
        <w:numPr>
          <w:ilvl w:val="0"/>
          <w:numId w:val="4"/>
        </w:numPr>
        <w:spacing w:after="0" w:line="360" w:lineRule="auto"/>
        <w:rPr>
          <w:rFonts w:ascii="Times New Roman" w:hAnsi="Times New Roman"/>
          <w:sz w:val="24"/>
          <w:szCs w:val="24"/>
          <w:lang w:eastAsia="nl-NL"/>
        </w:rPr>
      </w:pPr>
      <w:r w:rsidRPr="00D31E3F">
        <w:rPr>
          <w:rFonts w:ascii="Times New Roman" w:hAnsi="Times New Roman"/>
          <w:sz w:val="24"/>
          <w:szCs w:val="24"/>
          <w:lang w:eastAsia="nl-NL"/>
        </w:rPr>
        <w:t>waardering op kostprijs of lagere marktwaarde</w:t>
      </w:r>
    </w:p>
    <w:p w:rsidR="00165BBF" w:rsidRPr="00D31E3F" w:rsidRDefault="00165BBF" w:rsidP="0086751F">
      <w:pPr>
        <w:spacing w:line="360" w:lineRule="auto"/>
        <w:rPr>
          <w:lang w:val="nl-NL" w:eastAsia="nl-NL"/>
        </w:rPr>
      </w:pPr>
      <w:r w:rsidRPr="00D31E3F">
        <w:rPr>
          <w:lang w:val="nl-NL" w:eastAsia="nl-NL"/>
        </w:rPr>
        <w:t xml:space="preserve">De waardering op kostprijs of lagere marktwaarde wordt ook wel aangeduid als het Niederstwertprinzip. Deze methode vloeit voort uit het voorzichtigheidsbeginsel van het goed koopmansgebruik. </w:t>
      </w:r>
    </w:p>
    <w:p w:rsidR="00165BBF" w:rsidRPr="00D31E3F" w:rsidRDefault="00165BBF" w:rsidP="0086751F">
      <w:pPr>
        <w:spacing w:line="360" w:lineRule="auto"/>
        <w:rPr>
          <w:lang w:val="nl-NL" w:eastAsia="nl-NL"/>
        </w:rPr>
      </w:pPr>
    </w:p>
    <w:p w:rsidR="00165BBF" w:rsidRPr="00D31E3F" w:rsidRDefault="00165BBF" w:rsidP="0086751F">
      <w:pPr>
        <w:spacing w:line="360" w:lineRule="auto"/>
        <w:rPr>
          <w:lang w:val="nl-NL" w:eastAsia="nl-NL"/>
        </w:rPr>
      </w:pPr>
      <w:r w:rsidRPr="00D31E3F">
        <w:rPr>
          <w:lang w:val="nl-NL" w:eastAsia="nl-NL"/>
        </w:rPr>
        <w:t xml:space="preserve">De drie bovengenoemde stelsels voldoen alle aan goed koopmansgebruik. Het stelsel van de waardering op kostprijs kan op zichzelf gebruikt worden, maar als de marktwaarde in belangrijke mate en min of meer duurzaam beneden de kostprijs daalt, kan tegen lagere marktwaarde gewaardeerd worden, HR 6 april 1966, BNB 1966/127. Het zou in strijd zijn met goed koopmansgebruik om de voorraad voor een te hoog bedrag te boek te laten staan. Als de omgekeerde situatie zich voordoet, wanneer de marktwaarde na een daling weer </w:t>
      </w:r>
      <w:r>
        <w:rPr>
          <w:lang w:val="nl-NL" w:eastAsia="nl-NL"/>
        </w:rPr>
        <w:t xml:space="preserve">duurzaam is gestegen tot tenminste </w:t>
      </w:r>
      <w:r w:rsidRPr="00D31E3F">
        <w:rPr>
          <w:lang w:val="nl-NL" w:eastAsia="nl-NL"/>
        </w:rPr>
        <w:t>de kostprijs, moet volgens HR 22 oktober 2004, V-N 2004/57.10 de boekwaarde van de voorraad weer v</w:t>
      </w:r>
      <w:r>
        <w:rPr>
          <w:lang w:val="nl-NL" w:eastAsia="nl-NL"/>
        </w:rPr>
        <w:t>erhoogd worden tot ten minste die kostprijs.</w:t>
      </w:r>
      <w:r w:rsidRPr="00D31E3F">
        <w:rPr>
          <w:lang w:val="nl-NL" w:eastAsia="nl-NL"/>
        </w:rPr>
        <w:t xml:space="preserve"> </w:t>
      </w:r>
    </w:p>
    <w:p w:rsidR="00165BBF" w:rsidRDefault="00165BBF" w:rsidP="0086751F">
      <w:pPr>
        <w:spacing w:line="360" w:lineRule="auto"/>
        <w:rPr>
          <w:lang w:val="nl-NL" w:eastAsia="nl-NL"/>
        </w:rPr>
      </w:pPr>
    </w:p>
    <w:p w:rsidR="00165BBF" w:rsidRPr="00D31E3F" w:rsidRDefault="00165BBF" w:rsidP="0086751F">
      <w:pPr>
        <w:spacing w:line="360" w:lineRule="auto"/>
        <w:rPr>
          <w:lang w:val="nl-NL" w:eastAsia="nl-NL"/>
        </w:rPr>
      </w:pPr>
      <w:r w:rsidRPr="00D31E3F">
        <w:rPr>
          <w:lang w:val="nl-NL" w:eastAsia="nl-NL"/>
        </w:rPr>
        <w:t>De kostprijs van gekochte goederen bestaat uit de inkoopprijs, vermeerderd met de met de inkoop samenhangende kosten (zoals transportkosten). Kosten die verband houden met de opslag worden niet tot de kostprijs gerekend.</w:t>
      </w:r>
      <w:r w:rsidRPr="00D31E3F">
        <w:rPr>
          <w:rStyle w:val="FootnoteReference"/>
          <w:lang w:val="nl-NL" w:eastAsia="nl-NL"/>
        </w:rPr>
        <w:footnoteReference w:id="19"/>
      </w:r>
      <w:r w:rsidRPr="00D31E3F">
        <w:rPr>
          <w:lang w:val="nl-NL" w:eastAsia="nl-NL"/>
        </w:rPr>
        <w:t xml:space="preserve"> De kostprijs van zelfvervaardigde goederen wordt gesteld op de voortbrengingskosten.</w:t>
      </w:r>
    </w:p>
    <w:p w:rsidR="00165BBF" w:rsidRPr="00D31E3F" w:rsidRDefault="00165BBF" w:rsidP="0086751F">
      <w:pPr>
        <w:spacing w:line="360" w:lineRule="auto"/>
        <w:rPr>
          <w:lang w:val="nl-NL" w:eastAsia="nl-NL"/>
        </w:rPr>
      </w:pPr>
    </w:p>
    <w:p w:rsidR="00165BBF" w:rsidRPr="00D31E3F" w:rsidRDefault="00165BBF" w:rsidP="0086751F">
      <w:pPr>
        <w:spacing w:line="360" w:lineRule="auto"/>
        <w:rPr>
          <w:lang w:val="nl-NL"/>
        </w:rPr>
      </w:pPr>
      <w:r>
        <w:rPr>
          <w:lang w:val="nl-NL" w:eastAsia="nl-NL"/>
        </w:rPr>
        <w:t>D</w:t>
      </w:r>
      <w:r w:rsidRPr="00D31E3F">
        <w:rPr>
          <w:lang w:val="nl-NL" w:eastAsia="nl-NL"/>
        </w:rPr>
        <w:t xml:space="preserve">e methode van de waardering op marktwaarde </w:t>
      </w:r>
      <w:r>
        <w:rPr>
          <w:lang w:val="nl-NL" w:eastAsia="nl-NL"/>
        </w:rPr>
        <w:t>voldoet niet aan goed koopmansgebruik. In de Cursus Belastingrecht wordt hierover het volgende gezegd:</w:t>
      </w:r>
      <w:r w:rsidRPr="00D31E3F">
        <w:rPr>
          <w:lang w:val="nl-NL"/>
        </w:rPr>
        <w:t xml:space="preserve"> “Men treft het vrijwel alleen aan bij goederen waarvoor de inkoopmarkt en de verkoopmarkt samenvallen, zoals het geval is bij effecten en onroerende zaken. Het bezwaar van dit stelsel is, dat bij oplopend prijspeil winst in aanmerking wordt genomen die eerst in een volgend jaar zal worden gerealiseerd, zodat het stelsel niet voldoet aan het voorzichtigheidsbeginsel van goed koopmansgebruik.”</w:t>
      </w:r>
      <w:r w:rsidRPr="00A40D46">
        <w:rPr>
          <w:rStyle w:val="FootnoteReference"/>
          <w:lang w:val="nl-NL" w:eastAsia="nl-NL"/>
        </w:rPr>
        <w:t xml:space="preserve"> </w:t>
      </w:r>
      <w:r>
        <w:rPr>
          <w:rStyle w:val="FootnoteReference"/>
          <w:lang w:val="nl-NL" w:eastAsia="nl-NL"/>
        </w:rPr>
        <w:footnoteReference w:id="20"/>
      </w:r>
    </w:p>
    <w:p w:rsidR="00165BBF" w:rsidRPr="00D31E3F" w:rsidRDefault="00165BBF" w:rsidP="0086751F">
      <w:pPr>
        <w:spacing w:line="360" w:lineRule="auto"/>
        <w:rPr>
          <w:lang w:val="nl-NL"/>
        </w:rPr>
      </w:pPr>
    </w:p>
    <w:p w:rsidR="00165BBF" w:rsidRPr="00D31E3F" w:rsidRDefault="00165BBF" w:rsidP="0086751F">
      <w:pPr>
        <w:spacing w:line="360" w:lineRule="auto"/>
        <w:rPr>
          <w:u w:val="single"/>
          <w:lang w:val="nl-NL" w:eastAsia="nl-NL"/>
        </w:rPr>
      </w:pPr>
      <w:r w:rsidRPr="00D31E3F">
        <w:rPr>
          <w:u w:val="single"/>
          <w:lang w:val="nl-NL" w:eastAsia="nl-NL"/>
        </w:rPr>
        <w:t>Het fifo- en lifo-stelsel</w:t>
      </w:r>
      <w:r w:rsidRPr="00D31E3F">
        <w:rPr>
          <w:rStyle w:val="FootnoteReference"/>
          <w:u w:val="single"/>
          <w:lang w:val="nl-NL" w:eastAsia="nl-NL"/>
        </w:rPr>
        <w:footnoteReference w:id="21"/>
      </w:r>
    </w:p>
    <w:p w:rsidR="00165BBF" w:rsidRPr="00D31E3F" w:rsidRDefault="00165BBF" w:rsidP="0086751F">
      <w:pPr>
        <w:spacing w:line="360" w:lineRule="auto"/>
        <w:rPr>
          <w:lang w:val="nl-NL" w:eastAsia="nl-NL"/>
        </w:rPr>
      </w:pPr>
      <w:r w:rsidRPr="00D31E3F">
        <w:rPr>
          <w:lang w:val="nl-NL" w:eastAsia="nl-NL"/>
        </w:rPr>
        <w:t xml:space="preserve">Het fifo-stelsel en lifo-stelsel zijn substantialistische systemen van voorraadwaardering, waarbij gedacht wordt in termen van goederen in plaats van geld. In de administratie wordt bij het lifo-systeem de aanname gemaakt dat de laatst ingekochte goederen het eerst weer verkocht worden (last in first out). Dit gebeurt in werkelijkheid natuurlijk niet vaak, ondernemers zullen eerst hun oude voorraad willen verkopen. Maar op deze manier wordt </w:t>
      </w:r>
      <w:r>
        <w:rPr>
          <w:lang w:val="nl-NL" w:eastAsia="nl-NL"/>
        </w:rPr>
        <w:t xml:space="preserve">in de boekhouding </w:t>
      </w:r>
      <w:r w:rsidRPr="00D31E3F">
        <w:rPr>
          <w:lang w:val="nl-NL" w:eastAsia="nl-NL"/>
        </w:rPr>
        <w:t xml:space="preserve">gecorrigeerd voor inflatie. </w:t>
      </w:r>
    </w:p>
    <w:p w:rsidR="00165BBF" w:rsidRPr="00D31E3F" w:rsidRDefault="00165BBF" w:rsidP="0086751F">
      <w:pPr>
        <w:spacing w:line="360" w:lineRule="auto"/>
        <w:rPr>
          <w:lang w:val="nl-NL" w:eastAsia="nl-NL"/>
        </w:rPr>
      </w:pPr>
      <w:r w:rsidRPr="00D31E3F">
        <w:rPr>
          <w:lang w:val="nl-NL" w:eastAsia="nl-NL"/>
        </w:rPr>
        <w:t>Onderscheid kan gemaakt worden tussen individueel (zuiver) lifo en collectief lifo. Wanneer de voorraad in de loop van het jaar wordt verkocht en daarna weer wordt aangevuld tot het oude niveau, moet bij individueel lifo de nieuwe voorraad gewaardeerd worden op de werkelijke kostprijs van de aangevulde voorraad. Bij collectief lifo mogen de oude inkoopprijzen worden aangehouden, omdat het aantal goederen in de voorraad aan het eind van het jaar hetzelfde is als aan het begin van het jaar. Het individuele lifo-stelsel wordt ook wel lifo per transactie genoemd, het collectiev</w:t>
      </w:r>
      <w:r>
        <w:rPr>
          <w:lang w:val="nl-NL" w:eastAsia="nl-NL"/>
        </w:rPr>
        <w:t xml:space="preserve">e systeem lifo per balansdatum. </w:t>
      </w:r>
      <w:r w:rsidRPr="00D31E3F">
        <w:rPr>
          <w:lang w:val="nl-NL" w:eastAsia="nl-NL"/>
        </w:rPr>
        <w:t xml:space="preserve">Beide systemen zijn toegestaan. </w:t>
      </w:r>
      <w:r>
        <w:rPr>
          <w:lang w:val="nl-NL" w:eastAsia="nl-NL"/>
        </w:rPr>
        <w:t>Het voordeel van collectief boven individueel lifo is dat wanneer er gedurende het jaar sprake is van een incidenteel lage voorraad, de stille reserves in de voorraad niet in de winst vallen. Zie de bijlage voor een cijfervoorbeeld.</w:t>
      </w:r>
    </w:p>
    <w:p w:rsidR="00165BBF" w:rsidRPr="00D31E3F" w:rsidRDefault="00165BBF" w:rsidP="0086751F">
      <w:pPr>
        <w:spacing w:line="360" w:lineRule="auto"/>
        <w:rPr>
          <w:lang w:val="nl-NL" w:eastAsia="nl-NL"/>
        </w:rPr>
      </w:pPr>
    </w:p>
    <w:p w:rsidR="00165BBF" w:rsidRPr="00D31E3F" w:rsidRDefault="00165BBF" w:rsidP="0086751F">
      <w:pPr>
        <w:spacing w:line="360" w:lineRule="auto"/>
        <w:rPr>
          <w:lang w:val="nl-NL"/>
        </w:rPr>
      </w:pPr>
      <w:r w:rsidRPr="00D31E3F">
        <w:rPr>
          <w:lang w:val="nl-NL" w:eastAsia="nl-NL"/>
        </w:rPr>
        <w:t xml:space="preserve">Wanneer de marktprijs daalt in plaats van stijgt, kan het fifo-systeem (first in first out) gunstiger zijn. Over dit stelsel is geen jurisprudentie verschenen, maar naar de visie van </w:t>
      </w:r>
      <w:r w:rsidRPr="00D31E3F">
        <w:rPr>
          <w:lang w:val="nl-NL"/>
        </w:rPr>
        <w:t>Sillevis, van Kempen, van Westen e.a. is het niet waarschijnlijk dat het fifo-stelsel</w:t>
      </w:r>
      <w:r>
        <w:rPr>
          <w:lang w:val="nl-NL"/>
        </w:rPr>
        <w:t xml:space="preserve"> per transactie op bezwaar van de belastinginspecteur </w:t>
      </w:r>
      <w:r w:rsidRPr="00D31E3F">
        <w:rPr>
          <w:lang w:val="nl-NL"/>
        </w:rPr>
        <w:t>zal stuiten</w:t>
      </w:r>
      <w:r>
        <w:rPr>
          <w:lang w:val="nl-NL"/>
        </w:rPr>
        <w:t xml:space="preserve">, omdat ook het lifo-stelsel per transactie is geaccepteerd. </w:t>
      </w:r>
      <w:r w:rsidRPr="00D31E3F">
        <w:rPr>
          <w:rStyle w:val="FootnoteReference"/>
          <w:lang w:val="nl-NL"/>
        </w:rPr>
        <w:footnoteReference w:id="22"/>
      </w:r>
    </w:p>
    <w:p w:rsidR="00165BBF" w:rsidRPr="00D31E3F" w:rsidRDefault="00165BBF" w:rsidP="0086751F">
      <w:pPr>
        <w:spacing w:line="360" w:lineRule="auto"/>
        <w:rPr>
          <w:lang w:val="nl-NL"/>
        </w:rPr>
      </w:pPr>
    </w:p>
    <w:p w:rsidR="00165BBF" w:rsidRPr="00D31E3F" w:rsidRDefault="00165BBF" w:rsidP="0086751F">
      <w:pPr>
        <w:spacing w:line="360" w:lineRule="auto"/>
        <w:rPr>
          <w:u w:val="single"/>
          <w:lang w:val="nl-NL"/>
        </w:rPr>
      </w:pPr>
      <w:r w:rsidRPr="00D31E3F">
        <w:rPr>
          <w:u w:val="single"/>
          <w:lang w:val="nl-NL"/>
        </w:rPr>
        <w:t>Het ijzerenvoorraadstelsel</w:t>
      </w:r>
      <w:r w:rsidRPr="00D31E3F">
        <w:rPr>
          <w:rStyle w:val="FootnoteReference"/>
          <w:u w:val="single"/>
          <w:lang w:val="nl-NL"/>
        </w:rPr>
        <w:footnoteReference w:id="23"/>
      </w:r>
    </w:p>
    <w:p w:rsidR="00165BBF" w:rsidRPr="00D31E3F" w:rsidRDefault="00165BBF" w:rsidP="0086751F">
      <w:pPr>
        <w:spacing w:line="360" w:lineRule="auto"/>
        <w:rPr>
          <w:lang w:val="nl-NL" w:eastAsia="nl-NL"/>
        </w:rPr>
      </w:pPr>
      <w:r w:rsidRPr="00D31E3F">
        <w:rPr>
          <w:lang w:val="nl-NL" w:eastAsia="nl-NL"/>
        </w:rPr>
        <w:t>Van de substantialistische methoden van voorraadwaardering wordt het ijzerenvoorraadstelsel het meest toegepast. Hierbij wordt een vaste voorraad, de zogenoemde normale (of ijzeren) voorraad, op een vaste basisprijs gewaardeerd. Op deze manier wordt voorkomen dat bij een oplopend prijspeil tijdens het bestaan van de onderneming boekwinst tot uitdrukking moet worden gebracht op die normale voorraad.</w:t>
      </w:r>
    </w:p>
    <w:p w:rsidR="00165BBF" w:rsidRPr="00D31E3F" w:rsidRDefault="00165BBF" w:rsidP="0086751F">
      <w:pPr>
        <w:spacing w:line="360" w:lineRule="auto"/>
        <w:rPr>
          <w:lang w:val="nl-NL" w:eastAsia="nl-NL"/>
        </w:rPr>
      </w:pPr>
      <w:r w:rsidRPr="00D31E3F">
        <w:rPr>
          <w:lang w:val="nl-NL" w:eastAsia="nl-NL"/>
        </w:rPr>
        <w:t>In BNB 1956/121 is bepaald dat het ijzerenvoorraadstelsel in overeenstemming is met goed koopmansgebruik indien aan de volgende drie voorwaarden wordt voldaan:</w:t>
      </w:r>
    </w:p>
    <w:p w:rsidR="00165BBF" w:rsidRPr="00D31E3F" w:rsidRDefault="00165BBF" w:rsidP="0086751F">
      <w:pPr>
        <w:pStyle w:val="ListParagraph"/>
        <w:numPr>
          <w:ilvl w:val="0"/>
          <w:numId w:val="5"/>
        </w:numPr>
        <w:spacing w:after="0" w:line="360" w:lineRule="auto"/>
        <w:rPr>
          <w:rFonts w:ascii="Times New Roman" w:hAnsi="Times New Roman"/>
          <w:sz w:val="24"/>
          <w:szCs w:val="24"/>
          <w:lang w:eastAsia="nl-NL"/>
        </w:rPr>
      </w:pPr>
      <w:r>
        <w:rPr>
          <w:rFonts w:ascii="Times New Roman" w:hAnsi="Times New Roman"/>
          <w:sz w:val="24"/>
          <w:szCs w:val="24"/>
          <w:lang w:eastAsia="nl-NL"/>
        </w:rPr>
        <w:t xml:space="preserve">Er moet worden uitgegaan </w:t>
      </w:r>
      <w:r w:rsidRPr="00D31E3F">
        <w:rPr>
          <w:rFonts w:ascii="Times New Roman" w:hAnsi="Times New Roman"/>
          <w:sz w:val="24"/>
          <w:szCs w:val="24"/>
          <w:lang w:eastAsia="nl-NL"/>
        </w:rPr>
        <w:t>van de normale voorraad. Het prijspeil op het basistijdstip mag voor volgende jaren worden aangehouden voor een voorraad die wat betreft de omvang en de aard van de goederen soortgelijk of soortverwant is aan de normale voorraad.</w:t>
      </w:r>
    </w:p>
    <w:p w:rsidR="00165BBF" w:rsidRPr="00D31E3F" w:rsidRDefault="00165BBF" w:rsidP="0086751F">
      <w:pPr>
        <w:pStyle w:val="ListParagraph"/>
        <w:numPr>
          <w:ilvl w:val="0"/>
          <w:numId w:val="5"/>
        </w:numPr>
        <w:spacing w:after="0" w:line="360" w:lineRule="auto"/>
        <w:rPr>
          <w:rFonts w:ascii="Times New Roman" w:hAnsi="Times New Roman"/>
          <w:sz w:val="24"/>
          <w:szCs w:val="24"/>
          <w:lang w:eastAsia="nl-NL"/>
        </w:rPr>
      </w:pPr>
      <w:r w:rsidRPr="00D31E3F">
        <w:rPr>
          <w:rFonts w:ascii="Times New Roman" w:hAnsi="Times New Roman"/>
          <w:sz w:val="24"/>
          <w:szCs w:val="24"/>
          <w:lang w:eastAsia="nl-NL"/>
        </w:rPr>
        <w:t xml:space="preserve">De normale voorraad kan later worden vergroot; de toe te voegen schijf moet worden gewaardeerd naar de aanschaffingskosten of lagere marktwaarde daarvan. </w:t>
      </w:r>
    </w:p>
    <w:p w:rsidR="00165BBF" w:rsidRPr="00D31E3F" w:rsidRDefault="00165BBF" w:rsidP="0086751F">
      <w:pPr>
        <w:pStyle w:val="ListParagraph"/>
        <w:numPr>
          <w:ilvl w:val="0"/>
          <w:numId w:val="5"/>
        </w:numPr>
        <w:spacing w:after="0" w:line="360" w:lineRule="auto"/>
        <w:rPr>
          <w:rFonts w:ascii="Times New Roman" w:hAnsi="Times New Roman"/>
          <w:sz w:val="24"/>
          <w:szCs w:val="24"/>
          <w:lang w:eastAsia="nl-NL"/>
        </w:rPr>
      </w:pPr>
      <w:r w:rsidRPr="00D31E3F">
        <w:rPr>
          <w:rFonts w:ascii="Times New Roman" w:hAnsi="Times New Roman"/>
          <w:sz w:val="24"/>
          <w:szCs w:val="24"/>
          <w:lang w:eastAsia="nl-NL"/>
        </w:rPr>
        <w:t xml:space="preserve">De normale voorraad kan later worden verkleind; </w:t>
      </w:r>
      <w:r>
        <w:rPr>
          <w:rFonts w:ascii="Times New Roman" w:hAnsi="Times New Roman"/>
          <w:sz w:val="24"/>
          <w:szCs w:val="24"/>
          <w:lang w:eastAsia="nl-NL"/>
        </w:rPr>
        <w:t xml:space="preserve">het resultaat </w:t>
      </w:r>
      <w:r w:rsidRPr="00D31E3F">
        <w:rPr>
          <w:rFonts w:ascii="Times New Roman" w:hAnsi="Times New Roman"/>
          <w:sz w:val="24"/>
          <w:szCs w:val="24"/>
          <w:lang w:eastAsia="nl-NL"/>
        </w:rPr>
        <w:t xml:space="preserve">op de af te voeren schijf wordt </w:t>
      </w:r>
      <w:r>
        <w:rPr>
          <w:rFonts w:ascii="Times New Roman" w:hAnsi="Times New Roman"/>
          <w:sz w:val="24"/>
          <w:szCs w:val="24"/>
          <w:lang w:eastAsia="nl-NL"/>
        </w:rPr>
        <w:t>bepaald door het verschil tussen de verkoopprijs en de basisprijs.</w:t>
      </w:r>
    </w:p>
    <w:p w:rsidR="00165BBF" w:rsidRPr="00D31E3F" w:rsidRDefault="00165BBF" w:rsidP="0086751F">
      <w:pPr>
        <w:spacing w:line="360" w:lineRule="auto"/>
        <w:rPr>
          <w:lang w:val="nl-NL" w:eastAsia="nl-NL"/>
        </w:rPr>
      </w:pPr>
    </w:p>
    <w:p w:rsidR="00165BBF" w:rsidRPr="00D31E3F" w:rsidRDefault="00165BBF" w:rsidP="0086751F">
      <w:pPr>
        <w:spacing w:line="360" w:lineRule="auto"/>
        <w:rPr>
          <w:lang w:val="nl-NL" w:eastAsia="nl-NL"/>
        </w:rPr>
      </w:pPr>
      <w:r w:rsidRPr="00D31E3F">
        <w:rPr>
          <w:lang w:val="nl-NL" w:eastAsia="nl-NL"/>
        </w:rPr>
        <w:t>Bij dit stels</w:t>
      </w:r>
      <w:r>
        <w:rPr>
          <w:lang w:val="nl-NL" w:eastAsia="nl-NL"/>
        </w:rPr>
        <w:t>el is het mogelijk om een manco</w:t>
      </w:r>
      <w:r w:rsidRPr="00D31E3F">
        <w:rPr>
          <w:lang w:val="nl-NL" w:eastAsia="nl-NL"/>
        </w:rPr>
        <w:t>voorziening te vormen. Deze wordt gevormd op het moment dat  er een prijsverschil is tussen de prijs op de inkoopmarkt op balansdatum en de ijzerenvoorraadprijs. Ter grootte van dit verschil mag een voorziening gevormd worden, waardoor de stille reserve die in de voorraad besloten ligt, niet verloren gaat. Een surplus boven de normale voorraad wordt gewaardeerd op kostprijs of lagere marktwaarde.</w:t>
      </w:r>
      <w:r w:rsidRPr="00D31E3F">
        <w:rPr>
          <w:rStyle w:val="FootnoteReference"/>
          <w:lang w:val="nl-NL" w:eastAsia="nl-NL"/>
        </w:rPr>
        <w:footnoteReference w:id="24"/>
      </w:r>
      <w:r>
        <w:rPr>
          <w:lang w:val="nl-NL" w:eastAsia="nl-NL"/>
        </w:rPr>
        <w:t xml:space="preserve"> Zie de bijlage voor een cijfervoorbeeld.</w:t>
      </w:r>
    </w:p>
    <w:p w:rsidR="00165BBF" w:rsidRPr="00D31E3F" w:rsidRDefault="00165BBF" w:rsidP="0086751F">
      <w:pPr>
        <w:spacing w:line="360" w:lineRule="auto"/>
        <w:rPr>
          <w:lang w:val="nl-NL" w:eastAsia="nl-NL"/>
        </w:rPr>
      </w:pPr>
    </w:p>
    <w:p w:rsidR="00165BBF" w:rsidRPr="00D31E3F" w:rsidRDefault="00165BBF" w:rsidP="0086751F">
      <w:pPr>
        <w:spacing w:line="360" w:lineRule="auto"/>
        <w:rPr>
          <w:lang w:val="nl-NL" w:eastAsia="nl-NL"/>
        </w:rPr>
      </w:pPr>
      <w:r w:rsidRPr="00D31E3F">
        <w:rPr>
          <w:lang w:val="nl-NL" w:eastAsia="nl-NL"/>
        </w:rPr>
        <w:t>Centraal staat de normale voorraad. Hieronder wordt verstaan: de gestadig aan te houden voorraad, dit is de voorraad die nodig is om het productieproces bij de bestaande capaciteit ongestoord voortgang te doen vinden. Een eis die hierbij gesteld is dat de te waarderen voorraad soortgelijk of soortverwant is aan de normale voorraad. Wanneer een ondernemer overgaat op een nieuw assortiment, kan het prijsverschil niet doorgeschoven worden. Ook al hebben goederen economisch gezien dezelfde functie, wanneer ze technisch niet soortgelijk zijn vallen ze niet onder het ijzerenvoorraadstelsel.</w:t>
      </w:r>
      <w:r w:rsidRPr="00D31E3F">
        <w:rPr>
          <w:rStyle w:val="FootnoteReference"/>
          <w:lang w:val="nl-NL" w:eastAsia="nl-NL"/>
        </w:rPr>
        <w:footnoteReference w:id="25"/>
      </w:r>
    </w:p>
    <w:p w:rsidR="00165BBF" w:rsidRPr="00D31E3F" w:rsidRDefault="00165BBF" w:rsidP="0086751F">
      <w:pPr>
        <w:spacing w:line="360" w:lineRule="auto"/>
        <w:rPr>
          <w:lang w:val="nl-NL" w:eastAsia="nl-NL"/>
        </w:rPr>
      </w:pPr>
    </w:p>
    <w:p w:rsidR="00165BBF" w:rsidRPr="00D31E3F" w:rsidRDefault="00165BBF" w:rsidP="00D31E3F">
      <w:pPr>
        <w:spacing w:line="360" w:lineRule="auto"/>
        <w:rPr>
          <w:b/>
          <w:lang w:val="nl-NL" w:eastAsia="nl-NL"/>
        </w:rPr>
      </w:pPr>
      <w:r w:rsidRPr="00D31E3F">
        <w:rPr>
          <w:b/>
          <w:lang w:val="nl-NL" w:eastAsia="nl-NL"/>
        </w:rPr>
        <w:t>1.4 Onderhanden werk</w:t>
      </w:r>
    </w:p>
    <w:p w:rsidR="00165BBF" w:rsidRPr="00D31E3F" w:rsidRDefault="00165BBF" w:rsidP="00D31E3F">
      <w:pPr>
        <w:autoSpaceDE w:val="0"/>
        <w:autoSpaceDN w:val="0"/>
        <w:adjustRightInd w:val="0"/>
        <w:spacing w:line="360" w:lineRule="auto"/>
        <w:rPr>
          <w:lang w:val="nl-NL"/>
        </w:rPr>
      </w:pPr>
      <w:r w:rsidRPr="00D31E3F">
        <w:rPr>
          <w:lang w:val="nl-NL"/>
        </w:rPr>
        <w:t>Onderhanden werk is een bijzondere vorm van voorraad. Van een ‘werk’ is sprake als werkzaamheden voortvloeien uit een overeenkomst van aanneming van werk (art. 7:750 BW). Van belang is of de productie in opdracht van een afnemer plaatsvindt. Wanneer dit niet het geval is, is er geen sprake van onderhanden werk maar van voorraad (HR 9 juli 2004, BNB 2004/395). De term ‘onderhanden werk’ wordt gedefinieerd als elk werk dat op balansdatum nog niet kan worden afgesloten.</w:t>
      </w:r>
      <w:r w:rsidRPr="00D31E3F">
        <w:rPr>
          <w:rStyle w:val="FootnoteReference"/>
          <w:lang w:val="nl-NL"/>
        </w:rPr>
        <w:footnoteReference w:id="26"/>
      </w:r>
    </w:p>
    <w:p w:rsidR="00165BBF" w:rsidRPr="00D31E3F" w:rsidRDefault="00165BBF" w:rsidP="00D31E3F">
      <w:pPr>
        <w:autoSpaceDE w:val="0"/>
        <w:autoSpaceDN w:val="0"/>
        <w:adjustRightInd w:val="0"/>
        <w:spacing w:line="360" w:lineRule="auto"/>
        <w:rPr>
          <w:lang w:val="nl-NL"/>
        </w:rPr>
      </w:pPr>
    </w:p>
    <w:p w:rsidR="00165BBF" w:rsidRPr="00D31E3F" w:rsidRDefault="00165BBF" w:rsidP="00D31E3F">
      <w:pPr>
        <w:autoSpaceDE w:val="0"/>
        <w:autoSpaceDN w:val="0"/>
        <w:adjustRightInd w:val="0"/>
        <w:spacing w:line="360" w:lineRule="auto"/>
        <w:rPr>
          <w:lang w:val="nl-NL"/>
        </w:rPr>
      </w:pPr>
      <w:r w:rsidRPr="00D31E3F">
        <w:rPr>
          <w:lang w:val="nl-NL"/>
        </w:rPr>
        <w:t>In 2007 trad de wet ‘Werken aan winst’ in werking. Volgens Doornebal is dit tot dusver de meest vergaande aanslag op het open karakter van goed koopmansgebruik.</w:t>
      </w:r>
      <w:r w:rsidRPr="00D31E3F">
        <w:rPr>
          <w:rStyle w:val="FootnoteReference"/>
          <w:lang w:val="nl-NL"/>
        </w:rPr>
        <w:footnoteReference w:id="27"/>
      </w:r>
      <w:r w:rsidRPr="00D31E3F">
        <w:rPr>
          <w:lang w:val="nl-NL"/>
        </w:rPr>
        <w:t xml:space="preserve"> Als gevolg van de nieuwe wet werd dat jaar artikel 3.29b aan de wet Inkomstenbelasting toegevoegd. In dit artikel is vastgelegd dat “de waardering van onderhanden werk wordt gesteld op het gedeelte van de overeengekomen vergoeding voor het aangenomen werk, dat is toe te rekenen aan dat onderhanden werk.” </w:t>
      </w:r>
    </w:p>
    <w:p w:rsidR="00165BBF" w:rsidRPr="00D31E3F" w:rsidRDefault="00165BBF" w:rsidP="00D31E3F">
      <w:pPr>
        <w:autoSpaceDE w:val="0"/>
        <w:autoSpaceDN w:val="0"/>
        <w:adjustRightInd w:val="0"/>
        <w:spacing w:line="360" w:lineRule="auto"/>
        <w:rPr>
          <w:lang w:val="nl-NL"/>
        </w:rPr>
      </w:pPr>
    </w:p>
    <w:p w:rsidR="00165BBF" w:rsidRPr="00D31E3F" w:rsidRDefault="00165BBF" w:rsidP="00D31E3F">
      <w:pPr>
        <w:autoSpaceDE w:val="0"/>
        <w:autoSpaceDN w:val="0"/>
        <w:adjustRightInd w:val="0"/>
        <w:spacing w:line="360" w:lineRule="auto"/>
        <w:rPr>
          <w:lang w:val="nl-NL"/>
        </w:rPr>
      </w:pPr>
      <w:r w:rsidRPr="00D31E3F">
        <w:rPr>
          <w:lang w:val="nl-NL"/>
        </w:rPr>
        <w:t>Tot 2007 was een ondernemer vrij in het kiezen van een waarderingsmethode voor onderhanden werk, zolang de methode voldeed aan goed koopmansgebruik. Zo was het toegestaan om winstneming uit te stellen tot de oplevering van het werk. Ook was het toegestaan om het constante deel van de algemene kosten niet in de waardering van het onderhanden werk tot uitdrukking te laten komen, maar direct ten laste van het resultaat te brengen.</w:t>
      </w:r>
      <w:r w:rsidRPr="00D31E3F">
        <w:rPr>
          <w:rStyle w:val="FootnoteReference"/>
          <w:lang w:val="nl-NL"/>
        </w:rPr>
        <w:footnoteReference w:id="28"/>
      </w:r>
    </w:p>
    <w:p w:rsidR="00165BBF" w:rsidRPr="00D31E3F" w:rsidRDefault="00165BBF" w:rsidP="00D31E3F">
      <w:pPr>
        <w:autoSpaceDE w:val="0"/>
        <w:autoSpaceDN w:val="0"/>
        <w:adjustRightInd w:val="0"/>
        <w:spacing w:line="360" w:lineRule="auto"/>
        <w:rPr>
          <w:lang w:val="nl-NL"/>
        </w:rPr>
      </w:pPr>
    </w:p>
    <w:p w:rsidR="00165BBF" w:rsidRPr="00D31E3F" w:rsidRDefault="00165BBF" w:rsidP="00D31E3F">
      <w:pPr>
        <w:autoSpaceDE w:val="0"/>
        <w:autoSpaceDN w:val="0"/>
        <w:adjustRightInd w:val="0"/>
        <w:spacing w:line="360" w:lineRule="auto"/>
        <w:rPr>
          <w:lang w:val="nl-NL"/>
        </w:rPr>
      </w:pPr>
      <w:r w:rsidRPr="00D31E3F">
        <w:rPr>
          <w:lang w:val="nl-NL"/>
        </w:rPr>
        <w:t>Na de invoering van artikel 3.29b IB is de ondernemer verplicht om voortschrijdend winst te nemen.</w:t>
      </w:r>
      <w:r w:rsidRPr="00D31E3F">
        <w:rPr>
          <w:lang w:val="nl-NL" w:eastAsia="nl-NL"/>
        </w:rPr>
        <w:t xml:space="preserve"> Naast de directe kosten moet ook het aandeel in het constante deel van de algemene kosten in de waardering worden opgenomen. Daarnaast moet ook een winstopslag worden geactiveerd.</w:t>
      </w:r>
      <w:r w:rsidRPr="00D31E3F">
        <w:rPr>
          <w:rStyle w:val="FootnoteReference"/>
          <w:lang w:val="nl-NL" w:eastAsia="nl-NL"/>
        </w:rPr>
        <w:footnoteReference w:id="29"/>
      </w:r>
      <w:r w:rsidRPr="00D31E3F">
        <w:rPr>
          <w:lang w:val="nl-NL" w:eastAsia="nl-NL"/>
        </w:rPr>
        <w:t xml:space="preserve"> Uit artikel 3.29b IB blijkt dat winst voortschrijdend genomen moet worden, maar niet duidelijk is hoe de voortgang wordt bepaald. Een mogelijkheid is om het aantal bestede arbeidsuren te vergelijken met het totaal aantal geschatte uren, of concrete criteria in de overeenkomst met de opdrachtgever op te nemen. Uit toekomstige jurisprudentie zal moeten blijken hoe de voortgang bepaald moet worden.</w:t>
      </w:r>
      <w:r w:rsidRPr="00D31E3F">
        <w:rPr>
          <w:rStyle w:val="FootnoteReference"/>
          <w:lang w:val="nl-NL" w:eastAsia="nl-NL"/>
        </w:rPr>
        <w:footnoteReference w:id="30"/>
      </w:r>
    </w:p>
    <w:p w:rsidR="00165BBF" w:rsidRPr="00D31E3F" w:rsidRDefault="00165BBF" w:rsidP="00D31E3F">
      <w:pPr>
        <w:autoSpaceDE w:val="0"/>
        <w:autoSpaceDN w:val="0"/>
        <w:adjustRightInd w:val="0"/>
        <w:spacing w:line="360" w:lineRule="auto"/>
        <w:rPr>
          <w:lang w:val="nl-NL"/>
        </w:rPr>
      </w:pPr>
    </w:p>
    <w:p w:rsidR="00165BBF" w:rsidRPr="00D31E3F" w:rsidRDefault="00165BBF" w:rsidP="00D31E3F">
      <w:pPr>
        <w:autoSpaceDE w:val="0"/>
        <w:autoSpaceDN w:val="0"/>
        <w:adjustRightInd w:val="0"/>
        <w:spacing w:line="360" w:lineRule="auto"/>
        <w:rPr>
          <w:lang w:val="nl-NL"/>
        </w:rPr>
      </w:pPr>
      <w:r w:rsidRPr="00D31E3F">
        <w:rPr>
          <w:lang w:val="nl-NL"/>
        </w:rPr>
        <w:t>Eerder in dit hoofdstuk haalde ik Doornebal al aan. Hij concludeerde dat de Hoge Raad meer dan voorheen extra gewicht toe lijkt te kennen aan het realiteitsbeginsel, hetgeen in het algemeen ten koste gaat van het voorzichtigheidsbeginsel. Dezelfde ontwikkeling komt ook naar voren in artikel 3.29b IB als uitwerking van de wet ‘Werken aan winst’. Uit de Memorie van Toelichting blijkt dat het voor ondernemingen met langlopende opdrachten gebruikelijk is om termijnen in rekening te brengen bij de opdrachtgever. Hierdoor kan de winst met een redelijke mate van zekerheid gedurende het onderhanden werk worden vastgesteld. Ook de wetgever legt aldus met artikel 3.29b IB meer nadruk op het realisatiebeginsel.</w:t>
      </w:r>
      <w:r w:rsidRPr="00D31E3F">
        <w:rPr>
          <w:rStyle w:val="FootnoteReference"/>
          <w:lang w:val="nl-NL"/>
        </w:rPr>
        <w:footnoteReference w:id="31"/>
      </w:r>
    </w:p>
    <w:p w:rsidR="00165BBF" w:rsidRPr="00D31E3F" w:rsidRDefault="00165BBF" w:rsidP="00D31E3F">
      <w:pPr>
        <w:autoSpaceDE w:val="0"/>
        <w:autoSpaceDN w:val="0"/>
        <w:adjustRightInd w:val="0"/>
        <w:spacing w:line="360" w:lineRule="auto"/>
        <w:rPr>
          <w:lang w:val="nl-NL"/>
        </w:rPr>
      </w:pPr>
    </w:p>
    <w:p w:rsidR="00165BBF" w:rsidRPr="00D31E3F" w:rsidRDefault="00165BBF" w:rsidP="00D31E3F">
      <w:pPr>
        <w:autoSpaceDE w:val="0"/>
        <w:autoSpaceDN w:val="0"/>
        <w:adjustRightInd w:val="0"/>
        <w:spacing w:line="360" w:lineRule="auto"/>
        <w:rPr>
          <w:b/>
          <w:lang w:val="nl-NL"/>
        </w:rPr>
      </w:pPr>
      <w:r w:rsidRPr="00D31E3F">
        <w:rPr>
          <w:b/>
          <w:lang w:val="nl-NL"/>
        </w:rPr>
        <w:t>1.5 Conclusie</w:t>
      </w:r>
    </w:p>
    <w:p w:rsidR="00165BBF" w:rsidRPr="00D31E3F" w:rsidRDefault="00165BBF" w:rsidP="00D31E3F">
      <w:pPr>
        <w:autoSpaceDE w:val="0"/>
        <w:autoSpaceDN w:val="0"/>
        <w:adjustRightInd w:val="0"/>
        <w:spacing w:line="360" w:lineRule="auto"/>
        <w:rPr>
          <w:lang w:val="nl-NL"/>
        </w:rPr>
      </w:pPr>
      <w:r w:rsidRPr="00D31E3F">
        <w:rPr>
          <w:lang w:val="nl-NL"/>
        </w:rPr>
        <w:t>In dit eerste hoofdstuk werd antwoord gegeven op de vraag: “Hoe vindt voorraadwaardering plaats volgens goedkoopmansgebruik?”.</w:t>
      </w:r>
    </w:p>
    <w:p w:rsidR="00165BBF" w:rsidRPr="00D31E3F" w:rsidRDefault="00165BBF" w:rsidP="00D31E3F">
      <w:pPr>
        <w:spacing w:line="360" w:lineRule="auto"/>
        <w:rPr>
          <w:lang w:val="nl-NL"/>
        </w:rPr>
      </w:pPr>
      <w:r w:rsidRPr="00D31E3F">
        <w:rPr>
          <w:lang w:val="nl-NL"/>
        </w:rPr>
        <w:t xml:space="preserve">Het goed koopmansgebruik speelt een </w:t>
      </w:r>
      <w:r>
        <w:rPr>
          <w:lang w:val="nl-NL"/>
        </w:rPr>
        <w:t>centrale rol in de bepaling van</w:t>
      </w:r>
      <w:r w:rsidRPr="00D31E3F">
        <w:rPr>
          <w:lang w:val="nl-NL"/>
        </w:rPr>
        <w:t xml:space="preserve"> de </w:t>
      </w:r>
      <w:r>
        <w:rPr>
          <w:lang w:val="nl-NL"/>
        </w:rPr>
        <w:t xml:space="preserve">fiscale </w:t>
      </w:r>
      <w:r w:rsidRPr="00D31E3F">
        <w:rPr>
          <w:lang w:val="nl-NL"/>
        </w:rPr>
        <w:t>jaarwinst. De invulling van het begrip is tot stand gekomen middels jurisprudentie. De drie beginselen waarop het goed koopmansgebruik is gebaseerd zijn het realisatiebeginsel, het voorzichtigheidsbeginsel en het eenvoudbeginsel. Het voorzichtigheidsbeginsel maakt steeds meer ruimte voor het realisatiebeginsel. Met bovenstaande beginselen als uitgangspunt kan een concrete</w:t>
      </w:r>
      <w:r>
        <w:rPr>
          <w:lang w:val="nl-NL"/>
        </w:rPr>
        <w:t xml:space="preserve"> invulling worden gegeven aan</w:t>
      </w:r>
      <w:r w:rsidRPr="00D31E3F">
        <w:rPr>
          <w:lang w:val="nl-NL"/>
        </w:rPr>
        <w:t xml:space="preserve"> voorraadwaardering.</w:t>
      </w:r>
    </w:p>
    <w:p w:rsidR="00165BBF" w:rsidRPr="00D31E3F" w:rsidRDefault="00165BBF" w:rsidP="00D31E3F">
      <w:pPr>
        <w:spacing w:line="360" w:lineRule="auto"/>
        <w:rPr>
          <w:lang w:val="nl-NL"/>
        </w:rPr>
      </w:pPr>
      <w:r w:rsidRPr="00D31E3F">
        <w:rPr>
          <w:lang w:val="nl-NL"/>
        </w:rPr>
        <w:t xml:space="preserve">Onder voorraad wordt verstaan </w:t>
      </w:r>
      <w:r w:rsidRPr="00D31E3F">
        <w:rPr>
          <w:iCs/>
          <w:lang w:val="nl-NL" w:eastAsia="nl-NL"/>
        </w:rPr>
        <w:t xml:space="preserve">het geheel van zaken die ter bewerking, verwerking of verkoop en derhalve als bestemd voor de omzet in het bedrijf aanwezig zijn. De methoden van voorraadwaardering die volgens de jurisprudentie voor de fiscale jaarrekening zijn toegestaan, zijn: tegen </w:t>
      </w:r>
      <w:r w:rsidRPr="00D31E3F">
        <w:rPr>
          <w:lang w:val="nl-NL"/>
        </w:rPr>
        <w:t xml:space="preserve">kostprijs of lagere marktwaarde, </w:t>
      </w:r>
      <w:r>
        <w:rPr>
          <w:lang w:val="nl-NL"/>
        </w:rPr>
        <w:t>en</w:t>
      </w:r>
      <w:r w:rsidRPr="00D31E3F">
        <w:rPr>
          <w:lang w:val="nl-NL"/>
        </w:rPr>
        <w:t xml:space="preserve"> op basis van het lifo-, fifo- of ijzerenvoorraadstelsel.</w:t>
      </w:r>
    </w:p>
    <w:p w:rsidR="00165BBF" w:rsidRPr="00D31E3F" w:rsidRDefault="00165BBF" w:rsidP="00D31E3F">
      <w:pPr>
        <w:spacing w:line="360" w:lineRule="auto"/>
        <w:rPr>
          <w:lang w:val="nl-NL" w:eastAsia="nl-NL"/>
        </w:rPr>
      </w:pPr>
      <w:r w:rsidRPr="00D31E3F">
        <w:rPr>
          <w:lang w:val="nl-NL"/>
        </w:rPr>
        <w:t xml:space="preserve">Onderhanden werk is een bijzondere vorm van voorraad. Met de wet ‘Werken aan winst’ werd in 2007 artikel 3.29b IB aan de wet toegevoegd. In dit artikel is opgenomen dat bij de waardering van het onderhanden werk opgenomen moet worden de directe kosten, </w:t>
      </w:r>
      <w:r w:rsidRPr="00D31E3F">
        <w:rPr>
          <w:lang w:val="nl-NL" w:eastAsia="nl-NL"/>
        </w:rPr>
        <w:t>het aandeel in het constante deel van de algemene kosten en een winstopslag. De winst moet voortschrijdend genomen worden.</w:t>
      </w:r>
    </w:p>
    <w:p w:rsidR="00165BBF" w:rsidRPr="00D31E3F" w:rsidRDefault="00165BBF" w:rsidP="00D31E3F">
      <w:pPr>
        <w:spacing w:line="360" w:lineRule="auto"/>
        <w:rPr>
          <w:lang w:val="nl-NL" w:eastAsia="nl-NL"/>
        </w:rPr>
      </w:pPr>
    </w:p>
    <w:p w:rsidR="00165BBF" w:rsidRPr="00D31E3F" w:rsidRDefault="00165BBF" w:rsidP="00D31E3F">
      <w:pPr>
        <w:spacing w:line="360" w:lineRule="auto"/>
        <w:rPr>
          <w:lang w:val="nl-NL"/>
        </w:rPr>
      </w:pPr>
      <w:r w:rsidRPr="00D31E3F">
        <w:rPr>
          <w:lang w:val="nl-NL" w:eastAsia="nl-NL"/>
        </w:rPr>
        <w:t xml:space="preserve">Dit hoofdstuk ging over de voorraadwaardering volgens goed koopmansgebruik. Het volgende hoofdstuk zal betrekking hebben op voorraadwaardering volgens IFRS. </w:t>
      </w:r>
    </w:p>
    <w:p w:rsidR="00165BBF" w:rsidRPr="00D31E3F" w:rsidRDefault="00165BBF">
      <w:pPr>
        <w:spacing w:after="200" w:line="276" w:lineRule="auto"/>
        <w:rPr>
          <w:lang w:val="nl-NL"/>
        </w:rPr>
      </w:pPr>
      <w:r w:rsidRPr="00D31E3F">
        <w:rPr>
          <w:lang w:val="nl-NL"/>
        </w:rPr>
        <w:br w:type="page"/>
      </w:r>
    </w:p>
    <w:p w:rsidR="00165BBF" w:rsidRPr="00D31E3F" w:rsidRDefault="00165BBF" w:rsidP="00D31E3F">
      <w:pPr>
        <w:spacing w:line="360" w:lineRule="auto"/>
        <w:rPr>
          <w:b/>
          <w:sz w:val="28"/>
          <w:szCs w:val="28"/>
          <w:lang w:val="nl-NL"/>
        </w:rPr>
      </w:pPr>
      <w:r w:rsidRPr="00D31E3F">
        <w:rPr>
          <w:b/>
          <w:sz w:val="28"/>
          <w:szCs w:val="28"/>
          <w:lang w:val="nl-NL"/>
        </w:rPr>
        <w:t>Hoofdstuk 2</w:t>
      </w:r>
      <w:r>
        <w:rPr>
          <w:b/>
          <w:sz w:val="28"/>
          <w:szCs w:val="28"/>
          <w:lang w:val="nl-NL"/>
        </w:rPr>
        <w:tab/>
      </w:r>
      <w:r w:rsidRPr="00D31E3F">
        <w:rPr>
          <w:b/>
          <w:sz w:val="28"/>
          <w:szCs w:val="28"/>
          <w:lang w:val="nl-NL"/>
        </w:rPr>
        <w:t>Voorraadwaardering volgens IFRS</w:t>
      </w:r>
    </w:p>
    <w:p w:rsidR="00165BBF" w:rsidRPr="00D31E3F" w:rsidRDefault="00165BBF" w:rsidP="00D31E3F">
      <w:pPr>
        <w:spacing w:line="360" w:lineRule="auto"/>
        <w:rPr>
          <w:b/>
          <w:lang w:val="nl-NL"/>
        </w:rPr>
      </w:pPr>
    </w:p>
    <w:p w:rsidR="00165BBF" w:rsidRPr="00D31E3F" w:rsidRDefault="00165BBF" w:rsidP="00D31E3F">
      <w:pPr>
        <w:spacing w:line="360" w:lineRule="auto"/>
        <w:rPr>
          <w:b/>
          <w:lang w:val="nl-NL"/>
        </w:rPr>
      </w:pPr>
      <w:r w:rsidRPr="00D31E3F">
        <w:rPr>
          <w:b/>
          <w:lang w:val="nl-NL"/>
        </w:rPr>
        <w:t>2.1 Inleiding</w:t>
      </w:r>
    </w:p>
    <w:p w:rsidR="00165BBF" w:rsidRPr="00D31E3F" w:rsidRDefault="00165BBF" w:rsidP="00D31E3F">
      <w:pPr>
        <w:spacing w:line="360" w:lineRule="auto"/>
        <w:rPr>
          <w:lang w:val="nl-NL"/>
        </w:rPr>
      </w:pPr>
      <w:r w:rsidRPr="00D31E3F">
        <w:rPr>
          <w:lang w:val="nl-NL"/>
        </w:rPr>
        <w:t xml:space="preserve">Het vorige hoofdstuk ging over de voorraadwaardering volgens goed koopmansgebruik. In dit hoofdstuk komt de voorraadwaardering volgens de International Financial Reporting Standards (hierna afgekort als IFRS) aan bod. De </w:t>
      </w:r>
      <w:r>
        <w:rPr>
          <w:lang w:val="nl-NL"/>
        </w:rPr>
        <w:t xml:space="preserve">standaarden van </w:t>
      </w:r>
      <w:r w:rsidRPr="00D31E3F">
        <w:rPr>
          <w:lang w:val="nl-NL"/>
        </w:rPr>
        <w:t>IFRS zijn opgesteld met als doel de regels voor de externe verslaggeving op mondiaal niveau te harmoniseren. De reden dat ik hieraan een hoof</w:t>
      </w:r>
      <w:r>
        <w:rPr>
          <w:lang w:val="nl-NL"/>
        </w:rPr>
        <w:t>dstuk wijd, is dat onderzocht zal worden</w:t>
      </w:r>
      <w:r w:rsidRPr="00D31E3F">
        <w:rPr>
          <w:lang w:val="nl-NL"/>
        </w:rPr>
        <w:t xml:space="preserve"> of IFRS als uitgangspunt voor de CCCTB zou kunnen dienen (zie hiervoor hoofdstuk 3). Essers ziet de geschiedenis van de totstandkoming van IFRS als inspiratiebron.</w:t>
      </w:r>
      <w:r w:rsidRPr="00D31E3F">
        <w:rPr>
          <w:rStyle w:val="FootnoteReference"/>
          <w:lang w:val="nl-NL"/>
        </w:rPr>
        <w:footnoteReference w:id="32"/>
      </w:r>
      <w:r w:rsidRPr="00D31E3F">
        <w:rPr>
          <w:lang w:val="nl-NL"/>
        </w:rPr>
        <w:t xml:space="preserve"> </w:t>
      </w:r>
    </w:p>
    <w:p w:rsidR="00165BBF" w:rsidRPr="00D31E3F" w:rsidRDefault="00165BBF" w:rsidP="00D31E3F">
      <w:pPr>
        <w:spacing w:line="360" w:lineRule="auto"/>
        <w:rPr>
          <w:lang w:val="nl-NL"/>
        </w:rPr>
      </w:pPr>
      <w:r w:rsidRPr="00D31E3F">
        <w:rPr>
          <w:lang w:val="nl-NL"/>
        </w:rPr>
        <w:t>In dit hoofdstuk zal ook een vergelijking worden getrokken tussen goed koopmansgebruik en IFRS. Beide stelsels kunnen niet zonder meer aan elkaar gekoppeld worden, omdat ze verschillende doeleinden hebben. Dit hoofdstuk geeft antwoord op de vraag: “Hoe vindt voorraadwaardering plaats volgens IFRS?”</w:t>
      </w:r>
    </w:p>
    <w:p w:rsidR="00165BBF" w:rsidRPr="00D31E3F" w:rsidRDefault="00165BBF" w:rsidP="00D31E3F">
      <w:pPr>
        <w:spacing w:line="360" w:lineRule="auto"/>
        <w:rPr>
          <w:lang w:val="nl-NL"/>
        </w:rPr>
      </w:pPr>
    </w:p>
    <w:p w:rsidR="00165BBF" w:rsidRPr="00D31E3F" w:rsidRDefault="00165BBF" w:rsidP="00D31E3F">
      <w:pPr>
        <w:spacing w:line="360" w:lineRule="auto"/>
        <w:rPr>
          <w:b/>
          <w:lang w:val="nl-NL"/>
        </w:rPr>
      </w:pPr>
      <w:r w:rsidRPr="00D31E3F">
        <w:rPr>
          <w:b/>
          <w:lang w:val="nl-NL"/>
        </w:rPr>
        <w:t>2.2 IFRS</w:t>
      </w:r>
    </w:p>
    <w:p w:rsidR="00165BBF" w:rsidRPr="00D31E3F" w:rsidRDefault="00165BBF" w:rsidP="00D31E3F">
      <w:pPr>
        <w:spacing w:line="360" w:lineRule="auto"/>
        <w:rPr>
          <w:lang w:val="nl-NL"/>
        </w:rPr>
      </w:pPr>
      <w:r w:rsidRPr="00D31E3F">
        <w:rPr>
          <w:lang w:val="nl-NL"/>
        </w:rPr>
        <w:t>Om te beginnen zal ik kort beschrijven hoe de IFRS tot stand zijn gekomen en wat het doel is.</w:t>
      </w:r>
    </w:p>
    <w:p w:rsidR="00165BBF" w:rsidRPr="00D31E3F" w:rsidRDefault="00165BBF" w:rsidP="00D31E3F">
      <w:pPr>
        <w:spacing w:line="360" w:lineRule="auto"/>
        <w:rPr>
          <w:lang w:val="nl-NL"/>
        </w:rPr>
      </w:pPr>
      <w:r w:rsidRPr="00D31E3F">
        <w:rPr>
          <w:lang w:val="nl-NL"/>
        </w:rPr>
        <w:t>In 1973 is de International Accounting Standards Committee (IASC) opgericht door een aantal nationale organisaties van accountants. De behoefte bestond om op internationaal niveau de regels voor de externe verslaggeving te harmoniseren, waardoor jaarrekeningen transparanter en beter vergelijkbaar zouden worden. Dit resulteerde in de publicatie van International Accounting Standards (IAS). Met meer dan veertig standaarden is nagenoeg het gehele terrein van de jaarrekening op gezaghebbende wijze in kaart gebracht.</w:t>
      </w:r>
      <w:r w:rsidRPr="00D31E3F">
        <w:rPr>
          <w:rStyle w:val="FootnoteReference"/>
          <w:lang w:val="nl-NL"/>
        </w:rPr>
        <w:footnoteReference w:id="33"/>
      </w:r>
    </w:p>
    <w:p w:rsidR="00165BBF" w:rsidRPr="00107C72" w:rsidRDefault="00165BBF" w:rsidP="00D31E3F">
      <w:pPr>
        <w:spacing w:line="360" w:lineRule="auto"/>
        <w:rPr>
          <w:lang w:val="en-US"/>
        </w:rPr>
      </w:pPr>
      <w:r w:rsidRPr="00D31E3F">
        <w:rPr>
          <w:lang w:val="nl-NL"/>
        </w:rPr>
        <w:t xml:space="preserve">In 2001 is de IASC opgevolgd door de International Accounting Standards Board (IASB). De IASB heeft de bestaande IAS overgenomen en is zelf IFRS gaan publiceren. Wanneer onduidelijkheid rijst over de uitleg van IFRS, geeft het International Financial Reporting Interpretation Committee (IFRIC) een interpretatie. </w:t>
      </w:r>
      <w:r w:rsidRPr="00107C72">
        <w:rPr>
          <w:lang w:val="en-US"/>
        </w:rPr>
        <w:t>Het doel van de IASB is “</w:t>
      </w:r>
      <w:r w:rsidRPr="00107C72">
        <w:rPr>
          <w:rStyle w:val="A16"/>
          <w:sz w:val="24"/>
          <w:lang w:val="en-US"/>
        </w:rPr>
        <w:t>to develop a single set of high quality, understandable, enforceable and globally accepted financial reporting standards based upon clearly articulated principles”.</w:t>
      </w:r>
      <w:r w:rsidRPr="00D31E3F">
        <w:rPr>
          <w:rStyle w:val="FootnoteReference"/>
          <w:color w:val="000000"/>
          <w:lang w:val="nl-NL"/>
        </w:rPr>
        <w:footnoteReference w:id="34"/>
      </w:r>
    </w:p>
    <w:p w:rsidR="00165BBF" w:rsidRPr="00107C72" w:rsidRDefault="00165BBF" w:rsidP="00D31E3F">
      <w:pPr>
        <w:spacing w:line="360" w:lineRule="auto"/>
        <w:rPr>
          <w:lang w:val="en-US"/>
        </w:rPr>
      </w:pPr>
    </w:p>
    <w:p w:rsidR="00165BBF" w:rsidRDefault="00165BBF" w:rsidP="00D31E3F">
      <w:pPr>
        <w:spacing w:line="360" w:lineRule="auto"/>
        <w:rPr>
          <w:lang w:val="nl-NL"/>
        </w:rPr>
      </w:pPr>
      <w:r w:rsidRPr="00D31E3F">
        <w:rPr>
          <w:lang w:val="nl-NL"/>
        </w:rPr>
        <w:t>De IFRS</w:t>
      </w:r>
      <w:r>
        <w:rPr>
          <w:lang w:val="nl-NL"/>
        </w:rPr>
        <w:t xml:space="preserve"> regels</w:t>
      </w:r>
      <w:r w:rsidRPr="00D31E3F">
        <w:rPr>
          <w:lang w:val="nl-NL"/>
        </w:rPr>
        <w:t xml:space="preserve"> hebben inmiddels een wettelijke status gekregen. De Europese Commissie heeft besloten dat sinds 2005 beursgenoteerde ondernemingen IFRS verplicht moeten toepassen in hun geconsolideerde jaarrekening. In 1995 werd IAS door de Europese Commissie in een gepubliceerde mededeling aanbevolen. Na de geruchtmakende boekhoudschandalen kwam de discussie over Europese financiële verslaggevingsregels in een stroomversnelling. De beslissing om IFRS verplicht te stellen was verregaand, omdat voor wereld</w:t>
      </w:r>
      <w:r>
        <w:rPr>
          <w:lang w:val="nl-NL"/>
        </w:rPr>
        <w:t xml:space="preserve">wijde standaarden werd gekozen waarvan </w:t>
      </w:r>
      <w:r w:rsidRPr="00D31E3F">
        <w:rPr>
          <w:lang w:val="nl-NL"/>
        </w:rPr>
        <w:t>de ontwikkeling door de IASB geschiedt, een onafhankelijke private organisatie die buiten de directe invloedsfeer van de EU ligt.</w:t>
      </w:r>
      <w:r w:rsidRPr="00D31E3F">
        <w:rPr>
          <w:rStyle w:val="FootnoteReference"/>
          <w:lang w:val="nl-NL"/>
        </w:rPr>
        <w:footnoteReference w:id="35"/>
      </w:r>
    </w:p>
    <w:p w:rsidR="00165BBF" w:rsidRPr="005F52CA" w:rsidRDefault="00165BBF" w:rsidP="00D31E3F">
      <w:pPr>
        <w:spacing w:line="360" w:lineRule="auto"/>
        <w:rPr>
          <w:lang w:val="nl-NL"/>
        </w:rPr>
      </w:pPr>
      <w:r>
        <w:rPr>
          <w:lang w:val="nl-NL"/>
        </w:rPr>
        <w:t xml:space="preserve">Om controle te houden heeft de Europese Commissie bedongen dat zij elke IFRS regel goed </w:t>
      </w:r>
      <w:r w:rsidRPr="005F52CA">
        <w:rPr>
          <w:lang w:val="nl-NL"/>
        </w:rPr>
        <w:t xml:space="preserve">moet keuren voordat de Europese beursgenoteerde ondernemingen deze opvolgen. Voor deze endorsement-procedure wordt de EC geadviseerd door de European Financial Reporting Advisory Group (EFRAG) met betrekking tot de technische </w:t>
      </w:r>
      <w:r>
        <w:rPr>
          <w:lang w:val="nl-NL"/>
        </w:rPr>
        <w:t>aspecten</w:t>
      </w:r>
      <w:r w:rsidRPr="005F52CA">
        <w:rPr>
          <w:lang w:val="nl-NL"/>
        </w:rPr>
        <w:t xml:space="preserve"> en door de Accoun</w:t>
      </w:r>
      <w:r>
        <w:rPr>
          <w:lang w:val="nl-NL"/>
        </w:rPr>
        <w:t>ting Regulatory Committee (ARC) met betrekking tot de politieke aspecten.</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Pr>
          <w:lang w:val="nl-NL"/>
        </w:rPr>
        <w:t xml:space="preserve">De belangrijkste regelgeving (in Nederland) met betrekking tot de jaarrekening is opgenomen in het Burgerlijk Wetboek (Titel 9 Boek 2). </w:t>
      </w:r>
      <w:r w:rsidRPr="00D31E3F">
        <w:rPr>
          <w:lang w:val="nl-NL"/>
        </w:rPr>
        <w:t>Op nationaal niveau is de Raad voor de Jaarverslaggeving (RJ) een gezaghebbend orgaan op het gebied van externe verslaggeving. De richtlijnen van de RJ hebben echter geen wettelijke status. De meeste IFRS zijn verwerkt in de Richtlijnen voor de Jaarverslaggeving.</w:t>
      </w:r>
      <w:r w:rsidRPr="00D31E3F">
        <w:rPr>
          <w:rStyle w:val="FootnoteReference"/>
          <w:lang w:val="nl-NL"/>
        </w:rPr>
        <w:footnoteReference w:id="36"/>
      </w:r>
      <w:r w:rsidRPr="00D31E3F">
        <w:rPr>
          <w:lang w:val="nl-NL"/>
        </w:rPr>
        <w:t xml:space="preserve"> Ik zal hier verder niet op in gaan, omdat ik dit onderwerp voor deze scriptie niet relevant acht.</w:t>
      </w:r>
    </w:p>
    <w:p w:rsidR="00165BBF" w:rsidRPr="00D31E3F" w:rsidRDefault="00165BBF" w:rsidP="00D31E3F">
      <w:pPr>
        <w:spacing w:line="360" w:lineRule="auto"/>
        <w:rPr>
          <w:lang w:val="nl-NL"/>
        </w:rPr>
      </w:pPr>
    </w:p>
    <w:p w:rsidR="00165BBF" w:rsidRPr="00D31E3F" w:rsidRDefault="00165BBF" w:rsidP="00D31E3F">
      <w:pPr>
        <w:spacing w:line="360" w:lineRule="auto"/>
        <w:rPr>
          <w:b/>
          <w:lang w:val="nl-NL"/>
        </w:rPr>
      </w:pPr>
      <w:r w:rsidRPr="00D31E3F">
        <w:rPr>
          <w:b/>
          <w:lang w:val="nl-NL"/>
        </w:rPr>
        <w:t>2.3 Voorraadwaardering</w:t>
      </w:r>
      <w:r w:rsidRPr="00D31E3F">
        <w:rPr>
          <w:rStyle w:val="FootnoteReference"/>
          <w:b/>
          <w:lang w:val="nl-NL"/>
        </w:rPr>
        <w:footnoteReference w:id="37"/>
      </w:r>
    </w:p>
    <w:p w:rsidR="00165BBF" w:rsidRPr="00D31E3F" w:rsidRDefault="00165BBF" w:rsidP="00D31E3F">
      <w:pPr>
        <w:spacing w:line="360" w:lineRule="auto"/>
        <w:rPr>
          <w:lang w:val="nl-NL"/>
        </w:rPr>
      </w:pPr>
      <w:r w:rsidRPr="00D31E3F">
        <w:rPr>
          <w:lang w:val="nl-NL"/>
        </w:rPr>
        <w:t>In IAS 2 zijn de regels met betrekking tot de waardering van voorraden vastgelegd. IAS 2.6 hanteert de volgende omschrijving: “Voorraden zijn activa</w:t>
      </w:r>
      <w:r w:rsidRPr="00D31E3F">
        <w:rPr>
          <w:lang w:val="nl-NL"/>
        </w:rPr>
        <w:tab/>
      </w:r>
    </w:p>
    <w:p w:rsidR="00165BBF" w:rsidRPr="00D31E3F" w:rsidRDefault="00165BBF" w:rsidP="00D31E3F">
      <w:pPr>
        <w:pStyle w:val="ListParagraph"/>
        <w:numPr>
          <w:ilvl w:val="0"/>
          <w:numId w:val="6"/>
        </w:numPr>
        <w:spacing w:after="0" w:line="360" w:lineRule="auto"/>
        <w:rPr>
          <w:rFonts w:ascii="Times New Roman" w:hAnsi="Times New Roman"/>
          <w:sz w:val="24"/>
          <w:szCs w:val="24"/>
        </w:rPr>
      </w:pPr>
      <w:r w:rsidRPr="00D31E3F">
        <w:rPr>
          <w:rFonts w:ascii="Times New Roman" w:hAnsi="Times New Roman"/>
          <w:sz w:val="24"/>
          <w:szCs w:val="24"/>
        </w:rPr>
        <w:t>die worden aangehouden voor verkoop in het kader van de normale bedrijfsvoering</w:t>
      </w:r>
    </w:p>
    <w:p w:rsidR="00165BBF" w:rsidRPr="00D31E3F" w:rsidRDefault="00165BBF" w:rsidP="00D31E3F">
      <w:pPr>
        <w:pStyle w:val="ListParagraph"/>
        <w:numPr>
          <w:ilvl w:val="0"/>
          <w:numId w:val="6"/>
        </w:numPr>
        <w:spacing w:after="0" w:line="360" w:lineRule="auto"/>
        <w:rPr>
          <w:rFonts w:ascii="Times New Roman" w:hAnsi="Times New Roman"/>
          <w:sz w:val="24"/>
          <w:szCs w:val="24"/>
        </w:rPr>
      </w:pPr>
      <w:r w:rsidRPr="00D31E3F">
        <w:rPr>
          <w:rFonts w:ascii="Times New Roman" w:hAnsi="Times New Roman"/>
          <w:sz w:val="24"/>
          <w:szCs w:val="24"/>
        </w:rPr>
        <w:t>in het productieproces voor een dergelijke verkoop; of</w:t>
      </w:r>
    </w:p>
    <w:p w:rsidR="00165BBF" w:rsidRPr="00D31E3F" w:rsidRDefault="00165BBF" w:rsidP="00D31E3F">
      <w:pPr>
        <w:pStyle w:val="ListParagraph"/>
        <w:numPr>
          <w:ilvl w:val="0"/>
          <w:numId w:val="6"/>
        </w:numPr>
        <w:spacing w:after="0" w:line="360" w:lineRule="auto"/>
        <w:rPr>
          <w:rFonts w:ascii="Times New Roman" w:hAnsi="Times New Roman"/>
          <w:sz w:val="24"/>
          <w:szCs w:val="24"/>
        </w:rPr>
      </w:pPr>
      <w:r w:rsidRPr="00D31E3F">
        <w:rPr>
          <w:rFonts w:ascii="Times New Roman" w:hAnsi="Times New Roman"/>
          <w:sz w:val="24"/>
          <w:szCs w:val="24"/>
        </w:rPr>
        <w:t>in de vorm van grond- en hulpstoffen die worden verbruikt tijdens het productieproces of tijdens het verlenen van diensten.”</w:t>
      </w:r>
    </w:p>
    <w:p w:rsidR="00165BBF" w:rsidRPr="00D31E3F" w:rsidRDefault="00165BBF" w:rsidP="00D31E3F">
      <w:pPr>
        <w:spacing w:line="360" w:lineRule="auto"/>
        <w:rPr>
          <w:lang w:val="nl-NL"/>
        </w:rPr>
      </w:pPr>
      <w:r w:rsidRPr="00D31E3F">
        <w:rPr>
          <w:lang w:val="nl-NL"/>
        </w:rPr>
        <w:t xml:space="preserve">In het vorige hoofdstuk is het onderscheid tussen de economische en technische voorraad al aan bod gekomen. IFRS staat slechts toe om de technische voorraad in de balans op te nemen. </w:t>
      </w:r>
    </w:p>
    <w:p w:rsidR="00165BBF" w:rsidRDefault="00165BBF" w:rsidP="00D31E3F">
      <w:pPr>
        <w:spacing w:line="360" w:lineRule="auto"/>
        <w:rPr>
          <w:lang w:val="nl-NL"/>
        </w:rPr>
      </w:pPr>
      <w:r>
        <w:rPr>
          <w:lang w:val="nl-NL"/>
        </w:rPr>
        <w:t>In IAS 41 zijn specifieke regels opgenomen voor de waardering van agrarische voorraden, maar dit acht ik voor deze scriptie niet relevant.</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 xml:space="preserve">Als waarderingsmethode voor de voorraad is onder IFRS de waardering tegen kostprijs de voorgeschreven grondslag. IFRS staat waardering op basis van actuele waarde niet toe. </w:t>
      </w:r>
    </w:p>
    <w:p w:rsidR="00165BBF" w:rsidRPr="00D31E3F" w:rsidRDefault="00165BBF" w:rsidP="00D31E3F">
      <w:pPr>
        <w:spacing w:line="360" w:lineRule="auto"/>
        <w:rPr>
          <w:lang w:val="nl-NL"/>
        </w:rPr>
      </w:pPr>
      <w:r w:rsidRPr="00D31E3F">
        <w:rPr>
          <w:lang w:val="nl-NL"/>
        </w:rPr>
        <w:t xml:space="preserve">Alleen in uitzonderingsgevallen is waardering tegen actuele waarde mogelijk. Het betreft dan bijvoorbeeld agrarische of minerale producten. </w:t>
      </w:r>
      <w:r>
        <w:rPr>
          <w:lang w:val="nl-NL"/>
        </w:rPr>
        <w:t>Op deze uitzonderingen ga ik verder niet in.</w:t>
      </w:r>
    </w:p>
    <w:p w:rsidR="00165BBF" w:rsidRPr="00D31E3F" w:rsidRDefault="00165BBF" w:rsidP="00D31E3F">
      <w:pPr>
        <w:spacing w:line="360" w:lineRule="auto"/>
        <w:rPr>
          <w:lang w:val="nl-NL"/>
        </w:rPr>
      </w:pPr>
      <w:r w:rsidRPr="00D31E3F">
        <w:rPr>
          <w:lang w:val="nl-NL"/>
        </w:rPr>
        <w:t xml:space="preserve">Bij de waardering tegen kostprijs wordt een onderscheid gemaakt tussen de verkrijgingsprijs </w:t>
      </w:r>
      <w:r>
        <w:rPr>
          <w:lang w:val="nl-NL"/>
        </w:rPr>
        <w:t>(IAS 2.11</w:t>
      </w:r>
      <w:r w:rsidRPr="00D31E3F">
        <w:rPr>
          <w:lang w:val="nl-NL"/>
        </w:rPr>
        <w:t>) en de vervaardigingsprijs (IAS 2.12</w:t>
      </w:r>
      <w:r>
        <w:rPr>
          <w:lang w:val="nl-NL"/>
        </w:rPr>
        <w:t xml:space="preserve"> en verder). De verkrijgingsprijs is </w:t>
      </w:r>
      <w:r w:rsidRPr="00D31E3F">
        <w:rPr>
          <w:lang w:val="nl-NL"/>
        </w:rPr>
        <w:t xml:space="preserve">omschreven als de inkoopprijs </w:t>
      </w:r>
      <w:r>
        <w:rPr>
          <w:lang w:val="nl-NL"/>
        </w:rPr>
        <w:t>plus</w:t>
      </w:r>
      <w:r w:rsidRPr="00D31E3F">
        <w:rPr>
          <w:lang w:val="nl-NL"/>
        </w:rPr>
        <w:t xml:space="preserve"> de bijkomende kosten.</w:t>
      </w:r>
      <w:r>
        <w:rPr>
          <w:lang w:val="nl-NL"/>
        </w:rPr>
        <w:t xml:space="preserve"> </w:t>
      </w:r>
      <w:r w:rsidRPr="00D31E3F">
        <w:rPr>
          <w:lang w:val="nl-NL"/>
        </w:rPr>
        <w:t xml:space="preserve">Tot de kostprijs worden ook gerekend de overige kosten (niet zijnde productiekosten) om de voorraden op hun huidige plaats in hun huidige staat te brengen (IAS 2.10). Waardering tegen kostprijs houdt in dat rekening moet worden gehouden met een lagere opbrengstwaarde (IAS 2.9). Wanneer dit zich voordoet, wordt op de waarde van de voorraad een voorziening incourante goederen in mindering gebracht. </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 xml:space="preserve">Indien bij waardering tegen kostprijs de opbrengstwaarde lager is, dient de voorraad tegen de lagere opbrengstwaarde te worden opgenomen (IAS 2.9). De opbrengstwaarde is het bedrag dat bij verkoop van het goed ontvangen zal worden. Wanneer goederen uit de voorraad incourant zijn, dat wil zeggen moeilijk verkocht kunnen worden omdat ze bijvoorbeeld verouderd zijn, moet een afwaardering plaatsvinden naar de lagere opbrengstwaarde. Deze </w:t>
      </w:r>
      <w:r>
        <w:rPr>
          <w:lang w:val="nl-NL"/>
        </w:rPr>
        <w:t xml:space="preserve">lagere opbrengstwaarde </w:t>
      </w:r>
      <w:r w:rsidRPr="00D31E3F">
        <w:rPr>
          <w:lang w:val="nl-NL"/>
        </w:rPr>
        <w:t xml:space="preserve">kan nihil zijn. De afwaardering naar lagere opbrengstwaarde komt voort uit het beginsel dat niet hoger mag worden gewaardeerd dan tegen de realiseerbare waarde. Afwaardering tot een lagere vervangingswaarde is daarom niet toegestaan, omdat daarmee verder wordt afgewaardeerd dan noodzakelijk is. </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De vervaardigingsprijs (IAS 2.12) is van toepassing op de door de onderneming zelf vervaardigde activa. Dit omvat:</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sidRPr="00D31E3F">
        <w:rPr>
          <w:rFonts w:ascii="Times New Roman" w:hAnsi="Times New Roman"/>
          <w:sz w:val="24"/>
          <w:szCs w:val="24"/>
        </w:rPr>
        <w:t>de aanschaffingskosten van de gebruikte grond- en hulpstoffen</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sidRPr="00D31E3F">
        <w:rPr>
          <w:rFonts w:ascii="Times New Roman" w:hAnsi="Times New Roman"/>
          <w:sz w:val="24"/>
          <w:szCs w:val="24"/>
        </w:rPr>
        <w:t>de directe productiekosten (direct aan de vervaardiging toe te rekenen)</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sidRPr="00D31E3F">
        <w:rPr>
          <w:rFonts w:ascii="Times New Roman" w:hAnsi="Times New Roman"/>
          <w:sz w:val="24"/>
          <w:szCs w:val="24"/>
        </w:rPr>
        <w:t>een systematische toerekening van de (vaste en variabele) indirecte productiekosten</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Pr>
          <w:rFonts w:ascii="Times New Roman" w:hAnsi="Times New Roman"/>
          <w:sz w:val="24"/>
          <w:szCs w:val="24"/>
        </w:rPr>
        <w:t xml:space="preserve">indien van toepassing: </w:t>
      </w:r>
      <w:r w:rsidRPr="00D31E3F">
        <w:rPr>
          <w:rFonts w:ascii="Times New Roman" w:hAnsi="Times New Roman"/>
          <w:sz w:val="24"/>
          <w:szCs w:val="24"/>
        </w:rPr>
        <w:t xml:space="preserve">rentetoerekening (dit </w:t>
      </w:r>
      <w:r>
        <w:rPr>
          <w:rFonts w:ascii="Times New Roman" w:hAnsi="Times New Roman"/>
          <w:sz w:val="24"/>
          <w:szCs w:val="24"/>
        </w:rPr>
        <w:t xml:space="preserve">is </w:t>
      </w:r>
      <w:r w:rsidRPr="00D31E3F">
        <w:rPr>
          <w:rFonts w:ascii="Times New Roman" w:hAnsi="Times New Roman"/>
          <w:sz w:val="24"/>
          <w:szCs w:val="24"/>
        </w:rPr>
        <w:t>onder IFRS verplicht</w:t>
      </w:r>
      <w:r>
        <w:rPr>
          <w:rFonts w:ascii="Times New Roman" w:hAnsi="Times New Roman"/>
          <w:sz w:val="24"/>
          <w:szCs w:val="24"/>
        </w:rPr>
        <w:t xml:space="preserve"> wanneer</w:t>
      </w:r>
      <w:r w:rsidRPr="00D31E3F">
        <w:rPr>
          <w:rFonts w:ascii="Times New Roman" w:hAnsi="Times New Roman"/>
          <w:sz w:val="24"/>
          <w:szCs w:val="24"/>
        </w:rPr>
        <w:t xml:space="preserve"> voor de vervaardiging een aanmerkelij</w:t>
      </w:r>
      <w:r>
        <w:rPr>
          <w:rFonts w:ascii="Times New Roman" w:hAnsi="Times New Roman"/>
          <w:sz w:val="24"/>
          <w:szCs w:val="24"/>
        </w:rPr>
        <w:t>ke hoeveelheid tijd nodig is.</w:t>
      </w:r>
      <w:r w:rsidRPr="00D31E3F">
        <w:rPr>
          <w:rFonts w:ascii="Times New Roman" w:hAnsi="Times New Roman"/>
          <w:sz w:val="24"/>
          <w:szCs w:val="24"/>
        </w:rPr>
        <w:t xml:space="preserve"> </w:t>
      </w:r>
      <w:r>
        <w:rPr>
          <w:rFonts w:ascii="Times New Roman" w:hAnsi="Times New Roman"/>
          <w:sz w:val="24"/>
          <w:szCs w:val="24"/>
        </w:rPr>
        <w:t>Dit komt slechts bij uitzondering voor.)</w:t>
      </w:r>
    </w:p>
    <w:p w:rsidR="00165BBF" w:rsidRPr="00D31E3F" w:rsidRDefault="00165BBF" w:rsidP="00D31E3F">
      <w:pPr>
        <w:spacing w:line="360" w:lineRule="auto"/>
        <w:rPr>
          <w:lang w:val="nl-NL"/>
        </w:rPr>
      </w:pPr>
      <w:r w:rsidRPr="00D31E3F">
        <w:rPr>
          <w:lang w:val="nl-NL"/>
        </w:rPr>
        <w:t xml:space="preserve">De toerekening van de vaste indirecte productiekosten moet worden gebaseerd op de normale capaciteit. Deze wordt gedefinieerd als de te verwachten gemiddelde productie over een aantal perioden of seizoenen onder normale omstandigheden, rekening houdend met capaciteitsverlies als gevolg van gepland onderhoud (IAS 2.13). Als gevolg van lage of geen productie mogen de vaste productiekosten per productie-unit niet worden verhoogd. Wanneer sprake is van een abnormaal hoge productie worden de vaste productiekosten verlaagd, zodat de voorraden niet boven de kostprijs worden gewaardeerd. De variabele productiekosten worden toegerekend in evenredigheid met het werkelijke gebruik van de productiefaciliteiten (IAS 2.13). </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Volgens IFRS zijn de volgende kostprijsmethoden toegestaan: de methode van gewogen gemiddelde inkoopprijzen en de fifo-methode. De lifo-methode is, evenals het ijzerenvo</w:t>
      </w:r>
      <w:r>
        <w:rPr>
          <w:lang w:val="nl-NL"/>
        </w:rPr>
        <w:t>orraadstelsel, niet toegestaan (IAS 2.25).</w:t>
      </w:r>
    </w:p>
    <w:p w:rsidR="00165BBF" w:rsidRPr="00D31E3F" w:rsidRDefault="00165BBF" w:rsidP="00D31E3F">
      <w:pPr>
        <w:spacing w:line="360" w:lineRule="auto"/>
        <w:rPr>
          <w:lang w:val="nl-NL"/>
        </w:rPr>
      </w:pPr>
      <w:r w:rsidRPr="00D31E3F">
        <w:rPr>
          <w:lang w:val="nl-NL"/>
        </w:rPr>
        <w:t>Wanneer een onderneming grote hoeveelheden goederen he</w:t>
      </w:r>
      <w:r>
        <w:rPr>
          <w:lang w:val="nl-NL"/>
        </w:rPr>
        <w:t>eft met een hoge omloopsnelheid en waarvoor de marge ongeveer gelijk is,</w:t>
      </w:r>
      <w:r w:rsidRPr="00D31E3F">
        <w:rPr>
          <w:lang w:val="nl-NL"/>
        </w:rPr>
        <w:t xml:space="preserve"> staat IAS 2.21-22 ook de verkoopprijsmethode toe. De kostprijs van de voorraden wordt dan bepaald door van de verkoopwaarde een marge af te trekken. Deze methode is minder nauwkeurig, maar praktischer, dan andere kostprijsmethoden.</w:t>
      </w:r>
    </w:p>
    <w:p w:rsidR="00165BBF" w:rsidRPr="00D31E3F" w:rsidRDefault="00165BBF" w:rsidP="00D31E3F">
      <w:pPr>
        <w:spacing w:line="360" w:lineRule="auto"/>
        <w:rPr>
          <w:lang w:val="nl-NL"/>
        </w:rPr>
      </w:pPr>
    </w:p>
    <w:p w:rsidR="00165BBF" w:rsidRPr="00D31E3F" w:rsidRDefault="00165BBF" w:rsidP="00D31E3F">
      <w:pPr>
        <w:spacing w:line="360" w:lineRule="auto"/>
        <w:rPr>
          <w:b/>
          <w:lang w:val="nl-NL"/>
        </w:rPr>
      </w:pPr>
      <w:r w:rsidRPr="00D31E3F">
        <w:rPr>
          <w:b/>
          <w:lang w:val="nl-NL"/>
        </w:rPr>
        <w:t>2.4 Onderhanden werk</w:t>
      </w:r>
      <w:r w:rsidRPr="00D31E3F">
        <w:rPr>
          <w:rStyle w:val="FootnoteReference"/>
          <w:b/>
          <w:lang w:val="nl-NL"/>
        </w:rPr>
        <w:footnoteReference w:id="38"/>
      </w:r>
    </w:p>
    <w:p w:rsidR="00165BBF" w:rsidRPr="00D31E3F" w:rsidRDefault="00165BBF" w:rsidP="00D31E3F">
      <w:pPr>
        <w:spacing w:line="360" w:lineRule="auto"/>
        <w:rPr>
          <w:lang w:val="nl-NL"/>
        </w:rPr>
      </w:pPr>
      <w:r w:rsidRPr="00D31E3F">
        <w:rPr>
          <w:lang w:val="nl-NL"/>
        </w:rPr>
        <w:t>In IAS 11 zijn de regels met betrekking tot de waardering van onderhanden werk vastgelegd. Het Handboek Jaarrekening van Ernst &amp; Young hanteert de term onderhanden projecten. De reden is om misverstanden te voorkomen, omdat de term onderhanden werk ook betrekking kan hebben op halffabrikaten. D</w:t>
      </w:r>
      <w:r>
        <w:rPr>
          <w:lang w:val="nl-NL"/>
        </w:rPr>
        <w:t>eze maken deel uit van de post v</w:t>
      </w:r>
      <w:r w:rsidRPr="00D31E3F">
        <w:rPr>
          <w:lang w:val="nl-NL"/>
        </w:rPr>
        <w:t xml:space="preserve">oorraden. </w:t>
      </w:r>
    </w:p>
    <w:p w:rsidR="00165BBF" w:rsidRPr="00D31E3F" w:rsidRDefault="00165BBF" w:rsidP="00D31E3F">
      <w:pPr>
        <w:spacing w:line="360" w:lineRule="auto"/>
        <w:rPr>
          <w:lang w:val="nl-NL"/>
        </w:rPr>
      </w:pPr>
      <w:r w:rsidRPr="00D31E3F">
        <w:rPr>
          <w:lang w:val="nl-NL"/>
        </w:rPr>
        <w:t>In IAS 11.3 is de definitie van onderhanden projecten weergegeven: “Een (met derden) specifiek onderhandelde overeenkomst voor de constructie van een actief of combinatie van activa die qua ontwerp, technologie, functie of uiteindelijk doel of gebruik nauw samenhangen of onderling afhankelijk zijn.” Van belang is de specifieke overeenkomst met derden; productie voor eigen rekening en voor eigen gebruik is niet aan de orde.</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 xml:space="preserve">In IFRIC 15 is geconcludeerd dat bij projectontwikkeling veelal geen sprake zal zijn van een onderhanden project. Bij projectontwikkeling ligt het initiatief in eerste aanleg bij de onderneming, waardoor niet voldaan wordt aan de definitie van IAS 11.3. Er is geen sprake van een specifiek onderhandelde overeenkomst met derden, omdat vooral de verkoper bepaalt wat er geconstrueerd zal worden. Of de constructie van een gebouw aangemerkt kan worden als een onderhanden project, wordt bepaald door de vraag bij wie de feitelijke beslissingsmacht ligt. IAS 11 kan niet toegepast worden als blijkt dat deze nog bij de verkoper ligt. </w:t>
      </w:r>
      <w:r>
        <w:rPr>
          <w:lang w:val="nl-NL"/>
        </w:rPr>
        <w:t>IAS 18 is dan van toepassing.</w:t>
      </w:r>
    </w:p>
    <w:p w:rsidR="00165BBF" w:rsidRPr="00D31E3F" w:rsidRDefault="00165BBF" w:rsidP="00D31E3F">
      <w:pPr>
        <w:spacing w:line="360" w:lineRule="auto"/>
        <w:rPr>
          <w:lang w:val="nl-NL"/>
        </w:rPr>
      </w:pPr>
      <w:r w:rsidRPr="00D31E3F">
        <w:rPr>
          <w:lang w:val="nl-NL"/>
        </w:rPr>
        <w:t>IFRIC 15 geeft indicaties voor de vraag of er sprake is van een onderhanden project. Een voorbeeld hiervan is dat de koper belangrijke bouwonderdelen kan specificeren; en dat de verkoper de zeggenschap en de significante risico’s en voordelen van het eigendom van het onderhanden werk kan overdragen aan de koper. In andere gevallen stelt IFRIC 15 dat een verkoopcontract van ontwikkelingsvastgoed volgens IAS 18 (verkoop van goederen) moet worden verwerkt.</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 xml:space="preserve">Projectopbrengsten zijn opbrengsten die voortvloeien uit en direct toerekenbaar zijn aan een onderhanden project. Volgens IAS 11.11 is van belang dat het waarschijnlijk (&gt; 50% kans) is dat de opbrengsten zullen worden gerealiseerd en betrouwbaar kunnen worden vastgesteld. IAS 11.12 geeft aan dat de opbrengsten gewaardeerd dienen te worden tegen de reële waarde van de vergoeding waarop recht bestaat. Hiervoor dienen vaak schattingen te worden gemaakt. </w:t>
      </w:r>
    </w:p>
    <w:p w:rsidR="00165BBF" w:rsidRPr="00D31E3F" w:rsidRDefault="00165BBF" w:rsidP="00D31E3F">
      <w:pPr>
        <w:spacing w:line="360" w:lineRule="auto"/>
        <w:rPr>
          <w:lang w:val="nl-NL"/>
        </w:rPr>
      </w:pPr>
      <w:r w:rsidRPr="00D31E3F">
        <w:rPr>
          <w:lang w:val="nl-NL"/>
        </w:rPr>
        <w:t>Wanneer een betrouwbare schatting kan worden gemaakt, dan wordt de ‘percentage of completion’-methode toegepast. Wanneer een betrouwbare schatting niet mogelijk is, is tussentijdse winstneming niet toegestaan. Het al dan niet tussentijds winst nemen is geen vrije keuze. Per project zal naar de specifieke omstandigheden gekeken moeten worden. Verwachte verliezen dienen altijd in aanmerking te worden genomen (IAS 11.36).</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 xml:space="preserve">Van belang is dus of de resultaten van een onderhanden project betrouwbaar ingeschat kunnen worden. Hiervoor dienen de omstandigheden zo te zijn, dat het waarschijnlijk is dat de economische voordelen die aan het project zijn verbonden naar de rechtspersoon zullen toevloeien (IAS 11.28). Een rechtspersoon is in principe in staat om een betrouwbare schatting te maken indien in het overeengekomen contract de volgende aspecten zijn opgenomen (IAS 11.29): </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sidRPr="00D31E3F">
        <w:rPr>
          <w:rFonts w:ascii="Times New Roman" w:hAnsi="Times New Roman"/>
          <w:sz w:val="24"/>
          <w:szCs w:val="24"/>
        </w:rPr>
        <w:t>de afdwingbare rechten van elke partij met betrekking tot de te verlenen diensten;</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sidRPr="00D31E3F">
        <w:rPr>
          <w:rFonts w:ascii="Times New Roman" w:hAnsi="Times New Roman"/>
          <w:sz w:val="24"/>
          <w:szCs w:val="24"/>
        </w:rPr>
        <w:t>de vergoeding voor de prestaties;</w:t>
      </w:r>
    </w:p>
    <w:p w:rsidR="00165BBF" w:rsidRPr="00D31E3F" w:rsidRDefault="00165BBF" w:rsidP="00D31E3F">
      <w:pPr>
        <w:pStyle w:val="ListParagraph"/>
        <w:numPr>
          <w:ilvl w:val="0"/>
          <w:numId w:val="7"/>
        </w:numPr>
        <w:spacing w:after="0" w:line="360" w:lineRule="auto"/>
        <w:rPr>
          <w:rFonts w:ascii="Times New Roman" w:hAnsi="Times New Roman"/>
          <w:sz w:val="24"/>
          <w:szCs w:val="24"/>
        </w:rPr>
      </w:pPr>
      <w:r w:rsidRPr="00D31E3F">
        <w:rPr>
          <w:rFonts w:ascii="Times New Roman" w:hAnsi="Times New Roman"/>
          <w:sz w:val="24"/>
          <w:szCs w:val="24"/>
        </w:rPr>
        <w:t xml:space="preserve">de wijze waarop vergoeding zal plaatsvinden en de betalingsvoorwaarden. </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In geval het resultaat van een onderhanden project betrouwbaar kan worden ingeschat, wordt de  ‘percentage of completion’-methode toegepast (IAS 11.22). De projectopbrengsten en projectkosten worden daarbij zodanig aan de periode toegerekend dat deze naar rato van de verrichte prestaties</w:t>
      </w:r>
      <w:r>
        <w:rPr>
          <w:lang w:val="nl-NL"/>
        </w:rPr>
        <w:t xml:space="preserve"> in de winst- en verliesrekening</w:t>
      </w:r>
      <w:r w:rsidRPr="00D31E3F">
        <w:rPr>
          <w:lang w:val="nl-NL"/>
        </w:rPr>
        <w:t xml:space="preserve"> verwerkt (IAS 11.25/26). Deze methode geeft inzicht in de omvang van de verrichte prestaties in de periode en de financiële gevolgen ervan. </w:t>
      </w:r>
    </w:p>
    <w:p w:rsidR="00165BBF" w:rsidRPr="00D31E3F" w:rsidRDefault="00165BBF" w:rsidP="00D31E3F">
      <w:pPr>
        <w:spacing w:line="360" w:lineRule="auto"/>
        <w:rPr>
          <w:lang w:val="nl-NL"/>
        </w:rPr>
      </w:pPr>
      <w:r w:rsidRPr="00D31E3F">
        <w:rPr>
          <w:lang w:val="nl-NL"/>
        </w:rPr>
        <w:t xml:space="preserve">In geval het resultaat van een onderhanden project niet betrouwbaar kan worden ingeschat, worden alleen projectopbrengsten ter grootte van de aan de periode toe te rekenen projectkosten opgenomen (IAS 11.32). De winst wordt dan pas verantwoord bij oplevering. Ten onrechte wordt deze methode vaak aangeduid als de ‘completed contract’- methode. </w:t>
      </w:r>
      <w:r>
        <w:rPr>
          <w:lang w:val="nl-NL"/>
        </w:rPr>
        <w:t xml:space="preserve">Echter, </w:t>
      </w:r>
      <w:r w:rsidRPr="00D31E3F">
        <w:rPr>
          <w:lang w:val="nl-NL"/>
        </w:rPr>
        <w:t xml:space="preserve">bij de ‘completed contract’- methode </w:t>
      </w:r>
      <w:r>
        <w:rPr>
          <w:lang w:val="nl-NL"/>
        </w:rPr>
        <w:t xml:space="preserve">worden </w:t>
      </w:r>
      <w:r w:rsidRPr="00D31E3F">
        <w:rPr>
          <w:lang w:val="nl-NL"/>
        </w:rPr>
        <w:t xml:space="preserve">naast de winst ook de opbrengsten en kosten pas bij oplevering verantwoord. IFRS verplicht echter tot een tussentijdse verantwoording van de opbrengsten en kosten. </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In IAS 11.30 zijn methodes opgenomen om de voortgang van prestaties te meten. Een voorbeeld hiervan is de bepaling van de tot balansdatum gemaakte projectkosten in verhouding tot de geschatte totale kosten, of de voltooiing van een fysiek onderscheidbaar projectdeel.</w:t>
      </w:r>
    </w:p>
    <w:p w:rsidR="00165BBF" w:rsidRPr="00D31E3F" w:rsidRDefault="00165BBF" w:rsidP="00D31E3F">
      <w:pPr>
        <w:spacing w:line="360" w:lineRule="auto"/>
        <w:rPr>
          <w:lang w:val="nl-NL"/>
        </w:rPr>
      </w:pPr>
      <w:r w:rsidRPr="00D31E3F">
        <w:rPr>
          <w:lang w:val="nl-NL"/>
        </w:rPr>
        <w:t>Feitelijk dient in alle gevallen de ‘percentage of completion’-methode te worden toegepast, hetzij zonder tussentijdse winstneming (indien het projectresultaat niet betrouwbaar kan worden ingeschat), hetzij met tussentijdse winstneming (indien dit wel mogelijk is).</w:t>
      </w:r>
    </w:p>
    <w:p w:rsidR="00165BBF" w:rsidRPr="00D31E3F" w:rsidRDefault="00165BBF" w:rsidP="00D31E3F">
      <w:pPr>
        <w:spacing w:line="360" w:lineRule="auto"/>
        <w:rPr>
          <w:lang w:val="nl-NL"/>
        </w:rPr>
      </w:pPr>
      <w:r w:rsidRPr="00D31E3F">
        <w:rPr>
          <w:lang w:val="nl-NL"/>
        </w:rPr>
        <w:t xml:space="preserve">Het is mogelijk dat gedurende de uitvoering van een project wijzigingen optreden inzake de betrouwbaarheid van het projectresultaat. Verwerking dient op cumulatieve basis plaats te vinden (IAS 11.35/38). </w:t>
      </w:r>
    </w:p>
    <w:p w:rsidR="00165BBF" w:rsidRPr="00D31E3F" w:rsidRDefault="00165BBF" w:rsidP="00D31E3F">
      <w:pPr>
        <w:spacing w:line="360" w:lineRule="auto"/>
        <w:rPr>
          <w:b/>
          <w:lang w:val="nl-NL"/>
        </w:rPr>
      </w:pPr>
    </w:p>
    <w:p w:rsidR="00165BBF" w:rsidRPr="00D31E3F" w:rsidRDefault="00165BBF" w:rsidP="00D31E3F">
      <w:pPr>
        <w:spacing w:line="360" w:lineRule="auto"/>
        <w:rPr>
          <w:b/>
          <w:lang w:val="nl-NL"/>
        </w:rPr>
      </w:pPr>
      <w:r w:rsidRPr="00D31E3F">
        <w:rPr>
          <w:b/>
          <w:lang w:val="nl-NL"/>
        </w:rPr>
        <w:t>2.5 IFRS versus goed koopmansgebruik</w:t>
      </w:r>
    </w:p>
    <w:p w:rsidR="00165BBF" w:rsidRPr="00D31E3F" w:rsidRDefault="00165BBF" w:rsidP="00D31E3F">
      <w:pPr>
        <w:spacing w:line="360" w:lineRule="auto"/>
        <w:rPr>
          <w:lang w:val="nl-NL" w:eastAsia="nl-NL"/>
        </w:rPr>
      </w:pPr>
      <w:r w:rsidRPr="00D31E3F">
        <w:rPr>
          <w:lang w:val="nl-NL"/>
        </w:rPr>
        <w:t>Het Nederlandse jaarrekeningrecht en goed koopmansgebruik zijn beiden gebaseerd op de bedrijfseconomie. In hoofdstuk 1 haalde ik het arrest HR 8 mei 1957, BNB 1957/208 al aan waarin bepaald is dat in beginsel de opvattingen van de bedrijfseconomie omtrent de juiste wijze van winstbepaling als uitgangspunt dienen voor goed koopmansgebruik. Voor het jaarrekeningrecht</w:t>
      </w:r>
      <w:r>
        <w:rPr>
          <w:lang w:val="nl-NL"/>
        </w:rPr>
        <w:t xml:space="preserve"> </w:t>
      </w:r>
      <w:r w:rsidRPr="00D31E3F">
        <w:rPr>
          <w:lang w:val="nl-NL" w:eastAsia="nl-NL"/>
        </w:rPr>
        <w:t>volgt dit uit de invulling van art. 362 Titel 9, Boek 2, BW. De eerste volzin van dit artikel luidt: "De jaarrekening geeft volgens normen die in het maatschappelijk verkeer als aanvaardbaar worden beschouwd een zodanig inzicht, dat een verantwoord oordeel kan worden gevormd omtrent het vermogen en het resultaat, (....) van de rechtspersoon." De uitwerking van deze normen wordt met name gezocht binnen de verschillende door de bedrijfseconomische wetenschap ontwikkelde theorieën.</w:t>
      </w:r>
      <w:r w:rsidRPr="00D31E3F">
        <w:rPr>
          <w:rStyle w:val="FootnoteReference"/>
          <w:lang w:val="nl-NL" w:eastAsia="nl-NL"/>
        </w:rPr>
        <w:footnoteReference w:id="39"/>
      </w:r>
      <w:r w:rsidRPr="00D31E3F">
        <w:rPr>
          <w:lang w:val="nl-NL" w:eastAsia="nl-NL"/>
        </w:rPr>
        <w:t xml:space="preserve"> Van Hoepen stelt dat IFRS in belangrijke mate (mede)bepalend is voor wat de bedrijfseconomie omtrent een juiste wijze van winstbepaling leert.</w:t>
      </w:r>
      <w:r w:rsidRPr="00D31E3F">
        <w:rPr>
          <w:rStyle w:val="FootnoteReference"/>
          <w:lang w:val="nl-NL" w:eastAsia="nl-NL"/>
        </w:rPr>
        <w:footnoteReference w:id="40"/>
      </w:r>
    </w:p>
    <w:p w:rsidR="00165BBF" w:rsidRPr="00D31E3F" w:rsidRDefault="00165BBF" w:rsidP="00D31E3F">
      <w:pPr>
        <w:spacing w:line="360" w:lineRule="auto"/>
        <w:rPr>
          <w:lang w:val="nl-NL" w:eastAsia="nl-NL"/>
        </w:rPr>
      </w:pPr>
    </w:p>
    <w:p w:rsidR="00165BBF" w:rsidRPr="00D31E3F" w:rsidRDefault="00165BBF" w:rsidP="00D31E3F">
      <w:pPr>
        <w:spacing w:line="360" w:lineRule="auto"/>
        <w:rPr>
          <w:lang w:val="nl-NL" w:eastAsia="nl-NL"/>
        </w:rPr>
      </w:pPr>
      <w:r w:rsidRPr="00D31E3F">
        <w:rPr>
          <w:lang w:val="nl-NL" w:eastAsia="nl-NL"/>
        </w:rPr>
        <w:t>Ondanks hetzelfde uitgangspunt, namelijk de bedrijfseconomie, bestaan er verschillen tussen het jaarrekeningrecht en goed koopmansgebruik. Dit is niet verwonderlijk, aangezien beiden een ander doel dienen. Daardoor hebben de commerciële en de fiscale regels zich tot op zekere hoogte onafhankelijk van elkaar ontwikkeld. Het jaarrekeningrecht is bedoeld om voor belanghebbenden een zo helder mogelijk beeld te schetsen van de waardeontwikkeling van de onderneming. Belanghebbenden zijn bijvoor</w:t>
      </w:r>
      <w:r>
        <w:rPr>
          <w:lang w:val="nl-NL" w:eastAsia="nl-NL"/>
        </w:rPr>
        <w:t>beeld aandeelhouders, financiërs</w:t>
      </w:r>
      <w:r w:rsidRPr="00D31E3F">
        <w:rPr>
          <w:lang w:val="nl-NL" w:eastAsia="nl-NL"/>
        </w:rPr>
        <w:t>, leveranciers, werknemers.</w:t>
      </w:r>
      <w:r w:rsidRPr="00D31E3F">
        <w:rPr>
          <w:lang w:val="nl-NL"/>
        </w:rPr>
        <w:t xml:space="preserve"> </w:t>
      </w:r>
      <w:r w:rsidRPr="00D31E3F">
        <w:rPr>
          <w:lang w:val="nl-NL" w:eastAsia="nl-NL"/>
        </w:rPr>
        <w:t>Met het oog op de belangen van deze  partijen worden er nadere eisen gesteld aan de commerciële jaarrekening (art. 2:362, eerste lid, BW). De fiscale jaarwinstbepaling dient enkel het vaststellen van de verschuldigde belasting. Ten aanzien van de fiscale jaarwinstbepaling is er ook maar één belanghebbende, te weten de Belastingdienst (als vertegenwoordiger van de Nederlandse staat).</w:t>
      </w:r>
      <w:r w:rsidRPr="00D31E3F">
        <w:rPr>
          <w:rStyle w:val="FootnoteReference"/>
          <w:lang w:val="nl-NL" w:eastAsia="nl-NL"/>
        </w:rPr>
        <w:footnoteReference w:id="41"/>
      </w:r>
    </w:p>
    <w:p w:rsidR="00165BBF" w:rsidRPr="00D31E3F" w:rsidRDefault="00165BBF" w:rsidP="00D31E3F">
      <w:pPr>
        <w:spacing w:line="360" w:lineRule="auto"/>
        <w:rPr>
          <w:lang w:val="nl-NL" w:eastAsia="nl-NL"/>
        </w:rPr>
      </w:pPr>
      <w:r w:rsidRPr="00D31E3F">
        <w:rPr>
          <w:lang w:val="nl-NL" w:eastAsia="nl-NL"/>
        </w:rPr>
        <w:t>De bedrijfseconomie kent verschillende waarde- en winstbepalingsstelsels. Daardoor is het mogelijk dat voor het jaarrekeningrecht een ander waarde- en/of winstbepalingsstelsel wordt gekozen dan voor het fiscale recht.</w:t>
      </w:r>
      <w:r w:rsidRPr="00D31E3F">
        <w:rPr>
          <w:rStyle w:val="FootnoteReference"/>
          <w:lang w:val="nl-NL" w:eastAsia="nl-NL"/>
        </w:rPr>
        <w:footnoteReference w:id="42"/>
      </w:r>
    </w:p>
    <w:p w:rsidR="00165BBF" w:rsidRPr="00D31E3F" w:rsidRDefault="00165BBF" w:rsidP="00D31E3F">
      <w:pPr>
        <w:spacing w:line="360" w:lineRule="auto"/>
        <w:rPr>
          <w:lang w:val="nl-NL"/>
        </w:rPr>
      </w:pPr>
    </w:p>
    <w:p w:rsidR="00165BBF" w:rsidRPr="00D31E3F" w:rsidRDefault="00165BBF" w:rsidP="00D31E3F">
      <w:pPr>
        <w:spacing w:line="360" w:lineRule="auto"/>
        <w:rPr>
          <w:lang w:val="nl-NL" w:eastAsia="nl-NL"/>
        </w:rPr>
      </w:pPr>
      <w:r w:rsidRPr="00D31E3F">
        <w:rPr>
          <w:lang w:val="nl-NL"/>
        </w:rPr>
        <w:t xml:space="preserve">In de literatuur is aandacht besteed aan de invloed van IFRS op goed koopmansgebruik. Volgens Bruijsten is </w:t>
      </w:r>
      <w:r w:rsidRPr="00D31E3F">
        <w:rPr>
          <w:lang w:val="nl-NL" w:eastAsia="nl-NL"/>
        </w:rPr>
        <w:t>de invloed van de RJ en de IFRS op de rechtspraak ten aanzien van de fiscale jaarwinstbepaling beperkt. De Hoge Raad heeft in zaken waarin de fiscale jaarwinstbepaling aan de orde was namelijk nog nooit rechtstreeks verwezen naar bepalingen uit de RJ of de IFRS en expliciet daarbij aangesloten.</w:t>
      </w:r>
      <w:bookmarkStart w:id="2" w:name="VN-N561"/>
      <w:bookmarkEnd w:id="2"/>
      <w:r w:rsidRPr="00D31E3F">
        <w:rPr>
          <w:rStyle w:val="FootnoteReference"/>
          <w:lang w:val="nl-NL" w:eastAsia="nl-NL"/>
        </w:rPr>
        <w:footnoteReference w:id="43"/>
      </w:r>
      <w:r>
        <w:rPr>
          <w:lang w:val="nl-NL" w:eastAsia="nl-NL"/>
        </w:rPr>
        <w:t xml:space="preserve"> D</w:t>
      </w:r>
      <w:r w:rsidRPr="00D31E3F">
        <w:rPr>
          <w:lang w:val="nl-NL" w:eastAsia="nl-NL"/>
        </w:rPr>
        <w:t xml:space="preserve">e directe invloed van de RJ en de IFRS ten aanzien van de fiscale jaarwinstbepaling </w:t>
      </w:r>
      <w:r>
        <w:rPr>
          <w:lang w:val="nl-NL" w:eastAsia="nl-NL"/>
        </w:rPr>
        <w:t xml:space="preserve">is </w:t>
      </w:r>
      <w:r w:rsidRPr="00D31E3F">
        <w:rPr>
          <w:lang w:val="nl-NL" w:eastAsia="nl-NL"/>
        </w:rPr>
        <w:t>beperkt.</w:t>
      </w:r>
      <w:r w:rsidRPr="00D31E3F">
        <w:rPr>
          <w:rStyle w:val="FootnoteReference"/>
          <w:lang w:val="nl-NL" w:eastAsia="nl-NL"/>
        </w:rPr>
        <w:t xml:space="preserve"> </w:t>
      </w:r>
      <w:r w:rsidRPr="00D31E3F">
        <w:rPr>
          <w:rStyle w:val="FootnoteReference"/>
          <w:lang w:val="nl-NL" w:eastAsia="nl-NL"/>
        </w:rPr>
        <w:footnoteReference w:id="44"/>
      </w:r>
      <w:r w:rsidRPr="00D31E3F">
        <w:rPr>
          <w:lang w:val="nl-NL" w:eastAsia="nl-NL"/>
        </w:rPr>
        <w:t xml:space="preserve"> </w:t>
      </w:r>
      <w:r w:rsidRPr="00D31E3F">
        <w:rPr>
          <w:rStyle w:val="FootnoteReference"/>
          <w:lang w:val="nl-NL" w:eastAsia="nl-NL"/>
        </w:rPr>
        <w:footnoteReference w:id="45"/>
      </w:r>
      <w:r w:rsidRPr="00D31E3F">
        <w:rPr>
          <w:lang w:val="nl-NL" w:eastAsia="nl-NL"/>
        </w:rPr>
        <w:t xml:space="preserve"> </w:t>
      </w:r>
      <w:r w:rsidRPr="00D31E3F">
        <w:rPr>
          <w:rStyle w:val="FootnoteReference"/>
          <w:lang w:val="nl-NL" w:eastAsia="nl-NL"/>
        </w:rPr>
        <w:footnoteReference w:id="46"/>
      </w:r>
      <w:r w:rsidRPr="00D31E3F">
        <w:rPr>
          <w:lang w:val="nl-NL" w:eastAsia="nl-NL"/>
        </w:rPr>
        <w:t xml:space="preserve"> </w:t>
      </w:r>
    </w:p>
    <w:p w:rsidR="00165BBF" w:rsidRDefault="00165BBF" w:rsidP="00D31E3F">
      <w:pPr>
        <w:spacing w:line="360" w:lineRule="auto"/>
        <w:rPr>
          <w:lang w:val="nl-NL" w:eastAsia="nl-NL"/>
        </w:rPr>
      </w:pPr>
      <w:r w:rsidRPr="00D31E3F">
        <w:rPr>
          <w:lang w:val="nl-NL" w:eastAsia="nl-NL"/>
        </w:rPr>
        <w:t>De indirecte invloed van IFRS op de fiscale jaarwinstbepaling wordt groter geacht. Doordat onder IFRS bepaalde stelsels, zoals het ijzerenvoorraadstelsel en lifo niet toegestaan zijn, bestaat binnen de bedrijfseconomische wetenschap steeds minder aandacht voor deze stelsels. Kampschoër voorziet dat binnen enkele jaren de vraag of het ijzerenvoorraadstelsel nog een stelsel is dat aan goed koopmansgebruik voldoet, negatief beantwoord kan gaan worden. Het lijkt hem waarschijnlijk dat op termijn IFRS indirect toch zeker invloed zal gaan hebben op het Nederlandse fiscale winstbegrip.</w:t>
      </w:r>
      <w:r w:rsidRPr="00D31E3F">
        <w:rPr>
          <w:rStyle w:val="FootnoteReference"/>
          <w:lang w:val="nl-NL" w:eastAsia="nl-NL"/>
        </w:rPr>
        <w:footnoteReference w:id="47"/>
      </w:r>
      <w:r w:rsidRPr="00D31E3F">
        <w:rPr>
          <w:lang w:val="nl-NL" w:eastAsia="nl-NL"/>
        </w:rPr>
        <w:t xml:space="preserve"> </w:t>
      </w:r>
      <w:r w:rsidRPr="00D31E3F">
        <w:rPr>
          <w:rStyle w:val="FootnoteReference"/>
          <w:lang w:val="nl-NL" w:eastAsia="nl-NL"/>
        </w:rPr>
        <w:footnoteReference w:id="48"/>
      </w:r>
      <w:r w:rsidRPr="00D31E3F">
        <w:rPr>
          <w:lang w:val="nl-NL" w:eastAsia="nl-NL"/>
        </w:rPr>
        <w:t xml:space="preserve"> Ook van Hoepen constateert dat sprake is van een veranderd bedrijfseconomisch inzicht, waarvan de fiscale winstbepaling (op termijn) zijns inziens niet gevrijwaard kan blijven.</w:t>
      </w:r>
      <w:r w:rsidRPr="00D31E3F">
        <w:rPr>
          <w:rStyle w:val="FootnoteReference"/>
          <w:lang w:val="nl-NL" w:eastAsia="nl-NL"/>
        </w:rPr>
        <w:footnoteReference w:id="49"/>
      </w:r>
    </w:p>
    <w:p w:rsidR="00165BBF" w:rsidRPr="00D31E3F" w:rsidRDefault="00165BBF" w:rsidP="00D31E3F">
      <w:pPr>
        <w:spacing w:line="360" w:lineRule="auto"/>
        <w:rPr>
          <w:lang w:val="nl-NL" w:eastAsia="nl-NL"/>
        </w:rPr>
      </w:pPr>
      <w:r>
        <w:rPr>
          <w:lang w:val="nl-NL" w:eastAsia="nl-NL"/>
        </w:rPr>
        <w:t xml:space="preserve">Terecht merkt dhr. van Ovost op dat bovenstaande verwachting dat “IFRS op termijn zeker invloed zal gaan hebben op het Nederlands fiscale winstbegrip” in twijfel getrokken kan worden. </w:t>
      </w:r>
      <w:r w:rsidRPr="00E67F28">
        <w:rPr>
          <w:lang w:val="nl-NL"/>
        </w:rPr>
        <w:t xml:space="preserve">IFRS </w:t>
      </w:r>
      <w:r>
        <w:rPr>
          <w:lang w:val="nl-NL"/>
        </w:rPr>
        <w:t xml:space="preserve">is namelijk alleen </w:t>
      </w:r>
      <w:r w:rsidRPr="00E67F28">
        <w:rPr>
          <w:lang w:val="nl-NL"/>
        </w:rPr>
        <w:t>verplicht voor be</w:t>
      </w:r>
      <w:r>
        <w:rPr>
          <w:lang w:val="nl-NL"/>
        </w:rPr>
        <w:t xml:space="preserve">ursgenoteerde vennootschappen. </w:t>
      </w:r>
      <w:r w:rsidRPr="00E67F28">
        <w:rPr>
          <w:lang w:val="nl-NL"/>
        </w:rPr>
        <w:t xml:space="preserve">Dat aantal is (nog) heel beperkt. De jurisprudentie gaat </w:t>
      </w:r>
      <w:r>
        <w:rPr>
          <w:lang w:val="nl-NL"/>
        </w:rPr>
        <w:t>veelal</w:t>
      </w:r>
      <w:r w:rsidRPr="00E67F28">
        <w:rPr>
          <w:lang w:val="nl-NL"/>
        </w:rPr>
        <w:t xml:space="preserve"> over middelgrote en kleine vennootschappen.</w:t>
      </w:r>
      <w:r>
        <w:rPr>
          <w:lang w:val="nl-NL"/>
        </w:rPr>
        <w:t xml:space="preserve"> Daarmee kunnen vraagtekens geplaatst worden bij b</w:t>
      </w:r>
      <w:r>
        <w:rPr>
          <w:lang w:val="nl-NL" w:eastAsia="nl-NL"/>
        </w:rPr>
        <w:t>ovenstaande verwachting.</w:t>
      </w:r>
    </w:p>
    <w:p w:rsidR="00165BBF" w:rsidRPr="00D31E3F" w:rsidRDefault="00165BBF" w:rsidP="00D31E3F">
      <w:pPr>
        <w:spacing w:line="360" w:lineRule="auto"/>
        <w:rPr>
          <w:lang w:val="nl-NL"/>
        </w:rPr>
      </w:pPr>
    </w:p>
    <w:p w:rsidR="00165BBF" w:rsidRPr="00D31E3F" w:rsidRDefault="00165BBF" w:rsidP="00D31E3F">
      <w:pPr>
        <w:spacing w:line="360" w:lineRule="auto"/>
        <w:rPr>
          <w:b/>
          <w:lang w:val="nl-NL"/>
        </w:rPr>
      </w:pPr>
      <w:r w:rsidRPr="00D31E3F">
        <w:rPr>
          <w:b/>
          <w:lang w:val="nl-NL"/>
        </w:rPr>
        <w:t>2.6 Conclusie</w:t>
      </w:r>
    </w:p>
    <w:p w:rsidR="00165BBF" w:rsidRPr="00D31E3F" w:rsidRDefault="00165BBF" w:rsidP="00D31E3F">
      <w:pPr>
        <w:autoSpaceDE w:val="0"/>
        <w:autoSpaceDN w:val="0"/>
        <w:adjustRightInd w:val="0"/>
        <w:spacing w:line="360" w:lineRule="auto"/>
        <w:rPr>
          <w:lang w:val="nl-NL"/>
        </w:rPr>
      </w:pPr>
      <w:r w:rsidRPr="00D31E3F">
        <w:rPr>
          <w:lang w:val="nl-NL"/>
        </w:rPr>
        <w:t>In dit tweede hoofdstuk werd antwoord gegeven op de vraag: “Hoe vindt voorraadwaardering plaats volgens IFRS?”.</w:t>
      </w:r>
    </w:p>
    <w:p w:rsidR="00165BBF" w:rsidRPr="00D31E3F" w:rsidRDefault="00165BBF" w:rsidP="00D31E3F">
      <w:pPr>
        <w:autoSpaceDE w:val="0"/>
        <w:autoSpaceDN w:val="0"/>
        <w:adjustRightInd w:val="0"/>
        <w:spacing w:line="360" w:lineRule="auto"/>
        <w:rPr>
          <w:lang w:val="nl-NL"/>
        </w:rPr>
      </w:pPr>
      <w:r w:rsidRPr="00D31E3F">
        <w:rPr>
          <w:lang w:val="nl-NL"/>
        </w:rPr>
        <w:t>IFRS zijn opgesteld door de IASB, een onafhankelijke internationale organisatie die als doel heeft om mondiaal geldende financiële verslaggevingsstandaarden van hoge kwaliteit op te stellen, om daarmee een bijdrage te leveren aan transparante en vergelijkbare jaarrekeningen. De Europese Commissie heeft besloten dat sinds 2005 beursgenoteerde ondernemingen IFRS verplicht moeten toepassen in hun geconsolideerde jaarrekening.</w:t>
      </w:r>
    </w:p>
    <w:p w:rsidR="00165BBF" w:rsidRPr="00D31E3F" w:rsidRDefault="00165BBF" w:rsidP="00D31E3F">
      <w:pPr>
        <w:autoSpaceDE w:val="0"/>
        <w:autoSpaceDN w:val="0"/>
        <w:adjustRightInd w:val="0"/>
        <w:spacing w:line="360" w:lineRule="auto"/>
        <w:rPr>
          <w:lang w:val="nl-NL"/>
        </w:rPr>
      </w:pPr>
      <w:r w:rsidRPr="00D31E3F">
        <w:rPr>
          <w:lang w:val="nl-NL"/>
        </w:rPr>
        <w:t>De regels met betrekking tot voorraadwaardering zijn vastgelegd in IAS 2. Onder IFRS zijn de voorgeschreven waarderingsmethoden tegen kostprijs of lagere opbrengstwaarde. Waardering tegen actuele waarde is (behoudens uitzonderingen) niet toegestaan. De volgende kostprijsmethoden zijn toegestaan: de methode van gewogen gemiddelde inkoopprijzen en de fifo-methode. De lifo-methode is, evenals het ijzerenvoorraadstelsel, niet toegestaan. In bepaalde gevallen mag ook de verkoopprijsmethode gehanteerd worden.</w:t>
      </w:r>
    </w:p>
    <w:p w:rsidR="00165BBF" w:rsidRPr="00D31E3F" w:rsidRDefault="00165BBF" w:rsidP="00D31E3F">
      <w:pPr>
        <w:autoSpaceDE w:val="0"/>
        <w:autoSpaceDN w:val="0"/>
        <w:adjustRightInd w:val="0"/>
        <w:spacing w:line="360" w:lineRule="auto"/>
        <w:rPr>
          <w:lang w:val="nl-NL"/>
        </w:rPr>
      </w:pPr>
      <w:r w:rsidRPr="00D31E3F">
        <w:rPr>
          <w:lang w:val="nl-NL"/>
        </w:rPr>
        <w:t>De regels met betrekking tot onderhanden projecten zijn vastgelegd in IAS 11. Van belang is dat geproduceerd wordt volgens een specifieke overeenkomst met derden. Wanneer een betrouwbare schatting van het projectresultaat kan worden gemaakt, wordt de ‘percentage of completion’-methode toegepast. In geval het resultaat van een onderhanden project niet betrouwbaar kan worden ingeschat, verplicht IFRS wel tot een tussentijdse verantwoording van de opbrengsten en kosten, maar wordt de winst pas bij oplevering verantwoord.</w:t>
      </w:r>
    </w:p>
    <w:p w:rsidR="00165BBF" w:rsidRPr="00D31E3F" w:rsidRDefault="00165BBF" w:rsidP="00D31E3F">
      <w:pPr>
        <w:autoSpaceDE w:val="0"/>
        <w:autoSpaceDN w:val="0"/>
        <w:adjustRightInd w:val="0"/>
        <w:spacing w:line="360" w:lineRule="auto"/>
        <w:rPr>
          <w:lang w:val="nl-NL"/>
        </w:rPr>
      </w:pPr>
      <w:r w:rsidRPr="00D31E3F">
        <w:rPr>
          <w:lang w:val="nl-NL"/>
        </w:rPr>
        <w:t xml:space="preserve">Zowel het Nederlandse jaarrekeningrecht als goed koopmansgebruik is gebaseerd op de bedrijfseconomische leer. Verschillen tussen beiden zijn ontstaan door uiteenlopende doelstellingen. </w:t>
      </w:r>
    </w:p>
    <w:p w:rsidR="00165BBF" w:rsidRPr="00D31E3F" w:rsidRDefault="00165BBF" w:rsidP="00D31E3F">
      <w:pPr>
        <w:autoSpaceDE w:val="0"/>
        <w:autoSpaceDN w:val="0"/>
        <w:adjustRightInd w:val="0"/>
        <w:spacing w:line="360" w:lineRule="auto"/>
        <w:rPr>
          <w:lang w:val="nl-NL"/>
        </w:rPr>
      </w:pPr>
      <w:r w:rsidRPr="00D31E3F">
        <w:rPr>
          <w:lang w:val="nl-NL"/>
        </w:rPr>
        <w:t xml:space="preserve">In de literatuur is men het erover eens dat de directe invloed van IFRS op de fiscale winstbepaling beperkt is, maar de indirecte invloed op langere termijn </w:t>
      </w:r>
      <w:r>
        <w:rPr>
          <w:lang w:val="nl-NL"/>
        </w:rPr>
        <w:t>nog bezien moet worden. Inmiddels is het zes jaar na de verplichte invoering van IFRS voor beursgenoteerde ondernemingen, en zijn bijvoorbeeld het lifo- en ijzeren voorraadstelsel fiscaal nog steeds toegestaan. Naar mijn mening zal de invloed wel meevallen, omdat IFRS niet verplicht is voor de vele niet-beursgenoteerde ondernemingen in Nederland.</w:t>
      </w:r>
    </w:p>
    <w:p w:rsidR="00165BBF" w:rsidRPr="00D31E3F" w:rsidRDefault="00165BBF" w:rsidP="00D31E3F">
      <w:pPr>
        <w:autoSpaceDE w:val="0"/>
        <w:autoSpaceDN w:val="0"/>
        <w:adjustRightInd w:val="0"/>
        <w:spacing w:line="360" w:lineRule="auto"/>
        <w:rPr>
          <w:lang w:val="nl-NL"/>
        </w:rPr>
      </w:pPr>
    </w:p>
    <w:p w:rsidR="00165BBF" w:rsidRPr="00D31E3F" w:rsidRDefault="00165BBF" w:rsidP="00D31E3F">
      <w:pPr>
        <w:spacing w:line="360" w:lineRule="auto"/>
        <w:rPr>
          <w:lang w:val="nl-NL"/>
        </w:rPr>
      </w:pPr>
      <w:r w:rsidRPr="00D31E3F">
        <w:rPr>
          <w:lang w:val="nl-NL" w:eastAsia="nl-NL"/>
        </w:rPr>
        <w:t xml:space="preserve">Dit hoofdstuk ging over de voorraadwaardering volgens IFRS. Essers ziet </w:t>
      </w:r>
      <w:r w:rsidRPr="00D31E3F">
        <w:rPr>
          <w:lang w:val="nl-NL"/>
        </w:rPr>
        <w:t>een rol als inspiratiebron voor IFRS weggelegd bij het streven naar een Common Base Taxation System in Europa.</w:t>
      </w:r>
      <w:r w:rsidRPr="00D31E3F">
        <w:rPr>
          <w:rStyle w:val="FootnoteReference"/>
          <w:lang w:val="nl-NL"/>
        </w:rPr>
        <w:footnoteReference w:id="50"/>
      </w:r>
      <w:r w:rsidRPr="00D31E3F">
        <w:rPr>
          <w:lang w:val="nl-NL"/>
        </w:rPr>
        <w:t xml:space="preserve"> </w:t>
      </w:r>
      <w:r w:rsidRPr="00D31E3F">
        <w:rPr>
          <w:lang w:val="nl-NL" w:eastAsia="nl-NL"/>
        </w:rPr>
        <w:t xml:space="preserve">Het volgende hoofdstuk zal betrekking hebben op de CCCTB en haar visie op voorraadwaardering. </w:t>
      </w:r>
    </w:p>
    <w:p w:rsidR="00165BBF" w:rsidRPr="00D31E3F" w:rsidRDefault="00165BBF">
      <w:pPr>
        <w:spacing w:after="200" w:line="276" w:lineRule="auto"/>
        <w:rPr>
          <w:lang w:val="nl-NL"/>
        </w:rPr>
      </w:pPr>
      <w:r w:rsidRPr="00D31E3F">
        <w:rPr>
          <w:lang w:val="nl-NL"/>
        </w:rPr>
        <w:br w:type="page"/>
      </w:r>
    </w:p>
    <w:p w:rsidR="00165BBF" w:rsidRPr="00D31E3F" w:rsidRDefault="00165BBF" w:rsidP="00D31E3F">
      <w:pPr>
        <w:spacing w:line="360" w:lineRule="auto"/>
        <w:rPr>
          <w:b/>
          <w:sz w:val="28"/>
          <w:szCs w:val="28"/>
          <w:lang w:val="nl-NL"/>
        </w:rPr>
      </w:pPr>
      <w:r>
        <w:rPr>
          <w:b/>
          <w:sz w:val="28"/>
          <w:szCs w:val="28"/>
          <w:lang w:val="nl-NL"/>
        </w:rPr>
        <w:t>Hoofdstuk 3</w:t>
      </w:r>
      <w:r>
        <w:rPr>
          <w:b/>
          <w:sz w:val="28"/>
          <w:szCs w:val="28"/>
          <w:lang w:val="nl-NL"/>
        </w:rPr>
        <w:tab/>
      </w:r>
      <w:r w:rsidRPr="00D31E3F">
        <w:rPr>
          <w:b/>
          <w:sz w:val="28"/>
          <w:szCs w:val="28"/>
          <w:lang w:val="nl-NL"/>
        </w:rPr>
        <w:t>Voorraadwaardering onder CCCTB</w:t>
      </w:r>
    </w:p>
    <w:p w:rsidR="00165BBF" w:rsidRPr="00D31E3F" w:rsidRDefault="00165BBF" w:rsidP="00D31E3F">
      <w:pPr>
        <w:spacing w:line="360" w:lineRule="auto"/>
        <w:rPr>
          <w:b/>
          <w:lang w:val="nl-NL"/>
        </w:rPr>
      </w:pPr>
    </w:p>
    <w:p w:rsidR="00165BBF" w:rsidRPr="00D31E3F" w:rsidRDefault="00165BBF" w:rsidP="00D31E3F">
      <w:pPr>
        <w:spacing w:line="360" w:lineRule="auto"/>
        <w:rPr>
          <w:b/>
          <w:lang w:val="nl-NL"/>
        </w:rPr>
      </w:pPr>
      <w:r w:rsidRPr="00D31E3F">
        <w:rPr>
          <w:b/>
          <w:lang w:val="nl-NL"/>
        </w:rPr>
        <w:t>3.1 Inleiding</w:t>
      </w:r>
    </w:p>
    <w:p w:rsidR="00165BBF" w:rsidRPr="00D31E3F" w:rsidRDefault="00165BBF" w:rsidP="00D31E3F">
      <w:pPr>
        <w:spacing w:line="360" w:lineRule="auto"/>
        <w:rPr>
          <w:lang w:val="nl-NL"/>
        </w:rPr>
      </w:pPr>
      <w:r w:rsidRPr="00D31E3F">
        <w:rPr>
          <w:lang w:val="nl-NL"/>
        </w:rPr>
        <w:t>Het vorige hoofdstuk ging over de voorraadwaardering volgens IFRS. In dit hoofdstuk zal de CCCTB centraal staan. Eerst zal ik ingaan op de totstandkoming van de CCCTB. Daarna komt aan bod hoe in het voorstel de winstbepaling er uit komt te zien. Specifiek ga ik hierbij in op de voorraadwaardering en onderhanden werk. Tot slot een stukje over de huidige stand van zaken. Dit hoofdstuk geeft antwoord op de vraag: “Hoe vindt voorraadwaardering plaats volgens de CCCTB-werkgroep?”</w:t>
      </w:r>
    </w:p>
    <w:p w:rsidR="00165BBF" w:rsidRPr="00D31E3F" w:rsidRDefault="00165BBF" w:rsidP="00D31E3F">
      <w:pPr>
        <w:spacing w:line="360" w:lineRule="auto"/>
        <w:rPr>
          <w:lang w:val="nl-NL"/>
        </w:rPr>
      </w:pPr>
    </w:p>
    <w:p w:rsidR="00165BBF" w:rsidRPr="00D31E3F" w:rsidRDefault="00165BBF" w:rsidP="00D31E3F">
      <w:pPr>
        <w:spacing w:line="360" w:lineRule="auto"/>
        <w:rPr>
          <w:b/>
          <w:lang w:val="nl-NL"/>
        </w:rPr>
      </w:pPr>
      <w:r w:rsidRPr="00D31E3F">
        <w:rPr>
          <w:b/>
          <w:lang w:val="nl-NL"/>
        </w:rPr>
        <w:t>3.2 Op weg naar de CCCTB</w:t>
      </w:r>
      <w:r w:rsidRPr="00D31E3F">
        <w:rPr>
          <w:rStyle w:val="FootnoteReference"/>
          <w:b/>
          <w:lang w:val="nl-NL"/>
        </w:rPr>
        <w:footnoteReference w:id="51"/>
      </w:r>
    </w:p>
    <w:p w:rsidR="00165BBF" w:rsidRPr="00D31E3F" w:rsidRDefault="00165BBF" w:rsidP="00D31E3F">
      <w:pPr>
        <w:spacing w:line="360" w:lineRule="auto"/>
        <w:rPr>
          <w:lang w:val="nl-NL" w:eastAsia="nl-NL"/>
        </w:rPr>
      </w:pPr>
      <w:r w:rsidRPr="00D31E3F">
        <w:rPr>
          <w:lang w:val="nl-NL"/>
        </w:rPr>
        <w:t>Op Europees niveau wordt al langere tijd nagedacht over harmonisering van de winstbelastingen voor multinationals. De behoefte hieraan is ontstaan doordat verschillen in nationale winstbelastingen verstorend kunnen werken voor de economie. In 1975 kwam de Europese Commissie voor het eerst met een voorstel voor de invoering van een verrekeningsstelsel.</w:t>
      </w:r>
      <w:r w:rsidRPr="00D31E3F">
        <w:rPr>
          <w:rStyle w:val="FootnoteReference"/>
          <w:lang w:val="nl-NL"/>
        </w:rPr>
        <w:footnoteReference w:id="52"/>
      </w:r>
      <w:r w:rsidRPr="00D31E3F">
        <w:rPr>
          <w:lang w:val="nl-NL"/>
        </w:rPr>
        <w:t xml:space="preserve"> Dit voorstel kwam niet van de grond, omdat </w:t>
      </w:r>
      <w:r w:rsidRPr="00D31E3F">
        <w:rPr>
          <w:lang w:val="nl-NL" w:eastAsia="nl-NL"/>
        </w:rPr>
        <w:t>het tot een te grote ingreep in de nationale fiscale stelsels zou leiden en lidstaten door het systeem te veel afhankelijk zouden worden van andere lidstaten. Ook een conceptrichtlijn met betrekking tot grensoverschrijdende verliescompensatie is uiteindelijk ingetrokken.</w:t>
      </w:r>
    </w:p>
    <w:p w:rsidR="00165BBF" w:rsidRPr="00D31E3F" w:rsidRDefault="00165BBF" w:rsidP="00D31E3F">
      <w:pPr>
        <w:spacing w:line="360" w:lineRule="auto"/>
        <w:rPr>
          <w:lang w:val="nl-NL" w:eastAsia="nl-NL"/>
        </w:rPr>
      </w:pPr>
      <w:r w:rsidRPr="00D31E3F">
        <w:rPr>
          <w:lang w:val="nl-NL" w:eastAsia="nl-NL"/>
        </w:rPr>
        <w:t>De voorgaande ontwikkelingen hadden niet direct betrekking op de heffingsgrondslag van de vennootschapsbelasting zelf. In 1992 is daar voor het eerst aandacht aan geschonken in het Ruding-rapport. Dit rapport stelde in de kern voor tot een uniforme heffingsgrondslag voor de vennootschapsbelasting te komen. Volgens Essers had het rapport geen effect omdat het zijn tijd ver vooruit was.</w:t>
      </w:r>
      <w:r w:rsidRPr="00D31E3F">
        <w:rPr>
          <w:rStyle w:val="FootnoteReference"/>
          <w:lang w:val="nl-NL" w:eastAsia="nl-NL"/>
        </w:rPr>
        <w:footnoteReference w:id="53"/>
      </w:r>
    </w:p>
    <w:p w:rsidR="00165BBF" w:rsidRPr="00D31E3F" w:rsidRDefault="00165BBF" w:rsidP="00D31E3F">
      <w:pPr>
        <w:spacing w:line="360" w:lineRule="auto"/>
        <w:rPr>
          <w:lang w:val="nl-NL" w:eastAsia="nl-NL"/>
        </w:rPr>
      </w:pPr>
    </w:p>
    <w:p w:rsidR="00165BBF" w:rsidRPr="00D31E3F" w:rsidRDefault="00165BBF" w:rsidP="00D31E3F">
      <w:pPr>
        <w:spacing w:line="360" w:lineRule="auto"/>
        <w:rPr>
          <w:lang w:val="nl-NL" w:eastAsia="nl-NL"/>
        </w:rPr>
      </w:pPr>
      <w:r w:rsidRPr="00D31E3F">
        <w:rPr>
          <w:lang w:val="nl-NL"/>
        </w:rPr>
        <w:t>In 2000 is in het Verdrag van Lissabon als uitgangspunt opgenomen dat de EU in 2010 de meest concurrerende economie in de wereld zou moeten zijn. Hiertoe past een her</w:t>
      </w:r>
      <w:r w:rsidRPr="00D31E3F">
        <w:rPr>
          <w:lang w:val="nl-NL" w:eastAsia="nl-NL"/>
        </w:rPr>
        <w:t>ziening van de stelsels van vennootschapsbelasting van de lidstaten, met name waar het gaat om grensoverschrijdende ondernemingsactiviteiten. In uitwerking hierop verscheen in 2001 een rapport van commissaris Bolkenstein over de toekomst van de heffing van vennootschapsbelasting binnen de EU.</w:t>
      </w:r>
      <w:r w:rsidRPr="00D31E3F">
        <w:rPr>
          <w:rStyle w:val="FootnoteReference"/>
          <w:lang w:val="nl-NL" w:eastAsia="nl-NL"/>
        </w:rPr>
        <w:footnoteReference w:id="54"/>
      </w:r>
      <w:r w:rsidRPr="00D31E3F">
        <w:rPr>
          <w:lang w:val="nl-NL" w:eastAsia="nl-NL"/>
        </w:rPr>
        <w:t xml:space="preserve"> In dit rapport werden enkele opties met betrekking tot een Europese winstbelasting voorgelegd. De eerste optie betreft een Europese vennootschapsbelasting, maar deze variant werd door de Europese Commissie (hierna: EC) als onrealistisch aangemerkt. </w:t>
      </w:r>
      <w:r w:rsidRPr="00146970">
        <w:rPr>
          <w:lang w:val="en-US" w:eastAsia="nl-NL"/>
        </w:rPr>
        <w:t>Andere varianten zijn</w:t>
      </w:r>
      <w:r w:rsidRPr="00107C72">
        <w:rPr>
          <w:lang w:val="en-US" w:eastAsia="nl-NL"/>
        </w:rPr>
        <w:t xml:space="preserve"> Common Base Taxation en Home State Taxation. </w:t>
      </w:r>
      <w:r w:rsidRPr="00D31E3F">
        <w:rPr>
          <w:lang w:val="nl-NL" w:eastAsia="nl-NL"/>
        </w:rPr>
        <w:t xml:space="preserve">Deze varianten heeft de EC verder onderzocht, waarbij geleidelijk aan de nadruk kwam te liggen bij </w:t>
      </w:r>
      <w:r w:rsidRPr="00146970">
        <w:rPr>
          <w:lang w:val="nl-NL" w:eastAsia="nl-NL"/>
        </w:rPr>
        <w:t>Common Base Taxation.</w:t>
      </w:r>
      <w:r w:rsidRPr="00D31E3F">
        <w:rPr>
          <w:lang w:val="nl-NL" w:eastAsia="nl-NL"/>
        </w:rPr>
        <w:t xml:space="preserve"> HST is vooral bedoeld als alternatief stelsel van Europese winstbepaling ten behoeve van het midden- en kleinbedrijf. Kavelaars acht het niet wenselijk als er sprake is van twee naast elkaar staande systemen terwijl er bovendien weinig reden is waarom CCCTB niet ook door het midden- en kleinbedrijf zou kunnen worden toegepast. Ik sluit me hierbij aan.</w:t>
      </w:r>
    </w:p>
    <w:p w:rsidR="00165BBF" w:rsidRPr="00D31E3F" w:rsidRDefault="00165BBF" w:rsidP="00D31E3F">
      <w:pPr>
        <w:spacing w:line="360" w:lineRule="auto"/>
        <w:rPr>
          <w:lang w:val="nl-NL" w:eastAsia="nl-NL"/>
        </w:rPr>
      </w:pPr>
    </w:p>
    <w:p w:rsidR="00165BBF" w:rsidRPr="00D31E3F" w:rsidRDefault="00165BBF" w:rsidP="00D31E3F">
      <w:pPr>
        <w:spacing w:line="360" w:lineRule="auto"/>
        <w:rPr>
          <w:lang w:val="nl-NL" w:eastAsia="nl-NL"/>
        </w:rPr>
      </w:pPr>
      <w:r w:rsidRPr="00D31E3F">
        <w:rPr>
          <w:lang w:val="nl-NL" w:eastAsia="nl-NL"/>
        </w:rPr>
        <w:t>Op 14 februari 2006 bracht het Europees Economisch en Sociaal Comité (EESC) op verzoek van de EC een advies</w:t>
      </w:r>
      <w:bookmarkStart w:id="3" w:name="VN-N173"/>
      <w:bookmarkEnd w:id="3"/>
      <w:r w:rsidRPr="00D31E3F">
        <w:rPr>
          <w:lang w:val="nl-NL" w:eastAsia="nl-NL"/>
        </w:rPr>
        <w:t xml:space="preserve"> uit over de invoering van een gemeenschappelijk geconsolideerde heffingsgrondslag voor de vennootschapsbelasting in de EU. De belangrijkste doelstelling van een geharmoniseerde (geconsolideerde) heffingsgrondslag is </w:t>
      </w:r>
      <w:r w:rsidRPr="00D31E3F">
        <w:rPr>
          <w:lang w:val="nl-NL"/>
        </w:rPr>
        <w:t>dat belemmeringen op belastinggebied voor ondernemingen met activiteiten in verschillende lidstaten zo veel mogelijk moeten worden weggenomen zodat de interne markt van de Europese Unie beter kan functioneren.</w:t>
      </w:r>
      <w:r w:rsidRPr="00D31E3F">
        <w:rPr>
          <w:rStyle w:val="FootnoteReference"/>
          <w:lang w:val="nl-NL"/>
        </w:rPr>
        <w:footnoteReference w:id="55"/>
      </w:r>
      <w:r w:rsidRPr="00D31E3F">
        <w:rPr>
          <w:lang w:val="nl-NL"/>
        </w:rPr>
        <w:t xml:space="preserve"> </w:t>
      </w:r>
      <w:r w:rsidRPr="00D31E3F">
        <w:rPr>
          <w:lang w:val="nl-NL" w:eastAsia="nl-NL"/>
        </w:rPr>
        <w:t>De voorstellen richten zich niet op tariefuniformering; de EC veronderstelt (impliciet) dat door een uniforme heffingsgrondslag de tarieven verder naar elkaar groeien.</w:t>
      </w:r>
    </w:p>
    <w:p w:rsidR="00165BBF" w:rsidRPr="00D31E3F" w:rsidRDefault="00165BBF" w:rsidP="00D31E3F">
      <w:pPr>
        <w:spacing w:line="360" w:lineRule="auto"/>
        <w:rPr>
          <w:lang w:val="nl-NL" w:eastAsia="nl-NL"/>
        </w:rPr>
      </w:pPr>
    </w:p>
    <w:p w:rsidR="00165BBF" w:rsidRPr="00D31E3F" w:rsidRDefault="00165BBF" w:rsidP="00D31E3F">
      <w:pPr>
        <w:spacing w:line="360" w:lineRule="auto"/>
        <w:rPr>
          <w:lang w:val="nl-NL" w:eastAsia="nl-NL"/>
        </w:rPr>
      </w:pPr>
      <w:r w:rsidRPr="00D31E3F">
        <w:rPr>
          <w:lang w:val="nl-NL" w:eastAsia="nl-NL"/>
        </w:rPr>
        <w:t xml:space="preserve">Voor de totstandkoming van de CCCTB heeft de EC de CCCTB Working Group in het leven geroepen. Binnen deze Working Group verrichten subwerkgroepen onderzoek naar de mogelijke vormgeving en complicaties van het systeem. Hiertoe zijn verscheidene working papers gepubliceerd, aan hand waarvan de discussie aangegaan wordt op speciaal hiertoe georganiseerde bijeenkomsten. Op deze manier wordt een draagvlak voor de CCCTB gecreëerd. </w:t>
      </w:r>
    </w:p>
    <w:p w:rsidR="00165BBF" w:rsidRPr="00D31E3F" w:rsidRDefault="00165BBF" w:rsidP="00D31E3F">
      <w:pPr>
        <w:spacing w:line="360" w:lineRule="auto"/>
        <w:rPr>
          <w:lang w:val="nl-NL" w:eastAsia="nl-NL"/>
        </w:rPr>
      </w:pPr>
    </w:p>
    <w:p w:rsidR="00165BBF" w:rsidRPr="00D31E3F" w:rsidRDefault="00165BBF" w:rsidP="00D31E3F">
      <w:pPr>
        <w:spacing w:line="360" w:lineRule="auto"/>
        <w:rPr>
          <w:b/>
          <w:lang w:val="nl-NL" w:eastAsia="nl-NL"/>
        </w:rPr>
      </w:pPr>
      <w:r w:rsidRPr="00D31E3F">
        <w:rPr>
          <w:b/>
          <w:lang w:val="nl-NL" w:eastAsia="nl-NL"/>
        </w:rPr>
        <w:t>3.3 Winstbepaling</w:t>
      </w:r>
      <w:r w:rsidRPr="00D31E3F">
        <w:rPr>
          <w:rStyle w:val="FootnoteReference"/>
          <w:b/>
          <w:lang w:val="nl-NL" w:eastAsia="nl-NL"/>
        </w:rPr>
        <w:footnoteReference w:id="56"/>
      </w:r>
    </w:p>
    <w:p w:rsidR="00165BBF" w:rsidRPr="00D31E3F" w:rsidRDefault="00165BBF" w:rsidP="00D31E3F">
      <w:pPr>
        <w:spacing w:line="360" w:lineRule="auto"/>
        <w:rPr>
          <w:lang w:val="nl-NL" w:eastAsia="nl-NL"/>
        </w:rPr>
      </w:pPr>
      <w:r w:rsidRPr="00D31E3F">
        <w:rPr>
          <w:lang w:val="nl-NL" w:eastAsia="nl-NL"/>
        </w:rPr>
        <w:t xml:space="preserve">Het doel van de CCCTB werkgroep is te komen tot een geüniformeerde winstgrondslag. Hiervoor werd in eerste aanleg aansluiting gezocht bij IFRS. IFRS is immers in Europa al voorgeschreven voor beursgenoteerde ondernemingen, dus dit zou geen grote administratieve gevolgen teweegbrengen. Echter, volgens IFRS moet in principe tegen actuele waarde gewaardeerd worden. Dit heeft als gevolg dat eerder winst moet worden genomen, wat op zwaar protest vanuit het bedrijfsleven kwam te staan. Om het draagvlak voor de CCCTB te behouden is daarom de aansluiting met IFRS losgelaten. </w:t>
      </w:r>
    </w:p>
    <w:p w:rsidR="00165BBF" w:rsidRPr="00D31E3F" w:rsidRDefault="00165BBF" w:rsidP="00D31E3F">
      <w:pPr>
        <w:spacing w:line="360" w:lineRule="auto"/>
        <w:rPr>
          <w:lang w:val="nl-NL" w:eastAsia="nl-NL"/>
        </w:rPr>
      </w:pPr>
      <w:r w:rsidRPr="00D31E3F">
        <w:rPr>
          <w:lang w:val="nl-NL" w:eastAsia="nl-NL"/>
        </w:rPr>
        <w:t>Dit betekende dat een ander winstbepalingssysteem moest worden ontwikkeld. De Working Group heeft getracht op een zo efficiënt mogelijke wijze de winstbepaling van CCCTB af te leiden uit de respectieve GAAP’s van de in CCCTB participerende lidstaten.</w:t>
      </w:r>
      <w:r w:rsidRPr="00D31E3F">
        <w:rPr>
          <w:rStyle w:val="FootnoteReference"/>
          <w:lang w:val="nl-NL" w:eastAsia="nl-NL"/>
        </w:rPr>
        <w:footnoteReference w:id="57"/>
      </w:r>
      <w:r w:rsidRPr="00D31E3F">
        <w:rPr>
          <w:lang w:val="nl-NL" w:eastAsia="nl-NL"/>
        </w:rPr>
        <w:t xml:space="preserve"> (GAAP staat voor Generally Accepted Accounting Principles; oftewel de nationale commerciële winstbepalingsregels). Voordeel van deze benadering is dat ook niet-beursgenoteerde concerns relatief gemakkelijk met CCCTB uit de voeten kunnen. Het is onmogelijk om alles tot in detail vast te leggen.</w:t>
      </w:r>
      <w:r w:rsidRPr="00D31E3F">
        <w:rPr>
          <w:rStyle w:val="FootnoteReference"/>
          <w:lang w:val="nl-NL" w:eastAsia="nl-NL"/>
        </w:rPr>
        <w:footnoteReference w:id="58"/>
      </w:r>
      <w:r w:rsidRPr="00D31E3F">
        <w:rPr>
          <w:lang w:val="nl-NL" w:eastAsia="nl-NL"/>
        </w:rPr>
        <w:t xml:space="preserve"> Vast staat dat het realisatiebeginsel leidend is en dat vrij nauwkeurig wordt vastgelegd hoe de winst moet worden bepaald (rule based). De WG opteert dus niet voor algemene principes zoals goed koopmansgebruik (principle based). Uit met name Working Paper 57 kan worden afgeleid dat de Working Group een breed </w:t>
      </w:r>
      <w:r>
        <w:rPr>
          <w:lang w:val="nl-NL" w:eastAsia="nl-NL"/>
        </w:rPr>
        <w:t xml:space="preserve">(totaal-) </w:t>
      </w:r>
      <w:r w:rsidRPr="00D31E3F">
        <w:rPr>
          <w:lang w:val="nl-NL" w:eastAsia="nl-NL"/>
        </w:rPr>
        <w:t>winstbegrip voorstaat</w:t>
      </w:r>
      <w:r>
        <w:rPr>
          <w:lang w:val="nl-NL" w:eastAsia="nl-NL"/>
        </w:rPr>
        <w:t xml:space="preserve"> (en daarmee samenhangend een breed jaarwinstbegrip)</w:t>
      </w:r>
      <w:r w:rsidRPr="00D31E3F">
        <w:rPr>
          <w:lang w:val="nl-NL" w:eastAsia="nl-NL"/>
        </w:rPr>
        <w:t>. In principe is de regel dat alle aan de onderneming toekomende voordelen in de heffing worden betrokken, tenzij uitdrukkelijk sprake is van een vrijstelling.</w:t>
      </w:r>
    </w:p>
    <w:p w:rsidR="00165BBF" w:rsidRPr="00D31E3F" w:rsidRDefault="00165BBF" w:rsidP="00D31E3F">
      <w:pPr>
        <w:spacing w:line="360" w:lineRule="auto"/>
        <w:rPr>
          <w:lang w:val="nl-NL" w:eastAsia="nl-NL"/>
        </w:rPr>
      </w:pPr>
    </w:p>
    <w:p w:rsidR="00165BBF" w:rsidRPr="00D31E3F" w:rsidRDefault="00165BBF" w:rsidP="00D31E3F">
      <w:pPr>
        <w:spacing w:line="360" w:lineRule="auto"/>
        <w:rPr>
          <w:u w:val="single"/>
          <w:lang w:val="nl-NL" w:eastAsia="nl-NL"/>
        </w:rPr>
      </w:pPr>
      <w:r w:rsidRPr="00D31E3F">
        <w:rPr>
          <w:u w:val="single"/>
          <w:lang w:val="nl-NL" w:eastAsia="nl-NL"/>
        </w:rPr>
        <w:t>Voorraadwaardering</w:t>
      </w:r>
    </w:p>
    <w:p w:rsidR="00165BBF" w:rsidRPr="00D31E3F" w:rsidRDefault="00165BBF" w:rsidP="00D31E3F">
      <w:pPr>
        <w:spacing w:line="360" w:lineRule="auto"/>
        <w:rPr>
          <w:lang w:val="nl-NL" w:eastAsia="nl-NL"/>
        </w:rPr>
      </w:pPr>
      <w:r w:rsidRPr="00D31E3F">
        <w:rPr>
          <w:lang w:val="nl-NL" w:eastAsia="nl-NL"/>
        </w:rPr>
        <w:t>In working paper 57 zijn vrijwel alle bevindingen en resultaten met betrekking tot de materieeltechnische vormgeving uit de daaraan voorafgaande papers samengenomen. Met betrekking tot de voorraadwaardering staat in working paper 57 het volgende vermeld.</w:t>
      </w:r>
      <w:r w:rsidRPr="00D31E3F">
        <w:rPr>
          <w:rStyle w:val="FootnoteReference"/>
          <w:lang w:val="nl-NL" w:eastAsia="nl-NL"/>
        </w:rPr>
        <w:footnoteReference w:id="59"/>
      </w:r>
      <w:r w:rsidRPr="00D31E3F">
        <w:rPr>
          <w:lang w:val="nl-NL" w:eastAsia="nl-NL"/>
        </w:rPr>
        <w:t xml:space="preserve"> </w:t>
      </w:r>
    </w:p>
    <w:p w:rsidR="00165BBF" w:rsidRPr="00D31E3F" w:rsidRDefault="00165BBF" w:rsidP="00D31E3F">
      <w:pPr>
        <w:spacing w:line="360" w:lineRule="auto"/>
        <w:rPr>
          <w:lang w:val="nl-NL"/>
        </w:rPr>
      </w:pPr>
      <w:r w:rsidRPr="00D31E3F">
        <w:rPr>
          <w:lang w:val="nl-NL" w:eastAsia="nl-NL"/>
        </w:rPr>
        <w:t xml:space="preserve">Voorraden behoren niet tot de vaste maar tot de vlottende activa. Ze worden aangehouden voor verkoop, in het productieproces voor verkoop of </w:t>
      </w:r>
      <w:r w:rsidRPr="00D31E3F">
        <w:rPr>
          <w:lang w:val="nl-NL"/>
        </w:rPr>
        <w:t>in de vorm van grond- en hulpstoffen die worden verbruikt tijdens het productieproces of tijdens het verlenen van diensten. Dit is dezelfde definitie die IAS 2 hanteert.</w:t>
      </w:r>
    </w:p>
    <w:p w:rsidR="00165BBF" w:rsidRDefault="00165BBF" w:rsidP="00D31E3F">
      <w:pPr>
        <w:spacing w:line="360" w:lineRule="auto"/>
        <w:rPr>
          <w:lang w:val="nl-NL"/>
        </w:rPr>
      </w:pPr>
      <w:r>
        <w:rPr>
          <w:lang w:val="nl-NL"/>
        </w:rPr>
        <w:t xml:space="preserve">Voor de bepaling van de </w:t>
      </w:r>
      <w:r w:rsidRPr="00D31E3F">
        <w:rPr>
          <w:lang w:val="nl-NL"/>
        </w:rPr>
        <w:t>aftrekbare kosten in een belastingjaar wordt</w:t>
      </w:r>
      <w:r>
        <w:rPr>
          <w:lang w:val="nl-NL"/>
        </w:rPr>
        <w:t xml:space="preserve"> de waarde van de voorraad aan het eind van het jaar afgetrokken van de waarde van de voorraad aan het begin van het jaar.</w:t>
      </w:r>
    </w:p>
    <w:p w:rsidR="00165BBF" w:rsidRPr="00D31E3F" w:rsidRDefault="00165BBF" w:rsidP="00D31E3F">
      <w:pPr>
        <w:spacing w:line="360" w:lineRule="auto"/>
        <w:rPr>
          <w:lang w:val="nl-NL"/>
        </w:rPr>
      </w:pPr>
      <w:r w:rsidRPr="00D31E3F">
        <w:rPr>
          <w:lang w:val="nl-NL"/>
        </w:rPr>
        <w:t>Deze punten zijn vrij recht</w:t>
      </w:r>
      <w:r>
        <w:rPr>
          <w:lang w:val="nl-NL"/>
        </w:rPr>
        <w:t xml:space="preserve"> </w:t>
      </w:r>
      <w:r w:rsidRPr="00D31E3F">
        <w:rPr>
          <w:lang w:val="nl-NL"/>
        </w:rPr>
        <w:t>toe recht</w:t>
      </w:r>
      <w:r>
        <w:rPr>
          <w:lang w:val="nl-NL"/>
        </w:rPr>
        <w:t xml:space="preserve"> </w:t>
      </w:r>
      <w:r w:rsidRPr="00D31E3F">
        <w:rPr>
          <w:lang w:val="nl-NL"/>
        </w:rPr>
        <w:t>aan, hier waren geen op- of aanmerkingen over geplaatst door de belastingexperts uit verschillende lidstaten.</w:t>
      </w:r>
    </w:p>
    <w:p w:rsidR="00165BBF" w:rsidRPr="00D31E3F" w:rsidRDefault="00165BBF" w:rsidP="00D31E3F">
      <w:pPr>
        <w:spacing w:line="360" w:lineRule="auto"/>
        <w:rPr>
          <w:lang w:val="nl-NL"/>
        </w:rPr>
      </w:pPr>
    </w:p>
    <w:p w:rsidR="00165BBF" w:rsidRDefault="00165BBF" w:rsidP="00D31E3F">
      <w:pPr>
        <w:spacing w:line="360" w:lineRule="auto"/>
        <w:rPr>
          <w:lang w:val="nl-NL"/>
        </w:rPr>
      </w:pPr>
      <w:r w:rsidRPr="00D31E3F">
        <w:rPr>
          <w:lang w:val="nl-NL"/>
        </w:rPr>
        <w:t>Onder punt 51 tot 55 van de working paper zijn de regels met betrekking tot de waardering neergelegd. Als belangrijkste uitgangspunt wordt genoemd dat de belastingplichtige consistent moet zijn in zijn keuze voor een voorraadwaarderingsstelsel. Op de laatste dag van het belastingjaar wordt de voorraad gewaardeerd tegen kostprijs of lagere netto realiseerbare waarde. De kostprijs van goederen die niet onderling vervangbaar zijn worden gewaardeerd tegen hun historische individuele kostprijs. Voor de kostprijs van goederen die wel onderling vervangbaar zijn is de fifo-methode toegestaan of de gewogen gemiddelde kostenmethode. Business Europe pleit in de annotatie ervoor dat ook de</w:t>
      </w:r>
      <w:r>
        <w:rPr>
          <w:lang w:val="nl-NL"/>
        </w:rPr>
        <w:t xml:space="preserve"> lifo-methode toegestaan wordt.</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Tot de kostprijs worden ook gerekend de overige directe kosten om de voorraden op hun huidige plaats in hun huidige staat te brengen. Voorgesteld wordt om een uitzondering te maken voor belastingplichtigen die ook de indirecte kosten standaard meenemen in de waarde van hun voorraad, zodat zij dit consistent kunne</w:t>
      </w:r>
      <w:r>
        <w:rPr>
          <w:lang w:val="nl-NL"/>
        </w:rPr>
        <w:t xml:space="preserve">n blijven doen. In de bijbehorende </w:t>
      </w:r>
      <w:r w:rsidRPr="00D31E3F">
        <w:rPr>
          <w:lang w:val="nl-NL"/>
        </w:rPr>
        <w:t xml:space="preserve">annotatie </w:t>
      </w:r>
      <w:r>
        <w:rPr>
          <w:lang w:val="nl-NL"/>
        </w:rPr>
        <w:t xml:space="preserve">(punt 54 van de working paper) </w:t>
      </w:r>
      <w:r w:rsidRPr="00D31E3F">
        <w:rPr>
          <w:lang w:val="nl-NL"/>
        </w:rPr>
        <w:t>noemt een lidstaat deze uitzondering discriminerend voor belastingplichtigen die ook graag de indirecte kosten mee zouden willen nemen maar dit niet voorheen al deden. Ik zou zelf geen uitzondering toestaan; het doel van de CCCTB is te komen tot een geüniformeerde winstgrondslag en ik denk dat de kracht van de CCCTB verloren gaat door verschillende uitzonderingen op te nemen. Volgens de gemeenschappelijke opinie moet de eenvoud van het systeem voorop staan.</w:t>
      </w:r>
      <w:r w:rsidRPr="00D31E3F">
        <w:rPr>
          <w:rStyle w:val="FootnoteReference"/>
          <w:lang w:val="nl-NL"/>
        </w:rPr>
        <w:footnoteReference w:id="60"/>
      </w:r>
    </w:p>
    <w:p w:rsidR="00165BBF" w:rsidRPr="00D31E3F" w:rsidRDefault="00165BBF" w:rsidP="00D31E3F">
      <w:pPr>
        <w:spacing w:line="360" w:lineRule="auto"/>
        <w:rPr>
          <w:lang w:val="nl-NL"/>
        </w:rPr>
      </w:pPr>
    </w:p>
    <w:p w:rsidR="00165BBF" w:rsidRPr="00D31E3F" w:rsidRDefault="00165BBF" w:rsidP="00D31E3F">
      <w:pPr>
        <w:spacing w:line="360" w:lineRule="auto"/>
        <w:rPr>
          <w:u w:val="single"/>
          <w:lang w:val="nl-NL"/>
        </w:rPr>
      </w:pPr>
      <w:r w:rsidRPr="00D31E3F">
        <w:rPr>
          <w:u w:val="single"/>
          <w:lang w:val="nl-NL"/>
        </w:rPr>
        <w:t>Onderhanden werk</w:t>
      </w:r>
    </w:p>
    <w:p w:rsidR="00165BBF" w:rsidRPr="00D31E3F" w:rsidRDefault="00165BBF" w:rsidP="00D31E3F">
      <w:pPr>
        <w:spacing w:line="360" w:lineRule="auto"/>
        <w:rPr>
          <w:lang w:val="nl-NL"/>
        </w:rPr>
      </w:pPr>
      <w:r w:rsidRPr="00D31E3F">
        <w:rPr>
          <w:lang w:val="nl-NL"/>
        </w:rPr>
        <w:t xml:space="preserve">Onderhanden werk </w:t>
      </w:r>
      <w:r>
        <w:rPr>
          <w:lang w:val="nl-NL"/>
        </w:rPr>
        <w:t xml:space="preserve">heeft een eigen waarderingsmethode. </w:t>
      </w:r>
      <w:r w:rsidRPr="00D31E3F">
        <w:rPr>
          <w:lang w:val="nl-NL"/>
        </w:rPr>
        <w:t xml:space="preserve">Onder definitie van lange termijn contract wordt verstaan: een contract </w:t>
      </w:r>
    </w:p>
    <w:p w:rsidR="00165BBF" w:rsidRPr="00D31E3F" w:rsidRDefault="00165BBF" w:rsidP="00D31E3F">
      <w:pPr>
        <w:pStyle w:val="ListParagraph"/>
        <w:numPr>
          <w:ilvl w:val="0"/>
          <w:numId w:val="8"/>
        </w:numPr>
        <w:spacing w:after="0" w:line="360" w:lineRule="auto"/>
        <w:rPr>
          <w:rFonts w:ascii="Times New Roman" w:hAnsi="Times New Roman"/>
          <w:sz w:val="24"/>
          <w:szCs w:val="24"/>
        </w:rPr>
      </w:pPr>
      <w:r w:rsidRPr="00D31E3F">
        <w:rPr>
          <w:rFonts w:ascii="Times New Roman" w:hAnsi="Times New Roman"/>
          <w:sz w:val="24"/>
          <w:szCs w:val="24"/>
        </w:rPr>
        <w:t xml:space="preserve">voor fabricage, installatie of constructie, of de prestatie van gerelateerde diensten </w:t>
      </w:r>
    </w:p>
    <w:p w:rsidR="00165BBF" w:rsidRPr="00D31E3F" w:rsidRDefault="00165BBF" w:rsidP="00D31E3F">
      <w:pPr>
        <w:pStyle w:val="ListParagraph"/>
        <w:numPr>
          <w:ilvl w:val="0"/>
          <w:numId w:val="8"/>
        </w:numPr>
        <w:spacing w:after="0" w:line="360" w:lineRule="auto"/>
        <w:rPr>
          <w:rFonts w:ascii="Times New Roman" w:hAnsi="Times New Roman"/>
          <w:sz w:val="24"/>
          <w:szCs w:val="24"/>
        </w:rPr>
      </w:pPr>
      <w:r w:rsidRPr="00D31E3F">
        <w:rPr>
          <w:rFonts w:ascii="Times New Roman" w:hAnsi="Times New Roman"/>
          <w:sz w:val="24"/>
          <w:szCs w:val="24"/>
        </w:rPr>
        <w:t>van welke de looptijd langer duurt of waarschijnlijk langer zal duren dan 12 maanden.</w:t>
      </w:r>
    </w:p>
    <w:p w:rsidR="00165BBF" w:rsidRPr="00D31E3F" w:rsidRDefault="00165BBF" w:rsidP="00D31E3F">
      <w:pPr>
        <w:spacing w:line="360" w:lineRule="auto"/>
        <w:rPr>
          <w:lang w:val="nl-NL"/>
        </w:rPr>
      </w:pPr>
      <w:r w:rsidRPr="00D31E3F">
        <w:rPr>
          <w:lang w:val="nl-NL"/>
        </w:rPr>
        <w:t>In de working paper wordt voorgesteld om voor de waardering van lange termijn contracten terug te vallen op IAS 11, paragraaf 22. Hierin is opgenomen dat inkomsten en kosten jaarlijks bepaald worden aan de hand van de stage-of-completion-method. Met betrekking tot de kosten betekent dit dat zij genomen moeten worden in het jaar waarin ze zich voordoen. Soms kunnen bepaalde kosten volgens de regels voor voorraadwaardering pas bij voltooiing van het contract genomen worden. In dat geval moeten deze kosten onder de noemer voorraad geëlimineerd worden zodat de kosten gewoon genomen kunnen worden in het jaar waarin zij zich voordoen (punt 37</w:t>
      </w:r>
      <w:r>
        <w:rPr>
          <w:lang w:val="nl-NL"/>
        </w:rPr>
        <w:t xml:space="preserve"> WP</w:t>
      </w:r>
      <w:r w:rsidRPr="00D31E3F">
        <w:rPr>
          <w:lang w:val="nl-NL"/>
        </w:rPr>
        <w:t>).</w:t>
      </w:r>
    </w:p>
    <w:p w:rsidR="00165BBF" w:rsidRPr="00D31E3F" w:rsidRDefault="00165BBF" w:rsidP="00D31E3F">
      <w:pPr>
        <w:spacing w:line="360" w:lineRule="auto"/>
        <w:rPr>
          <w:lang w:val="nl-NL"/>
        </w:rPr>
      </w:pPr>
      <w:r w:rsidRPr="00D31E3F">
        <w:rPr>
          <w:lang w:val="nl-NL"/>
        </w:rPr>
        <w:t xml:space="preserve">Op dezelfde wijze worden de inkomsten jaarlijks voortschrijdend genomen gedurende de looptijd van het contract. In </w:t>
      </w:r>
      <w:r>
        <w:rPr>
          <w:lang w:val="nl-NL"/>
        </w:rPr>
        <w:t xml:space="preserve">de annotatie bij </w:t>
      </w:r>
      <w:r w:rsidRPr="00D31E3F">
        <w:rPr>
          <w:lang w:val="nl-NL"/>
        </w:rPr>
        <w:t xml:space="preserve">punt </w:t>
      </w:r>
      <w:r>
        <w:rPr>
          <w:lang w:val="nl-NL"/>
        </w:rPr>
        <w:t xml:space="preserve">36 van de working paper </w:t>
      </w:r>
      <w:r w:rsidRPr="00D31E3F">
        <w:rPr>
          <w:lang w:val="nl-NL"/>
        </w:rPr>
        <w:t>merkte een lidstaat op dat de stage-of-completion-method in strijd is met het realisatiebeginse</w:t>
      </w:r>
      <w:r>
        <w:rPr>
          <w:lang w:val="nl-NL"/>
        </w:rPr>
        <w:t>l. De voetnoot bij punt 38</w:t>
      </w:r>
      <w:r w:rsidRPr="00D31E3F">
        <w:rPr>
          <w:lang w:val="nl-NL"/>
        </w:rPr>
        <w:t xml:space="preserve"> gaat hierop in: “Het lijkt alsof inkomsten belast worden voordat ze ontvangen zijn. Echter, in lange termijn contracten zijn doorgaans afspraken voor tussentijdse betalingen opgenomen en het komt onredelijk voor om wel jaarlijks kosten af te trekken maar geen inkomen te kunnen belasten.” Om te bepalen welk deel jaarlijks als inkomen toegerekend moet worden, kan gekeken worden naar de kosten dat jaar in verhouding tot de totale geschatte kosten. Een andere mogelijkheid is om een expert de stage of completion aan het eind van het bel</w:t>
      </w:r>
      <w:r>
        <w:rPr>
          <w:lang w:val="nl-NL"/>
        </w:rPr>
        <w:t>astingjaar in te laten schatten (punt 38 WP).</w:t>
      </w:r>
    </w:p>
    <w:p w:rsidR="00165BBF" w:rsidRPr="00D31E3F" w:rsidRDefault="00165BBF" w:rsidP="00D31E3F">
      <w:pPr>
        <w:spacing w:line="360" w:lineRule="auto"/>
        <w:rPr>
          <w:b/>
          <w:lang w:val="nl-NL"/>
        </w:rPr>
      </w:pPr>
    </w:p>
    <w:p w:rsidR="00165BBF" w:rsidRPr="00D31E3F" w:rsidRDefault="00165BBF" w:rsidP="00D31E3F">
      <w:pPr>
        <w:spacing w:line="360" w:lineRule="auto"/>
        <w:rPr>
          <w:rFonts w:ascii="TimesNewRoman" w:hAnsi="TimesNewRoman" w:cs="TimesNewRoman"/>
          <w:b/>
          <w:lang w:val="nl-NL"/>
        </w:rPr>
      </w:pPr>
      <w:r w:rsidRPr="00D31E3F">
        <w:rPr>
          <w:rFonts w:ascii="TimesNewRoman" w:hAnsi="TimesNewRoman" w:cs="TimesNewRoman"/>
          <w:b/>
          <w:lang w:val="nl-NL"/>
        </w:rPr>
        <w:t>3.4 CCCTB: huidige stand van zake</w:t>
      </w:r>
      <w:r w:rsidRPr="00D31E3F">
        <w:rPr>
          <w:b/>
          <w:lang w:val="nl-NL"/>
        </w:rPr>
        <w:t>n</w:t>
      </w:r>
      <w:r w:rsidRPr="00D31E3F">
        <w:rPr>
          <w:rStyle w:val="FootnoteReference"/>
          <w:b/>
          <w:iCs/>
          <w:lang w:val="nl-NL" w:eastAsia="nl-NL"/>
        </w:rPr>
        <w:footnoteReference w:id="61"/>
      </w:r>
    </w:p>
    <w:p w:rsidR="00165BBF" w:rsidRDefault="00165BBF" w:rsidP="00D31E3F">
      <w:pPr>
        <w:shd w:val="clear" w:color="auto" w:fill="FFFFFF"/>
        <w:spacing w:line="336" w:lineRule="auto"/>
        <w:rPr>
          <w:lang w:val="nl-NL"/>
        </w:rPr>
      </w:pPr>
      <w:r w:rsidRPr="00D31E3F">
        <w:rPr>
          <w:lang w:val="nl-NL"/>
        </w:rPr>
        <w:t xml:space="preserve">Op 16 maart 2011 heeft de Europese Commissie een voorstel voor een Europese richtlijn betreffende de CCCTB gepresenteerd. Onder de CCCTB hoeft een multinational </w:t>
      </w:r>
      <w:r w:rsidRPr="00D31E3F">
        <w:rPr>
          <w:lang w:val="nl-NL" w:eastAsia="nl-NL"/>
        </w:rPr>
        <w:t xml:space="preserve">slechts één geconsolideerde belastingaangifte in te dienen bij één belastingdienst voor al haar activiteiten in de EU. Met het richtlijnvoorstel kiest de Europese Commissie voor een optionele, geconsolideerde gemeenschappelijke grondslag, omdat deze zou resulteren in een hogere welvaart voor de EU, gunstige gevolgen zou hebben voor de werkgelegenheid en niet elke vennootschap in de EU dwingt over te stappen op een nieuw systeem. </w:t>
      </w:r>
      <w:r w:rsidRPr="00D31E3F">
        <w:rPr>
          <w:lang w:val="nl-NL"/>
        </w:rPr>
        <w:t>Het voorgestelde systeem is optioneel, zodat een vennootschap alleen onder de Europese belastingregels valt indien zij ervoor heeft gekozen.</w:t>
      </w:r>
      <w:r w:rsidRPr="00D31E3F">
        <w:rPr>
          <w:rStyle w:val="FootnoteReference"/>
          <w:lang w:val="nl-NL"/>
        </w:rPr>
        <w:footnoteReference w:id="62"/>
      </w:r>
      <w:r w:rsidRPr="00D31E3F">
        <w:rPr>
          <w:lang w:val="nl-NL"/>
        </w:rPr>
        <w:t xml:space="preserve"> </w:t>
      </w:r>
    </w:p>
    <w:p w:rsidR="00165BBF" w:rsidRDefault="00165BBF" w:rsidP="00D31E3F">
      <w:pPr>
        <w:shd w:val="clear" w:color="auto" w:fill="FFFFFF"/>
        <w:spacing w:line="336" w:lineRule="auto"/>
        <w:rPr>
          <w:lang w:val="nl-NL"/>
        </w:rPr>
      </w:pPr>
      <w:r>
        <w:rPr>
          <w:lang w:val="nl-NL"/>
        </w:rPr>
        <w:t>Het voorstel gaat uit van het feit dat er geen balans hoeft te worden opgesteld. Daarmee is bovenstaand verhaal over de waardering van de voorraad en onderhanden werk niet irrelevant geworden. De waarderingsmethoden blijven van belang voor de resultaatbepaling. Aan de hand van het gekozen waarderingssysteem kan bepaald worden welk resultaat is behaald bij de verkoop van een voorraadartikel.</w:t>
      </w:r>
    </w:p>
    <w:p w:rsidR="00165BBF" w:rsidRPr="00D31E3F" w:rsidRDefault="00165BBF" w:rsidP="00D31E3F">
      <w:pPr>
        <w:shd w:val="clear" w:color="auto" w:fill="FFFFFF"/>
        <w:spacing w:line="336" w:lineRule="auto"/>
        <w:rPr>
          <w:lang w:val="nl-NL"/>
        </w:rPr>
      </w:pPr>
    </w:p>
    <w:p w:rsidR="00165BBF" w:rsidRPr="00D31E3F" w:rsidRDefault="00165BBF" w:rsidP="00D31E3F">
      <w:pPr>
        <w:shd w:val="clear" w:color="auto" w:fill="FFFFFF"/>
        <w:spacing w:line="336" w:lineRule="auto"/>
        <w:rPr>
          <w:lang w:val="nl-NL" w:eastAsia="nl-NL"/>
        </w:rPr>
      </w:pPr>
      <w:r w:rsidRPr="00D31E3F">
        <w:rPr>
          <w:lang w:val="nl-NL"/>
        </w:rPr>
        <w:t xml:space="preserve">Bij het voorstel </w:t>
      </w:r>
      <w:r>
        <w:rPr>
          <w:lang w:val="nl-NL"/>
        </w:rPr>
        <w:t xml:space="preserve">van 16 maart 2011 </w:t>
      </w:r>
      <w:r w:rsidRPr="00D31E3F">
        <w:rPr>
          <w:lang w:val="nl-NL"/>
        </w:rPr>
        <w:t>werd ook een zogenoemde impact assessment gepubliceerd, waarin af te lezen is welk effect het voorstel heeft op de economie van de verschillende lidstaten. Het kabinet heeft</w:t>
      </w:r>
      <w:r w:rsidRPr="00D31E3F">
        <w:rPr>
          <w:iCs/>
          <w:lang w:val="nl-NL" w:eastAsia="nl-NL"/>
        </w:rPr>
        <w:t xml:space="preserve"> een kleine maand later, op 11 april 2011, een reactie geven op dit CCCTB-voorstel van de Europese Commissie. Het kabinet staat kritisch tegenover het CCCTB-voorstel vanwege de grote negatieve gevolgen ervan op zowel de </w:t>
      </w:r>
      <w:r w:rsidRPr="00BA1953">
        <w:rPr>
          <w:iCs/>
          <w:lang w:val="nl-NL" w:eastAsia="nl-NL"/>
        </w:rPr>
        <w:t xml:space="preserve">opbrengst van de Nederlandse vennootschapsbelasting als de groei van de Nederlandse economie. </w:t>
      </w:r>
      <w:r w:rsidRPr="00BA1953">
        <w:rPr>
          <w:lang w:val="nl-NL" w:eastAsia="nl-NL"/>
        </w:rPr>
        <w:t>Nederland ziet weliswaar enige voordelen voor met name het internationale bedrijfsleven als de CCCTB wordt geïntroduceerd.</w:t>
      </w:r>
      <w:r w:rsidRPr="00BA1953">
        <w:rPr>
          <w:iCs/>
          <w:lang w:val="nl-NL" w:eastAsia="nl-NL"/>
        </w:rPr>
        <w:t xml:space="preserve"> Het huidige</w:t>
      </w:r>
      <w:r w:rsidRPr="00D31E3F">
        <w:rPr>
          <w:iCs/>
          <w:lang w:val="nl-NL" w:eastAsia="nl-NL"/>
        </w:rPr>
        <w:t xml:space="preserve"> voorstel is volgens het kabinet voor Nederland niet acceptabel.</w:t>
      </w:r>
      <w:r w:rsidRPr="00D31E3F">
        <w:rPr>
          <w:lang w:val="nl-NL" w:eastAsia="nl-NL"/>
        </w:rPr>
        <w:t xml:space="preserve"> Verder betekent het hebben van een optioneel systeem dat de overheid twee verschillende belastingsystemen met betrekking tot de vennootschapsbelasting moet hanteren in plaats van één. De belangrijkste randvoorwaarden die het kabinet stelt aan de CCCTB zijn:</w:t>
      </w:r>
    </w:p>
    <w:p w:rsidR="00165BBF" w:rsidRPr="00D31E3F" w:rsidRDefault="00165BBF" w:rsidP="00D31E3F">
      <w:pPr>
        <w:shd w:val="clear" w:color="auto" w:fill="FFFFFF"/>
        <w:spacing w:line="336" w:lineRule="auto"/>
        <w:rPr>
          <w:lang w:val="nl-NL" w:eastAsia="nl-NL"/>
        </w:rPr>
      </w:pPr>
      <w:r w:rsidRPr="00D31E3F">
        <w:rPr>
          <w:lang w:val="nl-NL" w:eastAsia="nl-NL"/>
        </w:rPr>
        <w:t>1) Vermindering van administratieve lasten voor bedrijfsleven en overheid</w:t>
      </w:r>
    </w:p>
    <w:p w:rsidR="00165BBF" w:rsidRPr="00D31E3F" w:rsidRDefault="00165BBF" w:rsidP="00D31E3F">
      <w:pPr>
        <w:spacing w:line="360" w:lineRule="auto"/>
        <w:rPr>
          <w:lang w:val="nl-NL"/>
        </w:rPr>
      </w:pPr>
      <w:r w:rsidRPr="00D31E3F">
        <w:rPr>
          <w:lang w:val="nl-NL" w:eastAsia="nl-NL"/>
        </w:rPr>
        <w:t xml:space="preserve">2) Voldoende zekerheid over budgettaire en economische gevolgen </w:t>
      </w:r>
    </w:p>
    <w:p w:rsidR="00165BBF" w:rsidRPr="00D31E3F" w:rsidRDefault="00165BBF" w:rsidP="00D31E3F">
      <w:pPr>
        <w:spacing w:line="360" w:lineRule="auto"/>
        <w:rPr>
          <w:rFonts w:ascii="TimesNewRoman" w:hAnsi="TimesNewRoman" w:cs="TimesNewRoman"/>
          <w:lang w:val="nl-NL"/>
        </w:rPr>
      </w:pPr>
    </w:p>
    <w:p w:rsidR="00165BBF" w:rsidRPr="005F1BBB" w:rsidRDefault="00165BBF" w:rsidP="00D31E3F">
      <w:pPr>
        <w:spacing w:line="360" w:lineRule="auto"/>
        <w:rPr>
          <w:rFonts w:ascii="TimesNewRoman" w:hAnsi="TimesNewRoman" w:cs="TimesNewRoman"/>
          <w:lang w:val="nl-NL"/>
        </w:rPr>
      </w:pPr>
      <w:r w:rsidRPr="00D31E3F">
        <w:rPr>
          <w:rFonts w:ascii="TimesNewRoman" w:hAnsi="TimesNewRoman" w:cs="TimesNewRoman"/>
          <w:lang w:val="nl-NL"/>
        </w:rPr>
        <w:t xml:space="preserve">Om de </w:t>
      </w:r>
      <w:r w:rsidRPr="00D31E3F">
        <w:rPr>
          <w:lang w:val="nl-NL"/>
        </w:rPr>
        <w:t>CCCTB in de hele Europese Unie toe te passen is unanimiteit van de lidstaten vereist. De verwachting is dat dit niet zal worden bereikt. Als terugvaloptie</w:t>
      </w:r>
      <w:r w:rsidRPr="00D31E3F">
        <w:rPr>
          <w:lang w:val="nl-NL" w:eastAsia="nl-NL"/>
        </w:rPr>
        <w:t xml:space="preserve"> zouden enkele lidstaten een fiscale kopgroep kunnen vormen. In dat geval kan bij gekwalificeerde meerderheid besloten worden dat (minimaal) negen EU-lidstaten de CCCTB-richtlijn invoeren.</w:t>
      </w:r>
      <w:r>
        <w:rPr>
          <w:lang w:val="nl-NL" w:eastAsia="nl-NL"/>
        </w:rPr>
        <w:t xml:space="preserve"> De verwachting is dat meerdere landen dan toch zullen volgen, omdat ze niet in een achterstandspositie willen raken ten opzichte van de wel participerende lidstaten. </w:t>
      </w:r>
      <w:r w:rsidRPr="005F1BBB">
        <w:rPr>
          <w:lang w:val="nl-NL" w:eastAsia="nl-NL"/>
        </w:rPr>
        <w:t>Voor ondernemingen die participeren in CCCTB, is het immers buitengewoon onaantrekkelijk indien een lidstaat het systeem niet heeft ingevoerd.</w:t>
      </w:r>
      <w:r>
        <w:rPr>
          <w:rStyle w:val="FootnoteReference"/>
          <w:lang w:val="nl-NL" w:eastAsia="nl-NL"/>
        </w:rPr>
        <w:footnoteReference w:id="63"/>
      </w:r>
      <w:r>
        <w:rPr>
          <w:lang w:val="nl-NL" w:eastAsia="nl-NL"/>
        </w:rPr>
        <w:t xml:space="preserve"> Stel dat bijvoorbeeld Duitsland en Frankrijk wel in de kopgroep plaats nemen en Nederland niet, dan betekent dit een achteruitgang in de concurrentiepositie van Nederlandse bedrijven ten opzichte van Franse en Duitse. Met name Duitsland is een belangrijke handelspartner van Nederland, dus ik verwacht dat in een dergelijke situatie Nederland eieren voor haar geld zal kiezen en ook deel zal nemen aan de CCCTB.</w:t>
      </w:r>
    </w:p>
    <w:p w:rsidR="00165BBF" w:rsidRPr="00D31E3F" w:rsidRDefault="00165BBF" w:rsidP="00D31E3F">
      <w:pPr>
        <w:spacing w:line="360" w:lineRule="auto"/>
        <w:outlineLvl w:val="0"/>
        <w:rPr>
          <w:lang w:val="nl-NL"/>
        </w:rPr>
      </w:pPr>
    </w:p>
    <w:p w:rsidR="00165BBF" w:rsidRPr="00D31E3F" w:rsidRDefault="00165BBF" w:rsidP="00D31E3F">
      <w:pPr>
        <w:spacing w:line="360" w:lineRule="auto"/>
        <w:outlineLvl w:val="0"/>
        <w:rPr>
          <w:lang w:val="nl-NL"/>
        </w:rPr>
      </w:pPr>
      <w:bookmarkStart w:id="4" w:name="_Toc297060722"/>
      <w:r w:rsidRPr="00D31E3F">
        <w:rPr>
          <w:lang w:val="nl-NL"/>
        </w:rPr>
        <w:t>Voorlopig ziet het er naar uit dat Nederland de CCCTB</w:t>
      </w:r>
      <w:r>
        <w:rPr>
          <w:lang w:val="nl-NL"/>
        </w:rPr>
        <w:t xml:space="preserve"> niet snel</w:t>
      </w:r>
      <w:r w:rsidRPr="00D31E3F">
        <w:rPr>
          <w:lang w:val="nl-NL"/>
        </w:rPr>
        <w:t xml:space="preserve"> zal invoeren. Maar mocht dit in de toekomst gebeuren, dan verwachten zowel Bruijsten</w:t>
      </w:r>
      <w:r w:rsidRPr="00D31E3F">
        <w:rPr>
          <w:rStyle w:val="FootnoteReference"/>
          <w:lang w:val="nl-NL"/>
        </w:rPr>
        <w:footnoteReference w:id="64"/>
      </w:r>
      <w:r w:rsidRPr="00D31E3F">
        <w:rPr>
          <w:lang w:val="nl-NL"/>
        </w:rPr>
        <w:t xml:space="preserve"> als Doornebal</w:t>
      </w:r>
      <w:r w:rsidRPr="00D31E3F">
        <w:rPr>
          <w:rStyle w:val="FootnoteReference"/>
          <w:lang w:val="nl-NL"/>
        </w:rPr>
        <w:footnoteReference w:id="65"/>
      </w:r>
      <w:r w:rsidRPr="00D31E3F">
        <w:rPr>
          <w:lang w:val="nl-NL"/>
        </w:rPr>
        <w:t xml:space="preserve"> dat de winstbepalingsregels van de CCCTB richtinggevend zullen worden bij de invulling van de Nederlandse winstbepalingsregels.</w:t>
      </w:r>
      <w:r w:rsidRPr="00D31E3F">
        <w:rPr>
          <w:lang w:val="nl-NL" w:eastAsia="nl-NL"/>
        </w:rPr>
        <w:t xml:space="preserve"> De invulling van goed koopmansgebruik zal op kortere of langere termijn onvermijdelijk worden beïnvloed door de grondslagen van de CCCTB, omdat er geen verschil in doelstelling bestaat tussen goed koopmansgebruik en de CCCTB, zoals dit wel het geval is tussen de commerciële en de fiscale winstberekening.</w:t>
      </w:r>
      <w:bookmarkEnd w:id="4"/>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b/>
          <w:lang w:val="nl-NL"/>
        </w:rPr>
        <w:t>3.5 Conclusie</w:t>
      </w:r>
    </w:p>
    <w:p w:rsidR="00165BBF" w:rsidRPr="00D31E3F" w:rsidRDefault="00165BBF" w:rsidP="00D31E3F">
      <w:pPr>
        <w:spacing w:line="360" w:lineRule="auto"/>
        <w:rPr>
          <w:lang w:val="nl-NL"/>
        </w:rPr>
      </w:pPr>
      <w:r w:rsidRPr="00D31E3F">
        <w:rPr>
          <w:lang w:val="nl-NL"/>
        </w:rPr>
        <w:t>In dit laatste hoofdstuk werd antwoord gegeven op de vraag “Hoe vindt voorraadwaardering plaats volgens de CCCTB-werkgroep?”</w:t>
      </w:r>
    </w:p>
    <w:p w:rsidR="00165BBF" w:rsidRPr="00D31E3F" w:rsidRDefault="00165BBF" w:rsidP="00D31E3F">
      <w:pPr>
        <w:spacing w:line="360" w:lineRule="auto"/>
        <w:rPr>
          <w:lang w:val="nl-NL"/>
        </w:rPr>
      </w:pPr>
      <w:r w:rsidRPr="00D31E3F">
        <w:rPr>
          <w:lang w:val="nl-NL"/>
        </w:rPr>
        <w:t>Al decennia lang wordt nagedacht over een grondslag voor een Europese winstbelasting. Hiertoe heeft de Europese Commissie de CCCTB Working Group opgericht, waarin belastingexperts uit alle lidstaten zich over dit onderwerp buigen. Met de CCCTB is gekozen voor een</w:t>
      </w:r>
      <w:r w:rsidRPr="00D31E3F">
        <w:rPr>
          <w:lang w:val="nl-NL" w:eastAsia="nl-NL"/>
        </w:rPr>
        <w:t xml:space="preserve"> optionele, geconsolideerde gemeenschappelijke grondslag. Dit levert voor </w:t>
      </w:r>
      <w:r w:rsidRPr="00D31E3F">
        <w:rPr>
          <w:lang w:val="nl-NL"/>
        </w:rPr>
        <w:t>ondernemingen met activiteiten in verschillende lidstaten</w:t>
      </w:r>
      <w:r w:rsidRPr="00D31E3F">
        <w:rPr>
          <w:lang w:val="nl-NL" w:eastAsia="nl-NL"/>
        </w:rPr>
        <w:t xml:space="preserve"> een grote administratieve lastenverlichting op. De belangrijkste doelstelling is </w:t>
      </w:r>
      <w:r w:rsidRPr="00D31E3F">
        <w:rPr>
          <w:lang w:val="nl-NL"/>
        </w:rPr>
        <w:t>dat belemmeringen op belastinggebied voor multinationals zo veel mogelijk moeten worden weggenomen, zodat de interne markt van de Europese Unie beter kan functioneren, teneinde de EU de meest concurrerende economie ter wereld te laten worden.</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 xml:space="preserve">In eerste instantie werd door de CCCTB werkgroep aansluiting gezocht bij IFRS. Dit bleek niet houdbaar omdat onder IFRS in principe tegen actuele waarde gewaardeerd moet worden, wat leidt tot eerdere winstneming. </w:t>
      </w:r>
      <w:r w:rsidRPr="00D31E3F">
        <w:rPr>
          <w:lang w:val="nl-NL" w:eastAsia="nl-NL"/>
        </w:rPr>
        <w:t>De Working Group heeft daarna getracht op een zo efficiënt mogelijke wijze de winstbepaling van CCCTB af te leiden uit de respectieve</w:t>
      </w:r>
      <w:r>
        <w:rPr>
          <w:lang w:val="nl-NL" w:eastAsia="nl-NL"/>
        </w:rPr>
        <w:t>lijke</w:t>
      </w:r>
      <w:r w:rsidRPr="00D31E3F">
        <w:rPr>
          <w:lang w:val="nl-NL" w:eastAsia="nl-NL"/>
        </w:rPr>
        <w:t xml:space="preserve"> GAAP’s van de in CCCTB participerende lidstaten. Hierbij is het realisatiebeginsel leidend. Voor de voorraadwaardering is in working paper 57 opgenomen dat deze dient te geschieden </w:t>
      </w:r>
      <w:r w:rsidRPr="00D31E3F">
        <w:rPr>
          <w:lang w:val="nl-NL"/>
        </w:rPr>
        <w:t>tegen kostprijs of lagere netto realiseerbare waarde. Voor de kostprijs van goederen die onderling vervangbaar zijn is de fifo-methode toegestaan of de gewogen gemiddelde kostenmethode. Business Europe pleit ook voor he</w:t>
      </w:r>
      <w:r>
        <w:rPr>
          <w:lang w:val="nl-NL"/>
        </w:rPr>
        <w:t xml:space="preserve">t toestaan van de lifo-methode. </w:t>
      </w:r>
      <w:r w:rsidRPr="00D31E3F">
        <w:rPr>
          <w:lang w:val="nl-NL"/>
        </w:rPr>
        <w:t>Voor onderhanden werk gaat de working paper uit van de stage-of-completion-method.</w:t>
      </w:r>
    </w:p>
    <w:p w:rsidR="00165BBF" w:rsidRPr="00D31E3F" w:rsidRDefault="00165BBF" w:rsidP="00D31E3F">
      <w:pPr>
        <w:spacing w:line="360" w:lineRule="auto"/>
        <w:rPr>
          <w:lang w:val="nl-NL"/>
        </w:rPr>
      </w:pPr>
    </w:p>
    <w:p w:rsidR="00165BBF" w:rsidRPr="00D31E3F" w:rsidRDefault="00165BBF" w:rsidP="00D31E3F">
      <w:pPr>
        <w:spacing w:line="360" w:lineRule="auto"/>
        <w:rPr>
          <w:lang w:val="nl-NL"/>
        </w:rPr>
      </w:pPr>
      <w:r w:rsidRPr="00D31E3F">
        <w:rPr>
          <w:lang w:val="nl-NL"/>
        </w:rPr>
        <w:t>In maart dit jaar presenteerde de Europese Commissie een voorstel voor een Europese richtlijn betreffende de CCCTB. Dit voorstel werd begeleid door een zogenoemde impact assessment, waarin af te lezen is welk effect het voorstel heeft op de economie van de verschillende lidstaten. Dit heeft in Nederland geleid tot felle kritiek van</w:t>
      </w:r>
      <w:r>
        <w:rPr>
          <w:lang w:val="nl-NL"/>
        </w:rPr>
        <w:t>uit de Tweede Kamer.</w:t>
      </w:r>
      <w:r w:rsidRPr="00D31E3F">
        <w:rPr>
          <w:lang w:val="nl-NL"/>
        </w:rPr>
        <w:t xml:space="preserve"> Omdat ook andere landen negatieve effecten verwachten te ondervinden van de CCCTB, zal waarschijnlijk de vereiste unanimiteit niet haalbaar zijn. Mogelijk vormen enkele lidstaten een fiscale kopgroep</w:t>
      </w:r>
      <w:r w:rsidRPr="00D31E3F">
        <w:rPr>
          <w:lang w:val="nl-NL" w:eastAsia="nl-NL"/>
        </w:rPr>
        <w:t>. In dat geval kan bij gekwalificeerde meerderheid besloten worden dat (minimaal) negen EU-lidstaten de CCCTB-richtlijn invoeren.</w:t>
      </w:r>
      <w:r>
        <w:rPr>
          <w:lang w:val="nl-NL" w:eastAsia="nl-NL"/>
        </w:rPr>
        <w:t xml:space="preserve"> De verwachting is dat meerdere landen dan toch zullen volgen, omdat ze niet in een achterstandspositie willen raken ten opzichte van de wel participerende lidstaten.</w:t>
      </w:r>
    </w:p>
    <w:p w:rsidR="00165BBF" w:rsidRDefault="00165BBF">
      <w:pPr>
        <w:spacing w:after="200" w:line="276" w:lineRule="auto"/>
        <w:rPr>
          <w:lang w:val="nl-NL"/>
        </w:rPr>
      </w:pPr>
    </w:p>
    <w:p w:rsidR="00165BBF" w:rsidRDefault="00165BBF">
      <w:pPr>
        <w:spacing w:after="200" w:line="276" w:lineRule="auto"/>
        <w:rPr>
          <w:lang w:val="nl-NL"/>
        </w:rPr>
      </w:pPr>
      <w:r>
        <w:rPr>
          <w:lang w:val="nl-NL"/>
        </w:rPr>
        <w:br w:type="page"/>
      </w:r>
    </w:p>
    <w:p w:rsidR="00165BBF" w:rsidRDefault="00165BBF" w:rsidP="00146970">
      <w:pPr>
        <w:spacing w:line="360" w:lineRule="auto"/>
        <w:rPr>
          <w:b/>
          <w:sz w:val="28"/>
          <w:szCs w:val="28"/>
          <w:lang w:val="nl-NL"/>
        </w:rPr>
      </w:pPr>
      <w:r w:rsidRPr="002D04E2">
        <w:rPr>
          <w:b/>
          <w:sz w:val="28"/>
          <w:szCs w:val="28"/>
          <w:lang w:val="nl-NL"/>
        </w:rPr>
        <w:t>Hoofdstuk 4</w:t>
      </w:r>
      <w:r w:rsidRPr="002D04E2">
        <w:rPr>
          <w:b/>
          <w:sz w:val="28"/>
          <w:szCs w:val="28"/>
          <w:lang w:val="nl-NL"/>
        </w:rPr>
        <w:tab/>
        <w:t>Conclusie</w:t>
      </w:r>
    </w:p>
    <w:p w:rsidR="00165BBF" w:rsidRDefault="00165BBF" w:rsidP="0019793D">
      <w:pPr>
        <w:spacing w:line="360" w:lineRule="auto"/>
        <w:rPr>
          <w:lang w:val="nl-NL"/>
        </w:rPr>
      </w:pPr>
    </w:p>
    <w:p w:rsidR="00165BBF" w:rsidRDefault="00165BBF" w:rsidP="0019793D">
      <w:pPr>
        <w:spacing w:line="360" w:lineRule="auto"/>
        <w:rPr>
          <w:lang w:val="nl-NL" w:eastAsia="nl-NL"/>
        </w:rPr>
      </w:pPr>
      <w:r w:rsidRPr="002D7768">
        <w:rPr>
          <w:lang w:val="nl-NL"/>
        </w:rPr>
        <w:t xml:space="preserve">Het goed koopmansgebruik speelt een prominente rol in de bepaling van de fiscale jaarwinst. </w:t>
      </w:r>
      <w:r w:rsidRPr="00D31E3F">
        <w:rPr>
          <w:iCs/>
          <w:lang w:val="nl-NL" w:eastAsia="nl-NL"/>
        </w:rPr>
        <w:t xml:space="preserve">De methoden van voorraadwaardering die volgens de jurisprudentie voor de fiscale jaarrekening zijn toegestaan, zijn: tegen </w:t>
      </w:r>
      <w:r w:rsidRPr="00D31E3F">
        <w:rPr>
          <w:lang w:val="nl-NL"/>
        </w:rPr>
        <w:t xml:space="preserve">kostprijs of lagere marktwaarde, </w:t>
      </w:r>
      <w:r>
        <w:rPr>
          <w:lang w:val="nl-NL"/>
        </w:rPr>
        <w:t>en</w:t>
      </w:r>
      <w:r w:rsidRPr="00D31E3F">
        <w:rPr>
          <w:lang w:val="nl-NL"/>
        </w:rPr>
        <w:t xml:space="preserve"> op basis van het lifo-, fifo- of ijzerenvoorraadstelsel.</w:t>
      </w:r>
      <w:r w:rsidRPr="003D0423">
        <w:rPr>
          <w:lang w:val="nl-NL"/>
        </w:rPr>
        <w:t xml:space="preserve"> </w:t>
      </w:r>
      <w:r w:rsidRPr="00D31E3F">
        <w:rPr>
          <w:lang w:val="nl-NL"/>
        </w:rPr>
        <w:t>Onderhanden werk is ee</w:t>
      </w:r>
      <w:r>
        <w:rPr>
          <w:lang w:val="nl-NL"/>
        </w:rPr>
        <w:t xml:space="preserve">n bijzondere vorm van voorraad. </w:t>
      </w:r>
      <w:r w:rsidRPr="00D31E3F">
        <w:rPr>
          <w:lang w:val="nl-NL"/>
        </w:rPr>
        <w:t xml:space="preserve">In artikel </w:t>
      </w:r>
      <w:r>
        <w:rPr>
          <w:lang w:val="nl-NL"/>
        </w:rPr>
        <w:t xml:space="preserve">3.29b IB </w:t>
      </w:r>
      <w:r w:rsidRPr="00D31E3F">
        <w:rPr>
          <w:lang w:val="nl-NL"/>
        </w:rPr>
        <w:t xml:space="preserve">is opgenomen dat bij de waardering van het onderhanden werk opgenomen moet worden de directe kosten, </w:t>
      </w:r>
      <w:r w:rsidRPr="00D31E3F">
        <w:rPr>
          <w:lang w:val="nl-NL" w:eastAsia="nl-NL"/>
        </w:rPr>
        <w:t>het aandeel in het constante deel van de algemene kosten en een winstopslag. De winst moet voortschrijdend genomen worden.</w:t>
      </w:r>
    </w:p>
    <w:p w:rsidR="00165BBF" w:rsidRDefault="00165BBF" w:rsidP="0019793D">
      <w:pPr>
        <w:spacing w:line="360" w:lineRule="auto"/>
        <w:rPr>
          <w:lang w:val="nl-NL" w:eastAsia="nl-NL"/>
        </w:rPr>
      </w:pPr>
      <w:r>
        <w:rPr>
          <w:lang w:val="nl-NL" w:eastAsia="nl-NL"/>
        </w:rPr>
        <w:t xml:space="preserve">Waar goed koopmansgebruik gericht is op het vaststellen van de belastbare winst, heeft IFRS als doel te komen tot een helder beeld voor belanghebbenden van de waardeontwikkeling van een onderneming. IFRS is sinds 2005 verplicht voor Europese beursgenoteerde ondernemingen. In IAS 2 is voorgeschreven als methode van voorraadwaardering tegen kostprijs of lagere opbrengstwaarde. Dit moet geschieden volgens </w:t>
      </w:r>
      <w:r w:rsidRPr="00D31E3F">
        <w:rPr>
          <w:lang w:val="nl-NL"/>
        </w:rPr>
        <w:t xml:space="preserve">de methode van gewogen gemiddelde inkoopprijzen </w:t>
      </w:r>
      <w:r>
        <w:rPr>
          <w:lang w:val="nl-NL"/>
        </w:rPr>
        <w:t>of</w:t>
      </w:r>
      <w:r w:rsidRPr="00D31E3F">
        <w:rPr>
          <w:lang w:val="nl-NL"/>
        </w:rPr>
        <w:t xml:space="preserve"> de fifo-methode. De lifo-methode is, evenals het ijzerenvoorraadstelsel, niet toegestaan.</w:t>
      </w:r>
      <w:r>
        <w:rPr>
          <w:lang w:val="nl-NL"/>
        </w:rPr>
        <w:t xml:space="preserve"> Voor de waardering van onderhanden werk is het volgens IAS 11 van belang of </w:t>
      </w:r>
      <w:r w:rsidRPr="00D31E3F">
        <w:rPr>
          <w:lang w:val="nl-NL"/>
        </w:rPr>
        <w:t>een betrouwbare schatting van het projectresultaat kan worden gemaakt</w:t>
      </w:r>
      <w:r>
        <w:rPr>
          <w:lang w:val="nl-NL"/>
        </w:rPr>
        <w:t xml:space="preserve">. Wanneer dit het geval is, </w:t>
      </w:r>
      <w:r w:rsidRPr="00D31E3F">
        <w:rPr>
          <w:lang w:val="nl-NL"/>
        </w:rPr>
        <w:t>wordt de ‘percentage of completion’-methode toegepast.</w:t>
      </w:r>
      <w:r>
        <w:rPr>
          <w:lang w:val="nl-NL"/>
        </w:rPr>
        <w:t xml:space="preserve"> Anders </w:t>
      </w:r>
      <w:r w:rsidRPr="00D31E3F">
        <w:rPr>
          <w:lang w:val="nl-NL"/>
        </w:rPr>
        <w:t>verplicht IFRS wel tot een tussentijdse verantwoording van de opbrengsten en kosten, maar wordt de winst pas bij oplevering verantwoord.</w:t>
      </w:r>
    </w:p>
    <w:p w:rsidR="00165BBF" w:rsidRDefault="00165BBF" w:rsidP="0019793D">
      <w:pPr>
        <w:spacing w:line="360" w:lineRule="auto"/>
        <w:rPr>
          <w:lang w:val="nl-NL"/>
        </w:rPr>
      </w:pPr>
    </w:p>
    <w:p w:rsidR="00165BBF" w:rsidRDefault="00165BBF" w:rsidP="0019793D">
      <w:pPr>
        <w:spacing w:line="360" w:lineRule="auto"/>
        <w:rPr>
          <w:lang w:val="nl-NL"/>
        </w:rPr>
      </w:pPr>
      <w:r>
        <w:rPr>
          <w:lang w:val="nl-NL"/>
        </w:rPr>
        <w:t xml:space="preserve">Zoals blijkt is het wezenlijke verschil tussen goed koopmansgebruik en IFRS het toestaan van de lifo-methode en het ijzerenvoorraadstelsel. Wat betreft onderhanden werk wordt in beginsel dezelfde methode gehanteerd, tenzij geen betrouwbare schatting van het projectresultaat gemaakt kan worden. </w:t>
      </w:r>
    </w:p>
    <w:p w:rsidR="00165BBF" w:rsidRDefault="00165BBF" w:rsidP="0019793D">
      <w:pPr>
        <w:spacing w:line="360" w:lineRule="auto"/>
        <w:rPr>
          <w:lang w:val="nl-NL"/>
        </w:rPr>
      </w:pPr>
      <w:r>
        <w:rPr>
          <w:lang w:val="nl-NL"/>
        </w:rPr>
        <w:t>Over de invloed van IFRS op goed koopmansgebruik kan nog een aardige discussie gevoerd worden. Naar mijn mening zal de invloed wel meevallen, omdat IFRS niet verplicht is voor de vele niet-beursgenoteerde ondernemingen in Nederland. De lifo-methode en ijzerenvoorraadstelsel zijn volgens goed koopmansgebruik vooralsnog nog steeds toegestaan.</w:t>
      </w:r>
    </w:p>
    <w:p w:rsidR="00165BBF" w:rsidRDefault="00165BBF" w:rsidP="0019793D">
      <w:pPr>
        <w:spacing w:line="360" w:lineRule="auto"/>
        <w:rPr>
          <w:lang w:val="nl-NL"/>
        </w:rPr>
      </w:pPr>
    </w:p>
    <w:p w:rsidR="00165BBF" w:rsidRDefault="00165BBF" w:rsidP="0019793D">
      <w:pPr>
        <w:spacing w:line="360" w:lineRule="auto"/>
        <w:rPr>
          <w:lang w:val="nl-NL"/>
        </w:rPr>
      </w:pPr>
      <w:r w:rsidRPr="00D31E3F">
        <w:rPr>
          <w:lang w:val="nl-NL"/>
        </w:rPr>
        <w:t>Met de CCCTB is gekozen voor een</w:t>
      </w:r>
      <w:r w:rsidRPr="00D31E3F">
        <w:rPr>
          <w:lang w:val="nl-NL" w:eastAsia="nl-NL"/>
        </w:rPr>
        <w:t xml:space="preserve"> </w:t>
      </w:r>
      <w:r>
        <w:rPr>
          <w:lang w:val="nl-NL" w:eastAsia="nl-NL"/>
        </w:rPr>
        <w:t xml:space="preserve">Europese geharmoniseerde grondslag voor winstbelasting. </w:t>
      </w:r>
      <w:r>
        <w:rPr>
          <w:lang w:val="nl-NL"/>
        </w:rPr>
        <w:t>De door de CCCTB-werkgroep gezochte koppeling met IFRS is losgelaten, maar de invulling van voorraadwaardering en onderhanden werk sluit nog wel aan bij IFRS.</w:t>
      </w:r>
    </w:p>
    <w:p w:rsidR="00165BBF" w:rsidRPr="00D31E3F" w:rsidRDefault="00165BBF" w:rsidP="0019793D">
      <w:pPr>
        <w:spacing w:line="360" w:lineRule="auto"/>
        <w:rPr>
          <w:lang w:val="nl-NL"/>
        </w:rPr>
      </w:pPr>
      <w:r>
        <w:rPr>
          <w:lang w:val="nl-NL"/>
        </w:rPr>
        <w:t xml:space="preserve">De hoofdvraag van deze scriptie luidde: </w:t>
      </w:r>
      <w:r w:rsidRPr="00D31E3F">
        <w:rPr>
          <w:i/>
          <w:iCs/>
          <w:lang w:val="nl-NL"/>
        </w:rPr>
        <w:t>“Zijn de in Nederland fiscaal toegestane methoden van voorraadwaardering houdbaar voor de CCCTB?”</w:t>
      </w:r>
    </w:p>
    <w:p w:rsidR="00165BBF" w:rsidRDefault="00165BBF" w:rsidP="0019793D">
      <w:pPr>
        <w:spacing w:line="360" w:lineRule="auto"/>
        <w:rPr>
          <w:lang w:val="nl-NL"/>
        </w:rPr>
      </w:pPr>
      <w:r>
        <w:rPr>
          <w:lang w:val="nl-NL"/>
        </w:rPr>
        <w:t>Het antwoord hierop is ja, mits de multinationale ondernemingen allemaal het fifo-stelsel of</w:t>
      </w:r>
      <w:r w:rsidRPr="008A4059">
        <w:rPr>
          <w:lang w:val="nl-NL"/>
        </w:rPr>
        <w:t xml:space="preserve"> </w:t>
      </w:r>
      <w:r w:rsidRPr="00D31E3F">
        <w:rPr>
          <w:lang w:val="nl-NL"/>
        </w:rPr>
        <w:t>de methode van gewogen gemiddelde inkoopprijzen</w:t>
      </w:r>
      <w:r>
        <w:rPr>
          <w:lang w:val="nl-NL"/>
        </w:rPr>
        <w:t xml:space="preserve"> hanteren. Het lifo- en ijzerenvoorraadstelsel zijn (vooralsnog) niet toegestaan. Business Europe voert een lobby voor ook het toestaan van de lifo-methode, wellicht dat in de toekomst ook deze methode geaccepteerd wordt.</w:t>
      </w:r>
    </w:p>
    <w:p w:rsidR="00165BBF" w:rsidRDefault="00165BBF" w:rsidP="0019793D">
      <w:pPr>
        <w:spacing w:line="360" w:lineRule="auto"/>
        <w:rPr>
          <w:lang w:val="nl-NL" w:eastAsia="nl-NL"/>
        </w:rPr>
      </w:pPr>
      <w:r>
        <w:rPr>
          <w:lang w:val="nl-NL"/>
        </w:rPr>
        <w:t xml:space="preserve">Goed koopmansgebruik hoeft dus niet op de schop. Het grootste deel komt wel overeen met de voorgestelde richtlijn van 16 maart 2011. Voor de vele </w:t>
      </w:r>
      <w:r w:rsidRPr="008A4059">
        <w:rPr>
          <w:lang w:val="nl-NL"/>
        </w:rPr>
        <w:t xml:space="preserve">bedrijven in Nederland die slechts in Nederland gevestigd zijn heeft de CCCTB </w:t>
      </w:r>
      <w:r>
        <w:rPr>
          <w:lang w:val="nl-NL"/>
        </w:rPr>
        <w:t xml:space="preserve">geen invloed, behalve voor de vennootschappen die voor CCCTB opteren. </w:t>
      </w:r>
    </w:p>
    <w:p w:rsidR="00165BBF" w:rsidRDefault="00165BBF" w:rsidP="0019793D">
      <w:pPr>
        <w:spacing w:line="360" w:lineRule="auto"/>
        <w:rPr>
          <w:lang w:val="nl-NL" w:eastAsia="nl-NL"/>
        </w:rPr>
      </w:pPr>
    </w:p>
    <w:p w:rsidR="00165BBF" w:rsidRPr="008A4059" w:rsidRDefault="00165BBF" w:rsidP="0019793D">
      <w:pPr>
        <w:spacing w:line="360" w:lineRule="auto"/>
        <w:rPr>
          <w:lang w:val="nl-NL"/>
        </w:rPr>
      </w:pPr>
      <w:r>
        <w:rPr>
          <w:lang w:val="nl-NL" w:eastAsia="nl-NL"/>
        </w:rPr>
        <w:t>Wat ik jammer vind is dat IFRS los is gelaten als uitgangspunt. Het doel van de CCCTB is onder andere administratieve lastenverlichting bij multinationale bedrijven. Nu zal dat inderdaad het geval zijn doordat bedrijven niet meer te maken hebben met de verschillende belastingstelsels van 27 landen. Maar bedrijven hebben wel nog steeds te maken met twee ‘administraties’: een voor de fiscale aangifte en een voor de vennootschappelijke jaarrekening. Vooralsnog hoeft onder de CCCTB geen fiscale jaarrekening opgesteld te worden. Voor de belastingaangifte zijn wel de gegevens van een fiscale winst- en verliesrekening nodig. En waarschijnlijk zullen veel bedrijven ook een fiscale balans opstellen voor een goed inzicht in de fiscale positie van de onderneming. Voor de Europese beursgenoteerde bedrijven blijft IFRS verplicht voor de commerciële jaarrekening. Nu kan de vennootschappelijke jaarrekening niet zonder meer gebruikt worden voor de fiscale jaarrekening, de doelstellingen verschillen immers. Maar het zou toch mooi zijn als de basis hetzelfde bleef en er slechts een ‘vertaalslag’ gemaakt hoeft te worden, waarmee de administratieve lasten tot een minimum beperkt worden.</w:t>
      </w:r>
    </w:p>
    <w:p w:rsidR="00165BBF" w:rsidRPr="002161CA" w:rsidRDefault="00165BBF" w:rsidP="00146970">
      <w:pPr>
        <w:spacing w:line="360" w:lineRule="auto"/>
        <w:rPr>
          <w:lang w:val="nl-NL"/>
        </w:rPr>
      </w:pPr>
    </w:p>
    <w:p w:rsidR="00165BBF" w:rsidRDefault="00165BBF" w:rsidP="00146970">
      <w:pPr>
        <w:spacing w:line="360" w:lineRule="auto"/>
        <w:rPr>
          <w:b/>
          <w:sz w:val="28"/>
          <w:szCs w:val="28"/>
          <w:lang w:val="nl-NL"/>
        </w:rPr>
      </w:pPr>
      <w:r>
        <w:rPr>
          <w:b/>
          <w:sz w:val="28"/>
          <w:szCs w:val="28"/>
          <w:lang w:val="nl-NL"/>
        </w:rPr>
        <w:br w:type="page"/>
      </w:r>
    </w:p>
    <w:p w:rsidR="00165BBF" w:rsidRPr="00107C72" w:rsidRDefault="00165BBF" w:rsidP="00830DB9">
      <w:pPr>
        <w:spacing w:line="360" w:lineRule="auto"/>
        <w:rPr>
          <w:sz w:val="28"/>
          <w:szCs w:val="28"/>
          <w:lang w:val="nl-NL"/>
        </w:rPr>
      </w:pPr>
      <w:r w:rsidRPr="00107C72">
        <w:rPr>
          <w:b/>
          <w:sz w:val="28"/>
          <w:szCs w:val="28"/>
          <w:lang w:val="nl-NL"/>
        </w:rPr>
        <w:t>Bijlage</w:t>
      </w:r>
      <w:r w:rsidRPr="00107C72">
        <w:rPr>
          <w:b/>
          <w:sz w:val="28"/>
          <w:szCs w:val="28"/>
          <w:lang w:val="nl-NL"/>
        </w:rPr>
        <w:tab/>
        <w:t xml:space="preserve">Rekenvoorbeelden </w:t>
      </w:r>
      <w:r w:rsidRPr="00D15F70">
        <w:rPr>
          <w:rStyle w:val="FootnoteReference"/>
          <w:b/>
          <w:sz w:val="20"/>
          <w:szCs w:val="20"/>
        </w:rPr>
        <w:footnoteReference w:id="66"/>
      </w:r>
    </w:p>
    <w:p w:rsidR="00165BBF" w:rsidRPr="00107C72" w:rsidRDefault="00165BBF" w:rsidP="00830DB9">
      <w:pPr>
        <w:spacing w:line="360" w:lineRule="auto"/>
        <w:rPr>
          <w:lang w:val="nl-NL"/>
        </w:rPr>
      </w:pPr>
      <w:r>
        <w:rPr>
          <w:lang w:val="nl-NL"/>
        </w:rPr>
        <w:t>E</w:t>
      </w:r>
      <w:r w:rsidRPr="00107C72">
        <w:rPr>
          <w:lang w:val="nl-NL"/>
        </w:rPr>
        <w:t>en onderneming heeft op 1 januari 100 stuks van product A in voorraad, aangekocht tegen €5 per stuk. Zij koopt in januari de volgende hoeveelheden:</w:t>
      </w:r>
    </w:p>
    <w:p w:rsidR="00165BBF" w:rsidRPr="00107C72" w:rsidRDefault="00165BBF" w:rsidP="00830DB9">
      <w:pPr>
        <w:spacing w:line="360" w:lineRule="auto"/>
        <w:rPr>
          <w:lang w:val="nl-NL"/>
        </w:rPr>
      </w:pPr>
      <w:r w:rsidRPr="00107C72">
        <w:rPr>
          <w:lang w:val="nl-NL"/>
        </w:rPr>
        <w:t>10 januari: 300 stuks tegen €6</w:t>
      </w:r>
    </w:p>
    <w:p w:rsidR="00165BBF" w:rsidRPr="00107C72" w:rsidRDefault="00165BBF" w:rsidP="00830DB9">
      <w:pPr>
        <w:spacing w:line="360" w:lineRule="auto"/>
        <w:rPr>
          <w:lang w:val="nl-NL"/>
        </w:rPr>
      </w:pPr>
      <w:r w:rsidRPr="00107C72">
        <w:rPr>
          <w:lang w:val="nl-NL"/>
        </w:rPr>
        <w:t>20 januari: 400 stuks tegen €7</w:t>
      </w:r>
    </w:p>
    <w:p w:rsidR="00165BBF" w:rsidRPr="00107C72" w:rsidRDefault="00165BBF" w:rsidP="00830DB9">
      <w:pPr>
        <w:spacing w:line="360" w:lineRule="auto"/>
        <w:rPr>
          <w:lang w:val="nl-NL"/>
        </w:rPr>
      </w:pPr>
    </w:p>
    <w:p w:rsidR="00165BBF" w:rsidRPr="00107C72" w:rsidRDefault="00165BBF" w:rsidP="00830DB9">
      <w:pPr>
        <w:spacing w:line="360" w:lineRule="auto"/>
        <w:rPr>
          <w:lang w:val="nl-NL"/>
        </w:rPr>
      </w:pPr>
      <w:r w:rsidRPr="00107C72">
        <w:rPr>
          <w:lang w:val="nl-NL"/>
        </w:rPr>
        <w:t>Verder verkoopt de onderneming:</w:t>
      </w:r>
    </w:p>
    <w:p w:rsidR="00165BBF" w:rsidRPr="00107C72" w:rsidRDefault="00165BBF" w:rsidP="00830DB9">
      <w:pPr>
        <w:spacing w:line="360" w:lineRule="auto"/>
        <w:rPr>
          <w:lang w:val="nl-NL"/>
        </w:rPr>
      </w:pPr>
      <w:r w:rsidRPr="00107C72">
        <w:rPr>
          <w:lang w:val="nl-NL"/>
        </w:rPr>
        <w:t>3 januari: 50 stuks</w:t>
      </w:r>
    </w:p>
    <w:p w:rsidR="00165BBF" w:rsidRPr="00107C72" w:rsidRDefault="00165BBF" w:rsidP="00830DB9">
      <w:pPr>
        <w:spacing w:line="360" w:lineRule="auto"/>
        <w:rPr>
          <w:lang w:val="nl-NL"/>
        </w:rPr>
      </w:pPr>
      <w:r w:rsidRPr="00107C72">
        <w:rPr>
          <w:lang w:val="nl-NL"/>
        </w:rPr>
        <w:t xml:space="preserve">21 januari: 400 stuks </w:t>
      </w:r>
    </w:p>
    <w:p w:rsidR="00165BBF" w:rsidRPr="00107C72" w:rsidRDefault="00165BBF" w:rsidP="00830DB9">
      <w:pPr>
        <w:spacing w:line="360" w:lineRule="auto"/>
        <w:rPr>
          <w:u w:val="single"/>
          <w:lang w:val="nl-NL"/>
        </w:rPr>
      </w:pPr>
    </w:p>
    <w:p w:rsidR="00165BBF" w:rsidRPr="00107C72" w:rsidRDefault="00165BBF" w:rsidP="00830DB9">
      <w:pPr>
        <w:spacing w:line="360" w:lineRule="auto"/>
        <w:rPr>
          <w:u w:val="single"/>
          <w:lang w:val="nl-NL"/>
        </w:rPr>
      </w:pPr>
      <w:r w:rsidRPr="00107C72">
        <w:rPr>
          <w:u w:val="single"/>
          <w:lang w:val="nl-NL"/>
        </w:rPr>
        <w:t>Waardering volgens de fifo-methode</w:t>
      </w:r>
    </w:p>
    <w:p w:rsidR="00165BBF" w:rsidRPr="00107C72" w:rsidRDefault="00165BBF" w:rsidP="00830DB9">
      <w:pPr>
        <w:spacing w:line="360" w:lineRule="auto"/>
        <w:rPr>
          <w:lang w:val="nl-NL"/>
        </w:rPr>
      </w:pPr>
      <w:r w:rsidRPr="00107C72">
        <w:rPr>
          <w:lang w:val="nl-NL"/>
        </w:rPr>
        <w:t>Men waardeert de eindvoorraad op 31 januari tegen de laatst betaalde prijzen. De voorraad van 350 stuks waardeert men tegen 350 x 7 = €2.450.</w:t>
      </w:r>
    </w:p>
    <w:p w:rsidR="00165BBF" w:rsidRPr="00107C72" w:rsidRDefault="00165BBF" w:rsidP="00830DB9">
      <w:pPr>
        <w:spacing w:line="360" w:lineRule="auto"/>
        <w:rPr>
          <w:lang w:val="nl-NL"/>
        </w:rPr>
      </w:pPr>
    </w:p>
    <w:p w:rsidR="00165BBF" w:rsidRPr="00107C72" w:rsidRDefault="00165BBF" w:rsidP="00830DB9">
      <w:pPr>
        <w:spacing w:line="360" w:lineRule="auto"/>
        <w:rPr>
          <w:u w:val="single"/>
          <w:lang w:val="nl-NL"/>
        </w:rPr>
      </w:pPr>
      <w:r w:rsidRPr="00107C72">
        <w:rPr>
          <w:u w:val="single"/>
          <w:lang w:val="nl-NL"/>
        </w:rPr>
        <w:t>Waardering volgens de lifo-methode</w:t>
      </w:r>
    </w:p>
    <w:p w:rsidR="00165BBF" w:rsidRPr="00107C72" w:rsidRDefault="00165BBF" w:rsidP="00830DB9">
      <w:pPr>
        <w:spacing w:line="360" w:lineRule="auto"/>
        <w:rPr>
          <w:lang w:val="nl-NL"/>
        </w:rPr>
      </w:pPr>
      <w:r w:rsidRPr="00107C72">
        <w:rPr>
          <w:lang w:val="nl-NL"/>
        </w:rPr>
        <w:t>De eindvoorraad wordt gewaardeerd tegen de prijzen van de oudste nog aanwezige goederen. Per 31 januari bestaat de voorraad uit: 50 stuks aanwezig per 1 januari, te waarderen tegen €5 per stuk en uit de aankoop van 10 januari: 300 x 6 = €1.800</w:t>
      </w:r>
    </w:p>
    <w:p w:rsidR="00165BBF" w:rsidRPr="00107C72" w:rsidRDefault="00165BBF" w:rsidP="00830DB9">
      <w:pPr>
        <w:spacing w:line="360" w:lineRule="auto"/>
        <w:rPr>
          <w:lang w:val="nl-NL"/>
        </w:rPr>
      </w:pPr>
      <w:r w:rsidRPr="00107C72">
        <w:rPr>
          <w:lang w:val="nl-NL"/>
        </w:rPr>
        <w:t>De eindvoorraad wordt gewaardeerd tegen €2.050.</w:t>
      </w:r>
    </w:p>
    <w:p w:rsidR="00165BBF" w:rsidRPr="00107C72" w:rsidRDefault="00165BBF" w:rsidP="00830DB9">
      <w:pPr>
        <w:spacing w:line="360" w:lineRule="auto"/>
        <w:rPr>
          <w:lang w:val="nl-NL"/>
        </w:rPr>
      </w:pPr>
    </w:p>
    <w:p w:rsidR="00165BBF" w:rsidRPr="00107C72" w:rsidRDefault="00165BBF" w:rsidP="00830DB9">
      <w:pPr>
        <w:spacing w:line="360" w:lineRule="auto"/>
        <w:rPr>
          <w:u w:val="single"/>
          <w:lang w:val="nl-NL"/>
        </w:rPr>
      </w:pPr>
      <w:r w:rsidRPr="00107C72">
        <w:rPr>
          <w:u w:val="single"/>
          <w:lang w:val="nl-NL"/>
        </w:rPr>
        <w:t>Waardering op basis van de gemiddelde inkoopprijs</w:t>
      </w:r>
    </w:p>
    <w:p w:rsidR="00165BBF" w:rsidRPr="00107C72" w:rsidRDefault="00165BBF" w:rsidP="00830DB9">
      <w:pPr>
        <w:spacing w:line="360" w:lineRule="auto"/>
        <w:rPr>
          <w:lang w:val="nl-NL"/>
        </w:rPr>
      </w:pPr>
      <w:r w:rsidRPr="00107C72">
        <w:rPr>
          <w:lang w:val="nl-NL"/>
        </w:rPr>
        <w:t>De gemiddelde prijs van de voorraden op 3 januari is €5, en op 21 januari:</w:t>
      </w:r>
    </w:p>
    <w:p w:rsidR="00165BBF" w:rsidRPr="00107C72" w:rsidRDefault="00165BBF" w:rsidP="00830DB9">
      <w:pPr>
        <w:spacing w:line="360" w:lineRule="auto"/>
        <w:rPr>
          <w:lang w:val="nl-NL"/>
        </w:rPr>
      </w:pPr>
      <w:r w:rsidRPr="00107C72">
        <w:rPr>
          <w:lang w:val="nl-NL"/>
        </w:rPr>
        <w:t>(50 x 5 + 300 x 6 + 400 x 7) / 750 = €6,4666.</w:t>
      </w:r>
    </w:p>
    <w:p w:rsidR="00165BBF" w:rsidRPr="00107C72" w:rsidRDefault="00165BBF" w:rsidP="00830DB9">
      <w:pPr>
        <w:spacing w:line="360" w:lineRule="auto"/>
        <w:rPr>
          <w:lang w:val="nl-NL"/>
        </w:rPr>
      </w:pPr>
      <w:r w:rsidRPr="00107C72">
        <w:rPr>
          <w:lang w:val="nl-NL"/>
        </w:rPr>
        <w:t>De eindvoorraad waardeert men tegen €6,4666 per stuk. 350 x 6,4666 = €2.263,31</w:t>
      </w:r>
    </w:p>
    <w:p w:rsidR="00165BBF" w:rsidRPr="00107C72" w:rsidRDefault="00165BBF" w:rsidP="00830DB9">
      <w:pPr>
        <w:spacing w:line="360" w:lineRule="auto"/>
        <w:rPr>
          <w:lang w:val="nl-NL"/>
        </w:rPr>
      </w:pPr>
    </w:p>
    <w:p w:rsidR="00165BBF" w:rsidRPr="00107C72" w:rsidRDefault="00165BBF" w:rsidP="00830DB9">
      <w:pPr>
        <w:spacing w:line="360" w:lineRule="auto"/>
        <w:rPr>
          <w:u w:val="single"/>
          <w:lang w:val="nl-NL"/>
        </w:rPr>
      </w:pPr>
      <w:r w:rsidRPr="00107C72">
        <w:rPr>
          <w:u w:val="single"/>
          <w:lang w:val="nl-NL"/>
        </w:rPr>
        <w:t>Waardering op basis van het ijzeren voorraadstelsel</w:t>
      </w:r>
    </w:p>
    <w:p w:rsidR="00165BBF" w:rsidRPr="00107C72" w:rsidRDefault="00165BBF" w:rsidP="00830DB9">
      <w:pPr>
        <w:spacing w:line="360" w:lineRule="auto"/>
        <w:rPr>
          <w:lang w:val="nl-NL"/>
        </w:rPr>
      </w:pPr>
      <w:r w:rsidRPr="00107C72">
        <w:rPr>
          <w:lang w:val="nl-NL"/>
        </w:rPr>
        <w:t>IJzeren voorraad: 100 stuks</w:t>
      </w:r>
    </w:p>
    <w:p w:rsidR="00165BBF" w:rsidRPr="00107C72" w:rsidRDefault="00165BBF" w:rsidP="00830DB9">
      <w:pPr>
        <w:spacing w:line="360" w:lineRule="auto"/>
        <w:rPr>
          <w:lang w:val="nl-NL"/>
        </w:rPr>
      </w:pPr>
      <w:r w:rsidRPr="00107C72">
        <w:rPr>
          <w:lang w:val="nl-NL"/>
        </w:rPr>
        <w:t>IJzeren voorraadprijs: €5 per stuk</w:t>
      </w:r>
    </w:p>
    <w:p w:rsidR="00165BBF" w:rsidRPr="00107C72" w:rsidRDefault="00165BBF" w:rsidP="00830DB9">
      <w:pPr>
        <w:spacing w:line="360" w:lineRule="auto"/>
        <w:rPr>
          <w:lang w:val="nl-NL"/>
        </w:rPr>
      </w:pPr>
      <w:r w:rsidRPr="00107C72">
        <w:rPr>
          <w:lang w:val="nl-NL"/>
        </w:rPr>
        <w:t>Werkelijke voorraad per 31 januari: 350 stuks</w:t>
      </w:r>
    </w:p>
    <w:p w:rsidR="00165BBF" w:rsidRPr="00107C72" w:rsidRDefault="00165BBF" w:rsidP="00830DB9">
      <w:pPr>
        <w:spacing w:line="360" w:lineRule="auto"/>
        <w:rPr>
          <w:lang w:val="nl-NL"/>
        </w:rPr>
      </w:pPr>
      <w:r w:rsidRPr="00107C72">
        <w:rPr>
          <w:lang w:val="nl-NL"/>
        </w:rPr>
        <w:t>Marktprijs begin verslagperiode: €5 per stuk</w:t>
      </w:r>
    </w:p>
    <w:p w:rsidR="00165BBF" w:rsidRPr="00107C72" w:rsidRDefault="00165BBF" w:rsidP="00830DB9">
      <w:pPr>
        <w:spacing w:line="360" w:lineRule="auto"/>
        <w:rPr>
          <w:lang w:val="nl-NL"/>
        </w:rPr>
      </w:pPr>
      <w:r w:rsidRPr="00107C72">
        <w:rPr>
          <w:lang w:val="nl-NL"/>
        </w:rPr>
        <w:t>Marktprijs einde verslagperiode: €8 per stuk</w:t>
      </w:r>
    </w:p>
    <w:p w:rsidR="00165BBF" w:rsidRPr="00107C72" w:rsidRDefault="00165BBF" w:rsidP="00830DB9">
      <w:pPr>
        <w:spacing w:line="360" w:lineRule="auto"/>
        <w:rPr>
          <w:lang w:val="nl-NL"/>
        </w:rPr>
      </w:pPr>
    </w:p>
    <w:p w:rsidR="00165BBF" w:rsidRPr="00107C72" w:rsidRDefault="00165BBF" w:rsidP="00830DB9">
      <w:pPr>
        <w:spacing w:line="360" w:lineRule="auto"/>
        <w:rPr>
          <w:lang w:val="nl-NL"/>
        </w:rPr>
      </w:pPr>
      <w:r w:rsidRPr="00107C72">
        <w:rPr>
          <w:lang w:val="nl-NL"/>
        </w:rPr>
        <w:t>Er is een surplus ten opzichte van de normale voorraad.</w:t>
      </w:r>
    </w:p>
    <w:p w:rsidR="00165BBF" w:rsidRPr="00107C72" w:rsidRDefault="00165BBF" w:rsidP="00830DB9">
      <w:pPr>
        <w:spacing w:line="360" w:lineRule="auto"/>
        <w:rPr>
          <w:lang w:val="nl-NL"/>
        </w:rPr>
      </w:pPr>
      <w:r w:rsidRPr="00107C72">
        <w:rPr>
          <w:lang w:val="nl-NL"/>
        </w:rPr>
        <w:t>Waarde voorraad: 100 x 5 + 250 x 8 = €2.500</w:t>
      </w:r>
    </w:p>
    <w:p w:rsidR="00165BBF" w:rsidRPr="00107C72" w:rsidRDefault="00165BBF" w:rsidP="00830DB9">
      <w:pPr>
        <w:spacing w:line="360" w:lineRule="auto"/>
        <w:rPr>
          <w:lang w:val="nl-NL"/>
        </w:rPr>
      </w:pPr>
    </w:p>
    <w:p w:rsidR="00165BBF" w:rsidRPr="00107C72" w:rsidRDefault="00165BBF" w:rsidP="00830DB9">
      <w:pPr>
        <w:spacing w:line="360" w:lineRule="auto"/>
        <w:rPr>
          <w:lang w:val="nl-NL"/>
        </w:rPr>
      </w:pPr>
      <w:r w:rsidRPr="00107C72">
        <w:rPr>
          <w:lang w:val="nl-NL"/>
        </w:rPr>
        <w:t>Stel dat eindvoorraad op 31 januari 75 stuks bevat. Dan is er sprake van een manco. De waarde bedraagt dan 100 x 5 -/- 25 x 8 = €300</w:t>
      </w:r>
    </w:p>
    <w:p w:rsidR="00165BBF" w:rsidRPr="009F2457" w:rsidRDefault="00165BBF" w:rsidP="00830DB9">
      <w:pPr>
        <w:spacing w:line="360" w:lineRule="auto"/>
        <w:rPr>
          <w:b/>
          <w:lang w:val="nl-NL"/>
        </w:rPr>
      </w:pPr>
    </w:p>
    <w:p w:rsidR="00165BBF" w:rsidRDefault="00165BBF" w:rsidP="00830DB9">
      <w:pPr>
        <w:spacing w:line="360" w:lineRule="auto"/>
        <w:rPr>
          <w:b/>
          <w:lang w:val="nl-NL"/>
        </w:rPr>
      </w:pPr>
      <w:r w:rsidRPr="009F2457">
        <w:rPr>
          <w:b/>
          <w:lang w:val="nl-NL"/>
        </w:rPr>
        <w:t xml:space="preserve">Onderscheid </w:t>
      </w:r>
      <w:r>
        <w:rPr>
          <w:b/>
          <w:lang w:val="nl-NL"/>
        </w:rPr>
        <w:t>individueel (op transactiebasis) en collectief (op jaarbasis) lifo</w:t>
      </w:r>
      <w:r>
        <w:rPr>
          <w:rStyle w:val="FootnoteReference"/>
          <w:b/>
          <w:lang w:val="nl-NL"/>
        </w:rPr>
        <w:footnoteReference w:id="67"/>
      </w:r>
    </w:p>
    <w:p w:rsidR="00165BBF" w:rsidRDefault="00165BBF" w:rsidP="00830DB9">
      <w:pPr>
        <w:spacing w:line="360" w:lineRule="auto"/>
        <w:rPr>
          <w:lang w:val="nl-NL"/>
        </w:rPr>
      </w:pPr>
      <w:r>
        <w:rPr>
          <w:lang w:val="nl-NL"/>
        </w:rPr>
        <w:t>Werkelijke voorraad per 1-1-2005 12.000 m³ hout, à € 180 (lifo-waarde).</w:t>
      </w:r>
    </w:p>
    <w:tbl>
      <w:tblPr>
        <w:tblW w:w="0" w:type="auto"/>
        <w:tblLook w:val="00A0"/>
      </w:tblPr>
      <w:tblGrid>
        <w:gridCol w:w="1526"/>
        <w:gridCol w:w="3080"/>
        <w:gridCol w:w="1456"/>
        <w:gridCol w:w="3150"/>
      </w:tblGrid>
      <w:tr w:rsidR="00165BBF" w:rsidRPr="00830DB9" w:rsidTr="0019378E">
        <w:tc>
          <w:tcPr>
            <w:tcW w:w="1526" w:type="dxa"/>
          </w:tcPr>
          <w:p w:rsidR="00165BBF" w:rsidRPr="0019378E" w:rsidRDefault="00165BBF" w:rsidP="0019378E">
            <w:pPr>
              <w:spacing w:line="360" w:lineRule="auto"/>
              <w:rPr>
                <w:lang w:val="nl-NL"/>
              </w:rPr>
            </w:pPr>
            <w:r w:rsidRPr="0019378E">
              <w:rPr>
                <w:lang w:val="nl-NL"/>
              </w:rPr>
              <w:t>Aankopen:</w:t>
            </w:r>
          </w:p>
        </w:tc>
        <w:tc>
          <w:tcPr>
            <w:tcW w:w="3080" w:type="dxa"/>
          </w:tcPr>
          <w:p w:rsidR="00165BBF" w:rsidRPr="0019378E" w:rsidRDefault="00165BBF" w:rsidP="0019378E">
            <w:pPr>
              <w:spacing w:line="360" w:lineRule="auto"/>
              <w:rPr>
                <w:lang w:val="nl-NL"/>
              </w:rPr>
            </w:pPr>
          </w:p>
        </w:tc>
        <w:tc>
          <w:tcPr>
            <w:tcW w:w="1456" w:type="dxa"/>
          </w:tcPr>
          <w:p w:rsidR="00165BBF" w:rsidRPr="0019378E" w:rsidRDefault="00165BBF" w:rsidP="0019378E">
            <w:pPr>
              <w:spacing w:line="360" w:lineRule="auto"/>
              <w:rPr>
                <w:lang w:val="nl-NL"/>
              </w:rPr>
            </w:pPr>
            <w:r w:rsidRPr="0019378E">
              <w:rPr>
                <w:lang w:val="nl-NL"/>
              </w:rPr>
              <w:t>Verkopen:</w:t>
            </w:r>
          </w:p>
        </w:tc>
        <w:tc>
          <w:tcPr>
            <w:tcW w:w="3150" w:type="dxa"/>
          </w:tcPr>
          <w:p w:rsidR="00165BBF" w:rsidRPr="0019378E" w:rsidRDefault="00165BBF" w:rsidP="0019378E">
            <w:pPr>
              <w:spacing w:line="360" w:lineRule="auto"/>
              <w:rPr>
                <w:lang w:val="nl-NL"/>
              </w:rPr>
            </w:pPr>
          </w:p>
        </w:tc>
      </w:tr>
      <w:tr w:rsidR="00165BBF" w:rsidRPr="00830DB9" w:rsidTr="0019378E">
        <w:tc>
          <w:tcPr>
            <w:tcW w:w="1526" w:type="dxa"/>
          </w:tcPr>
          <w:p w:rsidR="00165BBF" w:rsidRPr="0019378E" w:rsidRDefault="00165BBF" w:rsidP="0019378E">
            <w:pPr>
              <w:spacing w:line="360" w:lineRule="auto"/>
              <w:rPr>
                <w:lang w:val="nl-NL"/>
              </w:rPr>
            </w:pPr>
            <w:r w:rsidRPr="0019378E">
              <w:rPr>
                <w:lang w:val="nl-NL"/>
              </w:rPr>
              <w:t>1-3-2005</w:t>
            </w:r>
          </w:p>
        </w:tc>
        <w:tc>
          <w:tcPr>
            <w:tcW w:w="3080" w:type="dxa"/>
          </w:tcPr>
          <w:p w:rsidR="00165BBF" w:rsidRPr="0019378E" w:rsidRDefault="00165BBF" w:rsidP="0019378E">
            <w:pPr>
              <w:spacing w:line="360" w:lineRule="auto"/>
              <w:rPr>
                <w:lang w:val="nl-NL"/>
              </w:rPr>
            </w:pPr>
            <w:r w:rsidRPr="0019378E">
              <w:rPr>
                <w:lang w:val="nl-NL"/>
              </w:rPr>
              <w:t>1000 m³ à 200</w:t>
            </w:r>
          </w:p>
        </w:tc>
        <w:tc>
          <w:tcPr>
            <w:tcW w:w="1456" w:type="dxa"/>
          </w:tcPr>
          <w:p w:rsidR="00165BBF" w:rsidRPr="0019378E" w:rsidRDefault="00165BBF" w:rsidP="0019378E">
            <w:pPr>
              <w:spacing w:line="360" w:lineRule="auto"/>
              <w:rPr>
                <w:lang w:val="nl-NL"/>
              </w:rPr>
            </w:pPr>
            <w:r w:rsidRPr="0019378E">
              <w:rPr>
                <w:lang w:val="nl-NL"/>
              </w:rPr>
              <w:t>1-4-2005</w:t>
            </w:r>
          </w:p>
        </w:tc>
        <w:tc>
          <w:tcPr>
            <w:tcW w:w="3150" w:type="dxa"/>
          </w:tcPr>
          <w:p w:rsidR="00165BBF" w:rsidRPr="0019378E" w:rsidRDefault="00165BBF" w:rsidP="0019378E">
            <w:pPr>
              <w:spacing w:line="360" w:lineRule="auto"/>
              <w:rPr>
                <w:lang w:val="nl-NL"/>
              </w:rPr>
            </w:pPr>
            <w:r w:rsidRPr="0019378E">
              <w:rPr>
                <w:lang w:val="nl-NL"/>
              </w:rPr>
              <w:t>4000 m³ à 250</w:t>
            </w:r>
          </w:p>
        </w:tc>
      </w:tr>
      <w:tr w:rsidR="00165BBF" w:rsidRPr="00830DB9" w:rsidTr="0019378E">
        <w:tc>
          <w:tcPr>
            <w:tcW w:w="1526" w:type="dxa"/>
          </w:tcPr>
          <w:p w:rsidR="00165BBF" w:rsidRPr="0019378E" w:rsidRDefault="00165BBF" w:rsidP="0019378E">
            <w:pPr>
              <w:spacing w:line="360" w:lineRule="auto"/>
              <w:rPr>
                <w:lang w:val="nl-NL"/>
              </w:rPr>
            </w:pPr>
            <w:r w:rsidRPr="0019378E">
              <w:rPr>
                <w:lang w:val="nl-NL"/>
              </w:rPr>
              <w:t>1-6-2005</w:t>
            </w:r>
          </w:p>
        </w:tc>
        <w:tc>
          <w:tcPr>
            <w:tcW w:w="3080" w:type="dxa"/>
          </w:tcPr>
          <w:p w:rsidR="00165BBF" w:rsidRPr="0019378E" w:rsidRDefault="00165BBF" w:rsidP="0019378E">
            <w:pPr>
              <w:spacing w:line="360" w:lineRule="auto"/>
              <w:rPr>
                <w:lang w:val="nl-NL"/>
              </w:rPr>
            </w:pPr>
            <w:r w:rsidRPr="0019378E">
              <w:rPr>
                <w:lang w:val="nl-NL"/>
              </w:rPr>
              <w:t>2000 m³ à 210</w:t>
            </w:r>
          </w:p>
        </w:tc>
        <w:tc>
          <w:tcPr>
            <w:tcW w:w="1456" w:type="dxa"/>
          </w:tcPr>
          <w:p w:rsidR="00165BBF" w:rsidRPr="0019378E" w:rsidRDefault="00165BBF" w:rsidP="0019378E">
            <w:pPr>
              <w:spacing w:line="360" w:lineRule="auto"/>
              <w:rPr>
                <w:lang w:val="nl-NL"/>
              </w:rPr>
            </w:pPr>
            <w:r w:rsidRPr="0019378E">
              <w:rPr>
                <w:lang w:val="nl-NL"/>
              </w:rPr>
              <w:t>1-8-2005</w:t>
            </w:r>
          </w:p>
        </w:tc>
        <w:tc>
          <w:tcPr>
            <w:tcW w:w="3150" w:type="dxa"/>
          </w:tcPr>
          <w:p w:rsidR="00165BBF" w:rsidRPr="0019378E" w:rsidRDefault="00165BBF" w:rsidP="0019378E">
            <w:pPr>
              <w:spacing w:line="360" w:lineRule="auto"/>
              <w:rPr>
                <w:lang w:val="nl-NL"/>
              </w:rPr>
            </w:pPr>
            <w:r w:rsidRPr="0019378E">
              <w:rPr>
                <w:lang w:val="nl-NL"/>
              </w:rPr>
              <w:t>8000 m³ à 270</w:t>
            </w:r>
          </w:p>
        </w:tc>
      </w:tr>
      <w:tr w:rsidR="00165BBF" w:rsidRPr="00830DB9" w:rsidTr="0019378E">
        <w:tc>
          <w:tcPr>
            <w:tcW w:w="1526" w:type="dxa"/>
          </w:tcPr>
          <w:p w:rsidR="00165BBF" w:rsidRPr="0019378E" w:rsidRDefault="00165BBF" w:rsidP="0019378E">
            <w:pPr>
              <w:spacing w:line="360" w:lineRule="auto"/>
              <w:rPr>
                <w:lang w:val="nl-NL"/>
              </w:rPr>
            </w:pPr>
            <w:r w:rsidRPr="0019378E">
              <w:rPr>
                <w:lang w:val="nl-NL"/>
              </w:rPr>
              <w:t>1-11-2005</w:t>
            </w:r>
          </w:p>
        </w:tc>
        <w:tc>
          <w:tcPr>
            <w:tcW w:w="3080" w:type="dxa"/>
          </w:tcPr>
          <w:p w:rsidR="00165BBF" w:rsidRPr="0019378E" w:rsidRDefault="00165BBF" w:rsidP="0019378E">
            <w:pPr>
              <w:spacing w:line="360" w:lineRule="auto"/>
              <w:rPr>
                <w:lang w:val="nl-NL"/>
              </w:rPr>
            </w:pPr>
            <w:r w:rsidRPr="0019378E">
              <w:rPr>
                <w:lang w:val="nl-NL"/>
              </w:rPr>
              <w:t>2000 m³ à 215</w:t>
            </w:r>
          </w:p>
        </w:tc>
        <w:tc>
          <w:tcPr>
            <w:tcW w:w="1456" w:type="dxa"/>
          </w:tcPr>
          <w:p w:rsidR="00165BBF" w:rsidRPr="0019378E" w:rsidRDefault="00165BBF" w:rsidP="0019378E">
            <w:pPr>
              <w:spacing w:line="360" w:lineRule="auto"/>
              <w:rPr>
                <w:lang w:val="nl-NL"/>
              </w:rPr>
            </w:pPr>
          </w:p>
        </w:tc>
        <w:tc>
          <w:tcPr>
            <w:tcW w:w="3150" w:type="dxa"/>
          </w:tcPr>
          <w:p w:rsidR="00165BBF" w:rsidRPr="0019378E" w:rsidRDefault="00165BBF" w:rsidP="0019378E">
            <w:pPr>
              <w:spacing w:line="360" w:lineRule="auto"/>
              <w:rPr>
                <w:lang w:val="nl-NL"/>
              </w:rPr>
            </w:pPr>
          </w:p>
        </w:tc>
      </w:tr>
    </w:tbl>
    <w:p w:rsidR="00165BBF" w:rsidRPr="00830DB9" w:rsidRDefault="00165BBF" w:rsidP="00830DB9">
      <w:pPr>
        <w:spacing w:line="360" w:lineRule="auto"/>
        <w:rPr>
          <w:lang w:val="nl-NL"/>
        </w:rPr>
      </w:pPr>
      <w:r w:rsidRPr="00830DB9">
        <w:rPr>
          <w:lang w:val="nl-NL"/>
        </w:rPr>
        <w:t>Voorraad per 31-12-200</w:t>
      </w:r>
      <w:r>
        <w:rPr>
          <w:lang w:val="nl-NL"/>
        </w:rPr>
        <w:t>5</w:t>
      </w:r>
      <w:r w:rsidRPr="00830DB9">
        <w:rPr>
          <w:lang w:val="nl-NL"/>
        </w:rPr>
        <w:t xml:space="preserve"> </w:t>
      </w:r>
      <w:r>
        <w:rPr>
          <w:lang w:val="nl-NL"/>
        </w:rPr>
        <w:t>5</w:t>
      </w:r>
      <w:r w:rsidRPr="00830DB9">
        <w:rPr>
          <w:lang w:val="nl-NL"/>
        </w:rPr>
        <w:t>.000 m³</w:t>
      </w:r>
    </w:p>
    <w:p w:rsidR="00165BBF" w:rsidRDefault="00165BBF" w:rsidP="00830DB9">
      <w:pPr>
        <w:spacing w:line="360" w:lineRule="auto"/>
        <w:rPr>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18"/>
        <w:gridCol w:w="2088"/>
        <w:gridCol w:w="2303"/>
        <w:gridCol w:w="2303"/>
      </w:tblGrid>
      <w:tr w:rsidR="00165BBF" w:rsidTr="0019378E">
        <w:tc>
          <w:tcPr>
            <w:tcW w:w="2518" w:type="dxa"/>
            <w:tcBorders>
              <w:left w:val="nil"/>
              <w:right w:val="nil"/>
            </w:tcBorders>
          </w:tcPr>
          <w:p w:rsidR="00165BBF" w:rsidRPr="0019378E" w:rsidRDefault="00165BBF" w:rsidP="0019378E">
            <w:pPr>
              <w:spacing w:line="360" w:lineRule="auto"/>
              <w:rPr>
                <w:sz w:val="22"/>
                <w:szCs w:val="22"/>
                <w:lang w:val="nl-NL"/>
              </w:rPr>
            </w:pPr>
            <w:r w:rsidRPr="0019378E">
              <w:rPr>
                <w:sz w:val="22"/>
                <w:szCs w:val="22"/>
                <w:lang w:val="nl-NL"/>
              </w:rPr>
              <w:t>Lifo op transactiebasis</w:t>
            </w:r>
          </w:p>
        </w:tc>
        <w:tc>
          <w:tcPr>
            <w:tcW w:w="2088" w:type="dxa"/>
            <w:tcBorders>
              <w:left w:val="nil"/>
              <w:right w:val="nil"/>
            </w:tcBorders>
          </w:tcPr>
          <w:p w:rsidR="00165BBF" w:rsidRPr="0019378E" w:rsidRDefault="00165BBF" w:rsidP="0019378E">
            <w:pPr>
              <w:spacing w:line="360" w:lineRule="auto"/>
              <w:rPr>
                <w:sz w:val="22"/>
                <w:szCs w:val="22"/>
                <w:lang w:val="nl-NL"/>
              </w:rPr>
            </w:pPr>
            <w:r w:rsidRPr="0019378E">
              <w:rPr>
                <w:sz w:val="22"/>
                <w:szCs w:val="22"/>
                <w:lang w:val="nl-NL"/>
              </w:rPr>
              <w:t>voorraadmutatie</w:t>
            </w:r>
          </w:p>
        </w:tc>
        <w:tc>
          <w:tcPr>
            <w:tcW w:w="2303" w:type="dxa"/>
            <w:tcBorders>
              <w:left w:val="nil"/>
              <w:right w:val="nil"/>
            </w:tcBorders>
          </w:tcPr>
          <w:p w:rsidR="00165BBF" w:rsidRPr="0019378E" w:rsidRDefault="00165BBF" w:rsidP="0019378E">
            <w:pPr>
              <w:spacing w:line="360" w:lineRule="auto"/>
              <w:rPr>
                <w:sz w:val="22"/>
                <w:szCs w:val="22"/>
                <w:lang w:val="nl-NL"/>
              </w:rPr>
            </w:pPr>
          </w:p>
        </w:tc>
        <w:tc>
          <w:tcPr>
            <w:tcW w:w="2303" w:type="dxa"/>
            <w:tcBorders>
              <w:left w:val="nil"/>
              <w:right w:val="nil"/>
            </w:tcBorders>
          </w:tcPr>
          <w:p w:rsidR="00165BBF" w:rsidRPr="0019378E" w:rsidRDefault="00165BBF" w:rsidP="0019378E">
            <w:pPr>
              <w:spacing w:line="360" w:lineRule="auto"/>
              <w:jc w:val="center"/>
              <w:rPr>
                <w:sz w:val="22"/>
                <w:szCs w:val="22"/>
                <w:lang w:val="nl-NL"/>
              </w:rPr>
            </w:pPr>
            <w:r w:rsidRPr="0019378E">
              <w:rPr>
                <w:sz w:val="22"/>
                <w:szCs w:val="22"/>
                <w:lang w:val="nl-NL"/>
              </w:rPr>
              <w:t>jaarwinst</w:t>
            </w:r>
          </w:p>
        </w:tc>
      </w:tr>
      <w:tr w:rsidR="00165BBF" w:rsidTr="0019378E">
        <w:tc>
          <w:tcPr>
            <w:tcW w:w="2518" w:type="dxa"/>
            <w:tcBorders>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1-1-2005 voorraad</w:t>
            </w:r>
          </w:p>
        </w:tc>
        <w:tc>
          <w:tcPr>
            <w:tcW w:w="2088" w:type="dxa"/>
            <w:tcBorders>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12.000 à 180</w:t>
            </w:r>
          </w:p>
        </w:tc>
        <w:tc>
          <w:tcPr>
            <w:tcW w:w="2303" w:type="dxa"/>
            <w:tcBorders>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 xml:space="preserve"> 2.160.000</w:t>
            </w:r>
          </w:p>
        </w:tc>
        <w:tc>
          <w:tcPr>
            <w:tcW w:w="2303" w:type="dxa"/>
            <w:tcBorders>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1-3-2005 aankoop</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1.000 à 200</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  200.000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 xml:space="preserve"> 2.360.000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1-4-2005 verkoop</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1.000 à 200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(1.000.000)</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3.000 à 180</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-740.000</w:t>
            </w:r>
          </w:p>
        </w:tc>
        <w:tc>
          <w:tcPr>
            <w:tcW w:w="2303" w:type="dxa"/>
            <w:tcBorders>
              <w:top w:val="nil"/>
              <w:left w:val="nil"/>
              <w:bottom w:val="nil"/>
              <w:right w:val="nil"/>
            </w:tcBorders>
          </w:tcPr>
          <w:p w:rsidR="00165BBF" w:rsidRPr="0019378E" w:rsidRDefault="00165BBF" w:rsidP="0019378E">
            <w:pPr>
              <w:spacing w:line="360" w:lineRule="auto"/>
              <w:jc w:val="center"/>
              <w:rPr>
                <w:sz w:val="22"/>
                <w:szCs w:val="22"/>
                <w:lang w:val="nl-NL"/>
              </w:rPr>
            </w:pPr>
            <w:r w:rsidRPr="0019378E">
              <w:rPr>
                <w:sz w:val="22"/>
                <w:szCs w:val="22"/>
                <w:lang w:val="nl-NL"/>
              </w:rPr>
              <w:t>260.000</w:t>
            </w: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1.620.000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1-6-2005 aankoop</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2.000 à 210</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+ 420.000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2.040.000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1-8-2005 verkoop</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2.000 à 210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(2.160.000)</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6.000 à 180</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-1.500.000</w:t>
            </w:r>
          </w:p>
        </w:tc>
        <w:tc>
          <w:tcPr>
            <w:tcW w:w="2303" w:type="dxa"/>
            <w:tcBorders>
              <w:top w:val="nil"/>
              <w:left w:val="nil"/>
              <w:bottom w:val="nil"/>
              <w:right w:val="nil"/>
            </w:tcBorders>
          </w:tcPr>
          <w:p w:rsidR="00165BBF" w:rsidRPr="0019378E" w:rsidRDefault="00165BBF" w:rsidP="0019378E">
            <w:pPr>
              <w:spacing w:line="360" w:lineRule="auto"/>
              <w:jc w:val="center"/>
              <w:rPr>
                <w:sz w:val="22"/>
                <w:szCs w:val="22"/>
                <w:lang w:val="nl-NL"/>
              </w:rPr>
            </w:pPr>
            <w:r w:rsidRPr="0019378E">
              <w:rPr>
                <w:sz w:val="22"/>
                <w:szCs w:val="22"/>
                <w:lang w:val="nl-NL"/>
              </w:rPr>
              <w:t>660.000</w:t>
            </w: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540.000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1-11-2005 aankoop</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2.000 à 215</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+ 430.000</w:t>
            </w:r>
          </w:p>
        </w:tc>
        <w:tc>
          <w:tcPr>
            <w:tcW w:w="2303" w:type="dxa"/>
            <w:tcBorders>
              <w:top w:val="nil"/>
              <w:left w:val="nil"/>
              <w:bottom w:val="nil"/>
              <w:right w:val="nil"/>
            </w:tcBorders>
          </w:tcPr>
          <w:p w:rsidR="00165BBF" w:rsidRPr="0019378E" w:rsidRDefault="00165BBF" w:rsidP="0019378E">
            <w:pPr>
              <w:spacing w:line="360" w:lineRule="auto"/>
              <w:jc w:val="center"/>
              <w:rPr>
                <w:sz w:val="22"/>
                <w:szCs w:val="22"/>
                <w:lang w:val="nl-NL"/>
              </w:rPr>
            </w:pPr>
            <w:r w:rsidRPr="0019378E">
              <w:rPr>
                <w:sz w:val="22"/>
                <w:szCs w:val="22"/>
                <w:lang w:val="nl-NL"/>
              </w:rPr>
              <w:t>_________</w:t>
            </w: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voorraad 31-12-2005</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 xml:space="preserve">5.000 </w:t>
            </w:r>
            <w:r w:rsidRPr="0019378E">
              <w:rPr>
                <w:lang w:val="nl-NL"/>
              </w:rPr>
              <w:t>m³</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970.000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b/>
                <w:sz w:val="22"/>
                <w:szCs w:val="22"/>
                <w:lang w:val="nl-NL"/>
              </w:rPr>
            </w:pPr>
            <w:r w:rsidRPr="0019378E">
              <w:rPr>
                <w:b/>
                <w:sz w:val="22"/>
                <w:szCs w:val="22"/>
                <w:lang w:val="nl-NL"/>
              </w:rPr>
              <w:t>jaarwinst 2005</w:t>
            </w:r>
          </w:p>
        </w:tc>
        <w:tc>
          <w:tcPr>
            <w:tcW w:w="2088" w:type="dxa"/>
            <w:tcBorders>
              <w:top w:val="nil"/>
              <w:left w:val="nil"/>
              <w:bottom w:val="nil"/>
              <w:right w:val="nil"/>
            </w:tcBorders>
          </w:tcPr>
          <w:p w:rsidR="00165BBF" w:rsidRPr="0019378E" w:rsidRDefault="00165BBF" w:rsidP="0019378E">
            <w:pPr>
              <w:spacing w:line="360" w:lineRule="auto"/>
              <w:rPr>
                <w:b/>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b/>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jc w:val="center"/>
              <w:rPr>
                <w:b/>
                <w:sz w:val="22"/>
                <w:szCs w:val="22"/>
                <w:lang w:val="nl-NL"/>
              </w:rPr>
            </w:pPr>
            <w:r w:rsidRPr="0019378E">
              <w:rPr>
                <w:b/>
                <w:sz w:val="22"/>
                <w:szCs w:val="22"/>
                <w:lang w:val="nl-NL"/>
              </w:rPr>
              <w:t>920.000</w:t>
            </w:r>
          </w:p>
        </w:tc>
      </w:tr>
      <w:tr w:rsidR="00165BBF" w:rsidTr="0019378E">
        <w:tc>
          <w:tcPr>
            <w:tcW w:w="2518" w:type="dxa"/>
            <w:tcBorders>
              <w:top w:val="nil"/>
              <w:left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left w:val="nil"/>
              <w:right w:val="nil"/>
            </w:tcBorders>
          </w:tcPr>
          <w:p w:rsidR="00165BBF" w:rsidRPr="0019378E" w:rsidRDefault="00165BBF" w:rsidP="0019378E">
            <w:pPr>
              <w:spacing w:line="360" w:lineRule="auto"/>
              <w:rPr>
                <w:sz w:val="22"/>
                <w:szCs w:val="22"/>
                <w:lang w:val="nl-NL"/>
              </w:rPr>
            </w:pPr>
            <w:r w:rsidRPr="0019378E">
              <w:rPr>
                <w:sz w:val="22"/>
                <w:szCs w:val="22"/>
                <w:lang w:val="nl-NL"/>
              </w:rPr>
              <w:t>Lifo op jaarbasis</w:t>
            </w:r>
          </w:p>
        </w:tc>
        <w:tc>
          <w:tcPr>
            <w:tcW w:w="2088" w:type="dxa"/>
            <w:tcBorders>
              <w:left w:val="nil"/>
              <w:right w:val="nil"/>
            </w:tcBorders>
          </w:tcPr>
          <w:p w:rsidR="00165BBF" w:rsidRPr="0019378E" w:rsidRDefault="00165BBF" w:rsidP="0019378E">
            <w:pPr>
              <w:spacing w:line="360" w:lineRule="auto"/>
              <w:rPr>
                <w:sz w:val="22"/>
                <w:szCs w:val="22"/>
                <w:lang w:val="nl-NL"/>
              </w:rPr>
            </w:pPr>
            <w:r w:rsidRPr="0019378E">
              <w:rPr>
                <w:sz w:val="22"/>
                <w:szCs w:val="22"/>
                <w:lang w:val="nl-NL"/>
              </w:rPr>
              <w:t>voorraadmutaties</w:t>
            </w:r>
          </w:p>
        </w:tc>
        <w:tc>
          <w:tcPr>
            <w:tcW w:w="2303" w:type="dxa"/>
            <w:tcBorders>
              <w:left w:val="nil"/>
              <w:right w:val="nil"/>
            </w:tcBorders>
          </w:tcPr>
          <w:p w:rsidR="00165BBF" w:rsidRPr="0019378E" w:rsidRDefault="00165BBF" w:rsidP="0019378E">
            <w:pPr>
              <w:spacing w:line="360" w:lineRule="auto"/>
              <w:rPr>
                <w:sz w:val="22"/>
                <w:szCs w:val="22"/>
                <w:lang w:val="nl-NL"/>
              </w:rPr>
            </w:pPr>
          </w:p>
        </w:tc>
        <w:tc>
          <w:tcPr>
            <w:tcW w:w="2303" w:type="dxa"/>
            <w:tcBorders>
              <w:left w:val="nil"/>
              <w:right w:val="nil"/>
            </w:tcBorders>
          </w:tcPr>
          <w:p w:rsidR="00165BBF" w:rsidRPr="0019378E" w:rsidRDefault="00165BBF" w:rsidP="0019378E">
            <w:pPr>
              <w:spacing w:line="360" w:lineRule="auto"/>
              <w:rPr>
                <w:sz w:val="22"/>
                <w:szCs w:val="22"/>
                <w:lang w:val="nl-NL"/>
              </w:rPr>
            </w:pPr>
            <w:r w:rsidRPr="0019378E">
              <w:rPr>
                <w:sz w:val="22"/>
                <w:szCs w:val="22"/>
                <w:lang w:val="nl-NL"/>
              </w:rPr>
              <w:t>jaarwinst</w:t>
            </w:r>
          </w:p>
        </w:tc>
      </w:tr>
      <w:tr w:rsidR="00165BBF" w:rsidTr="0019378E">
        <w:tc>
          <w:tcPr>
            <w:tcW w:w="2518" w:type="dxa"/>
            <w:tcBorders>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voorraad op 1-1-2005</w:t>
            </w:r>
          </w:p>
        </w:tc>
        <w:tc>
          <w:tcPr>
            <w:tcW w:w="2088" w:type="dxa"/>
            <w:tcBorders>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12.000 à 180</w:t>
            </w:r>
          </w:p>
        </w:tc>
        <w:tc>
          <w:tcPr>
            <w:tcW w:w="2303" w:type="dxa"/>
            <w:tcBorders>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2.160.000</w:t>
            </w:r>
          </w:p>
        </w:tc>
        <w:tc>
          <w:tcPr>
            <w:tcW w:w="2303" w:type="dxa"/>
            <w:tcBorders>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inkopen 2005</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 xml:space="preserve">5.000 </w:t>
            </w:r>
            <w:r w:rsidRPr="0019378E">
              <w:rPr>
                <w:lang w:val="nl-NL"/>
              </w:rPr>
              <w:t>m³</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+ 1.050.000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3.210.000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voorraad per 31-12-2005</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5.000 à 180</w:t>
            </w:r>
          </w:p>
        </w:tc>
        <w:tc>
          <w:tcPr>
            <w:tcW w:w="2303" w:type="dxa"/>
            <w:tcBorders>
              <w:top w:val="nil"/>
              <w:left w:val="nil"/>
              <w:bottom w:val="nil"/>
              <w:right w:val="nil"/>
            </w:tcBorders>
          </w:tcPr>
          <w:p w:rsidR="00165BBF" w:rsidRPr="0019378E" w:rsidRDefault="00165BBF" w:rsidP="0019378E">
            <w:pPr>
              <w:spacing w:line="360" w:lineRule="auto"/>
              <w:rPr>
                <w:sz w:val="22"/>
                <w:szCs w:val="22"/>
                <w:u w:val="single"/>
                <w:lang w:val="nl-NL"/>
              </w:rPr>
            </w:pPr>
            <w:r w:rsidRPr="0019378E">
              <w:rPr>
                <w:sz w:val="22"/>
                <w:szCs w:val="22"/>
                <w:u w:val="single"/>
                <w:lang w:val="nl-NL"/>
              </w:rPr>
              <w:t>- 900.000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inkoopwaarde v/d omzet</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2.310.000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verkopen 2005</w:t>
            </w:r>
          </w:p>
        </w:tc>
        <w:tc>
          <w:tcPr>
            <w:tcW w:w="2088"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 xml:space="preserve">12.000 </w:t>
            </w:r>
            <w:r w:rsidRPr="0019378E">
              <w:rPr>
                <w:lang w:val="nl-NL"/>
              </w:rPr>
              <w:t>m³</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r w:rsidRPr="0019378E">
              <w:rPr>
                <w:sz w:val="22"/>
                <w:szCs w:val="22"/>
                <w:lang w:val="nl-NL"/>
              </w:rPr>
              <w:t>3.160.000</w:t>
            </w:r>
          </w:p>
        </w:tc>
        <w:tc>
          <w:tcPr>
            <w:tcW w:w="2303" w:type="dxa"/>
            <w:tcBorders>
              <w:top w:val="nil"/>
              <w:left w:val="nil"/>
              <w:bottom w:val="nil"/>
              <w:right w:val="nil"/>
            </w:tcBorders>
          </w:tcPr>
          <w:p w:rsidR="00165BBF" w:rsidRPr="0019378E" w:rsidRDefault="00165BBF" w:rsidP="0019378E">
            <w:pPr>
              <w:spacing w:line="360" w:lineRule="auto"/>
              <w:rPr>
                <w:sz w:val="22"/>
                <w:szCs w:val="22"/>
                <w:lang w:val="nl-NL"/>
              </w:rPr>
            </w:pPr>
          </w:p>
        </w:tc>
      </w:tr>
      <w:tr w:rsidR="00165BBF" w:rsidTr="0019378E">
        <w:tc>
          <w:tcPr>
            <w:tcW w:w="2518" w:type="dxa"/>
            <w:tcBorders>
              <w:top w:val="nil"/>
              <w:left w:val="nil"/>
              <w:bottom w:val="nil"/>
              <w:right w:val="nil"/>
            </w:tcBorders>
          </w:tcPr>
          <w:p w:rsidR="00165BBF" w:rsidRPr="0019378E" w:rsidRDefault="00165BBF" w:rsidP="0019378E">
            <w:pPr>
              <w:spacing w:line="360" w:lineRule="auto"/>
              <w:rPr>
                <w:b/>
                <w:sz w:val="22"/>
                <w:szCs w:val="22"/>
                <w:lang w:val="nl-NL"/>
              </w:rPr>
            </w:pPr>
            <w:r w:rsidRPr="0019378E">
              <w:rPr>
                <w:b/>
                <w:sz w:val="22"/>
                <w:szCs w:val="22"/>
                <w:lang w:val="nl-NL"/>
              </w:rPr>
              <w:t>jaarwinst 2005</w:t>
            </w:r>
          </w:p>
        </w:tc>
        <w:tc>
          <w:tcPr>
            <w:tcW w:w="2088" w:type="dxa"/>
            <w:tcBorders>
              <w:top w:val="nil"/>
              <w:left w:val="nil"/>
              <w:bottom w:val="nil"/>
              <w:right w:val="nil"/>
            </w:tcBorders>
          </w:tcPr>
          <w:p w:rsidR="00165BBF" w:rsidRPr="0019378E" w:rsidRDefault="00165BBF" w:rsidP="0019378E">
            <w:pPr>
              <w:spacing w:line="360" w:lineRule="auto"/>
              <w:rPr>
                <w:b/>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b/>
                <w:sz w:val="22"/>
                <w:szCs w:val="22"/>
                <w:lang w:val="nl-NL"/>
              </w:rPr>
            </w:pPr>
          </w:p>
        </w:tc>
        <w:tc>
          <w:tcPr>
            <w:tcW w:w="2303" w:type="dxa"/>
            <w:tcBorders>
              <w:top w:val="nil"/>
              <w:left w:val="nil"/>
              <w:bottom w:val="nil"/>
              <w:right w:val="nil"/>
            </w:tcBorders>
          </w:tcPr>
          <w:p w:rsidR="00165BBF" w:rsidRPr="0019378E" w:rsidRDefault="00165BBF" w:rsidP="0019378E">
            <w:pPr>
              <w:spacing w:line="360" w:lineRule="auto"/>
              <w:rPr>
                <w:b/>
                <w:sz w:val="22"/>
                <w:szCs w:val="22"/>
                <w:lang w:val="nl-NL"/>
              </w:rPr>
            </w:pPr>
            <w:r w:rsidRPr="0019378E">
              <w:rPr>
                <w:b/>
                <w:sz w:val="22"/>
                <w:szCs w:val="22"/>
                <w:lang w:val="nl-NL"/>
              </w:rPr>
              <w:t>850.000</w:t>
            </w:r>
          </w:p>
        </w:tc>
      </w:tr>
    </w:tbl>
    <w:p w:rsidR="00165BBF" w:rsidRDefault="00165BBF" w:rsidP="00830DB9">
      <w:pPr>
        <w:spacing w:line="360" w:lineRule="auto"/>
        <w:rPr>
          <w:lang w:val="nl-NL"/>
        </w:rPr>
      </w:pPr>
    </w:p>
    <w:p w:rsidR="00165BBF" w:rsidRPr="009F2457" w:rsidRDefault="00165BBF" w:rsidP="00830DB9">
      <w:pPr>
        <w:spacing w:line="360" w:lineRule="auto"/>
        <w:rPr>
          <w:lang w:val="nl-NL"/>
        </w:rPr>
      </w:pPr>
    </w:p>
    <w:p w:rsidR="00165BBF" w:rsidRDefault="00165BBF">
      <w:pPr>
        <w:spacing w:after="200" w:line="276" w:lineRule="auto"/>
        <w:rPr>
          <w:b/>
          <w:sz w:val="28"/>
          <w:szCs w:val="28"/>
          <w:lang w:val="nl-NL"/>
        </w:rPr>
      </w:pPr>
      <w:r>
        <w:rPr>
          <w:b/>
          <w:sz w:val="28"/>
          <w:szCs w:val="28"/>
          <w:lang w:val="nl-NL"/>
        </w:rPr>
        <w:br w:type="page"/>
      </w:r>
    </w:p>
    <w:p w:rsidR="00165BBF" w:rsidRDefault="00165BBF">
      <w:pPr>
        <w:rPr>
          <w:b/>
          <w:sz w:val="28"/>
          <w:szCs w:val="28"/>
          <w:lang w:val="nl-NL"/>
        </w:rPr>
      </w:pPr>
      <w:r>
        <w:rPr>
          <w:b/>
          <w:sz w:val="28"/>
          <w:szCs w:val="28"/>
          <w:lang w:val="nl-NL"/>
        </w:rPr>
        <w:t>Bronvermelding</w:t>
      </w:r>
    </w:p>
    <w:p w:rsidR="00165BBF" w:rsidRPr="00107C72" w:rsidRDefault="00165BBF" w:rsidP="00BB046D">
      <w:pPr>
        <w:rPr>
          <w:lang w:val="nl-NL"/>
        </w:rPr>
      </w:pPr>
    </w:p>
    <w:p w:rsidR="00165BBF" w:rsidRPr="00BA1C47" w:rsidRDefault="00165BBF" w:rsidP="00BA1C47">
      <w:pPr>
        <w:pStyle w:val="FootnoteText"/>
        <w:rPr>
          <w:sz w:val="24"/>
          <w:szCs w:val="24"/>
        </w:rPr>
      </w:pPr>
      <w:r w:rsidRPr="00BA1C47">
        <w:rPr>
          <w:sz w:val="24"/>
          <w:szCs w:val="24"/>
        </w:rPr>
        <w:t xml:space="preserve">Böhmer, </w:t>
      </w:r>
      <w:r>
        <w:rPr>
          <w:sz w:val="24"/>
          <w:szCs w:val="24"/>
        </w:rPr>
        <w:t>S., Hoogendoorn M.N.</w:t>
      </w:r>
      <w:r w:rsidRPr="00BA1C47">
        <w:rPr>
          <w:sz w:val="24"/>
          <w:szCs w:val="24"/>
        </w:rPr>
        <w:t xml:space="preserve">, Krens </w:t>
      </w:r>
      <w:r>
        <w:rPr>
          <w:sz w:val="24"/>
          <w:szCs w:val="24"/>
        </w:rPr>
        <w:t xml:space="preserve">F., </w:t>
      </w:r>
      <w:r w:rsidRPr="00BA1C47">
        <w:rPr>
          <w:sz w:val="24"/>
          <w:szCs w:val="24"/>
        </w:rPr>
        <w:t>e.a., Handboek Jaarrekening,</w:t>
      </w:r>
      <w:r>
        <w:rPr>
          <w:sz w:val="24"/>
          <w:szCs w:val="24"/>
        </w:rPr>
        <w:t xml:space="preserve"> Ernst &amp; Young 2009</w:t>
      </w:r>
    </w:p>
    <w:p w:rsidR="00165BBF" w:rsidRPr="00107C72" w:rsidRDefault="00165BBF" w:rsidP="00FA5803">
      <w:pPr>
        <w:outlineLvl w:val="0"/>
        <w:rPr>
          <w:b/>
          <w:bCs/>
          <w:kern w:val="36"/>
          <w:lang w:val="nl-NL" w:eastAsia="nl-NL"/>
        </w:rPr>
      </w:pPr>
      <w:r w:rsidRPr="00107C72">
        <w:rPr>
          <w:bCs/>
          <w:kern w:val="36"/>
          <w:lang w:val="nl-NL" w:eastAsia="nl-NL"/>
        </w:rPr>
        <w:t>Bruijsten, C., De toekomst van het fiscale jaarwinstbegrip, WFR 2009/823</w:t>
      </w:r>
    </w:p>
    <w:p w:rsidR="00165BBF" w:rsidRPr="00107C72" w:rsidRDefault="00165BBF" w:rsidP="00BB046D">
      <w:pPr>
        <w:pStyle w:val="FootnoteText"/>
        <w:ind w:left="284" w:hanging="284"/>
        <w:rPr>
          <w:sz w:val="24"/>
          <w:szCs w:val="24"/>
          <w:lang w:val="en-US"/>
        </w:rPr>
      </w:pPr>
      <w:r w:rsidRPr="00107C72">
        <w:rPr>
          <w:sz w:val="24"/>
          <w:szCs w:val="24"/>
          <w:lang w:val="en-US"/>
        </w:rPr>
        <w:t>Common Consolidated Corporate Tax Base Working Group, Working Paper 57, CCCTB: possible elements of a technical outline (annotated), 2007</w:t>
      </w:r>
    </w:p>
    <w:p w:rsidR="00165BBF" w:rsidRPr="00107C72" w:rsidRDefault="00165BBF" w:rsidP="00250678">
      <w:pPr>
        <w:pStyle w:val="FootnoteText"/>
        <w:ind w:left="284" w:hanging="284"/>
        <w:rPr>
          <w:sz w:val="24"/>
          <w:szCs w:val="24"/>
          <w:lang w:val="en-US"/>
        </w:rPr>
      </w:pPr>
      <w:r w:rsidRPr="00107C72">
        <w:rPr>
          <w:sz w:val="24"/>
          <w:szCs w:val="24"/>
          <w:lang w:val="en-US"/>
        </w:rPr>
        <w:t>Conceptrichtlijn van 23 juli 1975: Proposal for a Directive of the Council Concerning the Harmonization of Company Taxation and of Withholding Taxes on Dividends</w:t>
      </w:r>
    </w:p>
    <w:p w:rsidR="00165BBF" w:rsidRPr="00C77937" w:rsidRDefault="00165BBF" w:rsidP="00C77937">
      <w:pPr>
        <w:pStyle w:val="FootnoteText"/>
        <w:rPr>
          <w:sz w:val="24"/>
          <w:szCs w:val="24"/>
        </w:rPr>
      </w:pPr>
      <w:r w:rsidRPr="00394435">
        <w:rPr>
          <w:sz w:val="24"/>
          <w:szCs w:val="24"/>
        </w:rPr>
        <w:t>Doornebal, J.,</w:t>
      </w:r>
      <w:r>
        <w:rPr>
          <w:sz w:val="24"/>
          <w:szCs w:val="24"/>
        </w:rPr>
        <w:t xml:space="preserve"> </w:t>
      </w:r>
      <w:r w:rsidRPr="00C77937">
        <w:rPr>
          <w:sz w:val="24"/>
          <w:szCs w:val="24"/>
        </w:rPr>
        <w:t>Ontwikkelingen rond goed koopmansgebruik, TFO 2008/160.</w:t>
      </w:r>
    </w:p>
    <w:p w:rsidR="00165BBF" w:rsidRPr="00107C72" w:rsidRDefault="00165BBF" w:rsidP="00BA1C47">
      <w:pPr>
        <w:ind w:left="284" w:hanging="284"/>
        <w:rPr>
          <w:lang w:val="nl-NL"/>
        </w:rPr>
      </w:pPr>
      <w:r w:rsidRPr="00107C72">
        <w:rPr>
          <w:lang w:val="nl-NL"/>
        </w:rPr>
        <w:t>Essers, P.H.J., De toekomst van Goed Koopmansgebruik na de invoering van International Financial Reporting Standards in 2005, Kluwer Deventer 2005</w:t>
      </w:r>
    </w:p>
    <w:p w:rsidR="00165BBF" w:rsidRPr="00107C72" w:rsidRDefault="00165BBF" w:rsidP="00742E2A">
      <w:pPr>
        <w:ind w:left="284" w:hanging="284"/>
        <w:rPr>
          <w:lang w:val="en-US"/>
        </w:rPr>
      </w:pPr>
      <w:r w:rsidRPr="00107C72">
        <w:rPr>
          <w:lang w:val="en-US"/>
        </w:rPr>
        <w:t>Essers, P.H.J., Fiscale voorraadwaardering (FED Fiscale Brochures), FED Deventer 1988</w:t>
      </w:r>
    </w:p>
    <w:p w:rsidR="00165BBF" w:rsidRPr="00107C72" w:rsidRDefault="00165BBF" w:rsidP="00250678">
      <w:pPr>
        <w:pStyle w:val="FootnoteText"/>
        <w:ind w:left="284" w:hanging="284"/>
        <w:rPr>
          <w:sz w:val="24"/>
          <w:szCs w:val="24"/>
          <w:lang w:val="en-US"/>
        </w:rPr>
      </w:pPr>
      <w:r w:rsidRPr="00107C72">
        <w:rPr>
          <w:sz w:val="24"/>
          <w:szCs w:val="24"/>
          <w:lang w:val="en-US"/>
        </w:rPr>
        <w:t>European Commission, Company Taxation in the Internal Market, COM(2001)582, 23 oktober 2001</w:t>
      </w:r>
    </w:p>
    <w:p w:rsidR="00165BBF" w:rsidRPr="00394435" w:rsidRDefault="00165BBF" w:rsidP="00BB046D">
      <w:pPr>
        <w:pStyle w:val="FootnoteText"/>
        <w:ind w:left="284" w:hanging="284"/>
        <w:rPr>
          <w:sz w:val="24"/>
          <w:szCs w:val="24"/>
        </w:rPr>
      </w:pPr>
      <w:r w:rsidRPr="00394435">
        <w:rPr>
          <w:sz w:val="24"/>
          <w:szCs w:val="24"/>
        </w:rPr>
        <w:t>Heithuis, E.J.W. en Dool, R.P. van den, Compendium</w:t>
      </w:r>
      <w:r w:rsidRPr="00394435">
        <w:rPr>
          <w:iCs/>
          <w:sz w:val="24"/>
          <w:szCs w:val="24"/>
        </w:rPr>
        <w:t xml:space="preserve"> Vennootschapsbelasting</w:t>
      </w:r>
      <w:r w:rsidRPr="00394435">
        <w:rPr>
          <w:sz w:val="24"/>
          <w:szCs w:val="24"/>
        </w:rPr>
        <w:t>, Kluwer Deventer 2007</w:t>
      </w:r>
    </w:p>
    <w:p w:rsidR="00165BBF" w:rsidRPr="00107C72" w:rsidRDefault="00165BBF" w:rsidP="00FA5803">
      <w:pPr>
        <w:outlineLvl w:val="0"/>
        <w:rPr>
          <w:bCs/>
          <w:kern w:val="36"/>
          <w:lang w:val="nl-NL" w:eastAsia="nl-NL"/>
        </w:rPr>
      </w:pPr>
      <w:r w:rsidRPr="00107C72">
        <w:rPr>
          <w:bCs/>
          <w:kern w:val="36"/>
          <w:lang w:val="nl-NL" w:eastAsia="nl-NL"/>
        </w:rPr>
        <w:t>Hoepen, M.A. van, IFRS en fiscale winstbepaling, TFO 2005/89</w:t>
      </w:r>
    </w:p>
    <w:p w:rsidR="00165BBF" w:rsidRPr="00107C72" w:rsidRDefault="00165BBF" w:rsidP="00C77937">
      <w:pPr>
        <w:ind w:left="284" w:hanging="284"/>
        <w:rPr>
          <w:lang w:val="nl-NL"/>
        </w:rPr>
      </w:pPr>
      <w:r w:rsidRPr="00107C72">
        <w:rPr>
          <w:lang w:val="nl-NL"/>
        </w:rPr>
        <w:t>Kamerstukken II 2005/06, 30 572 , nr. 8, V-N 2006/43.2</w:t>
      </w:r>
    </w:p>
    <w:p w:rsidR="00165BBF" w:rsidRPr="00FA5803" w:rsidRDefault="00165BBF" w:rsidP="00FA5803">
      <w:pPr>
        <w:pStyle w:val="FootnoteText"/>
        <w:ind w:left="284" w:hanging="284"/>
        <w:rPr>
          <w:sz w:val="24"/>
          <w:szCs w:val="24"/>
        </w:rPr>
      </w:pPr>
      <w:r w:rsidRPr="00FA5803">
        <w:rPr>
          <w:bCs/>
          <w:kern w:val="36"/>
          <w:sz w:val="24"/>
          <w:szCs w:val="24"/>
        </w:rPr>
        <w:t>Kampschöer, G.W.J.M.</w:t>
      </w:r>
      <w:r>
        <w:rPr>
          <w:bCs/>
          <w:kern w:val="36"/>
          <w:sz w:val="24"/>
          <w:szCs w:val="24"/>
        </w:rPr>
        <w:t xml:space="preserve">, </w:t>
      </w:r>
      <w:r w:rsidRPr="00FA5803">
        <w:rPr>
          <w:bCs/>
          <w:kern w:val="36"/>
          <w:sz w:val="24"/>
          <w:szCs w:val="24"/>
        </w:rPr>
        <w:t>IFRS en de verhouding tot het Nederlandse fiscale winstbegrip,</w:t>
      </w:r>
      <w:r w:rsidRPr="00FA5803">
        <w:rPr>
          <w:b/>
          <w:bCs/>
          <w:kern w:val="36"/>
          <w:sz w:val="24"/>
          <w:szCs w:val="24"/>
        </w:rPr>
        <w:t xml:space="preserve"> </w:t>
      </w:r>
      <w:r w:rsidRPr="00FA5803">
        <w:rPr>
          <w:bCs/>
          <w:kern w:val="36"/>
          <w:sz w:val="24"/>
          <w:szCs w:val="24"/>
        </w:rPr>
        <w:t>WFR 2004/1228</w:t>
      </w:r>
    </w:p>
    <w:p w:rsidR="00165BBF" w:rsidRPr="00394435" w:rsidRDefault="00165BBF" w:rsidP="00310B3E">
      <w:pPr>
        <w:pStyle w:val="FootnoteText"/>
        <w:rPr>
          <w:sz w:val="24"/>
          <w:szCs w:val="24"/>
        </w:rPr>
      </w:pPr>
      <w:r w:rsidRPr="00394435">
        <w:rPr>
          <w:sz w:val="24"/>
          <w:szCs w:val="24"/>
        </w:rPr>
        <w:t xml:space="preserve">Kavelaars, P., Naar een </w:t>
      </w:r>
      <w:r>
        <w:rPr>
          <w:sz w:val="24"/>
          <w:szCs w:val="24"/>
        </w:rPr>
        <w:t>Europese winstgrondslag deel 1</w:t>
      </w:r>
      <w:r w:rsidRPr="00394435">
        <w:rPr>
          <w:sz w:val="24"/>
          <w:szCs w:val="24"/>
        </w:rPr>
        <w:t>, WFR 2008/1184</w:t>
      </w:r>
    </w:p>
    <w:p w:rsidR="00165BBF" w:rsidRPr="00250678" w:rsidRDefault="00165BBF" w:rsidP="00250678">
      <w:pPr>
        <w:pStyle w:val="FootnoteText"/>
        <w:rPr>
          <w:sz w:val="24"/>
          <w:szCs w:val="24"/>
        </w:rPr>
      </w:pPr>
      <w:r w:rsidRPr="00250678">
        <w:rPr>
          <w:sz w:val="24"/>
          <w:szCs w:val="24"/>
        </w:rPr>
        <w:t xml:space="preserve">Kavelaars, </w:t>
      </w:r>
      <w:r>
        <w:rPr>
          <w:sz w:val="24"/>
          <w:szCs w:val="24"/>
        </w:rPr>
        <w:t>P., Naar een Europese w</w:t>
      </w:r>
      <w:r w:rsidRPr="00250678">
        <w:rPr>
          <w:sz w:val="24"/>
          <w:szCs w:val="24"/>
        </w:rPr>
        <w:t>instgrondslag deel 2,</w:t>
      </w:r>
      <w:r>
        <w:rPr>
          <w:sz w:val="24"/>
          <w:szCs w:val="24"/>
        </w:rPr>
        <w:t xml:space="preserve"> WFR 2008/1218</w:t>
      </w:r>
    </w:p>
    <w:p w:rsidR="00165BBF" w:rsidRPr="00394435" w:rsidRDefault="00165BBF" w:rsidP="00310B3E">
      <w:pPr>
        <w:pStyle w:val="FootnoteText"/>
        <w:rPr>
          <w:sz w:val="24"/>
          <w:szCs w:val="24"/>
        </w:rPr>
      </w:pPr>
      <w:r w:rsidRPr="00394435">
        <w:rPr>
          <w:sz w:val="24"/>
          <w:szCs w:val="24"/>
        </w:rPr>
        <w:t xml:space="preserve">Klaassen, J. en Hoogendoorn M.N., </w:t>
      </w:r>
      <w:r w:rsidRPr="00394435">
        <w:rPr>
          <w:iCs/>
          <w:sz w:val="24"/>
          <w:szCs w:val="24"/>
        </w:rPr>
        <w:t>Externe verslaggeving</w:t>
      </w:r>
      <w:r w:rsidRPr="00394435">
        <w:rPr>
          <w:sz w:val="24"/>
          <w:szCs w:val="24"/>
        </w:rPr>
        <w:t>, Stenfert Kroese Groningen 2004</w:t>
      </w:r>
    </w:p>
    <w:p w:rsidR="00165BBF" w:rsidRPr="008E546C" w:rsidRDefault="00165BBF" w:rsidP="00C77937">
      <w:pPr>
        <w:pStyle w:val="FootnoteText"/>
        <w:rPr>
          <w:sz w:val="24"/>
          <w:szCs w:val="24"/>
        </w:rPr>
      </w:pPr>
      <w:r w:rsidRPr="008E546C">
        <w:rPr>
          <w:sz w:val="24"/>
          <w:szCs w:val="24"/>
        </w:rPr>
        <w:t>MvT, Kamerstukken II 2</w:t>
      </w:r>
      <w:r>
        <w:rPr>
          <w:sz w:val="24"/>
          <w:szCs w:val="24"/>
        </w:rPr>
        <w:t xml:space="preserve">005/06, 30 572, nr. 3, </w:t>
      </w:r>
      <w:r w:rsidRPr="008E546C">
        <w:rPr>
          <w:sz w:val="24"/>
          <w:szCs w:val="24"/>
        </w:rPr>
        <w:t>V-N 2006/30.3</w:t>
      </w:r>
    </w:p>
    <w:p w:rsidR="00165BBF" w:rsidRPr="00A27BD9" w:rsidRDefault="00165BBF" w:rsidP="00250678">
      <w:pPr>
        <w:pStyle w:val="Heading1"/>
        <w:ind w:left="284" w:hanging="284"/>
        <w:rPr>
          <w:b w:val="0"/>
        </w:rPr>
      </w:pPr>
      <w:r w:rsidRPr="00A27BD9">
        <w:rPr>
          <w:b w:val="0"/>
        </w:rPr>
        <w:t>Ots, H.J., Externe financiële verslaggeving, Pearson Education Benelux 2004</w:t>
      </w:r>
    </w:p>
    <w:p w:rsidR="00165BBF" w:rsidRPr="00250678" w:rsidRDefault="00165BBF" w:rsidP="00250678">
      <w:pPr>
        <w:pStyle w:val="Heading1"/>
        <w:ind w:left="284" w:hanging="284"/>
        <w:rPr>
          <w:b w:val="0"/>
        </w:rPr>
      </w:pPr>
      <w:r w:rsidRPr="00250678">
        <w:rPr>
          <w:b w:val="0"/>
        </w:rPr>
        <w:t>Russo,</w:t>
      </w:r>
      <w:r>
        <w:rPr>
          <w:b w:val="0"/>
        </w:rPr>
        <w:t xml:space="preserve"> R.,</w:t>
      </w:r>
      <w:r w:rsidRPr="00250678">
        <w:rPr>
          <w:b w:val="0"/>
        </w:rPr>
        <w:t xml:space="preserve"> CCCTB: een tussenstand mede naar aanleiding van de conferentie van 15 en 16 mei 2007 in Berlijn, </w:t>
      </w:r>
      <w:r>
        <w:rPr>
          <w:b w:val="0"/>
        </w:rPr>
        <w:t>WFR 2007/743</w:t>
      </w:r>
    </w:p>
    <w:p w:rsidR="00165BBF" w:rsidRPr="00394435" w:rsidRDefault="00165BBF" w:rsidP="00D26968">
      <w:pPr>
        <w:ind w:left="284" w:hanging="284"/>
        <w:rPr>
          <w:lang w:val="nl-NL"/>
        </w:rPr>
      </w:pPr>
      <w:r w:rsidRPr="00394435">
        <w:rPr>
          <w:lang w:val="nl-NL"/>
        </w:rPr>
        <w:t xml:space="preserve">Sillevis, L.W., Kempen, M.L.M. van, Westen, G.W.B. van, e.a., </w:t>
      </w:r>
      <w:r w:rsidRPr="00394435">
        <w:rPr>
          <w:iCs/>
          <w:lang w:val="nl-NL"/>
        </w:rPr>
        <w:t>Studenteneditie Cursus Belastingrecht (Inkomstenbelasting)</w:t>
      </w:r>
      <w:r w:rsidRPr="00394435">
        <w:rPr>
          <w:lang w:val="nl-NL"/>
        </w:rPr>
        <w:t>, Kluwer Deventer 2008</w:t>
      </w:r>
    </w:p>
    <w:p w:rsidR="00165BBF" w:rsidRPr="00394435" w:rsidRDefault="00165BBF" w:rsidP="00D26968">
      <w:pPr>
        <w:ind w:left="284" w:hanging="284"/>
        <w:rPr>
          <w:lang w:val="nl-NL"/>
        </w:rPr>
      </w:pPr>
      <w:r w:rsidRPr="00394435">
        <w:rPr>
          <w:lang w:val="nl-NL"/>
        </w:rPr>
        <w:t>Stevens, L.G.M., Elementair Belastingrecht, Kluwer Deventer 2007</w:t>
      </w:r>
    </w:p>
    <w:p w:rsidR="00165BBF" w:rsidRPr="00F71085" w:rsidRDefault="00165BBF" w:rsidP="00C77937">
      <w:pPr>
        <w:pStyle w:val="FootnoteText"/>
        <w:rPr>
          <w:i/>
          <w:sz w:val="24"/>
          <w:szCs w:val="24"/>
        </w:rPr>
      </w:pPr>
      <w:r w:rsidRPr="00F71085">
        <w:rPr>
          <w:rStyle w:val="Emphasis"/>
          <w:i w:val="0"/>
          <w:sz w:val="24"/>
          <w:szCs w:val="24"/>
        </w:rPr>
        <w:t xml:space="preserve">Streek, </w:t>
      </w:r>
      <w:r>
        <w:rPr>
          <w:rStyle w:val="Emphasis"/>
          <w:i w:val="0"/>
          <w:sz w:val="24"/>
          <w:szCs w:val="24"/>
        </w:rPr>
        <w:t xml:space="preserve">J.L. van de, </w:t>
      </w:r>
      <w:r w:rsidRPr="00F71085">
        <w:rPr>
          <w:rStyle w:val="Emphasis"/>
          <w:i w:val="0"/>
          <w:sz w:val="24"/>
          <w:szCs w:val="24"/>
        </w:rPr>
        <w:t xml:space="preserve">De conceptrichtlijn CCCTB, </w:t>
      </w:r>
      <w:r w:rsidRPr="00C77937">
        <w:rPr>
          <w:sz w:val="24"/>
          <w:szCs w:val="24"/>
        </w:rPr>
        <w:t>V-N 2011/26.65</w:t>
      </w:r>
    </w:p>
    <w:p w:rsidR="00165BBF" w:rsidRPr="00394435" w:rsidRDefault="00165BBF">
      <w:pPr>
        <w:ind w:left="284" w:hanging="284"/>
        <w:rPr>
          <w:lang w:val="nl-NL"/>
        </w:rPr>
      </w:pPr>
      <w:r w:rsidRPr="00394435">
        <w:rPr>
          <w:lang w:val="nl-NL"/>
        </w:rPr>
        <w:t>Vakstudie, Commentaar op art. 9 IB 1964, aantekening 48 </w:t>
      </w:r>
      <w:r w:rsidRPr="00394435">
        <w:rPr>
          <w:rStyle w:val="highlight1"/>
          <w:lang w:val="nl-NL"/>
        </w:rPr>
        <w:t>Waardering</w:t>
      </w:r>
      <w:r w:rsidRPr="00394435">
        <w:rPr>
          <w:lang w:val="nl-NL"/>
        </w:rPr>
        <w:t xml:space="preserve"> op lagere marktwaarde bij </w:t>
      </w:r>
      <w:r w:rsidRPr="00394435">
        <w:rPr>
          <w:rStyle w:val="highlight1"/>
          <w:lang w:val="nl-NL"/>
        </w:rPr>
        <w:t>incourante</w:t>
      </w:r>
      <w:r w:rsidRPr="00394435">
        <w:rPr>
          <w:lang w:val="nl-NL"/>
        </w:rPr>
        <w:t xml:space="preserve"> goederen</w:t>
      </w:r>
    </w:p>
    <w:p w:rsidR="00165BBF" w:rsidRPr="00394435" w:rsidRDefault="00165BBF">
      <w:pPr>
        <w:ind w:left="284" w:hanging="284"/>
        <w:rPr>
          <w:lang w:val="nl-NL"/>
        </w:rPr>
      </w:pPr>
      <w:r w:rsidRPr="00394435">
        <w:rPr>
          <w:lang w:val="nl-NL"/>
        </w:rPr>
        <w:t>Vakstudie, Commentaar op art. 25 IB 2001, aantekening 12.5 Stelsel: waardering op kostprijs of lagere marktwaarde</w:t>
      </w:r>
    </w:p>
    <w:p w:rsidR="00165BBF" w:rsidRPr="00394435" w:rsidRDefault="00165BBF">
      <w:pPr>
        <w:ind w:left="284" w:hanging="284"/>
        <w:rPr>
          <w:lang w:val="nl-NL"/>
        </w:rPr>
      </w:pPr>
      <w:r w:rsidRPr="00394435">
        <w:rPr>
          <w:lang w:val="nl-NL"/>
        </w:rPr>
        <w:t>Vakstudie, Commentaar op art. 25 IB 2001, aantekening 12.6 Lifostelsels</w:t>
      </w:r>
    </w:p>
    <w:p w:rsidR="00165BBF" w:rsidRPr="00394435" w:rsidRDefault="00165BBF">
      <w:pPr>
        <w:ind w:left="284" w:hanging="284"/>
        <w:rPr>
          <w:lang w:val="nl-NL"/>
        </w:rPr>
      </w:pPr>
      <w:r w:rsidRPr="00394435">
        <w:rPr>
          <w:lang w:val="nl-NL"/>
        </w:rPr>
        <w:t>Vakstudie, Commentaar op art. 25 IB 2001, aantekening 12.7 IJzerenvoorraadstelsel</w:t>
      </w:r>
    </w:p>
    <w:p w:rsidR="00165BBF" w:rsidRPr="00107C72" w:rsidRDefault="00165BBF" w:rsidP="00C77937">
      <w:pPr>
        <w:shd w:val="clear" w:color="auto" w:fill="FFFFFF"/>
        <w:ind w:left="284" w:hanging="284"/>
        <w:rPr>
          <w:bCs/>
          <w:lang w:val="nl-NL" w:eastAsia="nl-NL"/>
        </w:rPr>
      </w:pPr>
      <w:r w:rsidRPr="00F71085">
        <w:rPr>
          <w:bCs/>
          <w:lang w:eastAsia="nl-NL"/>
        </w:rPr>
        <w:t xml:space="preserve">Vennootschapsbelasting. Europees recht; Common Consolidated Corporate Tax Base (CCCTB). </w:t>
      </w:r>
      <w:r w:rsidRPr="00107C72">
        <w:rPr>
          <w:bCs/>
          <w:lang w:val="nl-NL" w:eastAsia="nl-NL"/>
        </w:rPr>
        <w:t>Richtlijnvoorstel Europese Commissie en standpunt kabinet.</w:t>
      </w:r>
      <w:r>
        <w:rPr>
          <w:bCs/>
          <w:lang w:val="nl-NL" w:eastAsia="nl-NL"/>
        </w:rPr>
        <w:t xml:space="preserve"> </w:t>
      </w:r>
      <w:r w:rsidRPr="00107C72">
        <w:rPr>
          <w:lang w:val="nl-NL" w:eastAsia="nl-NL"/>
        </w:rPr>
        <w:t>V-N 2011/20.10</w:t>
      </w:r>
    </w:p>
    <w:p w:rsidR="00165BBF" w:rsidRDefault="00165BBF" w:rsidP="00BA1C47">
      <w:pPr>
        <w:pStyle w:val="FootnoteText"/>
        <w:rPr>
          <w:sz w:val="24"/>
          <w:szCs w:val="24"/>
        </w:rPr>
      </w:pPr>
    </w:p>
    <w:p w:rsidR="00165BBF" w:rsidRDefault="00165BBF" w:rsidP="00BA1C47">
      <w:pPr>
        <w:pStyle w:val="FootnoteText"/>
        <w:rPr>
          <w:sz w:val="24"/>
          <w:szCs w:val="24"/>
        </w:rPr>
      </w:pPr>
    </w:p>
    <w:p w:rsidR="00165BBF" w:rsidRPr="00C77937" w:rsidRDefault="00165BBF" w:rsidP="00146970">
      <w:pPr>
        <w:pStyle w:val="FootnoteText"/>
        <w:ind w:left="284" w:hanging="284"/>
        <w:rPr>
          <w:sz w:val="24"/>
          <w:szCs w:val="24"/>
        </w:rPr>
      </w:pPr>
      <w:r w:rsidRPr="00C77937">
        <w:rPr>
          <w:sz w:val="24"/>
          <w:szCs w:val="24"/>
        </w:rPr>
        <w:t>http://download.belastingdienst.nl/belastingdienst/docs/uitwerking_waardering_onderhanden_werk.pdf</w:t>
      </w:r>
    </w:p>
    <w:p w:rsidR="00165BBF" w:rsidRDefault="00165BBF">
      <w:pPr>
        <w:pStyle w:val="FootnoteText"/>
        <w:rPr>
          <w:sz w:val="24"/>
          <w:szCs w:val="24"/>
        </w:rPr>
      </w:pPr>
      <w:r w:rsidRPr="007F0F05">
        <w:rPr>
          <w:sz w:val="24"/>
          <w:szCs w:val="24"/>
        </w:rPr>
        <w:t>http://www.ifrs.org/NR/rdonlyres/9D0DE08C-C584-46EB-B36E-C4B9A8CB6A02/0/Who</w:t>
      </w:r>
    </w:p>
    <w:p w:rsidR="00165BBF" w:rsidRPr="00C77937" w:rsidRDefault="00165BBF" w:rsidP="00146970">
      <w:pPr>
        <w:pStyle w:val="FootnoteText"/>
        <w:ind w:left="284"/>
        <w:rPr>
          <w:sz w:val="24"/>
          <w:szCs w:val="24"/>
        </w:rPr>
      </w:pPr>
      <w:r>
        <w:rPr>
          <w:sz w:val="24"/>
          <w:szCs w:val="24"/>
        </w:rPr>
        <w:t>WeAreEnglishMay2011.pdf</w:t>
      </w:r>
    </w:p>
    <w:sectPr w:rsidR="00165BBF" w:rsidRPr="00C77937" w:rsidSect="00324A96">
      <w:footerReference w:type="default" r:id="rId8"/>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5BBF" w:rsidRDefault="00165BBF" w:rsidP="00C265C0">
      <w:r>
        <w:separator/>
      </w:r>
    </w:p>
  </w:endnote>
  <w:endnote w:type="continuationSeparator" w:id="1">
    <w:p w:rsidR="00165BBF" w:rsidRDefault="00165BBF" w:rsidP="00C265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imesNew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BBF" w:rsidRDefault="00165BBF">
    <w:pPr>
      <w:pStyle w:val="Footer"/>
      <w:jc w:val="center"/>
    </w:pPr>
    <w:fldSimple w:instr=" PAGE   \* MERGEFORMAT ">
      <w:r>
        <w:rPr>
          <w:noProof/>
        </w:rPr>
        <w:t>35</w:t>
      </w:r>
    </w:fldSimple>
  </w:p>
  <w:p w:rsidR="00165BBF" w:rsidRDefault="00165BB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5BBF" w:rsidRDefault="00165BBF" w:rsidP="00C265C0">
      <w:r>
        <w:separator/>
      </w:r>
    </w:p>
  </w:footnote>
  <w:footnote w:type="continuationSeparator" w:id="1">
    <w:p w:rsidR="00165BBF" w:rsidRDefault="00165BBF" w:rsidP="00C265C0">
      <w:r>
        <w:continuationSeparator/>
      </w:r>
    </w:p>
  </w:footnote>
  <w:footnote w:id="2">
    <w:p w:rsidR="00165BBF" w:rsidRDefault="00165BBF" w:rsidP="00C265C0">
      <w:pPr>
        <w:pStyle w:val="FootnoteText"/>
      </w:pPr>
      <w:r>
        <w:rPr>
          <w:rStyle w:val="FootnoteReference"/>
        </w:rPr>
        <w:footnoteRef/>
      </w:r>
      <w:r w:rsidRPr="00107C72">
        <w:t xml:space="preserve"> Prof. dr. mr. </w:t>
      </w:r>
      <w:r>
        <w:t xml:space="preserve">E.J.W. Heithuis en drs. R.P. van den Dool, </w:t>
      </w:r>
      <w:r>
        <w:rPr>
          <w:i/>
          <w:iCs/>
        </w:rPr>
        <w:t>Compendium Vennootschapsbelasting</w:t>
      </w:r>
      <w:r>
        <w:t>, Kluwer Deventer 2007, blz. 6.</w:t>
      </w:r>
    </w:p>
  </w:footnote>
  <w:footnote w:id="3">
    <w:p w:rsidR="00165BBF" w:rsidRDefault="00165BBF" w:rsidP="00C265C0">
      <w:pPr>
        <w:pStyle w:val="FootnoteText"/>
      </w:pPr>
      <w:r>
        <w:rPr>
          <w:rStyle w:val="FootnoteReference"/>
        </w:rPr>
        <w:footnoteRef/>
      </w:r>
      <w:r>
        <w:t xml:space="preserve"> Prof. dr. P. Kavelaars, </w:t>
      </w:r>
      <w:r w:rsidRPr="000F5A8B">
        <w:rPr>
          <w:i/>
        </w:rPr>
        <w:t xml:space="preserve">Naar een </w:t>
      </w:r>
      <w:r>
        <w:rPr>
          <w:i/>
        </w:rPr>
        <w:t>Europese winstgrondslag (deel 1)</w:t>
      </w:r>
      <w:r>
        <w:t>, WFR 2008/1184</w:t>
      </w:r>
    </w:p>
  </w:footnote>
  <w:footnote w:id="4">
    <w:p w:rsidR="00165BBF" w:rsidRDefault="00165BBF" w:rsidP="00C265C0">
      <w:pPr>
        <w:pStyle w:val="FootnoteText"/>
      </w:pPr>
      <w:r>
        <w:rPr>
          <w:rStyle w:val="FootnoteReference"/>
        </w:rPr>
        <w:footnoteRef/>
      </w:r>
      <w:r>
        <w:t xml:space="preserve"> Prof. dr. J. Klaassen RA en prof. dr. M.N. Hoogendoorn RA, </w:t>
      </w:r>
      <w:r>
        <w:rPr>
          <w:i/>
          <w:iCs/>
        </w:rPr>
        <w:t>Externe verslaggeving</w:t>
      </w:r>
      <w:r>
        <w:t>, Stenfert Kroese Groningen 2004, blz. 48.</w:t>
      </w:r>
    </w:p>
  </w:footnote>
  <w:footnote w:id="5">
    <w:p w:rsidR="00165BBF" w:rsidRDefault="00165BBF" w:rsidP="00C265C0">
      <w:pPr>
        <w:pStyle w:val="FootnoteText"/>
      </w:pPr>
      <w:r>
        <w:rPr>
          <w:rStyle w:val="FootnoteReference"/>
        </w:rPr>
        <w:footnoteRef/>
      </w:r>
      <w:r w:rsidRPr="00107C72">
        <w:rPr>
          <w:lang w:val="en-US"/>
        </w:rPr>
        <w:t xml:space="preserve"> Common Consolidated Corporate Tax Base Working Group, </w:t>
      </w:r>
      <w:r w:rsidRPr="00107C72">
        <w:rPr>
          <w:i/>
          <w:lang w:val="en-US"/>
        </w:rPr>
        <w:t>Working Paper 57, CCCTB: possible elements of a technical outline</w:t>
      </w:r>
      <w:r w:rsidRPr="00107C72">
        <w:rPr>
          <w:lang w:val="en-US"/>
        </w:rPr>
        <w:t>, 2007</w:t>
      </w:r>
    </w:p>
  </w:footnote>
  <w:footnote w:id="6">
    <w:p w:rsidR="00165BBF" w:rsidRDefault="00165BBF" w:rsidP="00C265C0">
      <w:pPr>
        <w:pStyle w:val="FootnoteText"/>
      </w:pPr>
      <w:r>
        <w:rPr>
          <w:rStyle w:val="FootnoteReference"/>
        </w:rPr>
        <w:footnoteRef/>
      </w:r>
      <w:r>
        <w:rPr>
          <w:lang w:val="en-GB"/>
        </w:rPr>
        <w:t xml:space="preserve"> Mr. L.W. Sillevis, dr. </w:t>
      </w:r>
      <w:r>
        <w:t xml:space="preserve">M.L.M. van Kempen, mr. G.W.B. van Westen e.a., </w:t>
      </w:r>
      <w:r>
        <w:rPr>
          <w:i/>
          <w:iCs/>
        </w:rPr>
        <w:t>Studenteneditie Cursus Belastingrecht (Inkomstenbelasting)</w:t>
      </w:r>
      <w:r>
        <w:t>, Kluwer Deventer 2008, blz. 210-217.</w:t>
      </w:r>
    </w:p>
  </w:footnote>
  <w:footnote w:id="7">
    <w:p w:rsidR="00165BBF" w:rsidRDefault="00165BBF" w:rsidP="0086751F">
      <w:pPr>
        <w:pStyle w:val="FootnoteText"/>
      </w:pPr>
      <w:r w:rsidRPr="00381383">
        <w:rPr>
          <w:rStyle w:val="FootnoteReference"/>
        </w:rPr>
        <w:footnoteRef/>
      </w:r>
      <w:r w:rsidRPr="00107C72">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Kluwer Deventer 2008, blz. 23-24.</w:t>
      </w:r>
    </w:p>
  </w:footnote>
  <w:footnote w:id="8">
    <w:p w:rsidR="00165BBF" w:rsidRDefault="00165BBF" w:rsidP="0086751F">
      <w:pPr>
        <w:pStyle w:val="FootnoteText"/>
      </w:pPr>
      <w:r w:rsidRPr="00381383">
        <w:rPr>
          <w:rStyle w:val="FootnoteReference"/>
        </w:rPr>
        <w:footnoteRef/>
      </w:r>
      <w:r w:rsidRPr="00381383">
        <w:t xml:space="preserve"> Prof. dr. L.G.M. Stevens, </w:t>
      </w:r>
      <w:r w:rsidRPr="00381383">
        <w:rPr>
          <w:i/>
        </w:rPr>
        <w:t>Elementair Belastingrecht</w:t>
      </w:r>
      <w:r w:rsidRPr="00381383">
        <w:t>, Kluwer Deventer 2007, blz.176.</w:t>
      </w:r>
    </w:p>
  </w:footnote>
  <w:footnote w:id="9">
    <w:p w:rsidR="00165BBF" w:rsidRDefault="00165BBF" w:rsidP="0086751F">
      <w:pPr>
        <w:pStyle w:val="FootnoteText"/>
      </w:pPr>
      <w:r w:rsidRPr="00381383">
        <w:rPr>
          <w:rStyle w:val="FootnoteReference"/>
        </w:rPr>
        <w:footnoteRef/>
      </w:r>
      <w:r w:rsidRPr="00107C72">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Kluwer Deventer 2008, blz. 181, 183.</w:t>
      </w:r>
    </w:p>
  </w:footnote>
  <w:footnote w:id="10">
    <w:p w:rsidR="00165BBF" w:rsidRDefault="00165BBF" w:rsidP="0086751F">
      <w:pPr>
        <w:pStyle w:val="FootnoteText"/>
      </w:pPr>
      <w:r w:rsidRPr="00381383">
        <w:rPr>
          <w:rStyle w:val="FootnoteReference"/>
        </w:rPr>
        <w:footnoteRef/>
      </w:r>
      <w:r w:rsidRPr="00381383">
        <w:t xml:space="preserve"> Dr. J. Doornebal, TFO 2008, blz. 167.</w:t>
      </w:r>
    </w:p>
  </w:footnote>
  <w:footnote w:id="11">
    <w:p w:rsidR="00165BBF" w:rsidRDefault="00165BBF" w:rsidP="0086751F">
      <w:pPr>
        <w:pStyle w:val="FootnoteText"/>
      </w:pPr>
      <w:r w:rsidRPr="00381383">
        <w:rPr>
          <w:rStyle w:val="FootnoteReference"/>
        </w:rPr>
        <w:footnoteRef/>
      </w:r>
      <w:r w:rsidRPr="00381383">
        <w:t xml:space="preserve"> Prof. dr. L.G.M. Stevens, </w:t>
      </w:r>
      <w:r w:rsidRPr="00381383">
        <w:rPr>
          <w:i/>
        </w:rPr>
        <w:t>Elementair Belastingrecht</w:t>
      </w:r>
      <w:r w:rsidRPr="00381383">
        <w:t>, Kluwer Deventer 2007, blz. 181.</w:t>
      </w:r>
    </w:p>
  </w:footnote>
  <w:footnote w:id="12">
    <w:p w:rsidR="00165BBF" w:rsidRDefault="00165BBF" w:rsidP="0086751F">
      <w:pPr>
        <w:pStyle w:val="FootnoteText"/>
      </w:pPr>
      <w:r w:rsidRPr="00381383">
        <w:rPr>
          <w:rStyle w:val="FootnoteReference"/>
        </w:rPr>
        <w:footnoteRef/>
      </w:r>
      <w:r w:rsidRPr="00107C72">
        <w:rPr>
          <w:lang w:val="en-US"/>
        </w:rPr>
        <w:t xml:space="preserve"> P.H.J. Essers, </w:t>
      </w:r>
      <w:r w:rsidRPr="00107C72">
        <w:rPr>
          <w:i/>
          <w:lang w:val="en-US"/>
        </w:rPr>
        <w:t>Fiscale voorraadwaardering (FED Fiscale Brochures),</w:t>
      </w:r>
      <w:r w:rsidRPr="00107C72">
        <w:rPr>
          <w:lang w:val="en-US"/>
        </w:rPr>
        <w:t xml:space="preserve"> FED Deventer 1988, blz. 11.</w:t>
      </w:r>
    </w:p>
  </w:footnote>
  <w:footnote w:id="13">
    <w:p w:rsidR="00165BBF" w:rsidRDefault="00165BBF" w:rsidP="0086751F">
      <w:pPr>
        <w:pStyle w:val="FootnoteText"/>
      </w:pPr>
      <w:r w:rsidRPr="00381383">
        <w:rPr>
          <w:rStyle w:val="FootnoteReference"/>
        </w:rPr>
        <w:footnoteRef/>
      </w:r>
      <w:r w:rsidRPr="00107C72">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Kluwer Deventer 2008, blz. 209.</w:t>
      </w:r>
    </w:p>
  </w:footnote>
  <w:footnote w:id="14">
    <w:p w:rsidR="00165BBF" w:rsidRDefault="00165BBF" w:rsidP="0086751F">
      <w:pPr>
        <w:pStyle w:val="FootnoteText"/>
      </w:pPr>
      <w:r w:rsidRPr="00381383">
        <w:rPr>
          <w:rStyle w:val="FootnoteReference"/>
        </w:rPr>
        <w:footnoteRef/>
      </w:r>
      <w:r w:rsidRPr="00107C72">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Kluwer Deventer 2008, blz. 210.</w:t>
      </w:r>
    </w:p>
  </w:footnote>
  <w:footnote w:id="15">
    <w:p w:rsidR="00165BBF" w:rsidRDefault="00165BBF" w:rsidP="0086751F">
      <w:pPr>
        <w:pStyle w:val="FootnoteText"/>
      </w:pPr>
      <w:r w:rsidRPr="00381383">
        <w:rPr>
          <w:rStyle w:val="FootnoteReference"/>
        </w:rPr>
        <w:footnoteRef/>
      </w:r>
      <w:r w:rsidRPr="00381383">
        <w:t xml:space="preserve"> Vakstudie, Commentaar op art. 9 IB 1964, aantekening 48 </w:t>
      </w:r>
      <w:r w:rsidRPr="00381383">
        <w:rPr>
          <w:rStyle w:val="highlight1"/>
        </w:rPr>
        <w:t>Waardering</w:t>
      </w:r>
      <w:r w:rsidRPr="00381383">
        <w:t xml:space="preserve"> op lagere marktwaarde bij </w:t>
      </w:r>
      <w:r w:rsidRPr="00381383">
        <w:rPr>
          <w:rStyle w:val="highlight1"/>
        </w:rPr>
        <w:t>incourante</w:t>
      </w:r>
      <w:r w:rsidRPr="00381383">
        <w:t xml:space="preserve"> goederen.</w:t>
      </w:r>
    </w:p>
  </w:footnote>
  <w:footnote w:id="16">
    <w:p w:rsidR="00165BBF" w:rsidRDefault="00165BBF">
      <w:pPr>
        <w:pStyle w:val="FootnoteText"/>
      </w:pPr>
      <w:r>
        <w:rPr>
          <w:rStyle w:val="FootnoteReference"/>
        </w:rPr>
        <w:footnoteRef/>
      </w:r>
      <w:r>
        <w:t xml:space="preserve"> </w:t>
      </w:r>
      <w:r w:rsidRPr="00107C72">
        <w:t>Voorbeelden van constante algemene kosten zijn</w:t>
      </w:r>
      <w:r>
        <w:t>:</w:t>
      </w:r>
      <w:r w:rsidRPr="00107C72">
        <w:t xml:space="preserve"> </w:t>
      </w:r>
      <w:r>
        <w:t xml:space="preserve">huurkosten, salaris management, </w:t>
      </w:r>
      <w:r w:rsidRPr="00107C72">
        <w:t>recl</w:t>
      </w:r>
      <w:r>
        <w:t>amekosten, verzekeringskosten</w:t>
      </w:r>
    </w:p>
  </w:footnote>
  <w:footnote w:id="17">
    <w:p w:rsidR="00165BBF" w:rsidRDefault="00165BBF">
      <w:pPr>
        <w:pStyle w:val="FootnoteText"/>
      </w:pPr>
      <w:r>
        <w:rPr>
          <w:rStyle w:val="FootnoteReference"/>
        </w:rPr>
        <w:footnoteRef/>
      </w:r>
      <w:r>
        <w:t xml:space="preserve"> H.J. Ots, </w:t>
      </w:r>
      <w:r>
        <w:rPr>
          <w:i/>
        </w:rPr>
        <w:t>Externe financiële verslaggeving,</w:t>
      </w:r>
      <w:r>
        <w:t xml:space="preserve"> Pearson Education Benelux 2004, blz. 56.</w:t>
      </w:r>
    </w:p>
  </w:footnote>
  <w:footnote w:id="18">
    <w:p w:rsidR="00165BBF" w:rsidRDefault="00165BBF" w:rsidP="0086751F">
      <w:pPr>
        <w:pStyle w:val="FootnoteText"/>
      </w:pPr>
      <w:r w:rsidRPr="00381383">
        <w:rPr>
          <w:rStyle w:val="FootnoteReference"/>
        </w:rPr>
        <w:footnoteRef/>
      </w:r>
      <w:r w:rsidRPr="00381383">
        <w:t xml:space="preserve"> Vakstudie, Commentaar op art. 25 IB 2001, aantekening 12.5 Stelsel: waardering op kostprijs of lagere marktwaarde.</w:t>
      </w:r>
    </w:p>
  </w:footnote>
  <w:footnote w:id="19">
    <w:p w:rsidR="00165BBF" w:rsidRDefault="00165BBF" w:rsidP="0086751F">
      <w:pPr>
        <w:pStyle w:val="FootnoteText"/>
      </w:pPr>
      <w:r w:rsidRPr="00381383">
        <w:rPr>
          <w:rStyle w:val="FootnoteReference"/>
        </w:rPr>
        <w:footnoteRef/>
      </w:r>
      <w:r w:rsidRPr="00107C72">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Kluwer Deventer 2008, blz. 211.</w:t>
      </w:r>
    </w:p>
  </w:footnote>
  <w:footnote w:id="20">
    <w:p w:rsidR="00165BBF" w:rsidRDefault="00165BBF" w:rsidP="00A40D46">
      <w:pPr>
        <w:pStyle w:val="FootnoteText"/>
      </w:pPr>
      <w:r>
        <w:rPr>
          <w:rStyle w:val="FootnoteReference"/>
        </w:rPr>
        <w:footnoteRef/>
      </w:r>
      <w:r w:rsidRPr="00A40D46">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t>
      </w:r>
      <w:r>
        <w:t>wer Deventer 2008, blz. 213</w:t>
      </w:r>
      <w:r w:rsidRPr="00381383">
        <w:t>.</w:t>
      </w:r>
    </w:p>
  </w:footnote>
  <w:footnote w:id="21">
    <w:p w:rsidR="00165BBF" w:rsidRDefault="00165BBF" w:rsidP="0086751F">
      <w:pPr>
        <w:pStyle w:val="FootnoteText"/>
      </w:pPr>
      <w:r w:rsidRPr="00381383">
        <w:rPr>
          <w:rStyle w:val="FootnoteReference"/>
        </w:rPr>
        <w:footnoteRef/>
      </w:r>
      <w:r w:rsidRPr="00381383">
        <w:t xml:space="preserve"> Vakstudie, Commentaar op art. 25 IB 2001, aantekening 12.6 Lifostelsels.</w:t>
      </w:r>
    </w:p>
  </w:footnote>
  <w:footnote w:id="22">
    <w:p w:rsidR="00165BBF" w:rsidRDefault="00165BBF" w:rsidP="0086751F">
      <w:pPr>
        <w:pStyle w:val="FootnoteText"/>
      </w:pPr>
      <w:r w:rsidRPr="00381383">
        <w:rPr>
          <w:rStyle w:val="FootnoteReference"/>
        </w:rPr>
        <w:footnoteRef/>
      </w:r>
      <w:r w:rsidRPr="00107C72">
        <w:rPr>
          <w:lang w:val="en-US"/>
        </w:rPr>
        <w:t xml:space="preserve"> </w:t>
      </w:r>
      <w:r w:rsidRPr="00381383">
        <w:rPr>
          <w:lang w:val="en-GB"/>
        </w:rPr>
        <w:t xml:space="preserve">Mr. L.W. Sillevis, dr. </w:t>
      </w:r>
      <w:r w:rsidRPr="00381383">
        <w:t xml:space="preserve">M.L.M. van Kempen, mr. G.W.B. van Westen e.a., </w:t>
      </w:r>
      <w:r w:rsidRPr="00381383">
        <w:rPr>
          <w:i/>
          <w:iCs/>
        </w:rPr>
        <w:t>Studenteneditie Cursus Belastingrecht (Inkomstenbelasting)</w:t>
      </w:r>
      <w:r w:rsidRPr="00381383">
        <w:t>, Kluwer Deventer 2008, blz. 215.</w:t>
      </w:r>
    </w:p>
  </w:footnote>
  <w:footnote w:id="23">
    <w:p w:rsidR="00165BBF" w:rsidRDefault="00165BBF" w:rsidP="0086751F">
      <w:pPr>
        <w:pStyle w:val="FootnoteText"/>
      </w:pPr>
      <w:r w:rsidRPr="00381383">
        <w:rPr>
          <w:rStyle w:val="FootnoteReference"/>
        </w:rPr>
        <w:footnoteRef/>
      </w:r>
      <w:r w:rsidRPr="00381383">
        <w:t xml:space="preserve"> Vakstudie, Commentaar op art. 25 IB 2001, aantekening 12.7 IJzerenvoorraadstelsel.</w:t>
      </w:r>
    </w:p>
  </w:footnote>
  <w:footnote w:id="24">
    <w:p w:rsidR="00165BBF" w:rsidRDefault="00165BBF" w:rsidP="0086751F">
      <w:pPr>
        <w:pStyle w:val="FootnoteText"/>
      </w:pPr>
      <w:r w:rsidRPr="00381383">
        <w:rPr>
          <w:rStyle w:val="FootnoteReference"/>
        </w:rPr>
        <w:footnoteRef/>
      </w:r>
      <w:r w:rsidRPr="00381383">
        <w:t xml:space="preserve"> Prof. dr. L.G.M. Stevens, </w:t>
      </w:r>
      <w:r w:rsidRPr="00381383">
        <w:rPr>
          <w:i/>
        </w:rPr>
        <w:t>Elementair Belastingrecht</w:t>
      </w:r>
      <w:r w:rsidRPr="00381383">
        <w:t>, Kluwer Deventer 2007, blz. 193.</w:t>
      </w:r>
    </w:p>
  </w:footnote>
  <w:footnote w:id="25">
    <w:p w:rsidR="00165BBF" w:rsidRDefault="00165BBF" w:rsidP="0086751F">
      <w:pPr>
        <w:pStyle w:val="FootnoteText"/>
      </w:pPr>
      <w:r w:rsidRPr="00381383">
        <w:rPr>
          <w:rStyle w:val="FootnoteReference"/>
        </w:rPr>
        <w:footnoteRef/>
      </w:r>
      <w:r w:rsidRPr="00381383">
        <w:t xml:space="preserve"> Prof. dr. L.G.M. Stevens, </w:t>
      </w:r>
      <w:r w:rsidRPr="00381383">
        <w:rPr>
          <w:i/>
        </w:rPr>
        <w:t>Elementair Belastingrecht</w:t>
      </w:r>
      <w:r w:rsidRPr="00381383">
        <w:t>, Kluwer Deventer 2007, blz. 193, 194.</w:t>
      </w:r>
    </w:p>
  </w:footnote>
  <w:footnote w:id="26">
    <w:p w:rsidR="00165BBF" w:rsidRDefault="00165BBF" w:rsidP="00D31E3F">
      <w:pPr>
        <w:pStyle w:val="FootnoteText"/>
      </w:pPr>
      <w:r w:rsidRPr="006434F0">
        <w:rPr>
          <w:rStyle w:val="FootnoteReference"/>
        </w:rPr>
        <w:footnoteRef/>
      </w:r>
      <w:r w:rsidRPr="006434F0">
        <w:t xml:space="preserve"> http://download.belastingdienst.nl/belastingdienst/docs/uitwerking_waardering_onderhanden_werk.pdf</w:t>
      </w:r>
    </w:p>
  </w:footnote>
  <w:footnote w:id="27">
    <w:p w:rsidR="00165BBF" w:rsidRDefault="00165BBF" w:rsidP="00D31E3F">
      <w:pPr>
        <w:pStyle w:val="FootnoteText"/>
      </w:pPr>
      <w:r w:rsidRPr="006434F0">
        <w:rPr>
          <w:rStyle w:val="FootnoteReference"/>
        </w:rPr>
        <w:footnoteRef/>
      </w:r>
      <w:r w:rsidRPr="006434F0">
        <w:t xml:space="preserve"> Dr. J. Doornebal, TFO 2008, blz. 168.</w:t>
      </w:r>
    </w:p>
  </w:footnote>
  <w:footnote w:id="28">
    <w:p w:rsidR="00165BBF" w:rsidRDefault="00165BBF" w:rsidP="00D31E3F">
      <w:pPr>
        <w:pStyle w:val="FootnoteText"/>
      </w:pPr>
      <w:r w:rsidRPr="006434F0">
        <w:rPr>
          <w:rStyle w:val="FootnoteReference"/>
        </w:rPr>
        <w:footnoteRef/>
      </w:r>
      <w:r w:rsidRPr="006434F0">
        <w:t xml:space="preserve"> Prof. dr. L.G.M. Stevens, </w:t>
      </w:r>
      <w:r w:rsidRPr="006434F0">
        <w:rPr>
          <w:i/>
        </w:rPr>
        <w:t>Elementair Belastingrecht</w:t>
      </w:r>
      <w:r w:rsidRPr="006434F0">
        <w:t>, Kluwer Deventer 2007, blz.195.</w:t>
      </w:r>
    </w:p>
  </w:footnote>
  <w:footnote w:id="29">
    <w:p w:rsidR="00165BBF" w:rsidRDefault="00165BBF" w:rsidP="00D31E3F">
      <w:pPr>
        <w:pStyle w:val="FootnoteText"/>
      </w:pPr>
      <w:r w:rsidRPr="006434F0">
        <w:rPr>
          <w:rStyle w:val="FootnoteReference"/>
        </w:rPr>
        <w:footnoteRef/>
      </w:r>
      <w:r w:rsidRPr="006434F0">
        <w:t xml:space="preserve"> MvT, Kamerstukken II 2005/06, 30 572, nr. 3, blz. 34, V-N 2006/30.3</w:t>
      </w:r>
    </w:p>
  </w:footnote>
  <w:footnote w:id="30">
    <w:p w:rsidR="00165BBF" w:rsidRDefault="00165BBF" w:rsidP="00D31E3F">
      <w:pPr>
        <w:pStyle w:val="FootnoteText"/>
      </w:pPr>
      <w:r w:rsidRPr="006434F0">
        <w:rPr>
          <w:rStyle w:val="FootnoteReference"/>
        </w:rPr>
        <w:footnoteRef/>
      </w:r>
      <w:r w:rsidRPr="00107C72">
        <w:rPr>
          <w:lang w:val="en-US"/>
        </w:rPr>
        <w:t xml:space="preserve"> </w:t>
      </w:r>
      <w:r w:rsidRPr="006434F0">
        <w:rPr>
          <w:lang w:val="en-GB"/>
        </w:rPr>
        <w:t xml:space="preserve">Mr. L.W. Sillevis, dr. </w:t>
      </w:r>
      <w:r w:rsidRPr="006434F0">
        <w:t xml:space="preserve">M.L.M. van Kempen, mr. G.W.B. van Westen e.a., </w:t>
      </w:r>
      <w:r w:rsidRPr="006434F0">
        <w:rPr>
          <w:i/>
          <w:iCs/>
        </w:rPr>
        <w:t>Studenteneditie Cursus Belastingrecht (Inkomstenbelasting)</w:t>
      </w:r>
      <w:r w:rsidRPr="006434F0">
        <w:t>, Kluwer Deventer 2008, blz. 219.</w:t>
      </w:r>
    </w:p>
  </w:footnote>
  <w:footnote w:id="31">
    <w:p w:rsidR="00165BBF" w:rsidRDefault="00165BBF" w:rsidP="00D31E3F">
      <w:pPr>
        <w:pStyle w:val="FootnoteText"/>
      </w:pPr>
      <w:r w:rsidRPr="006434F0">
        <w:rPr>
          <w:rStyle w:val="FootnoteReference"/>
        </w:rPr>
        <w:footnoteRef/>
      </w:r>
      <w:r w:rsidRPr="006434F0">
        <w:t xml:space="preserve"> Kamerstukken II 2005/06, 30 572 , nr. 8, blz. 65-66, V-N 2006/43.2</w:t>
      </w:r>
    </w:p>
  </w:footnote>
  <w:footnote w:id="32">
    <w:p w:rsidR="00165BBF" w:rsidRDefault="00165BBF" w:rsidP="00D31E3F">
      <w:r w:rsidRPr="00DA2670">
        <w:rPr>
          <w:rStyle w:val="FootnoteReference"/>
          <w:sz w:val="20"/>
          <w:szCs w:val="20"/>
        </w:rPr>
        <w:footnoteRef/>
      </w:r>
      <w:r w:rsidRPr="00107C72">
        <w:rPr>
          <w:sz w:val="20"/>
          <w:szCs w:val="20"/>
          <w:lang w:val="nl-NL"/>
        </w:rPr>
        <w:t xml:space="preserve"> Prof. dr. P.H.J. Essers, </w:t>
      </w:r>
      <w:r w:rsidRPr="00107C72">
        <w:rPr>
          <w:i/>
          <w:sz w:val="20"/>
          <w:szCs w:val="20"/>
          <w:lang w:val="nl-NL"/>
        </w:rPr>
        <w:t>De toekomst van Goed Koopmansgebruik na de invoering van International Financial Reporting Standards in 2005,</w:t>
      </w:r>
      <w:r w:rsidRPr="00107C72">
        <w:rPr>
          <w:sz w:val="20"/>
          <w:szCs w:val="20"/>
          <w:lang w:val="nl-NL"/>
        </w:rPr>
        <w:t xml:space="preserve"> Kluwer Deventer 2005, blz. 25.</w:t>
      </w:r>
    </w:p>
  </w:footnote>
  <w:footnote w:id="33">
    <w:p w:rsidR="00165BBF" w:rsidRDefault="00165BBF" w:rsidP="00D31E3F">
      <w:pPr>
        <w:pStyle w:val="FootnoteText"/>
      </w:pPr>
      <w:r w:rsidRPr="00DA2670">
        <w:rPr>
          <w:rStyle w:val="FootnoteReference"/>
        </w:rPr>
        <w:footnoteRef/>
      </w:r>
      <w:r w:rsidRPr="00DA2670">
        <w:t xml:space="preserve"> Prof. dr. J. Klaassen RA en prof. dr. M.N. Hoogendoorn RA, </w:t>
      </w:r>
      <w:r w:rsidRPr="00DA2670">
        <w:rPr>
          <w:i/>
          <w:iCs/>
        </w:rPr>
        <w:t>Externe verslaggeving</w:t>
      </w:r>
      <w:r w:rsidRPr="00DA2670">
        <w:t>, Stenfert Kroese Groningen 2004, blz. 48.</w:t>
      </w:r>
    </w:p>
  </w:footnote>
  <w:footnote w:id="34">
    <w:p w:rsidR="00165BBF" w:rsidRDefault="00165BBF" w:rsidP="00D31E3F">
      <w:pPr>
        <w:pStyle w:val="FootnoteText"/>
      </w:pPr>
      <w:r w:rsidRPr="00A3305D">
        <w:rPr>
          <w:rStyle w:val="FootnoteReference"/>
        </w:rPr>
        <w:footnoteRef/>
      </w:r>
      <w:r w:rsidRPr="00A3305D">
        <w:t xml:space="preserve"> </w:t>
      </w:r>
      <w:r w:rsidRPr="00D75B9A">
        <w:t>http://www.ifrs.org/NR/rdonlyres/9D0DE08C-C584-46EB-B36E-C4B9A8CB6A02/0/WhoWeAreEnglishMay</w:t>
      </w:r>
    </w:p>
    <w:p w:rsidR="00165BBF" w:rsidRDefault="00165BBF" w:rsidP="00D31E3F">
      <w:pPr>
        <w:pStyle w:val="FootnoteText"/>
      </w:pPr>
      <w:r w:rsidRPr="00A3305D">
        <w:t>2011.pdf</w:t>
      </w:r>
    </w:p>
  </w:footnote>
  <w:footnote w:id="35">
    <w:p w:rsidR="00165BBF" w:rsidRDefault="00165BBF" w:rsidP="00D31E3F">
      <w:pPr>
        <w:pStyle w:val="FootnoteText"/>
      </w:pPr>
      <w:r w:rsidRPr="00DA2670">
        <w:rPr>
          <w:rStyle w:val="FootnoteReference"/>
        </w:rPr>
        <w:footnoteRef/>
      </w:r>
      <w:r w:rsidRPr="00DA2670">
        <w:t xml:space="preserve"> Prof. dr. P.H.J. Essers, </w:t>
      </w:r>
      <w:r w:rsidRPr="00DA2670">
        <w:rPr>
          <w:i/>
        </w:rPr>
        <w:t>De toekomst van Goed Koopmansgebruik na de invoering van International Financial Reporting Standards in 2005,</w:t>
      </w:r>
      <w:r w:rsidRPr="00DA2670">
        <w:t xml:space="preserve"> Kluwer Deventer 2005, blz. 17.</w:t>
      </w:r>
    </w:p>
  </w:footnote>
  <w:footnote w:id="36">
    <w:p w:rsidR="00165BBF" w:rsidRDefault="00165BBF" w:rsidP="00D31E3F">
      <w:pPr>
        <w:pStyle w:val="FootnoteText"/>
      </w:pPr>
      <w:r w:rsidRPr="00DA2670">
        <w:rPr>
          <w:rStyle w:val="FootnoteReference"/>
        </w:rPr>
        <w:footnoteRef/>
      </w:r>
      <w:r w:rsidRPr="00DA2670">
        <w:t xml:space="preserve"> Prof. dr. J. Klaassen RA en prof. dr. M.N. Hoogendoorn RA, </w:t>
      </w:r>
      <w:r w:rsidRPr="00DA2670">
        <w:rPr>
          <w:i/>
          <w:iCs/>
        </w:rPr>
        <w:t>Externe verslaggeving</w:t>
      </w:r>
      <w:r w:rsidRPr="00DA2670">
        <w:t>, Stenfert Kroese Groningen 2004, blz. 48.</w:t>
      </w:r>
    </w:p>
  </w:footnote>
  <w:footnote w:id="37">
    <w:p w:rsidR="00165BBF" w:rsidRDefault="00165BBF" w:rsidP="00D31E3F">
      <w:pPr>
        <w:pStyle w:val="FootnoteText"/>
      </w:pPr>
      <w:r w:rsidRPr="00DA2670">
        <w:rPr>
          <w:rStyle w:val="FootnoteReference"/>
        </w:rPr>
        <w:footnoteRef/>
      </w:r>
      <w:r w:rsidRPr="00107C72">
        <w:rPr>
          <w:lang w:val="en-US"/>
        </w:rPr>
        <w:t xml:space="preserve"> Mr. S. Böhmer, prof. dr. </w:t>
      </w:r>
      <w:r w:rsidRPr="00DA2670">
        <w:t xml:space="preserve">M.N. Hoogendoorn RA, prof. drs. F. Krens e.a., </w:t>
      </w:r>
      <w:r w:rsidRPr="00DA2670">
        <w:rPr>
          <w:i/>
        </w:rPr>
        <w:t>Handboek Jaarrekening,</w:t>
      </w:r>
      <w:r w:rsidRPr="00DA2670">
        <w:t xml:space="preserve"> Ernst &amp; Young 2009, blz. 302-315.</w:t>
      </w:r>
    </w:p>
  </w:footnote>
  <w:footnote w:id="38">
    <w:p w:rsidR="00165BBF" w:rsidRDefault="00165BBF" w:rsidP="00D31E3F">
      <w:pPr>
        <w:pStyle w:val="FootnoteText"/>
      </w:pPr>
      <w:r w:rsidRPr="00DA2670">
        <w:rPr>
          <w:rStyle w:val="FootnoteReference"/>
        </w:rPr>
        <w:footnoteRef/>
      </w:r>
      <w:r w:rsidRPr="00107C72">
        <w:rPr>
          <w:lang w:val="en-US"/>
        </w:rPr>
        <w:t xml:space="preserve"> Mr. S. Böhmer, prof. dr. </w:t>
      </w:r>
      <w:r w:rsidRPr="00DA2670">
        <w:t xml:space="preserve">M.N. Hoogendoorn RA, prof. drs. F. Krens e.a., </w:t>
      </w:r>
      <w:r w:rsidRPr="00DA2670">
        <w:rPr>
          <w:i/>
        </w:rPr>
        <w:t>Handboek Jaarrekening,</w:t>
      </w:r>
      <w:r w:rsidRPr="00DA2670">
        <w:t xml:space="preserve"> Ernst &amp; Young 2009, blz. 320-339</w:t>
      </w:r>
    </w:p>
  </w:footnote>
  <w:footnote w:id="39">
    <w:p w:rsidR="00165BBF" w:rsidRDefault="00165BBF" w:rsidP="00D31E3F">
      <w:pPr>
        <w:pStyle w:val="FootnoteText"/>
      </w:pPr>
      <w:r w:rsidRPr="00DA2670">
        <w:rPr>
          <w:rStyle w:val="FootnoteReference"/>
        </w:rPr>
        <w:footnoteRef/>
      </w:r>
      <w:r w:rsidRPr="00DA2670">
        <w:t xml:space="preserve"> </w:t>
      </w:r>
      <w:r w:rsidRPr="00DA2670">
        <w:rPr>
          <w:bCs/>
          <w:kern w:val="36"/>
        </w:rPr>
        <w:t xml:space="preserve">Prof. dr. mr. G.W.J.M. Kampschöer RA, </w:t>
      </w:r>
      <w:r w:rsidRPr="00DA2670">
        <w:rPr>
          <w:bCs/>
          <w:i/>
          <w:kern w:val="36"/>
        </w:rPr>
        <w:t>IFRS en de verhouding tot het Nederlandse fiscale winstbegrip,</w:t>
      </w:r>
      <w:r w:rsidRPr="00DA2670">
        <w:rPr>
          <w:b/>
          <w:bCs/>
          <w:kern w:val="36"/>
        </w:rPr>
        <w:t xml:space="preserve"> </w:t>
      </w:r>
      <w:r w:rsidRPr="00DA2670">
        <w:rPr>
          <w:bCs/>
          <w:kern w:val="36"/>
        </w:rPr>
        <w:t>WFR 2004/1228.</w:t>
      </w:r>
    </w:p>
  </w:footnote>
  <w:footnote w:id="40">
    <w:p w:rsidR="00165BBF" w:rsidRDefault="00165BBF" w:rsidP="00D31E3F">
      <w:pPr>
        <w:outlineLvl w:val="0"/>
      </w:pPr>
      <w:r w:rsidRPr="00DA2670">
        <w:rPr>
          <w:rStyle w:val="FootnoteReference"/>
          <w:sz w:val="20"/>
          <w:szCs w:val="20"/>
        </w:rPr>
        <w:footnoteRef/>
      </w:r>
      <w:r w:rsidRPr="00107C72">
        <w:rPr>
          <w:sz w:val="20"/>
          <w:szCs w:val="20"/>
          <w:lang w:val="nl-NL"/>
        </w:rPr>
        <w:t xml:space="preserve"> </w:t>
      </w:r>
      <w:r w:rsidRPr="00107C72">
        <w:rPr>
          <w:bCs/>
          <w:kern w:val="36"/>
          <w:sz w:val="20"/>
          <w:szCs w:val="20"/>
          <w:lang w:val="nl-NL" w:eastAsia="nl-NL"/>
        </w:rPr>
        <w:t xml:space="preserve">Prof. dr. M.A. van Hoepen RA, </w:t>
      </w:r>
      <w:r w:rsidRPr="00107C72">
        <w:rPr>
          <w:bCs/>
          <w:i/>
          <w:kern w:val="36"/>
          <w:sz w:val="20"/>
          <w:szCs w:val="20"/>
          <w:lang w:val="nl-NL" w:eastAsia="nl-NL"/>
        </w:rPr>
        <w:t xml:space="preserve">IFRS en fiscale winstbepaling, </w:t>
      </w:r>
      <w:r w:rsidRPr="00107C72">
        <w:rPr>
          <w:bCs/>
          <w:kern w:val="36"/>
          <w:sz w:val="20"/>
          <w:szCs w:val="20"/>
          <w:lang w:val="nl-NL" w:eastAsia="nl-NL"/>
        </w:rPr>
        <w:t>TFO 2005/89.</w:t>
      </w:r>
    </w:p>
  </w:footnote>
  <w:footnote w:id="41">
    <w:p w:rsidR="00165BBF" w:rsidRDefault="00165BBF" w:rsidP="00D31E3F">
      <w:pPr>
        <w:outlineLvl w:val="0"/>
      </w:pPr>
      <w:r w:rsidRPr="00DA2670">
        <w:rPr>
          <w:rStyle w:val="FootnoteReference"/>
          <w:sz w:val="20"/>
          <w:szCs w:val="20"/>
        </w:rPr>
        <w:footnoteRef/>
      </w:r>
      <w:r w:rsidRPr="00107C72">
        <w:rPr>
          <w:sz w:val="20"/>
          <w:szCs w:val="20"/>
          <w:lang w:val="nl-NL"/>
        </w:rPr>
        <w:t xml:space="preserve"> </w:t>
      </w:r>
      <w:r w:rsidRPr="00107C72">
        <w:rPr>
          <w:bCs/>
          <w:kern w:val="36"/>
          <w:sz w:val="20"/>
          <w:szCs w:val="20"/>
          <w:lang w:val="nl-NL" w:eastAsia="nl-NL"/>
        </w:rPr>
        <w:t xml:space="preserve">Mr. C. Bruijsten, </w:t>
      </w:r>
      <w:r w:rsidRPr="00107C72">
        <w:rPr>
          <w:bCs/>
          <w:i/>
          <w:kern w:val="36"/>
          <w:sz w:val="20"/>
          <w:szCs w:val="20"/>
          <w:lang w:val="nl-NL" w:eastAsia="nl-NL"/>
        </w:rPr>
        <w:t>De toekomst van het fiscale jaarwinstbegrip,</w:t>
      </w:r>
      <w:r w:rsidRPr="00107C72">
        <w:rPr>
          <w:bCs/>
          <w:kern w:val="36"/>
          <w:sz w:val="20"/>
          <w:szCs w:val="20"/>
          <w:lang w:val="nl-NL" w:eastAsia="nl-NL"/>
        </w:rPr>
        <w:t xml:space="preserve"> WFR 2009/823.</w:t>
      </w:r>
      <w:bookmarkStart w:id="1" w:name="VN-N78"/>
      <w:bookmarkEnd w:id="1"/>
    </w:p>
  </w:footnote>
  <w:footnote w:id="42">
    <w:p w:rsidR="00165BBF" w:rsidRDefault="00165BBF" w:rsidP="00D31E3F">
      <w:pPr>
        <w:pStyle w:val="FootnoteText"/>
      </w:pPr>
      <w:r w:rsidRPr="00DA2670">
        <w:rPr>
          <w:rStyle w:val="FootnoteReference"/>
        </w:rPr>
        <w:footnoteRef/>
      </w:r>
      <w:r w:rsidRPr="00DA2670">
        <w:t xml:space="preserve"> </w:t>
      </w:r>
      <w:r w:rsidRPr="00DA2670">
        <w:rPr>
          <w:bCs/>
          <w:kern w:val="36"/>
        </w:rPr>
        <w:t xml:space="preserve">Prof. dr. mr. G.W.J.M. Kampschöer RA, </w:t>
      </w:r>
      <w:r w:rsidRPr="00DA2670">
        <w:rPr>
          <w:bCs/>
          <w:i/>
          <w:kern w:val="36"/>
        </w:rPr>
        <w:t>IFRS en de verhouding tot het Nederlandse fiscale winstbegrip,</w:t>
      </w:r>
      <w:r w:rsidRPr="00DA2670">
        <w:rPr>
          <w:b/>
          <w:bCs/>
          <w:kern w:val="36"/>
        </w:rPr>
        <w:t xml:space="preserve"> </w:t>
      </w:r>
      <w:r w:rsidRPr="00DA2670">
        <w:rPr>
          <w:bCs/>
          <w:kern w:val="36"/>
        </w:rPr>
        <w:t>WFR 2004/1228.</w:t>
      </w:r>
    </w:p>
  </w:footnote>
  <w:footnote w:id="43">
    <w:p w:rsidR="00165BBF" w:rsidRDefault="00165BBF" w:rsidP="00D31E3F">
      <w:pPr>
        <w:outlineLvl w:val="0"/>
      </w:pPr>
      <w:r w:rsidRPr="00DA2670">
        <w:rPr>
          <w:rStyle w:val="FootnoteReference"/>
          <w:sz w:val="20"/>
          <w:szCs w:val="20"/>
        </w:rPr>
        <w:footnoteRef/>
      </w:r>
      <w:r w:rsidRPr="00107C72">
        <w:rPr>
          <w:sz w:val="20"/>
          <w:szCs w:val="20"/>
          <w:lang w:val="nl-NL"/>
        </w:rPr>
        <w:t xml:space="preserve"> </w:t>
      </w:r>
      <w:r w:rsidRPr="00107C72">
        <w:rPr>
          <w:bCs/>
          <w:kern w:val="36"/>
          <w:sz w:val="20"/>
          <w:szCs w:val="20"/>
          <w:lang w:val="nl-NL" w:eastAsia="nl-NL"/>
        </w:rPr>
        <w:t xml:space="preserve">Mr. C. Bruijsten, </w:t>
      </w:r>
      <w:r w:rsidRPr="00107C72">
        <w:rPr>
          <w:bCs/>
          <w:i/>
          <w:kern w:val="36"/>
          <w:sz w:val="20"/>
          <w:szCs w:val="20"/>
          <w:lang w:val="nl-NL" w:eastAsia="nl-NL"/>
        </w:rPr>
        <w:t>De toekomst van het fiscale jaarwinstbegrip,</w:t>
      </w:r>
      <w:r w:rsidRPr="00107C72">
        <w:rPr>
          <w:bCs/>
          <w:kern w:val="36"/>
          <w:sz w:val="20"/>
          <w:szCs w:val="20"/>
          <w:lang w:val="nl-NL" w:eastAsia="nl-NL"/>
        </w:rPr>
        <w:t xml:space="preserve"> WFR 2009/823.</w:t>
      </w:r>
    </w:p>
  </w:footnote>
  <w:footnote w:id="44">
    <w:p w:rsidR="00165BBF" w:rsidRDefault="00165BBF" w:rsidP="00D31E3F">
      <w:pPr>
        <w:pStyle w:val="FootnoteText"/>
      </w:pPr>
      <w:r w:rsidRPr="00DA2670">
        <w:rPr>
          <w:rStyle w:val="FootnoteReference"/>
        </w:rPr>
        <w:footnoteRef/>
      </w:r>
      <w:r w:rsidRPr="00DA2670">
        <w:t xml:space="preserve"> </w:t>
      </w:r>
      <w:r w:rsidRPr="00DA2670">
        <w:rPr>
          <w:bCs/>
          <w:kern w:val="36"/>
        </w:rPr>
        <w:t xml:space="preserve">Mr. C. Bruijsten, </w:t>
      </w:r>
      <w:r w:rsidRPr="00DA2670">
        <w:rPr>
          <w:bCs/>
          <w:i/>
          <w:kern w:val="36"/>
        </w:rPr>
        <w:t>De toekomst van het fiscale jaarwinstbegrip,</w:t>
      </w:r>
      <w:r w:rsidRPr="00DA2670">
        <w:rPr>
          <w:bCs/>
          <w:kern w:val="36"/>
        </w:rPr>
        <w:t xml:space="preserve"> WFR 2009/823.</w:t>
      </w:r>
    </w:p>
  </w:footnote>
  <w:footnote w:id="45">
    <w:p w:rsidR="00165BBF" w:rsidRDefault="00165BBF" w:rsidP="00D31E3F">
      <w:pPr>
        <w:pStyle w:val="FootnoteText"/>
      </w:pPr>
      <w:r w:rsidRPr="00DA2670">
        <w:rPr>
          <w:rStyle w:val="FootnoteReference"/>
        </w:rPr>
        <w:footnoteRef/>
      </w:r>
      <w:r w:rsidRPr="00DA2670">
        <w:t xml:space="preserve"> </w:t>
      </w:r>
      <w:r w:rsidRPr="00DA2670">
        <w:rPr>
          <w:bCs/>
          <w:kern w:val="36"/>
        </w:rPr>
        <w:t xml:space="preserve">Prof. dr. mr. G.W.J.M. Kampschöer RA, </w:t>
      </w:r>
      <w:r w:rsidRPr="00DA2670">
        <w:rPr>
          <w:bCs/>
          <w:i/>
          <w:kern w:val="36"/>
        </w:rPr>
        <w:t>IFRS en de verhouding tot het Nederlandse fiscale winstbegrip,</w:t>
      </w:r>
      <w:r w:rsidRPr="00DA2670">
        <w:rPr>
          <w:b/>
          <w:bCs/>
          <w:kern w:val="36"/>
        </w:rPr>
        <w:t xml:space="preserve"> </w:t>
      </w:r>
      <w:r w:rsidRPr="00DA2670">
        <w:rPr>
          <w:bCs/>
          <w:kern w:val="36"/>
        </w:rPr>
        <w:t>WFR 2004/1228.</w:t>
      </w:r>
    </w:p>
  </w:footnote>
  <w:footnote w:id="46">
    <w:p w:rsidR="00165BBF" w:rsidRDefault="00165BBF" w:rsidP="00D31E3F">
      <w:pPr>
        <w:pStyle w:val="FootnoteText"/>
      </w:pPr>
      <w:r w:rsidRPr="00DA2670">
        <w:rPr>
          <w:rStyle w:val="FootnoteReference"/>
        </w:rPr>
        <w:footnoteRef/>
      </w:r>
      <w:r w:rsidRPr="00DA2670">
        <w:t xml:space="preserve"> Prof. dr. P.H.J. Essers, </w:t>
      </w:r>
      <w:r w:rsidRPr="00DA2670">
        <w:rPr>
          <w:i/>
        </w:rPr>
        <w:t>De toekomst van Goed Koopmansgebruik na de invoering van International Financial Reporting Standards in 2005,</w:t>
      </w:r>
      <w:r w:rsidRPr="00DA2670">
        <w:t xml:space="preserve"> Kluwer Deventer 2005, blz. 22.</w:t>
      </w:r>
    </w:p>
  </w:footnote>
  <w:footnote w:id="47">
    <w:p w:rsidR="00165BBF" w:rsidRDefault="00165BBF" w:rsidP="00D31E3F">
      <w:pPr>
        <w:pStyle w:val="FootnoteText"/>
      </w:pPr>
      <w:r w:rsidRPr="00DA2670">
        <w:rPr>
          <w:rStyle w:val="FootnoteReference"/>
        </w:rPr>
        <w:footnoteRef/>
      </w:r>
      <w:r w:rsidRPr="00DA2670">
        <w:t xml:space="preserve"> </w:t>
      </w:r>
      <w:r w:rsidRPr="00DA2670">
        <w:rPr>
          <w:bCs/>
          <w:kern w:val="36"/>
        </w:rPr>
        <w:t xml:space="preserve">Prof. dr. mr. G.W.J.M. Kampschöer RA, </w:t>
      </w:r>
      <w:r w:rsidRPr="00DA2670">
        <w:rPr>
          <w:bCs/>
          <w:i/>
          <w:kern w:val="36"/>
        </w:rPr>
        <w:t>IFRS en de verhouding tot het Nederlandse fiscale winstbegrip,</w:t>
      </w:r>
      <w:r w:rsidRPr="00DA2670">
        <w:rPr>
          <w:b/>
          <w:bCs/>
          <w:kern w:val="36"/>
        </w:rPr>
        <w:t xml:space="preserve"> </w:t>
      </w:r>
      <w:r w:rsidRPr="00DA2670">
        <w:rPr>
          <w:bCs/>
          <w:kern w:val="36"/>
        </w:rPr>
        <w:t>WFR 2004/1228.</w:t>
      </w:r>
    </w:p>
  </w:footnote>
  <w:footnote w:id="48">
    <w:p w:rsidR="00165BBF" w:rsidRDefault="00165BBF" w:rsidP="00D31E3F">
      <w:pPr>
        <w:pStyle w:val="FootnoteText"/>
      </w:pPr>
      <w:r w:rsidRPr="00DA2670">
        <w:rPr>
          <w:rStyle w:val="FootnoteReference"/>
        </w:rPr>
        <w:footnoteRef/>
      </w:r>
      <w:r w:rsidRPr="00DA2670">
        <w:t xml:space="preserve"> In gelijke zin Prof. dr. P.H.J. Essers, </w:t>
      </w:r>
      <w:r w:rsidRPr="00DA2670">
        <w:rPr>
          <w:i/>
        </w:rPr>
        <w:t>De toekomst van Goed Koopmansgebruik na de invoering van International Financial Reporting Standards in 2005,</w:t>
      </w:r>
      <w:r w:rsidRPr="00DA2670">
        <w:t xml:space="preserve"> Kluwer Deventer 2005, blz. 23.</w:t>
      </w:r>
    </w:p>
  </w:footnote>
  <w:footnote w:id="49">
    <w:p w:rsidR="00165BBF" w:rsidRDefault="00165BBF" w:rsidP="00D31E3F">
      <w:pPr>
        <w:pStyle w:val="FootnoteText"/>
      </w:pPr>
      <w:r w:rsidRPr="00DA2670">
        <w:rPr>
          <w:rStyle w:val="FootnoteReference"/>
        </w:rPr>
        <w:footnoteRef/>
      </w:r>
      <w:r w:rsidRPr="00DA2670">
        <w:t xml:space="preserve"> </w:t>
      </w:r>
      <w:r w:rsidRPr="00DA2670">
        <w:rPr>
          <w:bCs/>
          <w:kern w:val="36"/>
        </w:rPr>
        <w:t xml:space="preserve">Prof. dr. M.A. van Hoepen RA, </w:t>
      </w:r>
      <w:r w:rsidRPr="00DA2670">
        <w:rPr>
          <w:bCs/>
          <w:i/>
          <w:kern w:val="36"/>
        </w:rPr>
        <w:t xml:space="preserve">IFRS en fiscale winstbepaling, </w:t>
      </w:r>
      <w:r w:rsidRPr="00DA2670">
        <w:rPr>
          <w:bCs/>
          <w:kern w:val="36"/>
        </w:rPr>
        <w:t>TFO 2005/89.</w:t>
      </w:r>
    </w:p>
  </w:footnote>
  <w:footnote w:id="50">
    <w:p w:rsidR="00165BBF" w:rsidRDefault="00165BBF" w:rsidP="00D31E3F">
      <w:pPr>
        <w:pStyle w:val="FootnoteText"/>
      </w:pPr>
      <w:r w:rsidRPr="00DA2670">
        <w:rPr>
          <w:rStyle w:val="FootnoteReference"/>
        </w:rPr>
        <w:footnoteRef/>
      </w:r>
      <w:r w:rsidRPr="00DA2670">
        <w:t xml:space="preserve"> Prof. dr. P.H.J. Essers, </w:t>
      </w:r>
      <w:r w:rsidRPr="00DA2670">
        <w:rPr>
          <w:i/>
        </w:rPr>
        <w:t>De toekomst van Goed Koopmansgebruik na de invoering van International Financial Reporting Standards in 2005,</w:t>
      </w:r>
      <w:r w:rsidRPr="00DA2670">
        <w:t xml:space="preserve"> Kluwer Deventer 2005, blz. 24.</w:t>
      </w:r>
    </w:p>
  </w:footnote>
  <w:footnote w:id="51">
    <w:p w:rsidR="00165BBF" w:rsidRDefault="00165BBF" w:rsidP="00D31E3F">
      <w:pPr>
        <w:pStyle w:val="FootnoteText"/>
      </w:pPr>
      <w:r w:rsidRPr="00DA32EB">
        <w:rPr>
          <w:rStyle w:val="FootnoteReference"/>
        </w:rPr>
        <w:footnoteRef/>
      </w:r>
      <w:r w:rsidRPr="00DA32EB">
        <w:t xml:space="preserve"> Prof. dr. P. Kavelaars, </w:t>
      </w:r>
      <w:r w:rsidRPr="00DA32EB">
        <w:rPr>
          <w:i/>
        </w:rPr>
        <w:t>Naar een Europese Winstgrondslag deel 1,</w:t>
      </w:r>
      <w:r w:rsidRPr="00DA32EB">
        <w:t xml:space="preserve"> WFR 2008/1184.</w:t>
      </w:r>
    </w:p>
  </w:footnote>
  <w:footnote w:id="52">
    <w:p w:rsidR="00165BBF" w:rsidRDefault="00165BBF" w:rsidP="00D31E3F">
      <w:pPr>
        <w:pStyle w:val="FootnoteText"/>
      </w:pPr>
      <w:r w:rsidRPr="00DA32EB">
        <w:rPr>
          <w:rStyle w:val="FootnoteReference"/>
        </w:rPr>
        <w:footnoteRef/>
      </w:r>
      <w:r w:rsidRPr="00107C72">
        <w:rPr>
          <w:lang w:val="en-US"/>
        </w:rPr>
        <w:t xml:space="preserve"> Conceptrichtlijn van 23 juli 1975: Proposal for a Directive of the Council Concerning the Harmonization of Company Taxation and of Withholding Taxes on Dividends.</w:t>
      </w:r>
    </w:p>
  </w:footnote>
  <w:footnote w:id="53">
    <w:p w:rsidR="00165BBF" w:rsidRDefault="00165BBF" w:rsidP="00D31E3F">
      <w:pPr>
        <w:pStyle w:val="FootnoteText"/>
      </w:pPr>
      <w:r w:rsidRPr="00DA32EB">
        <w:rPr>
          <w:rStyle w:val="FootnoteReference"/>
        </w:rPr>
        <w:footnoteRef/>
      </w:r>
      <w:r w:rsidRPr="00DA32EB">
        <w:t xml:space="preserve"> Prof. dr. P.H.J. Essers, </w:t>
      </w:r>
      <w:r w:rsidRPr="00DA32EB">
        <w:rPr>
          <w:i/>
        </w:rPr>
        <w:t>De toekomst van Goed Koopmansgebruik na de invoering van International Financial Reporting Standards in 2005,</w:t>
      </w:r>
      <w:r w:rsidRPr="00DA32EB">
        <w:t xml:space="preserve"> Kluwer Deventer 2005, blz. 15.</w:t>
      </w:r>
    </w:p>
  </w:footnote>
  <w:footnote w:id="54">
    <w:p w:rsidR="00165BBF" w:rsidRDefault="00165BBF" w:rsidP="00D31E3F">
      <w:pPr>
        <w:pStyle w:val="FootnoteText"/>
      </w:pPr>
      <w:r w:rsidRPr="00DA32EB">
        <w:rPr>
          <w:rStyle w:val="FootnoteReference"/>
        </w:rPr>
        <w:footnoteRef/>
      </w:r>
      <w:r w:rsidRPr="00107C72">
        <w:rPr>
          <w:lang w:val="en-US"/>
        </w:rPr>
        <w:t xml:space="preserve"> European Commission, Company Taxation in the Internal Market, COM(2001)582, 23 oktober 2001.</w:t>
      </w:r>
    </w:p>
  </w:footnote>
  <w:footnote w:id="55">
    <w:p w:rsidR="00165BBF" w:rsidRDefault="00165BBF" w:rsidP="00D31E3F">
      <w:pPr>
        <w:pStyle w:val="Heading1"/>
      </w:pPr>
      <w:r w:rsidRPr="00E440F9">
        <w:rPr>
          <w:rStyle w:val="FootnoteReference"/>
          <w:b w:val="0"/>
          <w:sz w:val="20"/>
          <w:szCs w:val="20"/>
        </w:rPr>
        <w:footnoteRef/>
      </w:r>
      <w:r w:rsidRPr="00E440F9">
        <w:rPr>
          <w:b w:val="0"/>
          <w:sz w:val="20"/>
          <w:szCs w:val="20"/>
        </w:rPr>
        <w:t xml:space="preserve"> Mr. dr. R. Russo</w:t>
      </w:r>
      <w:r>
        <w:rPr>
          <w:b w:val="0"/>
          <w:sz w:val="20"/>
          <w:szCs w:val="20"/>
        </w:rPr>
        <w:t>,</w:t>
      </w:r>
      <w:r w:rsidRPr="00E440F9">
        <w:rPr>
          <w:b w:val="0"/>
          <w:sz w:val="20"/>
          <w:szCs w:val="20"/>
        </w:rPr>
        <w:t xml:space="preserve"> </w:t>
      </w:r>
      <w:r w:rsidRPr="00E440F9">
        <w:rPr>
          <w:b w:val="0"/>
          <w:i/>
          <w:sz w:val="20"/>
          <w:szCs w:val="20"/>
        </w:rPr>
        <w:t>CCCTB: een tussenstand mede naar aanleiding van de conferentie van 15 en 16 mei 2007 in Berlijn</w:t>
      </w:r>
      <w:r>
        <w:rPr>
          <w:b w:val="0"/>
          <w:sz w:val="20"/>
          <w:szCs w:val="20"/>
        </w:rPr>
        <w:t xml:space="preserve">, </w:t>
      </w:r>
      <w:r w:rsidRPr="00E440F9">
        <w:rPr>
          <w:b w:val="0"/>
          <w:sz w:val="20"/>
          <w:szCs w:val="20"/>
        </w:rPr>
        <w:t>WFR 2007/743.</w:t>
      </w:r>
    </w:p>
  </w:footnote>
  <w:footnote w:id="56">
    <w:p w:rsidR="00165BBF" w:rsidRDefault="00165BBF" w:rsidP="00D31E3F">
      <w:pPr>
        <w:pStyle w:val="FootnoteText"/>
      </w:pPr>
      <w:r w:rsidRPr="00E440F9">
        <w:rPr>
          <w:rStyle w:val="FootnoteReference"/>
        </w:rPr>
        <w:footnoteRef/>
      </w:r>
      <w:r w:rsidRPr="00E440F9">
        <w:t xml:space="preserve"> Prof. dr. P. Kavelaars, </w:t>
      </w:r>
      <w:r w:rsidRPr="00E440F9">
        <w:rPr>
          <w:i/>
        </w:rPr>
        <w:t>Naar een Europese Winstgrondslag deel 2,</w:t>
      </w:r>
      <w:r w:rsidRPr="00E440F9">
        <w:t xml:space="preserve"> WFR 2008/1218.</w:t>
      </w:r>
    </w:p>
  </w:footnote>
  <w:footnote w:id="57">
    <w:p w:rsidR="00165BBF" w:rsidRDefault="00165BBF" w:rsidP="00D31E3F">
      <w:pPr>
        <w:pStyle w:val="FootnoteText"/>
      </w:pPr>
      <w:r w:rsidRPr="003B190E">
        <w:rPr>
          <w:rStyle w:val="FootnoteReference"/>
        </w:rPr>
        <w:footnoteRef/>
      </w:r>
      <w:r w:rsidRPr="00107C72">
        <w:rPr>
          <w:lang w:val="en-US"/>
        </w:rPr>
        <w:t xml:space="preserve"> CCCTB Working Group, </w:t>
      </w:r>
      <w:r w:rsidRPr="00107C72">
        <w:rPr>
          <w:i/>
          <w:lang w:val="en-US"/>
        </w:rPr>
        <w:t>Working paper 57 CCCTB: possible elements of a technical outline(annotated),</w:t>
      </w:r>
      <w:r w:rsidRPr="00107C72">
        <w:rPr>
          <w:lang w:val="en-US"/>
        </w:rPr>
        <w:t xml:space="preserve"> Brussel 20 november 2007, punt 9.</w:t>
      </w:r>
    </w:p>
  </w:footnote>
  <w:footnote w:id="58">
    <w:p w:rsidR="00165BBF" w:rsidRDefault="00165BBF" w:rsidP="00D31E3F">
      <w:pPr>
        <w:pStyle w:val="FootnoteText"/>
      </w:pPr>
      <w:r>
        <w:rPr>
          <w:rStyle w:val="FootnoteReference"/>
        </w:rPr>
        <w:footnoteRef/>
      </w:r>
      <w:r w:rsidRPr="00107C72">
        <w:rPr>
          <w:lang w:val="en-US"/>
        </w:rPr>
        <w:t xml:space="preserve"> CCCTB Working Group, </w:t>
      </w:r>
      <w:r w:rsidRPr="00107C72">
        <w:rPr>
          <w:i/>
          <w:lang w:val="en-US"/>
        </w:rPr>
        <w:t>Working paper 57 CCCTB: possible elements of a technical outline (annotated),</w:t>
      </w:r>
      <w:r w:rsidRPr="00107C72">
        <w:rPr>
          <w:lang w:val="en-US"/>
        </w:rPr>
        <w:t xml:space="preserve"> Brussel 20 november 2007, punt 7.</w:t>
      </w:r>
    </w:p>
  </w:footnote>
  <w:footnote w:id="59">
    <w:p w:rsidR="00165BBF" w:rsidRDefault="00165BBF" w:rsidP="00D31E3F">
      <w:pPr>
        <w:pStyle w:val="FootnoteText"/>
      </w:pPr>
      <w:r>
        <w:rPr>
          <w:rStyle w:val="FootnoteReference"/>
        </w:rPr>
        <w:footnoteRef/>
      </w:r>
      <w:r w:rsidRPr="00107C72">
        <w:rPr>
          <w:lang w:val="en-US"/>
        </w:rPr>
        <w:t xml:space="preserve"> CCCTB Working Group, </w:t>
      </w:r>
      <w:r w:rsidRPr="00107C72">
        <w:rPr>
          <w:i/>
          <w:lang w:val="en-US"/>
        </w:rPr>
        <w:t>Working paper 57 CCCTB: possible elements of a technical outline (annotated),</w:t>
      </w:r>
      <w:r w:rsidRPr="00107C72">
        <w:rPr>
          <w:lang w:val="en-US"/>
        </w:rPr>
        <w:t xml:space="preserve"> Brussel 20 november 2007, punt 30,35.</w:t>
      </w:r>
    </w:p>
  </w:footnote>
  <w:footnote w:id="60">
    <w:p w:rsidR="00165BBF" w:rsidRDefault="00165BBF" w:rsidP="00D31E3F">
      <w:pPr>
        <w:pStyle w:val="FootnoteText"/>
      </w:pPr>
      <w:r>
        <w:rPr>
          <w:rStyle w:val="FootnoteReference"/>
        </w:rPr>
        <w:footnoteRef/>
      </w:r>
      <w:r>
        <w:t xml:space="preserve"> </w:t>
      </w:r>
      <w:r w:rsidRPr="003B190E">
        <w:t xml:space="preserve">Prof. dr. P. Kavelaars, </w:t>
      </w:r>
      <w:r w:rsidRPr="003B190E">
        <w:rPr>
          <w:i/>
        </w:rPr>
        <w:t>Naar een Europese Winstgrondslag deel 2,</w:t>
      </w:r>
      <w:r w:rsidRPr="003B190E">
        <w:t xml:space="preserve"> WFR 2008/1218.</w:t>
      </w:r>
    </w:p>
  </w:footnote>
  <w:footnote w:id="61">
    <w:p w:rsidR="00165BBF" w:rsidRDefault="00165BBF" w:rsidP="00D31E3F">
      <w:pPr>
        <w:shd w:val="clear" w:color="auto" w:fill="FFFFFF"/>
      </w:pPr>
      <w:r w:rsidRPr="00E014AE">
        <w:rPr>
          <w:rStyle w:val="FootnoteReference"/>
          <w:sz w:val="20"/>
          <w:szCs w:val="20"/>
        </w:rPr>
        <w:footnoteRef/>
      </w:r>
      <w:r w:rsidRPr="00E014AE">
        <w:rPr>
          <w:sz w:val="20"/>
          <w:szCs w:val="20"/>
        </w:rPr>
        <w:t xml:space="preserve"> </w:t>
      </w:r>
      <w:r w:rsidRPr="00E014AE">
        <w:rPr>
          <w:bCs/>
          <w:sz w:val="20"/>
          <w:szCs w:val="20"/>
          <w:lang w:eastAsia="nl-NL"/>
        </w:rPr>
        <w:t xml:space="preserve">Vennootschapsbelasting. Europees recht; Common Consolidated Corporate Tax Base (CCCTB). </w:t>
      </w:r>
      <w:r w:rsidRPr="00107C72">
        <w:rPr>
          <w:bCs/>
          <w:sz w:val="20"/>
          <w:szCs w:val="20"/>
          <w:lang w:val="nl-NL" w:eastAsia="nl-NL"/>
        </w:rPr>
        <w:t>Richtlijnvoorstel Europese Commissie en standpunt kabinet.</w:t>
      </w:r>
      <w:r w:rsidRPr="00107C72">
        <w:rPr>
          <w:sz w:val="20"/>
          <w:szCs w:val="20"/>
          <w:lang w:val="nl-NL" w:eastAsia="nl-NL"/>
        </w:rPr>
        <w:t>V-N 2011/20.10</w:t>
      </w:r>
    </w:p>
  </w:footnote>
  <w:footnote w:id="62">
    <w:p w:rsidR="00165BBF" w:rsidRDefault="00165BBF" w:rsidP="00D31E3F">
      <w:pPr>
        <w:pStyle w:val="FootnoteText"/>
      </w:pPr>
      <w:r w:rsidRPr="00E014AE">
        <w:rPr>
          <w:rStyle w:val="FootnoteReference"/>
        </w:rPr>
        <w:footnoteRef/>
      </w:r>
      <w:r w:rsidRPr="00E014AE">
        <w:t xml:space="preserve"> </w:t>
      </w:r>
      <w:r w:rsidRPr="00E014AE">
        <w:rPr>
          <w:rStyle w:val="Emphasis"/>
        </w:rPr>
        <w:t xml:space="preserve">J.L. van de Streek, De conceptrichtlijn CCCTB, </w:t>
      </w:r>
      <w:r w:rsidRPr="00E014AE">
        <w:t>V-N 2011/26.65</w:t>
      </w:r>
    </w:p>
  </w:footnote>
  <w:footnote w:id="63">
    <w:p w:rsidR="00165BBF" w:rsidRDefault="00165BBF">
      <w:pPr>
        <w:pStyle w:val="FootnoteText"/>
      </w:pPr>
      <w:r>
        <w:rPr>
          <w:rStyle w:val="FootnoteReference"/>
        </w:rPr>
        <w:footnoteRef/>
      </w:r>
      <w:r>
        <w:t xml:space="preserve"> </w:t>
      </w:r>
      <w:r w:rsidRPr="00DA32EB">
        <w:t xml:space="preserve">Prof. dr. P. Kavelaars, </w:t>
      </w:r>
      <w:r w:rsidRPr="00DA32EB">
        <w:rPr>
          <w:i/>
        </w:rPr>
        <w:t>Naar een Europese Winstgrondslag deel 1,</w:t>
      </w:r>
      <w:r w:rsidRPr="00DA32EB">
        <w:t xml:space="preserve"> WFR 2008/1184.</w:t>
      </w:r>
    </w:p>
  </w:footnote>
  <w:footnote w:id="64">
    <w:p w:rsidR="00165BBF" w:rsidRDefault="00165BBF" w:rsidP="00D31E3F">
      <w:pPr>
        <w:pStyle w:val="FootnoteText"/>
      </w:pPr>
      <w:r w:rsidRPr="00D47A8E">
        <w:rPr>
          <w:rStyle w:val="FootnoteReference"/>
        </w:rPr>
        <w:footnoteRef/>
      </w:r>
      <w:r w:rsidRPr="00D47A8E">
        <w:t xml:space="preserve"> </w:t>
      </w:r>
      <w:r w:rsidRPr="00D47A8E">
        <w:rPr>
          <w:bCs/>
          <w:kern w:val="36"/>
        </w:rPr>
        <w:t xml:space="preserve">Mr. C. Bruijsten, </w:t>
      </w:r>
      <w:r w:rsidRPr="00D47A8E">
        <w:rPr>
          <w:bCs/>
          <w:i/>
          <w:kern w:val="36"/>
        </w:rPr>
        <w:t>De toekomst van het fiscale jaarwinstbegrip</w:t>
      </w:r>
      <w:r w:rsidRPr="00D47A8E">
        <w:rPr>
          <w:bCs/>
          <w:kern w:val="36"/>
        </w:rPr>
        <w:t>, WFR 2009/823.</w:t>
      </w:r>
    </w:p>
  </w:footnote>
  <w:footnote w:id="65">
    <w:p w:rsidR="00165BBF" w:rsidRDefault="00165BBF" w:rsidP="00D31E3F">
      <w:pPr>
        <w:pStyle w:val="FootnoteText"/>
      </w:pPr>
      <w:r w:rsidRPr="00D47A8E">
        <w:rPr>
          <w:rStyle w:val="FootnoteReference"/>
        </w:rPr>
        <w:footnoteRef/>
      </w:r>
      <w:r w:rsidRPr="00D47A8E">
        <w:t xml:space="preserve"> </w:t>
      </w:r>
      <w:r>
        <w:t xml:space="preserve">J. Doornebal, </w:t>
      </w:r>
      <w:r w:rsidRPr="00D47A8E">
        <w:rPr>
          <w:i/>
        </w:rPr>
        <w:t>Ontwikkelingen rond goed koopmansgebruik</w:t>
      </w:r>
      <w:r w:rsidRPr="00D47A8E">
        <w:t>, TFO 2008/160.</w:t>
      </w:r>
    </w:p>
  </w:footnote>
  <w:footnote w:id="66">
    <w:p w:rsidR="00165BBF" w:rsidRDefault="00165BBF" w:rsidP="00D15F70">
      <w:pPr>
        <w:pStyle w:val="FootnoteText"/>
      </w:pPr>
      <w:r>
        <w:rPr>
          <w:rStyle w:val="FootnoteReference"/>
        </w:rPr>
        <w:footnoteRef/>
      </w:r>
      <w:r>
        <w:t xml:space="preserve"> Voorbeelden ontleend aan </w:t>
      </w:r>
      <w:r>
        <w:rPr>
          <w:rFonts w:ascii="Calibri" w:hAnsi="Calibri"/>
        </w:rPr>
        <w:t xml:space="preserve">Prof. dr. J. Klaassen RA en prof. dr. M.N. Hoogendoorn RA, </w:t>
      </w:r>
      <w:r>
        <w:rPr>
          <w:rFonts w:ascii="Calibri" w:hAnsi="Calibri"/>
          <w:i/>
          <w:iCs/>
        </w:rPr>
        <w:t>Externe verslaggeving</w:t>
      </w:r>
      <w:r>
        <w:rPr>
          <w:rFonts w:ascii="Calibri" w:hAnsi="Calibri"/>
        </w:rPr>
        <w:t>, Stenfer</w:t>
      </w:r>
      <w:r>
        <w:t>t Kroese Groningen 2004, blz. 166,167.</w:t>
      </w:r>
    </w:p>
  </w:footnote>
  <w:footnote w:id="67">
    <w:p w:rsidR="00165BBF" w:rsidRDefault="00165BBF">
      <w:pPr>
        <w:pStyle w:val="FootnoteText"/>
      </w:pPr>
      <w:r>
        <w:rPr>
          <w:rStyle w:val="FootnoteReference"/>
        </w:rPr>
        <w:footnoteRef/>
      </w:r>
      <w:r>
        <w:t xml:space="preserve"> Voorbeeld ontleend aan </w:t>
      </w:r>
      <w:r w:rsidRPr="00381383">
        <w:t xml:space="preserve">Prof. dr. L.G.M. Stevens, </w:t>
      </w:r>
      <w:r w:rsidRPr="00381383">
        <w:rPr>
          <w:i/>
        </w:rPr>
        <w:t>Elementair Belastingrecht</w:t>
      </w:r>
      <w:r>
        <w:t>, Kluwer Deventer 2007, blz. 19</w:t>
      </w:r>
      <w:r w:rsidRPr="00381383">
        <w:t>1</w:t>
      </w:r>
      <w:r>
        <w:t>/192</w:t>
      </w:r>
      <w:r w:rsidRPr="00381383">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846AD"/>
    <w:multiLevelType w:val="hybridMultilevel"/>
    <w:tmpl w:val="4D040A30"/>
    <w:lvl w:ilvl="0" w:tplc="FB64B60A">
      <w:start w:val="1"/>
      <w:numFmt w:val="lowerRoman"/>
      <w:lvlText w:val="%1)"/>
      <w:lvlJc w:val="left"/>
      <w:pPr>
        <w:ind w:left="1080" w:hanging="72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0B7C5744"/>
    <w:multiLevelType w:val="hybridMultilevel"/>
    <w:tmpl w:val="E4505CEE"/>
    <w:lvl w:ilvl="0" w:tplc="04130017">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164208F4"/>
    <w:multiLevelType w:val="hybridMultilevel"/>
    <w:tmpl w:val="AEAC81B6"/>
    <w:lvl w:ilvl="0" w:tplc="FEF45F12">
      <w:start w:val="38"/>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82501A0"/>
    <w:multiLevelType w:val="hybridMultilevel"/>
    <w:tmpl w:val="7EC4B73E"/>
    <w:lvl w:ilvl="0" w:tplc="04130017">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1A5907F3"/>
    <w:multiLevelType w:val="hybridMultilevel"/>
    <w:tmpl w:val="9BC07D8A"/>
    <w:lvl w:ilvl="0" w:tplc="04130017">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1F2F7FAE"/>
    <w:multiLevelType w:val="hybridMultilevel"/>
    <w:tmpl w:val="C242F828"/>
    <w:lvl w:ilvl="0" w:tplc="04130017">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71A345DC"/>
    <w:multiLevelType w:val="hybridMultilevel"/>
    <w:tmpl w:val="61E654AE"/>
    <w:lvl w:ilvl="0" w:tplc="69C88672">
      <w:start w:val="2"/>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7EA423A5"/>
    <w:multiLevelType w:val="hybridMultilevel"/>
    <w:tmpl w:val="FD847116"/>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5"/>
  </w:num>
  <w:num w:numId="3">
    <w:abstractNumId w:val="1"/>
  </w:num>
  <w:num w:numId="4">
    <w:abstractNumId w:val="4"/>
  </w:num>
  <w:num w:numId="5">
    <w:abstractNumId w:val="3"/>
  </w:num>
  <w:num w:numId="6">
    <w:abstractNumId w:val="0"/>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val="fullPage" w:percent="8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1D74"/>
    <w:rsid w:val="00012DCB"/>
    <w:rsid w:val="0001799C"/>
    <w:rsid w:val="000436D9"/>
    <w:rsid w:val="00046E8D"/>
    <w:rsid w:val="000D19B3"/>
    <w:rsid w:val="000D43EF"/>
    <w:rsid w:val="000F5A8B"/>
    <w:rsid w:val="00107C72"/>
    <w:rsid w:val="00121267"/>
    <w:rsid w:val="00146970"/>
    <w:rsid w:val="00165BBF"/>
    <w:rsid w:val="001717CC"/>
    <w:rsid w:val="001905A6"/>
    <w:rsid w:val="0019378E"/>
    <w:rsid w:val="001953B7"/>
    <w:rsid w:val="0019793D"/>
    <w:rsid w:val="001B0C0A"/>
    <w:rsid w:val="001E6C26"/>
    <w:rsid w:val="002161CA"/>
    <w:rsid w:val="00250678"/>
    <w:rsid w:val="00271A3E"/>
    <w:rsid w:val="002C3600"/>
    <w:rsid w:val="002C77C1"/>
    <w:rsid w:val="002D04E2"/>
    <w:rsid w:val="002D7768"/>
    <w:rsid w:val="002E5497"/>
    <w:rsid w:val="002F4CCB"/>
    <w:rsid w:val="002F75D0"/>
    <w:rsid w:val="00302B6B"/>
    <w:rsid w:val="00310B3E"/>
    <w:rsid w:val="00324033"/>
    <w:rsid w:val="00324358"/>
    <w:rsid w:val="00324A96"/>
    <w:rsid w:val="00363E6A"/>
    <w:rsid w:val="00381383"/>
    <w:rsid w:val="00394435"/>
    <w:rsid w:val="00395789"/>
    <w:rsid w:val="003B190E"/>
    <w:rsid w:val="003C53C1"/>
    <w:rsid w:val="003D0423"/>
    <w:rsid w:val="00452789"/>
    <w:rsid w:val="00457FD8"/>
    <w:rsid w:val="004717DF"/>
    <w:rsid w:val="00472D62"/>
    <w:rsid w:val="004B6FA2"/>
    <w:rsid w:val="004C6729"/>
    <w:rsid w:val="004D3DA6"/>
    <w:rsid w:val="00551635"/>
    <w:rsid w:val="005A1D0C"/>
    <w:rsid w:val="005A3F62"/>
    <w:rsid w:val="005B0B40"/>
    <w:rsid w:val="005B1FAE"/>
    <w:rsid w:val="005B7F23"/>
    <w:rsid w:val="005D5741"/>
    <w:rsid w:val="005F1BBB"/>
    <w:rsid w:val="005F5219"/>
    <w:rsid w:val="005F52CA"/>
    <w:rsid w:val="00615638"/>
    <w:rsid w:val="006434F0"/>
    <w:rsid w:val="00681CE8"/>
    <w:rsid w:val="006A2B81"/>
    <w:rsid w:val="006B16EB"/>
    <w:rsid w:val="006B18E3"/>
    <w:rsid w:val="006C20B6"/>
    <w:rsid w:val="007404CC"/>
    <w:rsid w:val="0074132E"/>
    <w:rsid w:val="00742E2A"/>
    <w:rsid w:val="00751CE4"/>
    <w:rsid w:val="0077093B"/>
    <w:rsid w:val="007773CB"/>
    <w:rsid w:val="00796FD8"/>
    <w:rsid w:val="007A1F29"/>
    <w:rsid w:val="007F0F05"/>
    <w:rsid w:val="0080045A"/>
    <w:rsid w:val="00802A08"/>
    <w:rsid w:val="00830DB9"/>
    <w:rsid w:val="008366A3"/>
    <w:rsid w:val="0086751F"/>
    <w:rsid w:val="00883AC9"/>
    <w:rsid w:val="008A4059"/>
    <w:rsid w:val="008D2951"/>
    <w:rsid w:val="008E0D0D"/>
    <w:rsid w:val="008E546C"/>
    <w:rsid w:val="00900851"/>
    <w:rsid w:val="00917321"/>
    <w:rsid w:val="00917FEF"/>
    <w:rsid w:val="00927475"/>
    <w:rsid w:val="00976B54"/>
    <w:rsid w:val="009C38D1"/>
    <w:rsid w:val="009D3B1D"/>
    <w:rsid w:val="009E61A2"/>
    <w:rsid w:val="009F2457"/>
    <w:rsid w:val="009F4071"/>
    <w:rsid w:val="00A07D13"/>
    <w:rsid w:val="00A2644A"/>
    <w:rsid w:val="00A279E3"/>
    <w:rsid w:val="00A27BD9"/>
    <w:rsid w:val="00A3305D"/>
    <w:rsid w:val="00A40D46"/>
    <w:rsid w:val="00A822EB"/>
    <w:rsid w:val="00A90742"/>
    <w:rsid w:val="00A955ED"/>
    <w:rsid w:val="00AB3827"/>
    <w:rsid w:val="00AB53CC"/>
    <w:rsid w:val="00AF2FC0"/>
    <w:rsid w:val="00B378D7"/>
    <w:rsid w:val="00B51D74"/>
    <w:rsid w:val="00B91602"/>
    <w:rsid w:val="00BA1953"/>
    <w:rsid w:val="00BA1C47"/>
    <w:rsid w:val="00BA7C43"/>
    <w:rsid w:val="00BB046D"/>
    <w:rsid w:val="00BB3426"/>
    <w:rsid w:val="00BE362C"/>
    <w:rsid w:val="00BE5412"/>
    <w:rsid w:val="00BE7113"/>
    <w:rsid w:val="00C10AFF"/>
    <w:rsid w:val="00C265C0"/>
    <w:rsid w:val="00C4403F"/>
    <w:rsid w:val="00C67285"/>
    <w:rsid w:val="00C77937"/>
    <w:rsid w:val="00CC4440"/>
    <w:rsid w:val="00D03B77"/>
    <w:rsid w:val="00D110AF"/>
    <w:rsid w:val="00D14617"/>
    <w:rsid w:val="00D14791"/>
    <w:rsid w:val="00D14BF3"/>
    <w:rsid w:val="00D15F70"/>
    <w:rsid w:val="00D26968"/>
    <w:rsid w:val="00D31E3F"/>
    <w:rsid w:val="00D47A8E"/>
    <w:rsid w:val="00D75B9A"/>
    <w:rsid w:val="00D80B7A"/>
    <w:rsid w:val="00D83FCE"/>
    <w:rsid w:val="00D974C6"/>
    <w:rsid w:val="00DA2670"/>
    <w:rsid w:val="00DA32EB"/>
    <w:rsid w:val="00DC4E09"/>
    <w:rsid w:val="00DE4890"/>
    <w:rsid w:val="00E014AE"/>
    <w:rsid w:val="00E37893"/>
    <w:rsid w:val="00E43EA2"/>
    <w:rsid w:val="00E440F9"/>
    <w:rsid w:val="00E67F28"/>
    <w:rsid w:val="00E876F0"/>
    <w:rsid w:val="00E90559"/>
    <w:rsid w:val="00EA6EF0"/>
    <w:rsid w:val="00EB7E02"/>
    <w:rsid w:val="00F01020"/>
    <w:rsid w:val="00F21896"/>
    <w:rsid w:val="00F26902"/>
    <w:rsid w:val="00F71085"/>
    <w:rsid w:val="00FA2174"/>
    <w:rsid w:val="00FA5803"/>
    <w:rsid w:val="00FB037A"/>
    <w:rsid w:val="00FC0BB1"/>
    <w:rsid w:val="00FE3AAA"/>
    <w:rsid w:val="00FE4FBC"/>
    <w:rsid w:val="00FF298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B51D74"/>
    <w:rPr>
      <w:rFonts w:ascii="Times New Roman" w:eastAsia="Times New Roman" w:hAnsi="Times New Roman"/>
      <w:sz w:val="24"/>
      <w:szCs w:val="24"/>
      <w:lang w:val="en-GB"/>
    </w:rPr>
  </w:style>
  <w:style w:type="paragraph" w:styleId="Heading1">
    <w:name w:val="heading 1"/>
    <w:basedOn w:val="Normal"/>
    <w:next w:val="Normal"/>
    <w:link w:val="Heading1Char"/>
    <w:uiPriority w:val="99"/>
    <w:qFormat/>
    <w:rsid w:val="00C265C0"/>
    <w:pPr>
      <w:keepNext/>
      <w:outlineLvl w:val="0"/>
    </w:pPr>
    <w:rPr>
      <w:b/>
      <w:bCs/>
      <w:lang w:val="nl-NL" w:eastAsia="nl-NL"/>
    </w:rPr>
  </w:style>
  <w:style w:type="paragraph" w:styleId="Heading3">
    <w:name w:val="heading 3"/>
    <w:basedOn w:val="Normal"/>
    <w:next w:val="Normal"/>
    <w:link w:val="Heading3Char"/>
    <w:uiPriority w:val="99"/>
    <w:qFormat/>
    <w:rsid w:val="004717DF"/>
    <w:pPr>
      <w:keepNext/>
      <w:keepLines/>
      <w:spacing w:before="200"/>
      <w:outlineLvl w:val="2"/>
    </w:pPr>
    <w:rPr>
      <w:rFonts w:ascii="Cambria"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265C0"/>
    <w:rPr>
      <w:rFonts w:ascii="Times New Roman" w:hAnsi="Times New Roman" w:cs="Times New Roman"/>
      <w:b/>
      <w:bCs/>
      <w:sz w:val="24"/>
      <w:szCs w:val="24"/>
      <w:lang w:eastAsia="nl-NL"/>
    </w:rPr>
  </w:style>
  <w:style w:type="character" w:customStyle="1" w:styleId="Heading3Char">
    <w:name w:val="Heading 3 Char"/>
    <w:basedOn w:val="DefaultParagraphFont"/>
    <w:link w:val="Heading3"/>
    <w:uiPriority w:val="99"/>
    <w:semiHidden/>
    <w:locked/>
    <w:rsid w:val="004717DF"/>
    <w:rPr>
      <w:rFonts w:ascii="Cambria" w:hAnsi="Cambria" w:cs="Times New Roman"/>
      <w:b/>
      <w:bCs/>
      <w:color w:val="4F81BD"/>
      <w:sz w:val="24"/>
      <w:szCs w:val="24"/>
      <w:lang w:val="en-GB"/>
    </w:rPr>
  </w:style>
  <w:style w:type="paragraph" w:styleId="TOC1">
    <w:name w:val="toc 1"/>
    <w:basedOn w:val="Normal"/>
    <w:next w:val="Normal"/>
    <w:autoRedefine/>
    <w:uiPriority w:val="99"/>
    <w:rsid w:val="00B51D74"/>
    <w:pPr>
      <w:spacing w:before="120" w:after="120"/>
    </w:pPr>
    <w:rPr>
      <w:b/>
      <w:bCs/>
      <w:caps/>
      <w:sz w:val="20"/>
      <w:szCs w:val="20"/>
      <w:lang w:val="nl-NL" w:eastAsia="nl-NL"/>
    </w:rPr>
  </w:style>
  <w:style w:type="paragraph" w:styleId="BalloonText">
    <w:name w:val="Balloon Text"/>
    <w:basedOn w:val="Normal"/>
    <w:link w:val="BalloonTextChar"/>
    <w:uiPriority w:val="99"/>
    <w:semiHidden/>
    <w:rsid w:val="00B51D7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51D74"/>
    <w:rPr>
      <w:rFonts w:ascii="Tahoma" w:hAnsi="Tahoma" w:cs="Tahoma"/>
      <w:sz w:val="16"/>
      <w:szCs w:val="16"/>
      <w:lang w:val="en-GB"/>
    </w:rPr>
  </w:style>
  <w:style w:type="paragraph" w:styleId="FootnoteText">
    <w:name w:val="footnote text"/>
    <w:basedOn w:val="Normal"/>
    <w:link w:val="FootnoteTextChar"/>
    <w:uiPriority w:val="99"/>
    <w:semiHidden/>
    <w:rsid w:val="00C265C0"/>
    <w:rPr>
      <w:sz w:val="20"/>
      <w:szCs w:val="20"/>
      <w:lang w:val="nl-NL" w:eastAsia="nl-NL"/>
    </w:rPr>
  </w:style>
  <w:style w:type="character" w:customStyle="1" w:styleId="FootnoteTextChar">
    <w:name w:val="Footnote Text Char"/>
    <w:basedOn w:val="DefaultParagraphFont"/>
    <w:link w:val="FootnoteText"/>
    <w:uiPriority w:val="99"/>
    <w:semiHidden/>
    <w:locked/>
    <w:rsid w:val="00C265C0"/>
    <w:rPr>
      <w:rFonts w:ascii="Times New Roman" w:hAnsi="Times New Roman" w:cs="Times New Roman"/>
      <w:sz w:val="20"/>
      <w:szCs w:val="20"/>
      <w:lang w:eastAsia="nl-NL"/>
    </w:rPr>
  </w:style>
  <w:style w:type="character" w:styleId="FootnoteReference">
    <w:name w:val="footnote reference"/>
    <w:basedOn w:val="DefaultParagraphFont"/>
    <w:uiPriority w:val="99"/>
    <w:semiHidden/>
    <w:rsid w:val="00C265C0"/>
    <w:rPr>
      <w:rFonts w:cs="Times New Roman"/>
      <w:vertAlign w:val="superscript"/>
    </w:rPr>
  </w:style>
  <w:style w:type="paragraph" w:styleId="Header">
    <w:name w:val="header"/>
    <w:basedOn w:val="Normal"/>
    <w:link w:val="HeaderChar"/>
    <w:uiPriority w:val="99"/>
    <w:semiHidden/>
    <w:rsid w:val="00324A96"/>
    <w:pPr>
      <w:tabs>
        <w:tab w:val="center" w:pos="4536"/>
        <w:tab w:val="right" w:pos="9072"/>
      </w:tabs>
    </w:pPr>
  </w:style>
  <w:style w:type="character" w:customStyle="1" w:styleId="HeaderChar">
    <w:name w:val="Header Char"/>
    <w:basedOn w:val="DefaultParagraphFont"/>
    <w:link w:val="Header"/>
    <w:uiPriority w:val="99"/>
    <w:semiHidden/>
    <w:locked/>
    <w:rsid w:val="00324A96"/>
    <w:rPr>
      <w:rFonts w:ascii="Times New Roman" w:hAnsi="Times New Roman" w:cs="Times New Roman"/>
      <w:sz w:val="24"/>
      <w:szCs w:val="24"/>
      <w:lang w:val="en-GB"/>
    </w:rPr>
  </w:style>
  <w:style w:type="paragraph" w:styleId="Footer">
    <w:name w:val="footer"/>
    <w:basedOn w:val="Normal"/>
    <w:link w:val="FooterChar"/>
    <w:uiPriority w:val="99"/>
    <w:rsid w:val="00324A96"/>
    <w:pPr>
      <w:tabs>
        <w:tab w:val="center" w:pos="4536"/>
        <w:tab w:val="right" w:pos="9072"/>
      </w:tabs>
    </w:pPr>
  </w:style>
  <w:style w:type="character" w:customStyle="1" w:styleId="FooterChar">
    <w:name w:val="Footer Char"/>
    <w:basedOn w:val="DefaultParagraphFont"/>
    <w:link w:val="Footer"/>
    <w:uiPriority w:val="99"/>
    <w:locked/>
    <w:rsid w:val="00324A96"/>
    <w:rPr>
      <w:rFonts w:ascii="Times New Roman" w:hAnsi="Times New Roman" w:cs="Times New Roman"/>
      <w:sz w:val="24"/>
      <w:szCs w:val="24"/>
      <w:lang w:val="en-GB"/>
    </w:rPr>
  </w:style>
  <w:style w:type="paragraph" w:styleId="ListParagraph">
    <w:name w:val="List Paragraph"/>
    <w:basedOn w:val="Normal"/>
    <w:uiPriority w:val="99"/>
    <w:qFormat/>
    <w:rsid w:val="0086751F"/>
    <w:pPr>
      <w:spacing w:after="200" w:line="276" w:lineRule="auto"/>
      <w:ind w:left="720"/>
      <w:contextualSpacing/>
    </w:pPr>
    <w:rPr>
      <w:rFonts w:ascii="Calibri" w:eastAsia="Calibri" w:hAnsi="Calibri"/>
      <w:sz w:val="22"/>
      <w:szCs w:val="22"/>
      <w:lang w:val="nl-NL"/>
    </w:rPr>
  </w:style>
  <w:style w:type="character" w:customStyle="1" w:styleId="highlight1">
    <w:name w:val="highlight1"/>
    <w:basedOn w:val="DefaultParagraphFont"/>
    <w:uiPriority w:val="99"/>
    <w:rsid w:val="0086751F"/>
    <w:rPr>
      <w:rFonts w:cs="Times New Roman"/>
    </w:rPr>
  </w:style>
  <w:style w:type="character" w:customStyle="1" w:styleId="A16">
    <w:name w:val="A16"/>
    <w:uiPriority w:val="99"/>
    <w:rsid w:val="00D31E3F"/>
    <w:rPr>
      <w:color w:val="000000"/>
      <w:sz w:val="34"/>
    </w:rPr>
  </w:style>
  <w:style w:type="character" w:styleId="Emphasis">
    <w:name w:val="Emphasis"/>
    <w:basedOn w:val="DefaultParagraphFont"/>
    <w:uiPriority w:val="99"/>
    <w:qFormat/>
    <w:rsid w:val="00D31E3F"/>
    <w:rPr>
      <w:rFonts w:cs="Times New Roman"/>
      <w:i/>
      <w:iCs/>
    </w:rPr>
  </w:style>
  <w:style w:type="character" w:styleId="Hyperlink">
    <w:name w:val="Hyperlink"/>
    <w:basedOn w:val="DefaultParagraphFont"/>
    <w:uiPriority w:val="99"/>
    <w:rsid w:val="00D15F70"/>
    <w:rPr>
      <w:rFonts w:cs="Times New Roman"/>
      <w:color w:val="0000FF"/>
      <w:u w:val="single"/>
    </w:rPr>
  </w:style>
  <w:style w:type="paragraph" w:styleId="TOCHeading">
    <w:name w:val="TOC Heading"/>
    <w:basedOn w:val="Heading1"/>
    <w:next w:val="Normal"/>
    <w:uiPriority w:val="99"/>
    <w:qFormat/>
    <w:rsid w:val="00D15F70"/>
    <w:pPr>
      <w:keepLines/>
      <w:spacing w:before="480" w:line="276" w:lineRule="auto"/>
      <w:outlineLvl w:val="9"/>
    </w:pPr>
    <w:rPr>
      <w:rFonts w:ascii="Cambria" w:hAnsi="Cambria"/>
      <w:color w:val="365F91"/>
      <w:sz w:val="28"/>
      <w:szCs w:val="28"/>
      <w:lang w:eastAsia="en-US"/>
    </w:rPr>
  </w:style>
  <w:style w:type="paragraph" w:styleId="TOC2">
    <w:name w:val="toc 2"/>
    <w:basedOn w:val="Normal"/>
    <w:next w:val="Normal"/>
    <w:autoRedefine/>
    <w:uiPriority w:val="99"/>
    <w:rsid w:val="00D15F70"/>
    <w:pPr>
      <w:spacing w:after="100" w:line="276" w:lineRule="auto"/>
      <w:ind w:left="220"/>
    </w:pPr>
    <w:rPr>
      <w:rFonts w:ascii="Calibri" w:hAnsi="Calibri"/>
      <w:sz w:val="22"/>
      <w:szCs w:val="22"/>
      <w:lang w:val="nl-NL"/>
    </w:rPr>
  </w:style>
  <w:style w:type="paragraph" w:styleId="TOC3">
    <w:name w:val="toc 3"/>
    <w:basedOn w:val="Normal"/>
    <w:next w:val="Normal"/>
    <w:autoRedefine/>
    <w:uiPriority w:val="99"/>
    <w:semiHidden/>
    <w:rsid w:val="00D15F70"/>
    <w:pPr>
      <w:spacing w:after="100" w:line="276" w:lineRule="auto"/>
      <w:ind w:left="440"/>
    </w:pPr>
    <w:rPr>
      <w:rFonts w:ascii="Calibri" w:hAnsi="Calibri"/>
      <w:sz w:val="22"/>
      <w:szCs w:val="22"/>
      <w:lang w:val="nl-NL"/>
    </w:rPr>
  </w:style>
  <w:style w:type="table" w:styleId="TableGrid">
    <w:name w:val="Table Grid"/>
    <w:basedOn w:val="TableNormal"/>
    <w:uiPriority w:val="99"/>
    <w:rsid w:val="00830DB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rsid w:val="0001799C"/>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1919C4"/>
    <w:rPr>
      <w:rFonts w:ascii="Times New Roman" w:eastAsia="Times New Roman" w:hAnsi="Times New Roman"/>
      <w:sz w:val="0"/>
      <w:szCs w:val="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javascript:nav.loadDiv('/cl3/application-context/VNI/modules/synchro/followLinkToRelated.jsp?&amp;gc=WKNL-KL-PNP-VNI-10069417&amp;docId=126232132&amp;sourceId=13617141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37</Pages>
  <Words>10656</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subject/>
  <dc:creator>van Veen</dc:creator>
  <cp:keywords/>
  <dc:description/>
  <cp:lastModifiedBy>Angelique Lieverst</cp:lastModifiedBy>
  <cp:revision>2</cp:revision>
  <dcterms:created xsi:type="dcterms:W3CDTF">2011-07-11T07:09:00Z</dcterms:created>
  <dcterms:modified xsi:type="dcterms:W3CDTF">2011-07-11T07:09:00Z</dcterms:modified>
</cp:coreProperties>
</file>